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181610</wp:posOffset>
            </wp:positionH>
            <wp:positionV relativeFrom="paragraph">
              <wp:posOffset>209550</wp:posOffset>
            </wp:positionV>
            <wp:extent cx="69018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1815" cy="825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252095</wp:posOffset>
            </wp:positionV>
            <wp:extent cx="69018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UNITED STATES</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229235</wp:posOffset>
            </wp:positionV>
            <wp:extent cx="1446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SCHEDULE 14A</w:t>
      </w:r>
    </w:p>
    <w:p>
      <w:pPr>
        <w:spacing w:after="0" w:line="218" w:lineRule="exact"/>
        <w:rPr>
          <w:sz w:val="24"/>
          <w:szCs w:val="24"/>
          <w:color w:val="auto"/>
        </w:rPr>
      </w:pPr>
    </w:p>
    <w:p>
      <w:pPr>
        <w:jc w:val="center"/>
        <w:ind w:right="-31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2" w:lineRule="exact"/>
        <w:rPr>
          <w:sz w:val="24"/>
          <w:szCs w:val="24"/>
          <w:color w:val="auto"/>
        </w:rPr>
      </w:pPr>
    </w:p>
    <w:p>
      <w:pPr>
        <w:jc w:val="center"/>
        <w:ind w:right="-319"/>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220980</wp:posOffset>
            </wp:positionV>
            <wp:extent cx="1446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280"/>
        <w:spacing w:after="0" w:line="207" w:lineRule="exact"/>
        <w:tabs>
          <w:tab w:leader="none" w:pos="34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4" w:lineRule="exact"/>
        <w:rPr>
          <w:sz w:val="24"/>
          <w:szCs w:val="24"/>
          <w:color w:val="auto"/>
        </w:rPr>
      </w:pPr>
    </w:p>
    <w:p>
      <w:pPr>
        <w:ind w:left="280"/>
        <w:spacing w:after="0"/>
        <w:rPr>
          <w:sz w:val="20"/>
          <w:szCs w:val="20"/>
          <w:color w:val="auto"/>
        </w:rPr>
      </w:pPr>
      <w:r>
        <w:rPr>
          <w:rFonts w:ascii="Arial" w:cs="Arial" w:eastAsia="Arial" w:hAnsi="Arial"/>
          <w:sz w:val="18"/>
          <w:szCs w:val="18"/>
          <w:color w:val="auto"/>
        </w:rPr>
        <w:t>Check the appropriate box:</w:t>
      </w:r>
    </w:p>
    <w:p>
      <w:pPr>
        <w:spacing w:after="0" w:line="126" w:lineRule="exact"/>
        <w:rPr>
          <w:sz w:val="24"/>
          <w:szCs w:val="24"/>
          <w:color w:val="auto"/>
        </w:rPr>
      </w:pPr>
    </w:p>
    <w:p>
      <w:pPr>
        <w:ind w:left="720" w:hanging="44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6" w:lineRule="exact"/>
        <w:rPr>
          <w:rFonts w:ascii="MS PGothic" w:cs="MS PGothic" w:eastAsia="MS PGothic" w:hAnsi="MS PGothic"/>
          <w:sz w:val="18"/>
          <w:szCs w:val="18"/>
          <w:color w:val="auto"/>
        </w:rPr>
      </w:pPr>
    </w:p>
    <w:p>
      <w:pPr>
        <w:ind w:left="720" w:hanging="44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9" w:lineRule="exact"/>
        <w:rPr>
          <w:sz w:val="24"/>
          <w:szCs w:val="24"/>
          <w:color w:val="auto"/>
        </w:rPr>
      </w:pPr>
    </w:p>
    <w:p>
      <w:pPr>
        <w:ind w:left="720" w:hanging="440"/>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3" w:lineRule="exact"/>
        <w:rPr>
          <w:sz w:val="24"/>
          <w:szCs w:val="24"/>
          <w:color w:val="auto"/>
        </w:rPr>
      </w:pPr>
    </w:p>
    <w:p>
      <w:pPr>
        <w:ind w:left="720" w:hanging="440"/>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2" w:lineRule="exact"/>
        <w:rPr>
          <w:rFonts w:ascii="MS PGothic" w:cs="MS PGothic" w:eastAsia="MS PGothic" w:hAnsi="MS PGothic"/>
          <w:sz w:val="18"/>
          <w:szCs w:val="18"/>
          <w:color w:val="auto"/>
        </w:rPr>
      </w:pPr>
    </w:p>
    <w:p>
      <w:pPr>
        <w:ind w:left="720" w:hanging="440"/>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2" w:lineRule="exact"/>
        <w:rPr>
          <w:sz w:val="24"/>
          <w:szCs w:val="24"/>
          <w:color w:val="auto"/>
        </w:rPr>
      </w:pPr>
    </w:p>
    <w:p>
      <w:pPr>
        <w:jc w:val="center"/>
        <w:ind w:right="-319"/>
        <w:spacing w:after="0"/>
        <w:rPr>
          <w:sz w:val="20"/>
          <w:szCs w:val="20"/>
          <w:color w:val="auto"/>
        </w:rPr>
      </w:pPr>
      <w:r>
        <w:rPr>
          <w:rFonts w:ascii="Arial" w:cs="Arial" w:eastAsia="Arial" w:hAnsi="Arial"/>
          <w:sz w:val="39"/>
          <w:szCs w:val="39"/>
          <w:b w:val="1"/>
          <w:bCs w:val="1"/>
          <w:color w:val="auto"/>
        </w:rPr>
        <w:t>Lear Corporation</w:t>
      </w:r>
    </w:p>
    <w:p>
      <w:pPr>
        <w:spacing w:after="0" w:line="38"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(Name of Registrant as Specified In Its Charter)</w:t>
      </w:r>
    </w:p>
    <w:p>
      <w:pPr>
        <w:spacing w:after="0" w:line="341"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5" w:lineRule="exact"/>
        <w:rPr>
          <w:sz w:val="24"/>
          <w:szCs w:val="24"/>
          <w:color w:val="auto"/>
        </w:rPr>
      </w:pPr>
    </w:p>
    <w:p>
      <w:pPr>
        <w:ind w:left="280"/>
        <w:spacing w:after="0"/>
        <w:rPr>
          <w:sz w:val="20"/>
          <w:szCs w:val="20"/>
          <w:color w:val="auto"/>
        </w:rPr>
      </w:pPr>
      <w:r>
        <w:rPr>
          <w:rFonts w:ascii="Arial" w:cs="Arial" w:eastAsia="Arial" w:hAnsi="Arial"/>
          <w:sz w:val="18"/>
          <w:szCs w:val="18"/>
          <w:color w:val="auto"/>
        </w:rPr>
        <w:t>Payment of Filing Fee (Check the appropriate box):</w:t>
      </w:r>
    </w:p>
    <w:p>
      <w:pPr>
        <w:spacing w:after="0" w:line="219" w:lineRule="exact"/>
        <w:rPr>
          <w:sz w:val="24"/>
          <w:szCs w:val="24"/>
          <w:color w:val="auto"/>
        </w:rPr>
      </w:pPr>
    </w:p>
    <w:p>
      <w:pPr>
        <w:ind w:left="740" w:hanging="460"/>
        <w:spacing w:after="0"/>
        <w:tabs>
          <w:tab w:leader="none" w:pos="7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9" w:lineRule="exact"/>
        <w:rPr>
          <w:sz w:val="24"/>
          <w:szCs w:val="24"/>
          <w:color w:val="auto"/>
        </w:rPr>
      </w:pPr>
    </w:p>
    <w:p>
      <w:pPr>
        <w:ind w:left="740" w:hanging="460"/>
        <w:spacing w:after="0"/>
        <w:tabs>
          <w:tab w:leader="none" w:pos="7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52" w:lineRule="exact"/>
        <w:rPr>
          <w:rFonts w:ascii="MS PGothic" w:cs="MS PGothic" w:eastAsia="MS PGothic" w:hAnsi="MS PGothic"/>
          <w:sz w:val="18"/>
          <w:szCs w:val="18"/>
          <w:color w:val="auto"/>
        </w:rPr>
      </w:pPr>
    </w:p>
    <w:p>
      <w:pPr>
        <w:ind w:left="1160" w:hanging="428"/>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1160" w:hanging="428"/>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1160" w:right="260" w:hanging="428"/>
        <w:spacing w:after="0" w:line="26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1160" w:hanging="428"/>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1160" w:hanging="428"/>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740" w:hanging="460"/>
        <w:spacing w:after="0"/>
        <w:tabs>
          <w:tab w:leader="none" w:pos="7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25" w:lineRule="exact"/>
        <w:rPr>
          <w:rFonts w:ascii="MS PGothic" w:cs="MS PGothic" w:eastAsia="MS PGothic" w:hAnsi="MS PGothic"/>
          <w:sz w:val="18"/>
          <w:szCs w:val="18"/>
          <w:color w:val="auto"/>
        </w:rPr>
      </w:pPr>
    </w:p>
    <w:p>
      <w:pPr>
        <w:ind w:left="740" w:hanging="460"/>
        <w:spacing w:after="0" w:line="296" w:lineRule="auto"/>
        <w:tabs>
          <w:tab w:leader="none" w:pos="7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3" w:lineRule="exact"/>
        <w:rPr>
          <w:rFonts w:ascii="MS PGothic" w:cs="MS PGothic" w:eastAsia="MS PGothic" w:hAnsi="MS PGothic"/>
          <w:sz w:val="17"/>
          <w:szCs w:val="17"/>
          <w:color w:val="auto"/>
        </w:rPr>
      </w:pPr>
    </w:p>
    <w:p>
      <w:pPr>
        <w:ind w:left="1160" w:hanging="428"/>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1160" w:hanging="428"/>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739775</wp:posOffset>
            </wp:positionH>
            <wp:positionV relativeFrom="paragraph">
              <wp:posOffset>-3489325</wp:posOffset>
            </wp:positionV>
            <wp:extent cx="6343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-3049270</wp:posOffset>
            </wp:positionV>
            <wp:extent cx="6343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-2473960</wp:posOffset>
            </wp:positionV>
            <wp:extent cx="6343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-2034540</wp:posOffset>
            </wp:positionV>
            <wp:extent cx="6343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-1594485</wp:posOffset>
            </wp:positionV>
            <wp:extent cx="63436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-139700</wp:posOffset>
            </wp:positionV>
            <wp:extent cx="63436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299085</wp:posOffset>
            </wp:positionV>
            <wp:extent cx="63436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ectPr>
          <w:pgSz w:w="11900" w:h="16838" w:orient="portrait"/>
          <w:cols w:equalWidth="0" w:num="1">
            <w:col w:w="11100"/>
          </w:cols>
          <w:pgMar w:left="240" w:top="228" w:right="559" w:bottom="422" w:gutter="0" w:footer="0" w:header="0"/>
        </w:sectPr>
      </w:pPr>
    </w:p>
    <w:bookmarkStart w:id="1" w:name="page2"/>
    <w:bookmarkEnd w:id="1"/>
    <w:p>
      <w:pPr>
        <w:ind w:left="880" w:hanging="428"/>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880" w:hanging="428"/>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-139700</wp:posOffset>
            </wp:positionV>
            <wp:extent cx="63436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299085</wp:posOffset>
            </wp:positionV>
            <wp:extent cx="63436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146685</wp:posOffset>
            </wp:positionV>
            <wp:extent cx="69018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18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189230</wp:posOffset>
            </wp:positionV>
            <wp:extent cx="69018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0760"/>
          </w:cols>
          <w:pgMar w:left="520" w:top="140" w:right="6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201295</wp:posOffset>
            </wp:positionV>
            <wp:extent cx="1632585" cy="440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32585" cy="44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21557 Telegraph Road</w:t>
      </w:r>
    </w:p>
    <w:p>
      <w:pPr>
        <w:spacing w:after="0" w:line="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Southfield, Michigan 48033</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March 28, 2019</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Dear Stockholder:</w:t>
      </w:r>
    </w:p>
    <w:p>
      <w:pPr>
        <w:spacing w:after="0" w:line="109" w:lineRule="exact"/>
        <w:rPr>
          <w:sz w:val="20"/>
          <w:szCs w:val="20"/>
          <w:color w:val="auto"/>
        </w:rPr>
      </w:pPr>
    </w:p>
    <w:p>
      <w:pPr>
        <w:ind w:left="280" w:right="320"/>
        <w:spacing w:after="0" w:line="248" w:lineRule="auto"/>
        <w:rPr>
          <w:sz w:val="20"/>
          <w:szCs w:val="20"/>
          <w:color w:val="auto"/>
        </w:rPr>
      </w:pPr>
      <w:r>
        <w:rPr>
          <w:rFonts w:ascii="Arial" w:cs="Arial" w:eastAsia="Arial" w:hAnsi="Arial"/>
          <w:sz w:val="16"/>
          <w:szCs w:val="16"/>
          <w:color w:val="auto"/>
        </w:rPr>
        <w:t>On behalf of the Board of Directors of Lear Corporation, you are cordially invited to attend the 2019 Annual Meeting of Stockholders (the “Annual Meeting”) to be held on May 16, 2019, at 9:00 a.m. (Eastern Time) at Lear Corporation’s Corporate Headquarters, 21557 Telegraph Road, Southfield, Michigan 48033.</w:t>
      </w:r>
    </w:p>
    <w:p>
      <w:pPr>
        <w:spacing w:after="0" w:line="96" w:lineRule="exact"/>
        <w:rPr>
          <w:sz w:val="20"/>
          <w:szCs w:val="20"/>
          <w:color w:val="auto"/>
        </w:rPr>
      </w:pPr>
    </w:p>
    <w:p>
      <w:pPr>
        <w:ind w:left="280" w:right="120"/>
        <w:spacing w:after="0" w:line="248" w:lineRule="auto"/>
        <w:rPr>
          <w:sz w:val="20"/>
          <w:szCs w:val="20"/>
          <w:color w:val="auto"/>
        </w:rPr>
      </w:pPr>
      <w:r>
        <w:rPr>
          <w:rFonts w:ascii="Arial" w:cs="Arial" w:eastAsia="Arial" w:hAnsi="Arial"/>
          <w:sz w:val="16"/>
          <w:szCs w:val="16"/>
          <w:color w:val="auto"/>
        </w:rPr>
        <w:t>We have included with this letter a proxy statement that provides you with detailed information about the Annual Meeting. We encourage you to read the entire proxy statement carefully. You may also obtain more information about Lear Corporation from documents we have filed with the Securities and Exchange Commission.</w:t>
      </w:r>
    </w:p>
    <w:p>
      <w:pPr>
        <w:spacing w:after="0" w:line="96" w:lineRule="exact"/>
        <w:rPr>
          <w:sz w:val="20"/>
          <w:szCs w:val="20"/>
          <w:color w:val="auto"/>
        </w:rPr>
      </w:pPr>
    </w:p>
    <w:p>
      <w:pPr>
        <w:ind w:left="280" w:right="80"/>
        <w:spacing w:after="0" w:line="268" w:lineRule="auto"/>
        <w:rPr>
          <w:sz w:val="20"/>
          <w:szCs w:val="20"/>
          <w:color w:val="auto"/>
        </w:rPr>
      </w:pPr>
      <w:r>
        <w:rPr>
          <w:rFonts w:ascii="Arial" w:cs="Arial" w:eastAsia="Arial" w:hAnsi="Arial"/>
          <w:sz w:val="15"/>
          <w:szCs w:val="15"/>
          <w:color w:val="auto"/>
        </w:rPr>
        <w:t>We are delivering our proxy statement and annual report pursuant to the Securities and Exchange Commission rules that allow companies to furnish proxy materials to their stockholders over the Internet. We believe that this delivery method expedites stockholders’ receipt of proxy materials and lowers the cost and environmental impact of our Annual Meeting. On or about March 29, 2019, we will mail to our stockholders a notice containing instructions on how to access our proxy materials. In addition, the notice includes instructions on how you can receive a paper copy of our proxy materials.</w:t>
      </w:r>
    </w:p>
    <w:p>
      <w:pPr>
        <w:spacing w:after="0" w:line="82" w:lineRule="exact"/>
        <w:rPr>
          <w:sz w:val="20"/>
          <w:szCs w:val="20"/>
          <w:color w:val="auto"/>
        </w:rPr>
      </w:pPr>
    </w:p>
    <w:p>
      <w:pPr>
        <w:jc w:val="both"/>
        <w:ind w:left="280" w:right="800"/>
        <w:spacing w:after="0" w:line="248" w:lineRule="auto"/>
        <w:rPr>
          <w:sz w:val="20"/>
          <w:szCs w:val="20"/>
          <w:color w:val="auto"/>
        </w:rPr>
      </w:pPr>
      <w:r>
        <w:rPr>
          <w:rFonts w:ascii="Arial" w:cs="Arial" w:eastAsia="Arial" w:hAnsi="Arial"/>
          <w:sz w:val="16"/>
          <w:szCs w:val="16"/>
          <w:color w:val="auto"/>
        </w:rPr>
        <w:t>You are being asked at the Annual Meeting to elect directors named in this proxy statement, to ratify the retention of Ernst &amp; Young LLP as our independent registered public accounting firm, to provide an advisory vote to approve our executive compensation, to vote to approve the Lear Corporation 2019 Long-Term Stock Incentive Plan and to transact any other business properly brought before the meeting.</w:t>
      </w:r>
    </w:p>
    <w:p>
      <w:pPr>
        <w:spacing w:after="0" w:line="96" w:lineRule="exact"/>
        <w:rPr>
          <w:sz w:val="20"/>
          <w:szCs w:val="20"/>
          <w:color w:val="auto"/>
        </w:rPr>
      </w:pPr>
    </w:p>
    <w:p>
      <w:pPr>
        <w:ind w:left="280" w:right="60"/>
        <w:spacing w:after="0" w:line="247" w:lineRule="auto"/>
        <w:rPr>
          <w:sz w:val="20"/>
          <w:szCs w:val="20"/>
          <w:color w:val="auto"/>
        </w:rPr>
      </w:pPr>
      <w:r>
        <w:rPr>
          <w:rFonts w:ascii="Arial" w:cs="Arial" w:eastAsia="Arial" w:hAnsi="Arial"/>
          <w:sz w:val="16"/>
          <w:szCs w:val="16"/>
          <w:color w:val="auto"/>
        </w:rPr>
        <w:t xml:space="preserve">Whether or not you plan to attend the Annual Meeting, your vote is important, and we encourage you to vote promptly. You may vote your shares through one of the methods described in the enclosed proxy statement. </w:t>
      </w:r>
      <w:r>
        <w:rPr>
          <w:rFonts w:ascii="Arial" w:cs="Arial" w:eastAsia="Arial" w:hAnsi="Arial"/>
          <w:sz w:val="16"/>
          <w:szCs w:val="16"/>
          <w:b w:val="1"/>
          <w:bCs w:val="1"/>
          <w:color w:val="auto"/>
        </w:rPr>
        <w:t>We strongly urge you to read the accompanying proxy statement carefully and to</w:t>
      </w:r>
      <w:r>
        <w:rPr>
          <w:rFonts w:ascii="Arial" w:cs="Arial" w:eastAsia="Arial" w:hAnsi="Arial"/>
          <w:sz w:val="16"/>
          <w:szCs w:val="16"/>
          <w:color w:val="auto"/>
        </w:rPr>
        <w:t xml:space="preserve"> </w:t>
      </w:r>
      <w:r>
        <w:rPr>
          <w:rFonts w:ascii="Arial" w:cs="Arial" w:eastAsia="Arial" w:hAnsi="Arial"/>
          <w:sz w:val="16"/>
          <w:szCs w:val="16"/>
          <w:b w:val="1"/>
          <w:bCs w:val="1"/>
          <w:color w:val="auto"/>
        </w:rPr>
        <w:t>vote FOR the nominees proposed by the Board of Directors and in accordance with the recommendations of the Board of Directors on the other proposals by following the voting instructions contained in the proxy statement.</w:t>
      </w:r>
    </w:p>
    <w:p>
      <w:pPr>
        <w:spacing w:after="0" w:line="22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110490</wp:posOffset>
            </wp:positionV>
            <wp:extent cx="1192530" cy="4565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2530" cy="45656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152400</wp:posOffset>
            </wp:positionV>
            <wp:extent cx="1217930" cy="414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17930" cy="4146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Henry D.G. Wallace</w:t>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6"/>
          <w:szCs w:val="16"/>
          <w:i w:val="1"/>
          <w:iCs w:val="1"/>
          <w:color w:val="auto"/>
        </w:rPr>
        <w:t>Non-Executive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Raymond E. Scott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President, Chief Executive Officer, Interim President,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E-Systems and Director</w:t>
      </w:r>
    </w:p>
    <w:p>
      <w:pPr>
        <w:spacing w:after="0" w:line="109" w:lineRule="exact"/>
        <w:rPr>
          <w:sz w:val="20"/>
          <w:szCs w:val="20"/>
          <w:color w:val="auto"/>
        </w:rPr>
      </w:pPr>
    </w:p>
    <w:p>
      <w:pPr>
        <w:sectPr>
          <w:pgSz w:w="11900" w:h="16838" w:orient="portrait"/>
          <w:cols w:equalWidth="0" w:num="2">
            <w:col w:w="5320" w:space="720"/>
            <w:col w:w="5100"/>
          </w:cols>
          <w:pgMar w:left="240" w:top="455" w:right="519" w:bottom="1440" w:gutter="0" w:footer="0" w:header="0"/>
          <w:type w:val="continuous"/>
        </w:sectPr>
      </w:pPr>
    </w:p>
    <w:p>
      <w:pPr>
        <w:ind w:left="280"/>
        <w:spacing w:after="0"/>
        <w:rPr>
          <w:sz w:val="20"/>
          <w:szCs w:val="20"/>
          <w:color w:val="auto"/>
        </w:rPr>
      </w:pPr>
      <w:r>
        <w:rPr>
          <w:rFonts w:ascii="Arial" w:cs="Arial" w:eastAsia="Arial" w:hAnsi="Arial"/>
          <w:sz w:val="15"/>
          <w:szCs w:val="15"/>
          <w:color w:val="auto"/>
        </w:rPr>
        <w:t>This proxy statement is dated March 28, 2019, and is first being made available to stockholders via the Internet on or about March 29, 2019.</w:t>
      </w:r>
    </w:p>
    <w:p>
      <w:pPr>
        <w:sectPr>
          <w:pgSz w:w="11900" w:h="16838" w:orient="portrait"/>
          <w:cols w:equalWidth="0" w:num="1">
            <w:col w:w="11140"/>
          </w:cols>
          <w:pgMar w:left="240" w:top="455" w:right="51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201295</wp:posOffset>
            </wp:positionV>
            <wp:extent cx="1632585" cy="440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2585" cy="44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0" w:type="dxa"/>
            <w:vAlign w:val="bottom"/>
          </w:tcPr>
          <w:p>
            <w:pPr>
              <w:jc w:val="center"/>
              <w:ind w:right="2980"/>
              <w:spacing w:after="0"/>
              <w:rPr>
                <w:sz w:val="20"/>
                <w:szCs w:val="20"/>
                <w:color w:val="auto"/>
              </w:rPr>
            </w:pPr>
            <w:r>
              <w:rPr>
                <w:rFonts w:ascii="Arial" w:cs="Arial" w:eastAsia="Arial" w:hAnsi="Arial"/>
                <w:sz w:val="16"/>
                <w:szCs w:val="16"/>
                <w:color w:val="auto"/>
                <w:w w:val="98"/>
              </w:rPr>
              <w:t>21557 Telegraph Road</w:t>
            </w:r>
          </w:p>
        </w:tc>
      </w:tr>
      <w:tr>
        <w:trPr>
          <w:trHeight w:val="193"/>
        </w:trPr>
        <w:tc>
          <w:tcPr>
            <w:tcW w:w="2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0" w:type="dxa"/>
            <w:vAlign w:val="bottom"/>
          </w:tcPr>
          <w:p>
            <w:pPr>
              <w:jc w:val="center"/>
              <w:ind w:right="2980"/>
              <w:spacing w:after="0"/>
              <w:rPr>
                <w:sz w:val="20"/>
                <w:szCs w:val="20"/>
                <w:color w:val="auto"/>
              </w:rPr>
            </w:pPr>
            <w:r>
              <w:rPr>
                <w:rFonts w:ascii="Arial" w:cs="Arial" w:eastAsia="Arial" w:hAnsi="Arial"/>
                <w:sz w:val="16"/>
                <w:szCs w:val="16"/>
                <w:color w:val="auto"/>
              </w:rPr>
              <w:t>Southfield, Michigan 48033</w:t>
            </w:r>
          </w:p>
        </w:tc>
      </w:tr>
      <w:tr>
        <w:trPr>
          <w:trHeight w:val="400"/>
        </w:trPr>
        <w:tc>
          <w:tcPr>
            <w:tcW w:w="2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0" w:type="dxa"/>
            <w:vAlign w:val="bottom"/>
          </w:tcPr>
          <w:p>
            <w:pPr>
              <w:jc w:val="center"/>
              <w:ind w:right="2980"/>
              <w:spacing w:after="0"/>
              <w:rPr>
                <w:sz w:val="20"/>
                <w:szCs w:val="20"/>
                <w:color w:val="auto"/>
              </w:rPr>
            </w:pPr>
            <w:r>
              <w:rPr>
                <w:rFonts w:ascii="Arial" w:cs="Arial" w:eastAsia="Arial" w:hAnsi="Arial"/>
                <w:sz w:val="16"/>
                <w:szCs w:val="16"/>
                <w:b w:val="1"/>
                <w:bCs w:val="1"/>
                <w:color w:val="auto"/>
              </w:rPr>
              <w:t>NOTICE OF ANNUAL MEETING OF STOCKHOLDERS</w:t>
            </w:r>
          </w:p>
        </w:tc>
      </w:tr>
      <w:tr>
        <w:trPr>
          <w:trHeight w:val="426"/>
        </w:trPr>
        <w:tc>
          <w:tcPr>
            <w:tcW w:w="2120" w:type="dxa"/>
            <w:vAlign w:val="bottom"/>
          </w:tcPr>
          <w:p>
            <w:pPr>
              <w:spacing w:after="0"/>
              <w:rPr>
                <w:sz w:val="20"/>
                <w:szCs w:val="20"/>
                <w:color w:val="auto"/>
              </w:rPr>
            </w:pPr>
            <w:r>
              <w:rPr>
                <w:rFonts w:ascii="Arial" w:cs="Arial" w:eastAsia="Arial" w:hAnsi="Arial"/>
                <w:sz w:val="16"/>
                <w:szCs w:val="16"/>
                <w:b w:val="1"/>
                <w:bCs w:val="1"/>
                <w:i w:val="1"/>
                <w:iCs w:val="1"/>
                <w:color w:val="auto"/>
              </w:rPr>
              <w:t>Time and Date:</w:t>
            </w: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rPr>
              <w:t>Thursday, May 16, 2019, at 9:00 a.m. (Eastern Time)</w:t>
            </w:r>
          </w:p>
        </w:tc>
      </w:tr>
      <w:tr>
        <w:trPr>
          <w:trHeight w:val="293"/>
        </w:trPr>
        <w:tc>
          <w:tcPr>
            <w:tcW w:w="2120" w:type="dxa"/>
            <w:vAlign w:val="bottom"/>
          </w:tcPr>
          <w:p>
            <w:pPr>
              <w:spacing w:after="0"/>
              <w:rPr>
                <w:sz w:val="20"/>
                <w:szCs w:val="20"/>
                <w:color w:val="auto"/>
              </w:rPr>
            </w:pPr>
            <w:r>
              <w:rPr>
                <w:rFonts w:ascii="Arial" w:cs="Arial" w:eastAsia="Arial" w:hAnsi="Arial"/>
                <w:sz w:val="16"/>
                <w:szCs w:val="16"/>
                <w:b w:val="1"/>
                <w:bCs w:val="1"/>
                <w:i w:val="1"/>
                <w:iCs w:val="1"/>
                <w:color w:val="auto"/>
              </w:rPr>
              <w:t>Place:</w:t>
            </w: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rPr>
              <w:t>Lear Corporation’s Corporate Headquarters</w:t>
            </w:r>
          </w:p>
        </w:tc>
      </w:tr>
      <w:tr>
        <w:trPr>
          <w:trHeight w:val="306"/>
        </w:trPr>
        <w:tc>
          <w:tcPr>
            <w:tcW w:w="2120" w:type="dxa"/>
            <w:vAlign w:val="bottom"/>
          </w:tcPr>
          <w:p>
            <w:pPr>
              <w:spacing w:after="0"/>
              <w:rPr>
                <w:sz w:val="24"/>
                <w:szCs w:val="24"/>
                <w:color w:val="auto"/>
              </w:rPr>
            </w:pP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rPr>
              <w:t>21557 Telegraph Road</w:t>
            </w:r>
          </w:p>
        </w:tc>
      </w:tr>
      <w:tr>
        <w:trPr>
          <w:trHeight w:val="289"/>
        </w:trPr>
        <w:tc>
          <w:tcPr>
            <w:tcW w:w="2120" w:type="dxa"/>
            <w:vAlign w:val="bottom"/>
          </w:tcPr>
          <w:p>
            <w:pPr>
              <w:spacing w:after="0"/>
              <w:rPr>
                <w:sz w:val="24"/>
                <w:szCs w:val="24"/>
                <w:color w:val="auto"/>
              </w:rPr>
            </w:pPr>
          </w:p>
        </w:tc>
        <w:tc>
          <w:tcPr>
            <w:tcW w:w="8740" w:type="dxa"/>
            <w:vAlign w:val="bottom"/>
            <w:gridSpan w:val="2"/>
          </w:tcPr>
          <w:p>
            <w:pPr>
              <w:ind w:left="720"/>
              <w:spacing w:after="0"/>
              <w:rPr>
                <w:sz w:val="20"/>
                <w:szCs w:val="20"/>
                <w:color w:val="auto"/>
              </w:rPr>
            </w:pPr>
            <w:r>
              <w:rPr>
                <w:rFonts w:ascii="Arial" w:cs="Arial" w:eastAsia="Arial" w:hAnsi="Arial"/>
                <w:sz w:val="15"/>
                <w:szCs w:val="15"/>
                <w:color w:val="auto"/>
              </w:rPr>
              <w:t>Southfield, Michigan 48033</w:t>
            </w:r>
          </w:p>
        </w:tc>
      </w:tr>
      <w:tr>
        <w:trPr>
          <w:trHeight w:val="297"/>
        </w:trPr>
        <w:tc>
          <w:tcPr>
            <w:tcW w:w="2120" w:type="dxa"/>
            <w:vAlign w:val="bottom"/>
          </w:tcPr>
          <w:p>
            <w:pPr>
              <w:spacing w:after="0"/>
              <w:rPr>
                <w:sz w:val="20"/>
                <w:szCs w:val="20"/>
                <w:color w:val="auto"/>
              </w:rPr>
            </w:pPr>
            <w:r>
              <w:rPr>
                <w:rFonts w:ascii="Arial" w:cs="Arial" w:eastAsia="Arial" w:hAnsi="Arial"/>
                <w:sz w:val="16"/>
                <w:szCs w:val="16"/>
                <w:b w:val="1"/>
                <w:bCs w:val="1"/>
                <w:i w:val="1"/>
                <w:iCs w:val="1"/>
                <w:color w:val="auto"/>
              </w:rPr>
              <w:t>Record Date:</w:t>
            </w: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rPr>
              <w:t>March 21, 2019</w:t>
            </w:r>
          </w:p>
        </w:tc>
      </w:tr>
      <w:tr>
        <w:trPr>
          <w:trHeight w:val="287"/>
        </w:trPr>
        <w:tc>
          <w:tcPr>
            <w:tcW w:w="2120" w:type="dxa"/>
            <w:vAlign w:val="bottom"/>
          </w:tcPr>
          <w:p>
            <w:pPr>
              <w:spacing w:after="0"/>
              <w:rPr>
                <w:sz w:val="20"/>
                <w:szCs w:val="20"/>
                <w:color w:val="auto"/>
              </w:rPr>
            </w:pPr>
            <w:r>
              <w:rPr>
                <w:rFonts w:ascii="Arial" w:cs="Arial" w:eastAsia="Arial" w:hAnsi="Arial"/>
                <w:sz w:val="16"/>
                <w:szCs w:val="16"/>
                <w:b w:val="1"/>
                <w:bCs w:val="1"/>
                <w:i w:val="1"/>
                <w:iCs w:val="1"/>
                <w:color w:val="auto"/>
              </w:rPr>
              <w:t>Items of Business:</w:t>
            </w:r>
          </w:p>
        </w:tc>
        <w:tc>
          <w:tcPr>
            <w:tcW w:w="940" w:type="dxa"/>
            <w:vAlign w:val="bottom"/>
          </w:tcPr>
          <w:p>
            <w:pPr>
              <w:ind w:left="720"/>
              <w:spacing w:after="0"/>
              <w:rPr>
                <w:sz w:val="20"/>
                <w:szCs w:val="20"/>
                <w:color w:val="auto"/>
              </w:rPr>
            </w:pPr>
            <w:r>
              <w:rPr>
                <w:rFonts w:ascii="Arial" w:cs="Arial" w:eastAsia="Arial" w:hAnsi="Arial"/>
                <w:sz w:val="16"/>
                <w:szCs w:val="16"/>
                <w:color w:val="auto"/>
              </w:rPr>
              <w:t>1.</w:t>
            </w:r>
          </w:p>
        </w:tc>
        <w:tc>
          <w:tcPr>
            <w:tcW w:w="7800" w:type="dxa"/>
            <w:vAlign w:val="bottom"/>
          </w:tcPr>
          <w:p>
            <w:pPr>
              <w:ind w:left="80"/>
              <w:spacing w:after="0"/>
              <w:rPr>
                <w:sz w:val="20"/>
                <w:szCs w:val="20"/>
                <w:color w:val="auto"/>
              </w:rPr>
            </w:pPr>
            <w:r>
              <w:rPr>
                <w:rFonts w:ascii="Arial" w:cs="Arial" w:eastAsia="Arial" w:hAnsi="Arial"/>
                <w:sz w:val="16"/>
                <w:szCs w:val="16"/>
                <w:color w:val="auto"/>
                <w:w w:val="98"/>
              </w:rPr>
              <w:t>To elect the following nine nominees to the Board of Directors: Thomas P. Capo, Mei-Wei Cheng, Jonathan F.</w:t>
            </w:r>
          </w:p>
        </w:tc>
      </w:tr>
      <w:tr>
        <w:trPr>
          <w:trHeight w:val="186"/>
        </w:trPr>
        <w:tc>
          <w:tcPr>
            <w:tcW w:w="2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0" w:type="dxa"/>
            <w:vAlign w:val="bottom"/>
          </w:tcPr>
          <w:p>
            <w:pPr>
              <w:ind w:left="100"/>
              <w:spacing w:after="0"/>
              <w:rPr>
                <w:sz w:val="20"/>
                <w:szCs w:val="20"/>
                <w:color w:val="auto"/>
              </w:rPr>
            </w:pPr>
            <w:r>
              <w:rPr>
                <w:rFonts w:ascii="Arial" w:cs="Arial" w:eastAsia="Arial" w:hAnsi="Arial"/>
                <w:sz w:val="16"/>
                <w:szCs w:val="16"/>
                <w:color w:val="auto"/>
              </w:rPr>
              <w:t>Foster, Mary Lou Jepsen, Kathleen A. Ligocki, Conrad L. Mallett, Jr., Raymond E. Scott, Gregory C. Smith</w:t>
            </w:r>
          </w:p>
        </w:tc>
      </w:tr>
      <w:tr>
        <w:trPr>
          <w:trHeight w:val="186"/>
        </w:trPr>
        <w:tc>
          <w:tcPr>
            <w:tcW w:w="2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0" w:type="dxa"/>
            <w:vAlign w:val="bottom"/>
          </w:tcPr>
          <w:p>
            <w:pPr>
              <w:ind w:left="100"/>
              <w:spacing w:after="0"/>
              <w:rPr>
                <w:sz w:val="20"/>
                <w:szCs w:val="20"/>
                <w:color w:val="auto"/>
              </w:rPr>
            </w:pPr>
            <w:r>
              <w:rPr>
                <w:rFonts w:ascii="Arial" w:cs="Arial" w:eastAsia="Arial" w:hAnsi="Arial"/>
                <w:sz w:val="16"/>
                <w:szCs w:val="16"/>
                <w:color w:val="auto"/>
              </w:rPr>
              <w:t>and Henry D.G. Wallace;</w:t>
            </w:r>
          </w:p>
        </w:tc>
      </w:tr>
      <w:tr>
        <w:trPr>
          <w:trHeight w:val="186"/>
        </w:trPr>
        <w:tc>
          <w:tcPr>
            <w:tcW w:w="212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2.</w:t>
            </w:r>
          </w:p>
        </w:tc>
        <w:tc>
          <w:tcPr>
            <w:tcW w:w="7800" w:type="dxa"/>
            <w:vAlign w:val="bottom"/>
          </w:tcPr>
          <w:p>
            <w:pPr>
              <w:ind w:left="80"/>
              <w:spacing w:after="0"/>
              <w:rPr>
                <w:sz w:val="20"/>
                <w:szCs w:val="20"/>
                <w:color w:val="auto"/>
              </w:rPr>
            </w:pPr>
            <w:r>
              <w:rPr>
                <w:rFonts w:ascii="Arial" w:cs="Arial" w:eastAsia="Arial" w:hAnsi="Arial"/>
                <w:sz w:val="16"/>
                <w:szCs w:val="16"/>
                <w:color w:val="auto"/>
              </w:rPr>
              <w:t>To ratify the retention of Ernst &amp; Young LLP as the Company’s registered public accounting firm for 2019;</w:t>
            </w:r>
          </w:p>
        </w:tc>
      </w:tr>
      <w:tr>
        <w:trPr>
          <w:trHeight w:val="186"/>
        </w:trPr>
        <w:tc>
          <w:tcPr>
            <w:tcW w:w="212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3.</w:t>
            </w:r>
          </w:p>
        </w:tc>
        <w:tc>
          <w:tcPr>
            <w:tcW w:w="7800" w:type="dxa"/>
            <w:vAlign w:val="bottom"/>
          </w:tcPr>
          <w:p>
            <w:pPr>
              <w:ind w:left="80"/>
              <w:spacing w:after="0"/>
              <w:rPr>
                <w:sz w:val="20"/>
                <w:szCs w:val="20"/>
                <w:color w:val="auto"/>
              </w:rPr>
            </w:pPr>
            <w:r>
              <w:rPr>
                <w:rFonts w:ascii="Arial" w:cs="Arial" w:eastAsia="Arial" w:hAnsi="Arial"/>
                <w:sz w:val="16"/>
                <w:szCs w:val="16"/>
                <w:color w:val="auto"/>
              </w:rPr>
              <w:t>To approve, in a non-binding advisory vote, executive compensation;</w:t>
            </w:r>
          </w:p>
        </w:tc>
      </w:tr>
      <w:tr>
        <w:trPr>
          <w:trHeight w:val="186"/>
        </w:trPr>
        <w:tc>
          <w:tcPr>
            <w:tcW w:w="212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4.</w:t>
            </w:r>
          </w:p>
        </w:tc>
        <w:tc>
          <w:tcPr>
            <w:tcW w:w="7800" w:type="dxa"/>
            <w:vAlign w:val="bottom"/>
          </w:tcPr>
          <w:p>
            <w:pPr>
              <w:ind w:left="80"/>
              <w:spacing w:after="0"/>
              <w:rPr>
                <w:sz w:val="20"/>
                <w:szCs w:val="20"/>
                <w:color w:val="auto"/>
              </w:rPr>
            </w:pPr>
            <w:r>
              <w:rPr>
                <w:rFonts w:ascii="Arial" w:cs="Arial" w:eastAsia="Arial" w:hAnsi="Arial"/>
                <w:sz w:val="16"/>
                <w:szCs w:val="16"/>
                <w:color w:val="auto"/>
              </w:rPr>
              <w:t>To approve the Lear Corporation 2019 Long-Term Stock Incentive Plan (the “2019 LTSIP”); and</w:t>
            </w:r>
          </w:p>
        </w:tc>
      </w:tr>
      <w:tr>
        <w:trPr>
          <w:trHeight w:val="193"/>
        </w:trPr>
        <w:tc>
          <w:tcPr>
            <w:tcW w:w="212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5.</w:t>
            </w:r>
          </w:p>
        </w:tc>
        <w:tc>
          <w:tcPr>
            <w:tcW w:w="7800" w:type="dxa"/>
            <w:vAlign w:val="bottom"/>
          </w:tcPr>
          <w:p>
            <w:pPr>
              <w:ind w:left="80"/>
              <w:spacing w:after="0"/>
              <w:rPr>
                <w:sz w:val="20"/>
                <w:szCs w:val="20"/>
                <w:color w:val="auto"/>
              </w:rPr>
            </w:pPr>
            <w:r>
              <w:rPr>
                <w:rFonts w:ascii="Arial" w:cs="Arial" w:eastAsia="Arial" w:hAnsi="Arial"/>
                <w:sz w:val="16"/>
                <w:szCs w:val="16"/>
                <w:color w:val="auto"/>
              </w:rPr>
              <w:t>To conduct any other business properly brought before the Annual Meeting or any postponement thereof.</w:t>
            </w:r>
          </w:p>
        </w:tc>
      </w:tr>
      <w:tr>
        <w:trPr>
          <w:trHeight w:val="280"/>
        </w:trPr>
        <w:tc>
          <w:tcPr>
            <w:tcW w:w="2120" w:type="dxa"/>
            <w:vAlign w:val="bottom"/>
          </w:tcPr>
          <w:p>
            <w:pPr>
              <w:spacing w:after="0"/>
              <w:rPr>
                <w:sz w:val="20"/>
                <w:szCs w:val="20"/>
                <w:color w:val="auto"/>
              </w:rPr>
            </w:pPr>
            <w:r>
              <w:rPr>
                <w:rFonts w:ascii="Arial" w:cs="Arial" w:eastAsia="Arial" w:hAnsi="Arial"/>
                <w:sz w:val="16"/>
                <w:szCs w:val="16"/>
                <w:b w:val="1"/>
                <w:bCs w:val="1"/>
                <w:i w:val="1"/>
                <w:iCs w:val="1"/>
                <w:color w:val="auto"/>
              </w:rPr>
              <w:t>Proxy Voting:</w:t>
            </w:r>
          </w:p>
        </w:tc>
        <w:tc>
          <w:tcPr>
            <w:tcW w:w="8740" w:type="dxa"/>
            <w:vAlign w:val="bottom"/>
            <w:gridSpan w:val="2"/>
          </w:tcPr>
          <w:p>
            <w:pPr>
              <w:ind w:left="720"/>
              <w:spacing w:after="0"/>
              <w:rPr>
                <w:sz w:val="20"/>
                <w:szCs w:val="20"/>
                <w:color w:val="auto"/>
              </w:rPr>
            </w:pPr>
            <w:r>
              <w:rPr>
                <w:rFonts w:ascii="Arial" w:cs="Arial" w:eastAsia="Arial" w:hAnsi="Arial"/>
                <w:sz w:val="16"/>
                <w:szCs w:val="16"/>
                <w:b w:val="1"/>
                <w:bCs w:val="1"/>
                <w:color w:val="auto"/>
              </w:rPr>
              <w:t>YOUR VOTE IS IMPORTANT. WHETHER OR NOT YOU PLAN TO ATTEND THE ANNUAL MEETING,</w:t>
            </w:r>
          </w:p>
        </w:tc>
      </w:tr>
      <w:tr>
        <w:trPr>
          <w:trHeight w:val="186"/>
        </w:trPr>
        <w:tc>
          <w:tcPr>
            <w:tcW w:w="2120" w:type="dxa"/>
            <w:vAlign w:val="bottom"/>
          </w:tcPr>
          <w:p>
            <w:pPr>
              <w:spacing w:after="0"/>
              <w:rPr>
                <w:sz w:val="16"/>
                <w:szCs w:val="16"/>
                <w:color w:val="auto"/>
              </w:rPr>
            </w:pPr>
          </w:p>
        </w:tc>
        <w:tc>
          <w:tcPr>
            <w:tcW w:w="8740" w:type="dxa"/>
            <w:vAlign w:val="bottom"/>
            <w:gridSpan w:val="2"/>
          </w:tcPr>
          <w:p>
            <w:pPr>
              <w:ind w:left="720"/>
              <w:spacing w:after="0"/>
              <w:rPr>
                <w:sz w:val="20"/>
                <w:szCs w:val="20"/>
                <w:color w:val="auto"/>
              </w:rPr>
            </w:pPr>
            <w:r>
              <w:rPr>
                <w:rFonts w:ascii="Arial" w:cs="Arial" w:eastAsia="Arial" w:hAnsi="Arial"/>
                <w:sz w:val="16"/>
                <w:szCs w:val="16"/>
                <w:b w:val="1"/>
                <w:bCs w:val="1"/>
                <w:color w:val="auto"/>
              </w:rPr>
              <w:t>PLEASE VOTE YOUR SHARES OVER THE TELEPHONE, VIA THE INTERNET OR BY COMPLETING,</w:t>
            </w:r>
          </w:p>
        </w:tc>
      </w:tr>
      <w:tr>
        <w:trPr>
          <w:trHeight w:val="186"/>
        </w:trPr>
        <w:tc>
          <w:tcPr>
            <w:tcW w:w="2120" w:type="dxa"/>
            <w:vAlign w:val="bottom"/>
          </w:tcPr>
          <w:p>
            <w:pPr>
              <w:spacing w:after="0"/>
              <w:rPr>
                <w:sz w:val="16"/>
                <w:szCs w:val="16"/>
                <w:color w:val="auto"/>
              </w:rPr>
            </w:pPr>
          </w:p>
        </w:tc>
        <w:tc>
          <w:tcPr>
            <w:tcW w:w="8740" w:type="dxa"/>
            <w:vAlign w:val="bottom"/>
            <w:gridSpan w:val="2"/>
          </w:tcPr>
          <w:p>
            <w:pPr>
              <w:ind w:left="720"/>
              <w:spacing w:after="0"/>
              <w:rPr>
                <w:sz w:val="20"/>
                <w:szCs w:val="20"/>
                <w:color w:val="auto"/>
              </w:rPr>
            </w:pPr>
            <w:r>
              <w:rPr>
                <w:rFonts w:ascii="Arial" w:cs="Arial" w:eastAsia="Arial" w:hAnsi="Arial"/>
                <w:sz w:val="16"/>
                <w:szCs w:val="16"/>
                <w:b w:val="1"/>
                <w:bCs w:val="1"/>
                <w:color w:val="auto"/>
                <w:w w:val="98"/>
              </w:rPr>
              <w:t>DATING, SIGNING AND RETURNING A PROXY CARD, AS DESCRIBED IN THE PROXY STATEMENT. YOUR</w:t>
            </w:r>
          </w:p>
        </w:tc>
      </w:tr>
      <w:tr>
        <w:trPr>
          <w:trHeight w:val="213"/>
        </w:trPr>
        <w:tc>
          <w:tcPr>
            <w:tcW w:w="2120" w:type="dxa"/>
            <w:vAlign w:val="bottom"/>
          </w:tcPr>
          <w:p>
            <w:pPr>
              <w:spacing w:after="0"/>
              <w:rPr>
                <w:sz w:val="18"/>
                <w:szCs w:val="18"/>
                <w:color w:val="auto"/>
              </w:rPr>
            </w:pPr>
          </w:p>
        </w:tc>
        <w:tc>
          <w:tcPr>
            <w:tcW w:w="8740" w:type="dxa"/>
            <w:vAlign w:val="bottom"/>
            <w:gridSpan w:val="2"/>
          </w:tcPr>
          <w:p>
            <w:pPr>
              <w:ind w:left="720"/>
              <w:spacing w:after="0"/>
              <w:rPr>
                <w:sz w:val="20"/>
                <w:szCs w:val="20"/>
                <w:color w:val="auto"/>
              </w:rPr>
            </w:pPr>
            <w:r>
              <w:rPr>
                <w:rFonts w:ascii="Arial" w:cs="Arial" w:eastAsia="Arial" w:hAnsi="Arial"/>
                <w:sz w:val="16"/>
                <w:szCs w:val="16"/>
                <w:b w:val="1"/>
                <w:bCs w:val="1"/>
                <w:color w:val="auto"/>
              </w:rPr>
              <w:t>PROMPT COOPERATION IS GREATLY APPRECIATED.</w:t>
            </w:r>
          </w:p>
        </w:tc>
      </w:tr>
    </w:tbl>
    <w:p>
      <w:pPr>
        <w:spacing w:after="0" w:line="234"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3979545</wp:posOffset>
            </wp:positionH>
            <wp:positionV relativeFrom="paragraph">
              <wp:posOffset>110490</wp:posOffset>
            </wp:positionV>
            <wp:extent cx="1776095" cy="481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76095" cy="481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Terrence B. Larkin</w:t>
      </w:r>
    </w:p>
    <w:p>
      <w:pPr>
        <w:spacing w:after="0" w:line="2" w:lineRule="exact"/>
        <w:rPr>
          <w:sz w:val="20"/>
          <w:szCs w:val="20"/>
          <w:color w:val="auto"/>
        </w:rPr>
      </w:pPr>
    </w:p>
    <w:p>
      <w:pPr>
        <w:ind w:left="6260"/>
        <w:spacing w:after="0"/>
        <w:rPr>
          <w:sz w:val="20"/>
          <w:szCs w:val="20"/>
          <w:color w:val="auto"/>
        </w:rPr>
      </w:pPr>
      <w:r>
        <w:rPr>
          <w:rFonts w:ascii="Arial" w:cs="Arial" w:eastAsia="Arial" w:hAnsi="Arial"/>
          <w:sz w:val="16"/>
          <w:szCs w:val="16"/>
          <w:i w:val="1"/>
          <w:iCs w:val="1"/>
          <w:color w:val="auto"/>
        </w:rPr>
        <w:t>Executive Vice President, Business Development,</w:t>
      </w:r>
    </w:p>
    <w:p>
      <w:pPr>
        <w:spacing w:after="0" w:line="2" w:lineRule="exact"/>
        <w:rPr>
          <w:sz w:val="20"/>
          <w:szCs w:val="20"/>
          <w:color w:val="auto"/>
        </w:rPr>
      </w:pPr>
    </w:p>
    <w:p>
      <w:pPr>
        <w:ind w:left="6260"/>
        <w:spacing w:after="0"/>
        <w:rPr>
          <w:sz w:val="20"/>
          <w:szCs w:val="20"/>
          <w:color w:val="auto"/>
        </w:rPr>
      </w:pPr>
      <w:r>
        <w:rPr>
          <w:rFonts w:ascii="Arial" w:cs="Arial" w:eastAsia="Arial" w:hAnsi="Arial"/>
          <w:sz w:val="16"/>
          <w:szCs w:val="16"/>
          <w:i w:val="1"/>
          <w:iCs w:val="1"/>
          <w:color w:val="auto"/>
        </w:rPr>
        <w:t>General Counsel and Corporate Secretary</w:t>
      </w:r>
    </w:p>
    <w:p>
      <w:pPr>
        <w:spacing w:after="0" w:line="2" w:lineRule="exact"/>
        <w:rPr>
          <w:sz w:val="20"/>
          <w:szCs w:val="20"/>
          <w:color w:val="auto"/>
        </w:rPr>
      </w:pPr>
    </w:p>
    <w:p>
      <w:pPr>
        <w:ind w:left="6260"/>
        <w:spacing w:after="0"/>
        <w:rPr>
          <w:sz w:val="20"/>
          <w:szCs w:val="20"/>
          <w:color w:val="auto"/>
        </w:rPr>
      </w:pPr>
      <w:r>
        <w:rPr>
          <w:rFonts w:ascii="Arial" w:cs="Arial" w:eastAsia="Arial" w:hAnsi="Arial"/>
          <w:sz w:val="16"/>
          <w:szCs w:val="16"/>
          <w:b w:val="1"/>
          <w:bCs w:val="1"/>
          <w:color w:val="auto"/>
        </w:rPr>
        <w:t>March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158750</wp:posOffset>
            </wp:positionV>
            <wp:extent cx="6905625" cy="739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05625" cy="739775"/>
                    </a:xfrm>
                    <a:prstGeom prst="rect">
                      <a:avLst/>
                    </a:prstGeom>
                    <a:noFill/>
                  </pic:spPr>
                </pic:pic>
              </a:graphicData>
            </a:graphic>
          </wp:anchor>
        </w:drawing>
      </w:r>
    </w:p>
    <w:p>
      <w:pPr>
        <w:spacing w:after="0" w:line="269"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Notice of Internet Availability of Proxy Materials</w:t>
      </w:r>
    </w:p>
    <w:p>
      <w:pPr>
        <w:spacing w:after="0" w:line="129" w:lineRule="exact"/>
        <w:rPr>
          <w:sz w:val="20"/>
          <w:szCs w:val="20"/>
          <w:color w:val="auto"/>
        </w:rPr>
      </w:pPr>
    </w:p>
    <w:p>
      <w:pPr>
        <w:ind w:left="400" w:right="120"/>
        <w:spacing w:after="0" w:line="268" w:lineRule="auto"/>
        <w:rPr>
          <w:sz w:val="20"/>
          <w:szCs w:val="20"/>
          <w:color w:val="auto"/>
        </w:rPr>
      </w:pPr>
      <w:r>
        <w:rPr>
          <w:rFonts w:ascii="Arial" w:cs="Arial" w:eastAsia="Arial" w:hAnsi="Arial"/>
          <w:sz w:val="15"/>
          <w:szCs w:val="15"/>
          <w:color w:val="auto"/>
        </w:rPr>
        <w:t>We are making this proxy statement and our annual report available to stockholders electronically via the Internet. On or about March 29, 2019, we will mail to most of our stockholders a notice containing instructions on how to access this proxy statement and our annual report and to vote via the Internet or by telephone. Other stockholders, in accordance with their prior requests, will receive e-mail notification of how to access our proxy materials and vote via the Internet or by telephone, or will be mailed paper copies of our proxy materials and a proxy card on or about March 29, 2019.</w:t>
      </w:r>
    </w:p>
    <w:p>
      <w:pPr>
        <w:sectPr>
          <w:pgSz w:w="11900" w:h="16838" w:orient="portrait"/>
          <w:cols w:equalWidth="0" w:num="1">
            <w:col w:w="11140"/>
          </w:cols>
          <w:pgMar w:left="240" w:top="455" w:right="51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240030</wp:posOffset>
            </wp:positionV>
            <wp:extent cx="69018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01815" cy="1714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E2231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80" w:type="dxa"/>
        <w:tblCellMar>
          <w:top w:w="0" w:type="dxa"/>
          <w:left w:w="0" w:type="dxa"/>
          <w:bottom w:w="0" w:type="dxa"/>
          <w:right w:w="0" w:type="dxa"/>
        </w:tblCellMar>
      </w:tblPr>
      <w:tr>
        <w:trPr>
          <w:trHeight w:val="218"/>
        </w:trPr>
        <w:tc>
          <w:tcPr>
            <w:tcW w:w="4640" w:type="dxa"/>
            <w:vAlign w:val="bottom"/>
            <w:gridSpan w:val="28"/>
          </w:tcPr>
          <w:p>
            <w:pPr>
              <w:spacing w:after="0"/>
              <w:rPr>
                <w:rFonts w:ascii="Arial" w:cs="Arial" w:eastAsia="Arial" w:hAnsi="Arial"/>
                <w:sz w:val="19"/>
                <w:szCs w:val="19"/>
                <w:b w:val="1"/>
                <w:bCs w:val="1"/>
                <w:color w:val="0000EE"/>
              </w:rPr>
            </w:pPr>
            <w:hyperlink w:anchor="page6">
              <w:r>
                <w:rPr>
                  <w:rFonts w:ascii="Arial" w:cs="Arial" w:eastAsia="Arial" w:hAnsi="Arial"/>
                  <w:sz w:val="19"/>
                  <w:szCs w:val="19"/>
                  <w:b w:val="1"/>
                  <w:bCs w:val="1"/>
                  <w:color w:val="0000EE"/>
                </w:rPr>
                <w:t>2019 PROXY STATEMENT SUMMARY</w:t>
              </w:r>
            </w:hyperlink>
          </w:p>
        </w:tc>
        <w:tc>
          <w:tcPr>
            <w:tcW w:w="580" w:type="dxa"/>
            <w:vAlign w:val="bottom"/>
          </w:tcPr>
          <w:p>
            <w:pPr>
              <w:jc w:val="right"/>
              <w:ind w:right="70"/>
              <w:spacing w:after="0"/>
              <w:rPr>
                <w:sz w:val="20"/>
                <w:szCs w:val="20"/>
                <w:color w:val="auto"/>
              </w:rPr>
            </w:pPr>
            <w:r>
              <w:rPr>
                <w:rFonts w:ascii="Arial" w:cs="Arial" w:eastAsia="Arial" w:hAnsi="Arial"/>
                <w:sz w:val="19"/>
                <w:szCs w:val="19"/>
                <w:b w:val="1"/>
                <w:bCs w:val="1"/>
                <w:color w:val="auto"/>
              </w:rPr>
              <w:t>1</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960" w:type="dxa"/>
            <w:vAlign w:val="bottom"/>
            <w:tcBorders>
              <w:bottom w:val="single" w:sz="8" w:color="0000EE"/>
            </w:tcBorders>
            <w:gridSpan w:val="16"/>
          </w:tcPr>
          <w:p>
            <w:pPr>
              <w:spacing w:after="0" w:line="166" w:lineRule="exact"/>
              <w:rPr>
                <w:sz w:val="20"/>
                <w:szCs w:val="20"/>
                <w:color w:val="auto"/>
              </w:rPr>
            </w:pPr>
            <w:r>
              <w:rPr>
                <w:rFonts w:ascii="Arial" w:cs="Arial" w:eastAsia="Arial" w:hAnsi="Arial"/>
                <w:sz w:val="18"/>
                <w:szCs w:val="18"/>
                <w:color w:val="0000EE"/>
                <w:w w:val="98"/>
              </w:rPr>
              <w:t>2019 Annual Meeting of Stockholders</w:t>
            </w:r>
          </w:p>
        </w:tc>
        <w:tc>
          <w:tcPr>
            <w:tcW w:w="1680" w:type="dxa"/>
            <w:vAlign w:val="bottom"/>
            <w:gridSpan w:val="12"/>
          </w:tcPr>
          <w:p>
            <w:pPr>
              <w:spacing w:after="0"/>
              <w:rPr>
                <w:sz w:val="14"/>
                <w:szCs w:val="14"/>
                <w:color w:val="auto"/>
              </w:rPr>
            </w:pPr>
          </w:p>
        </w:tc>
        <w:tc>
          <w:tcPr>
            <w:tcW w:w="580" w:type="dxa"/>
            <w:vAlign w:val="bottom"/>
          </w:tcPr>
          <w:p>
            <w:pPr>
              <w:jc w:val="right"/>
              <w:ind w:right="70"/>
              <w:spacing w:after="0" w:line="16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6"/>
        </w:trPr>
        <w:tc>
          <w:tcPr>
            <w:tcW w:w="164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Items to be Voted on</w:t>
              </w:r>
            </w:hyperlink>
          </w:p>
        </w:tc>
        <w:tc>
          <w:tcPr>
            <w:tcW w:w="3000" w:type="dxa"/>
            <w:vAlign w:val="bottom"/>
            <w:gridSpan w:val="24"/>
          </w:tcPr>
          <w:p>
            <w:pPr>
              <w:spacing w:after="0"/>
              <w:rPr>
                <w:sz w:val="17"/>
                <w:szCs w:val="17"/>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6"/>
        </w:trPr>
        <w:tc>
          <w:tcPr>
            <w:tcW w:w="148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Director Nominees</w:t>
              </w:r>
            </w:hyperlink>
          </w:p>
        </w:tc>
        <w:tc>
          <w:tcPr>
            <w:tcW w:w="3160" w:type="dxa"/>
            <w:vAlign w:val="bottom"/>
            <w:gridSpan w:val="25"/>
          </w:tcPr>
          <w:p>
            <w:pPr>
              <w:spacing w:after="0"/>
              <w:rPr>
                <w:sz w:val="17"/>
                <w:szCs w:val="17"/>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6"/>
        </w:trPr>
        <w:tc>
          <w:tcPr>
            <w:tcW w:w="4640" w:type="dxa"/>
            <w:vAlign w:val="bottom"/>
            <w:gridSpan w:val="2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2018 Performance and Business Highlights</w:t>
              </w:r>
            </w:hyperlink>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6"/>
        </w:trPr>
        <w:tc>
          <w:tcPr>
            <w:tcW w:w="28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8"/>
              </w:rPr>
            </w:pPr>
            <w:hyperlink w:anchor="page9">
              <w:r>
                <w:rPr>
                  <w:rFonts w:ascii="Arial" w:cs="Arial" w:eastAsia="Arial" w:hAnsi="Arial"/>
                  <w:sz w:val="18"/>
                  <w:szCs w:val="18"/>
                  <w:color w:val="0000EE"/>
                  <w:w w:val="98"/>
                </w:rPr>
                <w:t>Executive Compensation Highlights</w:t>
              </w:r>
            </w:hyperlink>
          </w:p>
        </w:tc>
        <w:tc>
          <w:tcPr>
            <w:tcW w:w="600" w:type="dxa"/>
            <w:vAlign w:val="bottom"/>
            <w:tcBorders>
              <w:top w:val="single" w:sz="8" w:color="0000EE"/>
            </w:tcBorders>
            <w:gridSpan w:val="4"/>
          </w:tcPr>
          <w:p>
            <w:pPr>
              <w:spacing w:after="0"/>
              <w:rPr>
                <w:sz w:val="17"/>
                <w:szCs w:val="17"/>
                <w:color w:val="auto"/>
              </w:rPr>
            </w:pPr>
          </w:p>
        </w:tc>
        <w:tc>
          <w:tcPr>
            <w:tcW w:w="1240" w:type="dxa"/>
            <w:vAlign w:val="bottom"/>
            <w:gridSpan w:val="9"/>
          </w:tcPr>
          <w:p>
            <w:pPr>
              <w:spacing w:after="0"/>
              <w:rPr>
                <w:sz w:val="17"/>
                <w:szCs w:val="17"/>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6"/>
        </w:trPr>
        <w:tc>
          <w:tcPr>
            <w:tcW w:w="3300" w:type="dxa"/>
            <w:vAlign w:val="bottom"/>
            <w:tcBorders>
              <w:bottom w:val="single" w:sz="8" w:color="0000EE"/>
            </w:tcBorders>
            <w:gridSpan w:val="18"/>
          </w:tcPr>
          <w:p>
            <w:pPr>
              <w:spacing w:after="0"/>
              <w:rPr>
                <w:rFonts w:ascii="Arial" w:cs="Arial" w:eastAsia="Arial" w:hAnsi="Arial"/>
                <w:sz w:val="18"/>
                <w:szCs w:val="18"/>
                <w:color w:val="0000EE"/>
                <w:w w:val="98"/>
              </w:rPr>
            </w:pPr>
            <w:hyperlink w:anchor="page10">
              <w:r>
                <w:rPr>
                  <w:rFonts w:ascii="Arial" w:cs="Arial" w:eastAsia="Arial" w:hAnsi="Arial"/>
                  <w:sz w:val="18"/>
                  <w:szCs w:val="18"/>
                  <w:color w:val="0000EE"/>
                  <w:w w:val="98"/>
                </w:rPr>
                <w:t>Corporate Social Responsibility Highlights</w:t>
              </w:r>
            </w:hyperlink>
          </w:p>
        </w:tc>
        <w:tc>
          <w:tcPr>
            <w:tcW w:w="1340" w:type="dxa"/>
            <w:vAlign w:val="bottom"/>
            <w:gridSpan w:val="10"/>
          </w:tcPr>
          <w:p>
            <w:pPr>
              <w:spacing w:after="0"/>
              <w:rPr>
                <w:sz w:val="17"/>
                <w:szCs w:val="17"/>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6"/>
        </w:trPr>
        <w:tc>
          <w:tcPr>
            <w:tcW w:w="2640" w:type="dxa"/>
            <w:vAlign w:val="bottom"/>
            <w:tcBorders>
              <w:bottom w:val="single" w:sz="8" w:color="0000EE"/>
            </w:tcBorders>
            <w:gridSpan w:val="14"/>
          </w:tcPr>
          <w:p>
            <w:pPr>
              <w:spacing w:after="0"/>
              <w:rPr>
                <w:rFonts w:ascii="Arial" w:cs="Arial" w:eastAsia="Arial" w:hAnsi="Arial"/>
                <w:sz w:val="18"/>
                <w:szCs w:val="18"/>
                <w:color w:val="0000EE"/>
                <w:w w:val="98"/>
              </w:rPr>
            </w:pPr>
            <w:hyperlink w:anchor="page10">
              <w:r>
                <w:rPr>
                  <w:rFonts w:ascii="Arial" w:cs="Arial" w:eastAsia="Arial" w:hAnsi="Arial"/>
                  <w:sz w:val="18"/>
                  <w:szCs w:val="18"/>
                  <w:color w:val="0000EE"/>
                  <w:w w:val="98"/>
                </w:rPr>
                <w:t>Corporate Governance Highlights</w:t>
              </w:r>
            </w:hyperlink>
          </w:p>
        </w:tc>
        <w:tc>
          <w:tcPr>
            <w:tcW w:w="2000" w:type="dxa"/>
            <w:vAlign w:val="bottom"/>
            <w:gridSpan w:val="14"/>
          </w:tcPr>
          <w:p>
            <w:pPr>
              <w:spacing w:after="0"/>
              <w:rPr>
                <w:sz w:val="17"/>
                <w:szCs w:val="17"/>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66"/>
        </w:trPr>
        <w:tc>
          <w:tcPr>
            <w:tcW w:w="4640" w:type="dxa"/>
            <w:vAlign w:val="bottom"/>
            <w:gridSpan w:val="28"/>
          </w:tcPr>
          <w:p>
            <w:pPr>
              <w:spacing w:after="0"/>
              <w:rPr>
                <w:rFonts w:ascii="Arial" w:cs="Arial" w:eastAsia="Arial" w:hAnsi="Arial"/>
                <w:sz w:val="19"/>
                <w:szCs w:val="19"/>
                <w:b w:val="1"/>
                <w:bCs w:val="1"/>
                <w:color w:val="0000EE"/>
              </w:rPr>
            </w:pPr>
            <w:hyperlink w:anchor="page11">
              <w:r>
                <w:rPr>
                  <w:rFonts w:ascii="Arial" w:cs="Arial" w:eastAsia="Arial" w:hAnsi="Arial"/>
                  <w:sz w:val="19"/>
                  <w:szCs w:val="19"/>
                  <w:b w:val="1"/>
                  <w:bCs w:val="1"/>
                  <w:color w:val="0000EE"/>
                </w:rPr>
                <w:t>ELECTION OF DIRECTORS (PROPOSAL NO. 1)</w:t>
              </w:r>
            </w:hyperlink>
          </w:p>
        </w:tc>
        <w:tc>
          <w:tcPr>
            <w:tcW w:w="580" w:type="dxa"/>
            <w:vAlign w:val="bottom"/>
          </w:tcPr>
          <w:p>
            <w:pPr>
              <w:jc w:val="right"/>
              <w:ind w:right="70"/>
              <w:spacing w:after="0"/>
              <w:rPr>
                <w:sz w:val="20"/>
                <w:szCs w:val="20"/>
                <w:color w:val="auto"/>
              </w:rPr>
            </w:pPr>
            <w:r>
              <w:rPr>
                <w:rFonts w:ascii="Arial" w:cs="Arial" w:eastAsia="Arial" w:hAnsi="Arial"/>
                <w:sz w:val="19"/>
                <w:szCs w:val="19"/>
                <w:b w:val="1"/>
                <w:bCs w:val="1"/>
                <w:color w:val="auto"/>
              </w:rPr>
              <w:t>6</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640" w:type="dxa"/>
            <w:vAlign w:val="bottom"/>
            <w:gridSpan w:val="28"/>
          </w:tcPr>
          <w:p>
            <w:pPr>
              <w:spacing w:after="0"/>
              <w:rPr>
                <w:rFonts w:ascii="Arial" w:cs="Arial" w:eastAsia="Arial" w:hAnsi="Arial"/>
                <w:sz w:val="19"/>
                <w:szCs w:val="19"/>
                <w:b w:val="1"/>
                <w:bCs w:val="1"/>
                <w:color w:val="0000EE"/>
              </w:rPr>
            </w:pPr>
            <w:hyperlink w:anchor="page12">
              <w:r>
                <w:rPr>
                  <w:rFonts w:ascii="Arial" w:cs="Arial" w:eastAsia="Arial" w:hAnsi="Arial"/>
                  <w:sz w:val="19"/>
                  <w:szCs w:val="19"/>
                  <w:b w:val="1"/>
                  <w:bCs w:val="1"/>
                  <w:color w:val="0000EE"/>
                </w:rPr>
                <w:t>DIRECTORS AND CORPORATE GOVERNANCE</w:t>
              </w:r>
            </w:hyperlink>
          </w:p>
        </w:tc>
        <w:tc>
          <w:tcPr>
            <w:tcW w:w="580" w:type="dxa"/>
            <w:vAlign w:val="bottom"/>
          </w:tcPr>
          <w:p>
            <w:pPr>
              <w:jc w:val="right"/>
              <w:ind w:right="70"/>
              <w:spacing w:after="0"/>
              <w:rPr>
                <w:sz w:val="20"/>
                <w:szCs w:val="20"/>
                <w:color w:val="auto"/>
              </w:rPr>
            </w:pPr>
            <w:r>
              <w:rPr>
                <w:rFonts w:ascii="Arial" w:cs="Arial" w:eastAsia="Arial" w:hAnsi="Arial"/>
                <w:sz w:val="19"/>
                <w:szCs w:val="19"/>
                <w:b w:val="1"/>
                <w:bCs w:val="1"/>
                <w:color w:val="auto"/>
              </w:rPr>
              <w:t>7</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640" w:type="dxa"/>
            <w:vAlign w:val="bottom"/>
            <w:gridSpan w:val="28"/>
          </w:tcPr>
          <w:p>
            <w:pPr>
              <w:spacing w:after="0" w:line="166" w:lineRule="exact"/>
              <w:rPr>
                <w:rFonts w:ascii="Arial" w:cs="Arial" w:eastAsia="Arial" w:hAnsi="Arial"/>
                <w:sz w:val="18"/>
                <w:szCs w:val="18"/>
                <w:color w:val="0000EE"/>
              </w:rPr>
            </w:pPr>
            <w:hyperlink w:anchor="page12">
              <w:r>
                <w:rPr>
                  <w:rFonts w:ascii="Arial" w:cs="Arial" w:eastAsia="Arial" w:hAnsi="Arial"/>
                  <w:sz w:val="18"/>
                  <w:szCs w:val="18"/>
                  <w:color w:val="0000EE"/>
                </w:rPr>
                <w:t>Director Biographical Information and Qualifications</w:t>
              </w:r>
            </w:hyperlink>
          </w:p>
        </w:tc>
        <w:tc>
          <w:tcPr>
            <w:tcW w:w="580" w:type="dxa"/>
            <w:vAlign w:val="bottom"/>
          </w:tcPr>
          <w:p>
            <w:pPr>
              <w:jc w:val="right"/>
              <w:ind w:right="70"/>
              <w:spacing w:after="0" w:line="16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6"/>
        </w:trPr>
        <w:tc>
          <w:tcPr>
            <w:tcW w:w="4040" w:type="dxa"/>
            <w:vAlign w:val="bottom"/>
            <w:tcBorders>
              <w:top w:val="single" w:sz="8" w:color="0000EE"/>
            </w:tcBorders>
            <w:gridSpan w:val="2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Criteria for Selection of Directors</w:t>
              </w:r>
            </w:hyperlink>
          </w:p>
        </w:tc>
        <w:tc>
          <w:tcPr>
            <w:tcW w:w="600" w:type="dxa"/>
            <w:vAlign w:val="bottom"/>
            <w:gridSpan w:val="5"/>
          </w:tcPr>
          <w:p>
            <w:pPr>
              <w:spacing w:after="0"/>
              <w:rPr>
                <w:sz w:val="17"/>
                <w:szCs w:val="17"/>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40" w:type="dxa"/>
            <w:vAlign w:val="bottom"/>
            <w:gridSpan w:val="2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Recommendation of Directors by Stockholders</w:t>
              </w:r>
            </w:hyperlink>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6"/>
        </w:trPr>
        <w:tc>
          <w:tcPr>
            <w:tcW w:w="3660" w:type="dxa"/>
            <w:vAlign w:val="bottom"/>
            <w:tcBorders>
              <w:top w:val="single" w:sz="8" w:color="0000EE"/>
            </w:tcBorders>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Independence of Directors</w:t>
              </w:r>
            </w:hyperlink>
          </w:p>
        </w:tc>
        <w:tc>
          <w:tcPr>
            <w:tcW w:w="980" w:type="dxa"/>
            <w:vAlign w:val="bottom"/>
            <w:gridSpan w:val="7"/>
          </w:tcPr>
          <w:p>
            <w:pPr>
              <w:spacing w:after="0"/>
              <w:rPr>
                <w:sz w:val="17"/>
                <w:szCs w:val="17"/>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40" w:type="dxa"/>
            <w:vAlign w:val="bottom"/>
            <w:gridSpan w:val="2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Board’s Role in Risk Oversight</w:t>
              </w:r>
            </w:hyperlink>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48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24">
              <w:r>
                <w:rPr>
                  <w:rFonts w:ascii="Arial" w:cs="Arial" w:eastAsia="Arial" w:hAnsi="Arial"/>
                  <w:sz w:val="18"/>
                  <w:szCs w:val="18"/>
                  <w:color w:val="0000EE"/>
                  <w:w w:val="98"/>
                </w:rPr>
                <w:t>Corporate Social Responsibility</w:t>
              </w:r>
            </w:hyperlink>
          </w:p>
        </w:tc>
        <w:tc>
          <w:tcPr>
            <w:tcW w:w="2160" w:type="dxa"/>
            <w:vAlign w:val="bottom"/>
            <w:gridSpan w:val="17"/>
          </w:tcPr>
          <w:p>
            <w:pPr>
              <w:spacing w:after="0"/>
              <w:rPr>
                <w:sz w:val="17"/>
                <w:szCs w:val="17"/>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6"/>
        </w:trPr>
        <w:tc>
          <w:tcPr>
            <w:tcW w:w="4640" w:type="dxa"/>
            <w:vAlign w:val="bottom"/>
            <w:gridSpan w:val="2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Corporate Governance</w:t>
              </w:r>
            </w:hyperlink>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40" w:type="dxa"/>
            <w:vAlign w:val="bottom"/>
            <w:gridSpan w:val="2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Board Information</w:t>
              </w:r>
            </w:hyperlink>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6"/>
        </w:trPr>
        <w:tc>
          <w:tcPr>
            <w:tcW w:w="18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28">
              <w:r>
                <w:rPr>
                  <w:rFonts w:ascii="Arial" w:cs="Arial" w:eastAsia="Arial" w:hAnsi="Arial"/>
                  <w:sz w:val="18"/>
                  <w:szCs w:val="18"/>
                  <w:color w:val="0000EE"/>
                  <w:w w:val="97"/>
                </w:rPr>
                <w:t>Director Compensation</w:t>
              </w:r>
            </w:hyperlink>
          </w:p>
        </w:tc>
        <w:tc>
          <w:tcPr>
            <w:tcW w:w="80" w:type="dxa"/>
            <w:vAlign w:val="bottom"/>
            <w:tcBorders>
              <w:top w:val="single" w:sz="8" w:color="0000EE"/>
            </w:tcBorders>
          </w:tcPr>
          <w:p>
            <w:pPr>
              <w:spacing w:after="0"/>
              <w:rPr>
                <w:sz w:val="17"/>
                <w:szCs w:val="17"/>
                <w:color w:val="auto"/>
              </w:rPr>
            </w:pPr>
          </w:p>
        </w:tc>
        <w:tc>
          <w:tcPr>
            <w:tcW w:w="2740" w:type="dxa"/>
            <w:vAlign w:val="bottom"/>
            <w:gridSpan w:val="21"/>
          </w:tcPr>
          <w:p>
            <w:pPr>
              <w:spacing w:after="0"/>
              <w:rPr>
                <w:sz w:val="17"/>
                <w:szCs w:val="17"/>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6"/>
        </w:trPr>
        <w:tc>
          <w:tcPr>
            <w:tcW w:w="4640" w:type="dxa"/>
            <w:vAlign w:val="bottom"/>
            <w:gridSpan w:val="2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Summary of 2018 Director Compensation</w:t>
              </w:r>
            </w:hyperlink>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900" w:type="dxa"/>
            <w:vAlign w:val="bottom"/>
            <w:tcBorders>
              <w:bottom w:val="single" w:sz="8" w:color="0000EE"/>
            </w:tcBorders>
            <w:gridSpan w:val="22"/>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Security Ownership of Certain Beneficial Owners,</w:t>
              </w:r>
            </w:hyperlink>
          </w:p>
        </w:tc>
        <w:tc>
          <w:tcPr>
            <w:tcW w:w="74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4440" w:type="dxa"/>
            <w:vAlign w:val="bottom"/>
            <w:gridSpan w:val="27"/>
          </w:tcPr>
          <w:p>
            <w:pPr>
              <w:spacing w:after="0" w:line="180" w:lineRule="exact"/>
              <w:rPr>
                <w:rFonts w:ascii="Arial" w:cs="Arial" w:eastAsia="Arial" w:hAnsi="Arial"/>
                <w:sz w:val="18"/>
                <w:szCs w:val="18"/>
                <w:color w:val="0000EE"/>
              </w:rPr>
            </w:pPr>
            <w:hyperlink w:anchor="page30">
              <w:r>
                <w:rPr>
                  <w:rFonts w:ascii="Arial" w:cs="Arial" w:eastAsia="Arial" w:hAnsi="Arial"/>
                  <w:sz w:val="18"/>
                  <w:szCs w:val="18"/>
                  <w:color w:val="0000EE"/>
                </w:rPr>
                <w:t>Directors and Management</w:t>
              </w:r>
            </w:hyperlink>
          </w:p>
        </w:tc>
        <w:tc>
          <w:tcPr>
            <w:tcW w:w="580" w:type="dxa"/>
            <w:vAlign w:val="bottom"/>
          </w:tcPr>
          <w:p>
            <w:pPr>
              <w:jc w:val="right"/>
              <w:ind w:right="70"/>
              <w:spacing w:after="0" w:line="180"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600" w:type="dxa"/>
            <w:vAlign w:val="bottom"/>
            <w:tcBorders>
              <w:bottom w:val="single" w:sz="8" w:color="0000EE"/>
            </w:tcBorders>
            <w:gridSpan w:val="20"/>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Section 16(a) Beneficial Ownership Reporting</w:t>
              </w:r>
            </w:hyperlink>
          </w:p>
        </w:tc>
        <w:tc>
          <w:tcPr>
            <w:tcW w:w="1040" w:type="dxa"/>
            <w:vAlign w:val="bottom"/>
            <w:gridSpan w:val="8"/>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920" w:type="dxa"/>
            <w:vAlign w:val="bottom"/>
            <w:tcBorders>
              <w:bottom w:val="single" w:sz="8" w:color="0000EE"/>
            </w:tcBorders>
          </w:tcPr>
          <w:p>
            <w:pPr>
              <w:spacing w:after="0" w:line="180"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Compliance</w:t>
              </w:r>
            </w:hyperlink>
          </w:p>
        </w:tc>
        <w:tc>
          <w:tcPr>
            <w:tcW w:w="3520" w:type="dxa"/>
            <w:vAlign w:val="bottom"/>
            <w:gridSpan w:val="26"/>
          </w:tcPr>
          <w:p>
            <w:pPr>
              <w:spacing w:after="0"/>
              <w:rPr>
                <w:sz w:val="15"/>
                <w:szCs w:val="15"/>
                <w:color w:val="auto"/>
              </w:rPr>
            </w:pPr>
          </w:p>
        </w:tc>
        <w:tc>
          <w:tcPr>
            <w:tcW w:w="580" w:type="dxa"/>
            <w:vAlign w:val="bottom"/>
          </w:tcPr>
          <w:p>
            <w:pPr>
              <w:jc w:val="right"/>
              <w:ind w:right="70"/>
              <w:spacing w:after="0" w:line="180"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66"/>
        </w:trPr>
        <w:tc>
          <w:tcPr>
            <w:tcW w:w="4640" w:type="dxa"/>
            <w:vAlign w:val="bottom"/>
            <w:gridSpan w:val="28"/>
          </w:tcPr>
          <w:p>
            <w:pPr>
              <w:spacing w:after="0"/>
              <w:rPr>
                <w:rFonts w:ascii="Arial" w:cs="Arial" w:eastAsia="Arial" w:hAnsi="Arial"/>
                <w:sz w:val="19"/>
                <w:szCs w:val="19"/>
                <w:b w:val="1"/>
                <w:bCs w:val="1"/>
                <w:color w:val="0000EE"/>
              </w:rPr>
            </w:pPr>
            <w:hyperlink w:anchor="page32">
              <w:r>
                <w:rPr>
                  <w:rFonts w:ascii="Arial" w:cs="Arial" w:eastAsia="Arial" w:hAnsi="Arial"/>
                  <w:sz w:val="19"/>
                  <w:szCs w:val="19"/>
                  <w:b w:val="1"/>
                  <w:bCs w:val="1"/>
                  <w:color w:val="0000EE"/>
                </w:rPr>
                <w:t>COMPENSATION DISCUSSION AND ANALYSIS</w:t>
              </w:r>
            </w:hyperlink>
          </w:p>
        </w:tc>
        <w:tc>
          <w:tcPr>
            <w:tcW w:w="580" w:type="dxa"/>
            <w:vAlign w:val="bottom"/>
          </w:tcPr>
          <w:p>
            <w:pPr>
              <w:jc w:val="right"/>
              <w:ind w:right="70"/>
              <w:spacing w:after="0"/>
              <w:rPr>
                <w:sz w:val="20"/>
                <w:szCs w:val="20"/>
                <w:color w:val="auto"/>
              </w:rPr>
            </w:pPr>
            <w:r>
              <w:rPr>
                <w:rFonts w:ascii="Arial" w:cs="Arial" w:eastAsia="Arial" w:hAnsi="Arial"/>
                <w:sz w:val="19"/>
                <w:szCs w:val="19"/>
                <w:b w:val="1"/>
                <w:bCs w:val="1"/>
                <w:color w:val="auto"/>
              </w:rPr>
              <w:t>27</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640" w:type="dxa"/>
            <w:vAlign w:val="bottom"/>
            <w:gridSpan w:val="28"/>
          </w:tcPr>
          <w:p>
            <w:pPr>
              <w:spacing w:after="0"/>
              <w:rPr>
                <w:rFonts w:ascii="Arial" w:cs="Arial" w:eastAsia="Arial" w:hAnsi="Arial"/>
                <w:sz w:val="19"/>
                <w:szCs w:val="19"/>
                <w:b w:val="1"/>
                <w:bCs w:val="1"/>
                <w:color w:val="0000EE"/>
              </w:rPr>
            </w:pPr>
            <w:hyperlink w:anchor="page48">
              <w:r>
                <w:rPr>
                  <w:rFonts w:ascii="Arial" w:cs="Arial" w:eastAsia="Arial" w:hAnsi="Arial"/>
                  <w:sz w:val="19"/>
                  <w:szCs w:val="19"/>
                  <w:b w:val="1"/>
                  <w:bCs w:val="1"/>
                  <w:color w:val="0000EE"/>
                </w:rPr>
                <w:t>EXECUTIVE COMPENSATION</w:t>
              </w:r>
            </w:hyperlink>
          </w:p>
        </w:tc>
        <w:tc>
          <w:tcPr>
            <w:tcW w:w="580" w:type="dxa"/>
            <w:vAlign w:val="bottom"/>
          </w:tcPr>
          <w:p>
            <w:pPr>
              <w:jc w:val="right"/>
              <w:ind w:right="70"/>
              <w:spacing w:after="0"/>
              <w:rPr>
                <w:sz w:val="20"/>
                <w:szCs w:val="20"/>
                <w:color w:val="auto"/>
              </w:rPr>
            </w:pPr>
            <w:r>
              <w:rPr>
                <w:rFonts w:ascii="Arial" w:cs="Arial" w:eastAsia="Arial" w:hAnsi="Arial"/>
                <w:sz w:val="19"/>
                <w:szCs w:val="19"/>
                <w:b w:val="1"/>
                <w:bCs w:val="1"/>
                <w:color w:val="auto"/>
              </w:rPr>
              <w:t>43</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640" w:type="dxa"/>
            <w:vAlign w:val="bottom"/>
            <w:gridSpan w:val="28"/>
          </w:tcPr>
          <w:p>
            <w:pPr>
              <w:spacing w:after="0"/>
              <w:rPr>
                <w:rFonts w:ascii="Arial" w:cs="Arial" w:eastAsia="Arial" w:hAnsi="Arial"/>
                <w:sz w:val="19"/>
                <w:szCs w:val="19"/>
                <w:b w:val="1"/>
                <w:bCs w:val="1"/>
                <w:color w:val="0000EE"/>
              </w:rPr>
            </w:pPr>
            <w:hyperlink w:anchor="page65">
              <w:r>
                <w:rPr>
                  <w:rFonts w:ascii="Arial" w:cs="Arial" w:eastAsia="Arial" w:hAnsi="Arial"/>
                  <w:sz w:val="19"/>
                  <w:szCs w:val="19"/>
                  <w:b w:val="1"/>
                  <w:bCs w:val="1"/>
                  <w:color w:val="0000EE"/>
                </w:rPr>
                <w:t>COMPENSATION COMMITTEE INTERLOCKS AND</w:t>
              </w:r>
            </w:hyperlink>
          </w:p>
        </w:tc>
        <w:tc>
          <w:tcPr>
            <w:tcW w:w="580" w:type="dxa"/>
            <w:vAlign w:val="bottom"/>
            <w:vMerge w:val="restart"/>
          </w:tcPr>
          <w:p>
            <w:pPr>
              <w:jc w:val="right"/>
              <w:ind w:right="70"/>
              <w:spacing w:after="0"/>
              <w:rPr>
                <w:sz w:val="20"/>
                <w:szCs w:val="20"/>
                <w:color w:val="auto"/>
              </w:rPr>
            </w:pPr>
            <w:r>
              <w:rPr>
                <w:rFonts w:ascii="Arial" w:cs="Arial" w:eastAsia="Arial" w:hAnsi="Arial"/>
                <w:sz w:val="19"/>
                <w:szCs w:val="19"/>
                <w:b w:val="1"/>
                <w:bCs w:val="1"/>
                <w:color w:val="auto"/>
              </w:rPr>
              <w:t>60</w:t>
            </w:r>
          </w:p>
        </w:tc>
        <w:tc>
          <w:tcPr>
            <w:tcW w:w="0" w:type="dxa"/>
            <w:vAlign w:val="bottom"/>
          </w:tcPr>
          <w:p>
            <w:pPr>
              <w:spacing w:after="0"/>
              <w:rPr>
                <w:sz w:val="1"/>
                <w:szCs w:val="1"/>
                <w:color w:val="auto"/>
              </w:rPr>
            </w:pPr>
          </w:p>
        </w:tc>
      </w:tr>
      <w:tr>
        <w:trPr>
          <w:trHeight w:val="193"/>
        </w:trPr>
        <w:tc>
          <w:tcPr>
            <w:tcW w:w="200" w:type="dxa"/>
            <w:vAlign w:val="bottom"/>
            <w:tcBorders>
              <w:top w:val="single" w:sz="8" w:color="0000EE"/>
            </w:tcBorders>
          </w:tcPr>
          <w:p>
            <w:pPr>
              <w:spacing w:after="0"/>
              <w:rPr>
                <w:sz w:val="16"/>
                <w:szCs w:val="16"/>
                <w:color w:val="auto"/>
              </w:rPr>
            </w:pPr>
          </w:p>
        </w:tc>
        <w:tc>
          <w:tcPr>
            <w:tcW w:w="4200" w:type="dxa"/>
            <w:vAlign w:val="bottom"/>
            <w:tcBorders>
              <w:top w:val="single" w:sz="8" w:color="0000EE"/>
            </w:tcBorders>
            <w:gridSpan w:val="26"/>
          </w:tcPr>
          <w:p>
            <w:pPr>
              <w:spacing w:after="0" w:line="193" w:lineRule="exact"/>
              <w:rPr>
                <w:rFonts w:ascii="Arial" w:cs="Arial" w:eastAsia="Arial" w:hAnsi="Arial"/>
                <w:sz w:val="19"/>
                <w:szCs w:val="19"/>
                <w:b w:val="1"/>
                <w:bCs w:val="1"/>
                <w:color w:val="0000EE"/>
              </w:rPr>
            </w:pPr>
            <w:hyperlink w:anchor="page65">
              <w:r>
                <w:rPr>
                  <w:rFonts w:ascii="Arial" w:cs="Arial" w:eastAsia="Arial" w:hAnsi="Arial"/>
                  <w:sz w:val="19"/>
                  <w:szCs w:val="19"/>
                  <w:b w:val="1"/>
                  <w:bCs w:val="1"/>
                  <w:color w:val="0000EE"/>
                </w:rPr>
                <w:t>INSIDER PARTICIPATION</w:t>
              </w:r>
            </w:hyperlink>
          </w:p>
        </w:tc>
        <w:tc>
          <w:tcPr>
            <w:tcW w:w="2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4860" w:type="dxa"/>
            <w:vAlign w:val="bottom"/>
            <w:gridSpan w:val="25"/>
          </w:tcPr>
          <w:p>
            <w:pPr>
              <w:spacing w:after="0"/>
              <w:rPr>
                <w:rFonts w:ascii="Arial" w:cs="Arial" w:eastAsia="Arial" w:hAnsi="Arial"/>
                <w:sz w:val="19"/>
                <w:szCs w:val="19"/>
                <w:b w:val="1"/>
                <w:bCs w:val="1"/>
                <w:color w:val="0000EE"/>
              </w:rPr>
            </w:pPr>
            <w:hyperlink w:anchor="page66">
              <w:r>
                <w:rPr>
                  <w:rFonts w:ascii="Arial" w:cs="Arial" w:eastAsia="Arial" w:hAnsi="Arial"/>
                  <w:sz w:val="19"/>
                  <w:szCs w:val="19"/>
                  <w:b w:val="1"/>
                  <w:bCs w:val="1"/>
                  <w:color w:val="0000EE"/>
                </w:rPr>
                <w:t>COMPENSATION COMMITTEE REPORT</w:t>
              </w:r>
            </w:hyperlink>
          </w:p>
        </w:tc>
        <w:tc>
          <w:tcPr>
            <w:tcW w:w="460" w:type="dxa"/>
            <w:vAlign w:val="bottom"/>
          </w:tcPr>
          <w:p>
            <w:pPr>
              <w:jc w:val="right"/>
              <w:ind w:right="47"/>
              <w:spacing w:after="0"/>
              <w:rPr>
                <w:sz w:val="20"/>
                <w:szCs w:val="20"/>
                <w:color w:val="auto"/>
              </w:rPr>
            </w:pPr>
            <w:r>
              <w:rPr>
                <w:rFonts w:ascii="Arial" w:cs="Arial" w:eastAsia="Arial" w:hAnsi="Arial"/>
                <w:sz w:val="19"/>
                <w:szCs w:val="19"/>
                <w:b w:val="1"/>
                <w:bCs w:val="1"/>
                <w:color w:val="auto"/>
              </w:rPr>
              <w:t>61</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860" w:type="dxa"/>
            <w:vAlign w:val="bottom"/>
            <w:gridSpan w:val="25"/>
          </w:tcPr>
          <w:p>
            <w:pPr>
              <w:spacing w:after="0"/>
              <w:rPr>
                <w:rFonts w:ascii="Arial" w:cs="Arial" w:eastAsia="Arial" w:hAnsi="Arial"/>
                <w:sz w:val="19"/>
                <w:szCs w:val="19"/>
                <w:b w:val="1"/>
                <w:bCs w:val="1"/>
                <w:color w:val="0000EE"/>
              </w:rPr>
            </w:pPr>
            <w:hyperlink w:anchor="page67">
              <w:r>
                <w:rPr>
                  <w:rFonts w:ascii="Arial" w:cs="Arial" w:eastAsia="Arial" w:hAnsi="Arial"/>
                  <w:sz w:val="19"/>
                  <w:szCs w:val="19"/>
                  <w:b w:val="1"/>
                  <w:bCs w:val="1"/>
                  <w:color w:val="0000EE"/>
                </w:rPr>
                <w:t>AUDIT COMMITTEE REPORT</w:t>
              </w:r>
            </w:hyperlink>
          </w:p>
        </w:tc>
        <w:tc>
          <w:tcPr>
            <w:tcW w:w="460" w:type="dxa"/>
            <w:vAlign w:val="bottom"/>
          </w:tcPr>
          <w:p>
            <w:pPr>
              <w:jc w:val="right"/>
              <w:ind w:right="47"/>
              <w:spacing w:after="0"/>
              <w:rPr>
                <w:sz w:val="20"/>
                <w:szCs w:val="20"/>
                <w:color w:val="auto"/>
              </w:rPr>
            </w:pPr>
            <w:r>
              <w:rPr>
                <w:rFonts w:ascii="Arial" w:cs="Arial" w:eastAsia="Arial" w:hAnsi="Arial"/>
                <w:sz w:val="19"/>
                <w:szCs w:val="19"/>
                <w:b w:val="1"/>
                <w:bCs w:val="1"/>
                <w:color w:val="auto"/>
              </w:rPr>
              <w:t>62</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860" w:type="dxa"/>
            <w:vAlign w:val="bottom"/>
            <w:gridSpan w:val="25"/>
          </w:tcPr>
          <w:p>
            <w:pPr>
              <w:spacing w:after="0"/>
              <w:rPr>
                <w:rFonts w:ascii="Arial" w:cs="Arial" w:eastAsia="Arial" w:hAnsi="Arial"/>
                <w:sz w:val="19"/>
                <w:szCs w:val="19"/>
                <w:b w:val="1"/>
                <w:bCs w:val="1"/>
                <w:color w:val="0000EE"/>
              </w:rPr>
            </w:pPr>
            <w:hyperlink w:anchor="page69">
              <w:r>
                <w:rPr>
                  <w:rFonts w:ascii="Arial" w:cs="Arial" w:eastAsia="Arial" w:hAnsi="Arial"/>
                  <w:sz w:val="19"/>
                  <w:szCs w:val="19"/>
                  <w:b w:val="1"/>
                  <w:bCs w:val="1"/>
                  <w:color w:val="0000EE"/>
                </w:rPr>
                <w:t>FEES OF INDEPENDENT ACCOUNTANTS</w:t>
              </w:r>
            </w:hyperlink>
          </w:p>
        </w:tc>
        <w:tc>
          <w:tcPr>
            <w:tcW w:w="460" w:type="dxa"/>
            <w:vAlign w:val="bottom"/>
          </w:tcPr>
          <w:p>
            <w:pPr>
              <w:jc w:val="right"/>
              <w:ind w:right="47"/>
              <w:spacing w:after="0"/>
              <w:rPr>
                <w:sz w:val="20"/>
                <w:szCs w:val="20"/>
                <w:color w:val="auto"/>
              </w:rPr>
            </w:pPr>
            <w:r>
              <w:rPr>
                <w:rFonts w:ascii="Arial" w:cs="Arial" w:eastAsia="Arial" w:hAnsi="Arial"/>
                <w:sz w:val="19"/>
                <w:szCs w:val="19"/>
                <w:b w:val="1"/>
                <w:bCs w:val="1"/>
                <w:color w:val="auto"/>
              </w:rPr>
              <w:t>64</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860" w:type="dxa"/>
            <w:vAlign w:val="bottom"/>
            <w:gridSpan w:val="25"/>
          </w:tcPr>
          <w:p>
            <w:pPr>
              <w:spacing w:after="0"/>
              <w:rPr>
                <w:rFonts w:ascii="Arial" w:cs="Arial" w:eastAsia="Arial" w:hAnsi="Arial"/>
                <w:sz w:val="19"/>
                <w:szCs w:val="19"/>
                <w:b w:val="1"/>
                <w:bCs w:val="1"/>
                <w:color w:val="0000EE"/>
              </w:rPr>
            </w:pPr>
            <w:hyperlink w:anchor="page70">
              <w:r>
                <w:rPr>
                  <w:rFonts w:ascii="Arial" w:cs="Arial" w:eastAsia="Arial" w:hAnsi="Arial"/>
                  <w:sz w:val="19"/>
                  <w:szCs w:val="19"/>
                  <w:b w:val="1"/>
                  <w:bCs w:val="1"/>
                  <w:color w:val="0000EE"/>
                </w:rPr>
                <w:t>CERTAIN RELATIONSHIPS AND RELATED PARTY</w:t>
              </w:r>
            </w:hyperlink>
          </w:p>
        </w:tc>
        <w:tc>
          <w:tcPr>
            <w:tcW w:w="460" w:type="dxa"/>
            <w:vAlign w:val="bottom"/>
            <w:vMerge w:val="restart"/>
          </w:tcPr>
          <w:p>
            <w:pPr>
              <w:jc w:val="right"/>
              <w:ind w:right="47"/>
              <w:spacing w:after="0"/>
              <w:rPr>
                <w:sz w:val="20"/>
                <w:szCs w:val="20"/>
                <w:color w:val="auto"/>
              </w:rPr>
            </w:pPr>
            <w:r>
              <w:rPr>
                <w:rFonts w:ascii="Arial" w:cs="Arial" w:eastAsia="Arial" w:hAnsi="Arial"/>
                <w:sz w:val="19"/>
                <w:szCs w:val="19"/>
                <w:b w:val="1"/>
                <w:bCs w:val="1"/>
                <w:color w:val="auto"/>
              </w:rPr>
              <w:t>65</w:t>
            </w:r>
          </w:p>
        </w:tc>
        <w:tc>
          <w:tcPr>
            <w:tcW w:w="0" w:type="dxa"/>
            <w:vAlign w:val="bottom"/>
          </w:tcPr>
          <w:p>
            <w:pPr>
              <w:spacing w:after="0"/>
              <w:rPr>
                <w:sz w:val="1"/>
                <w:szCs w:val="1"/>
                <w:color w:val="auto"/>
              </w:rPr>
            </w:pPr>
          </w:p>
        </w:tc>
      </w:tr>
      <w:tr>
        <w:trPr>
          <w:trHeight w:val="193"/>
        </w:trPr>
        <w:tc>
          <w:tcPr>
            <w:tcW w:w="200" w:type="dxa"/>
            <w:vAlign w:val="bottom"/>
            <w:tcBorders>
              <w:top w:val="single" w:sz="8" w:color="0000EE"/>
            </w:tcBorders>
          </w:tcPr>
          <w:p>
            <w:pPr>
              <w:spacing w:after="0"/>
              <w:rPr>
                <w:sz w:val="16"/>
                <w:szCs w:val="16"/>
                <w:color w:val="auto"/>
              </w:rPr>
            </w:pPr>
          </w:p>
        </w:tc>
        <w:tc>
          <w:tcPr>
            <w:tcW w:w="4220" w:type="dxa"/>
            <w:vAlign w:val="bottom"/>
            <w:tcBorders>
              <w:top w:val="single" w:sz="8" w:color="0000EE"/>
            </w:tcBorders>
            <w:gridSpan w:val="20"/>
          </w:tcPr>
          <w:p>
            <w:pPr>
              <w:spacing w:after="0" w:line="193" w:lineRule="exact"/>
              <w:rPr>
                <w:rFonts w:ascii="Arial" w:cs="Arial" w:eastAsia="Arial" w:hAnsi="Arial"/>
                <w:sz w:val="19"/>
                <w:szCs w:val="19"/>
                <w:b w:val="1"/>
                <w:bCs w:val="1"/>
                <w:color w:val="0000EE"/>
              </w:rPr>
            </w:pPr>
            <w:hyperlink w:anchor="page70">
              <w:r>
                <w:rPr>
                  <w:rFonts w:ascii="Arial" w:cs="Arial" w:eastAsia="Arial" w:hAnsi="Arial"/>
                  <w:sz w:val="19"/>
                  <w:szCs w:val="19"/>
                  <w:b w:val="1"/>
                  <w:bCs w:val="1"/>
                  <w:color w:val="0000EE"/>
                </w:rPr>
                <w:t>TRANSACTIONS</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640" w:type="dxa"/>
            <w:vAlign w:val="bottom"/>
            <w:tcBorders>
              <w:bottom w:val="single" w:sz="8" w:color="0000EE"/>
            </w:tcBorders>
            <w:gridSpan w:val="4"/>
          </w:tcPr>
          <w:p>
            <w:pPr>
              <w:spacing w:after="0" w:line="166"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Certain Transactions</w:t>
              </w:r>
            </w:hyperlink>
          </w:p>
        </w:tc>
        <w:tc>
          <w:tcPr>
            <w:tcW w:w="3220" w:type="dxa"/>
            <w:vAlign w:val="bottom"/>
            <w:gridSpan w:val="21"/>
          </w:tcPr>
          <w:p>
            <w:pPr>
              <w:spacing w:after="0"/>
              <w:rPr>
                <w:sz w:val="14"/>
                <w:szCs w:val="14"/>
                <w:color w:val="auto"/>
              </w:rPr>
            </w:pPr>
          </w:p>
        </w:tc>
        <w:tc>
          <w:tcPr>
            <w:tcW w:w="460" w:type="dxa"/>
            <w:vAlign w:val="bottom"/>
          </w:tcPr>
          <w:p>
            <w:pPr>
              <w:jc w:val="right"/>
              <w:ind w:right="47"/>
              <w:spacing w:after="0" w:line="16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66"/>
        </w:trPr>
        <w:tc>
          <w:tcPr>
            <w:tcW w:w="4860" w:type="dxa"/>
            <w:vAlign w:val="bottom"/>
            <w:gridSpan w:val="25"/>
          </w:tcPr>
          <w:p>
            <w:pPr>
              <w:spacing w:after="0"/>
              <w:rPr>
                <w:rFonts w:ascii="Arial" w:cs="Arial" w:eastAsia="Arial" w:hAnsi="Arial"/>
                <w:sz w:val="19"/>
                <w:szCs w:val="19"/>
                <w:b w:val="1"/>
                <w:bCs w:val="1"/>
                <w:color w:val="0000EE"/>
              </w:rPr>
            </w:pPr>
            <w:hyperlink w:anchor="page72">
              <w:r>
                <w:rPr>
                  <w:rFonts w:ascii="Arial" w:cs="Arial" w:eastAsia="Arial" w:hAnsi="Arial"/>
                  <w:sz w:val="19"/>
                  <w:szCs w:val="19"/>
                  <w:b w:val="1"/>
                  <w:bCs w:val="1"/>
                  <w:color w:val="0000EE"/>
                </w:rPr>
                <w:t>RATIFICATION OF RETENTION OF INDEPENDENT</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tcBorders>
              <w:top w:val="single" w:sz="8" w:color="0000EE"/>
            </w:tcBorders>
          </w:tcPr>
          <w:p>
            <w:pPr>
              <w:spacing w:after="0"/>
              <w:rPr>
                <w:sz w:val="16"/>
                <w:szCs w:val="16"/>
                <w:color w:val="auto"/>
              </w:rPr>
            </w:pPr>
          </w:p>
        </w:tc>
        <w:tc>
          <w:tcPr>
            <w:tcW w:w="4260" w:type="dxa"/>
            <w:vAlign w:val="bottom"/>
            <w:tcBorders>
              <w:top w:val="single" w:sz="8" w:color="0000EE"/>
            </w:tcBorders>
            <w:gridSpan w:val="22"/>
          </w:tcPr>
          <w:p>
            <w:pPr>
              <w:spacing w:after="0" w:line="193" w:lineRule="exact"/>
              <w:rPr>
                <w:rFonts w:ascii="Arial" w:cs="Arial" w:eastAsia="Arial" w:hAnsi="Arial"/>
                <w:sz w:val="19"/>
                <w:szCs w:val="19"/>
                <w:b w:val="1"/>
                <w:bCs w:val="1"/>
                <w:color w:val="0000EE"/>
              </w:rPr>
            </w:pPr>
            <w:hyperlink w:anchor="page72">
              <w:r>
                <w:rPr>
                  <w:rFonts w:ascii="Arial" w:cs="Arial" w:eastAsia="Arial" w:hAnsi="Arial"/>
                  <w:sz w:val="19"/>
                  <w:szCs w:val="19"/>
                  <w:b w:val="1"/>
                  <w:bCs w:val="1"/>
                  <w:color w:val="0000EE"/>
                </w:rPr>
                <w:t>REGISTERED PUBLIC ACCOUNTING FIRM</w:t>
              </w:r>
            </w:hyperlink>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vMerge w:val="restart"/>
          </w:tcPr>
          <w:p>
            <w:pPr>
              <w:jc w:val="right"/>
              <w:ind w:right="47"/>
              <w:spacing w:after="0"/>
              <w:rPr>
                <w:sz w:val="20"/>
                <w:szCs w:val="20"/>
                <w:color w:val="auto"/>
              </w:rPr>
            </w:pPr>
            <w:r>
              <w:rPr>
                <w:rFonts w:ascii="Arial" w:cs="Arial" w:eastAsia="Arial" w:hAnsi="Arial"/>
                <w:sz w:val="19"/>
                <w:szCs w:val="19"/>
                <w:b w:val="1"/>
                <w:bCs w:val="1"/>
                <w:color w:val="auto"/>
              </w:rPr>
              <w:t>67</w:t>
            </w:r>
          </w:p>
        </w:tc>
        <w:tc>
          <w:tcPr>
            <w:tcW w:w="0" w:type="dxa"/>
            <w:vAlign w:val="bottom"/>
          </w:tcPr>
          <w:p>
            <w:pPr>
              <w:spacing w:after="0"/>
              <w:rPr>
                <w:sz w:val="1"/>
                <w:szCs w:val="1"/>
                <w:color w:val="auto"/>
              </w:rPr>
            </w:pPr>
          </w:p>
        </w:tc>
      </w:tr>
      <w:tr>
        <w:trPr>
          <w:trHeight w:val="193"/>
        </w:trPr>
        <w:tc>
          <w:tcPr>
            <w:tcW w:w="200" w:type="dxa"/>
            <w:vAlign w:val="bottom"/>
          </w:tcPr>
          <w:p>
            <w:pPr>
              <w:spacing w:after="0"/>
              <w:rPr>
                <w:sz w:val="16"/>
                <w:szCs w:val="16"/>
                <w:color w:val="auto"/>
              </w:rPr>
            </w:pPr>
          </w:p>
        </w:tc>
        <w:tc>
          <w:tcPr>
            <w:tcW w:w="3780" w:type="dxa"/>
            <w:vAlign w:val="bottom"/>
            <w:tcBorders>
              <w:top w:val="single" w:sz="8" w:color="0000EE"/>
            </w:tcBorders>
            <w:gridSpan w:val="14"/>
          </w:tcPr>
          <w:p>
            <w:pPr>
              <w:spacing w:after="0" w:line="193" w:lineRule="exact"/>
              <w:rPr>
                <w:rFonts w:ascii="Arial" w:cs="Arial" w:eastAsia="Arial" w:hAnsi="Arial"/>
                <w:sz w:val="19"/>
                <w:szCs w:val="19"/>
                <w:b w:val="1"/>
                <w:bCs w:val="1"/>
                <w:color w:val="0000EE"/>
              </w:rPr>
            </w:pPr>
            <w:hyperlink w:anchor="page72">
              <w:r>
                <w:rPr>
                  <w:rFonts w:ascii="Arial" w:cs="Arial" w:eastAsia="Arial" w:hAnsi="Arial"/>
                  <w:sz w:val="19"/>
                  <w:szCs w:val="19"/>
                  <w:b w:val="1"/>
                  <w:bCs w:val="1"/>
                  <w:color w:val="0000EE"/>
                </w:rPr>
                <w:t>(PROPOSAL NO. 2)</w:t>
              </w:r>
            </w:hyperlink>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1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920" w:type="dxa"/>
            <w:vAlign w:val="bottom"/>
            <w:tcBorders>
              <w:bottom w:val="single" w:sz="8" w:color="0000EE"/>
            </w:tcBorders>
            <w:gridSpan w:val="14"/>
          </w:tcPr>
          <w:p>
            <w:pPr>
              <w:spacing w:after="0"/>
              <w:rPr>
                <w:rFonts w:ascii="Arial" w:cs="Arial" w:eastAsia="Arial" w:hAnsi="Arial"/>
                <w:sz w:val="19"/>
                <w:szCs w:val="19"/>
                <w:b w:val="1"/>
                <w:bCs w:val="1"/>
                <w:color w:val="0000EE"/>
                <w:w w:val="97"/>
              </w:rPr>
            </w:pPr>
            <w:hyperlink w:anchor="page73">
              <w:r>
                <w:rPr>
                  <w:rFonts w:ascii="Arial" w:cs="Arial" w:eastAsia="Arial" w:hAnsi="Arial"/>
                  <w:sz w:val="19"/>
                  <w:szCs w:val="19"/>
                  <w:b w:val="1"/>
                  <w:bCs w:val="1"/>
                  <w:color w:val="0000EE"/>
                  <w:w w:val="97"/>
                </w:rPr>
                <w:t>ADVISORY VOTE TO APPROVE EXECUTIVE</w:t>
              </w:r>
            </w:hyperlink>
          </w:p>
        </w:tc>
        <w:tc>
          <w:tcPr>
            <w:tcW w:w="940" w:type="dxa"/>
            <w:vAlign w:val="bottom"/>
            <w:gridSpan w:val="11"/>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tcPr>
          <w:p>
            <w:pPr>
              <w:spacing w:after="0"/>
              <w:rPr>
                <w:sz w:val="16"/>
                <w:szCs w:val="16"/>
                <w:color w:val="auto"/>
              </w:rPr>
            </w:pPr>
          </w:p>
        </w:tc>
        <w:tc>
          <w:tcPr>
            <w:tcW w:w="4660" w:type="dxa"/>
            <w:vAlign w:val="bottom"/>
            <w:gridSpan w:val="24"/>
          </w:tcPr>
          <w:p>
            <w:pPr>
              <w:spacing w:after="0" w:line="193" w:lineRule="exact"/>
              <w:rPr>
                <w:rFonts w:ascii="Arial" w:cs="Arial" w:eastAsia="Arial" w:hAnsi="Arial"/>
                <w:sz w:val="19"/>
                <w:szCs w:val="19"/>
                <w:b w:val="1"/>
                <w:bCs w:val="1"/>
                <w:color w:val="0000EE"/>
              </w:rPr>
            </w:pPr>
            <w:hyperlink w:anchor="page73">
              <w:r>
                <w:rPr>
                  <w:rFonts w:ascii="Arial" w:cs="Arial" w:eastAsia="Arial" w:hAnsi="Arial"/>
                  <w:sz w:val="19"/>
                  <w:szCs w:val="19"/>
                  <w:b w:val="1"/>
                  <w:bCs w:val="1"/>
                  <w:color w:val="0000EE"/>
                </w:rPr>
                <w:t>COMPENSATION SET FORTH IN THIS PROXY</w:t>
              </w:r>
            </w:hyperlink>
          </w:p>
        </w:tc>
        <w:tc>
          <w:tcPr>
            <w:tcW w:w="460" w:type="dxa"/>
            <w:vAlign w:val="bottom"/>
            <w:vMerge w:val="restart"/>
          </w:tcPr>
          <w:p>
            <w:pPr>
              <w:jc w:val="right"/>
              <w:ind w:right="47"/>
              <w:spacing w:after="0"/>
              <w:rPr>
                <w:sz w:val="20"/>
                <w:szCs w:val="20"/>
                <w:color w:val="auto"/>
              </w:rPr>
            </w:pPr>
            <w:r>
              <w:rPr>
                <w:rFonts w:ascii="Arial" w:cs="Arial" w:eastAsia="Arial" w:hAnsi="Arial"/>
                <w:sz w:val="19"/>
                <w:szCs w:val="19"/>
                <w:b w:val="1"/>
                <w:bCs w:val="1"/>
                <w:color w:val="auto"/>
              </w:rPr>
              <w:t>68</w:t>
            </w:r>
          </w:p>
        </w:tc>
        <w:tc>
          <w:tcPr>
            <w:tcW w:w="0" w:type="dxa"/>
            <w:vAlign w:val="bottom"/>
          </w:tcPr>
          <w:p>
            <w:pPr>
              <w:spacing w:after="0"/>
              <w:rPr>
                <w:sz w:val="1"/>
                <w:szCs w:val="1"/>
                <w:color w:val="auto"/>
              </w:rPr>
            </w:pPr>
          </w:p>
        </w:tc>
      </w:tr>
      <w:tr>
        <w:trPr>
          <w:trHeight w:val="193"/>
        </w:trPr>
        <w:tc>
          <w:tcPr>
            <w:tcW w:w="200" w:type="dxa"/>
            <w:vAlign w:val="bottom"/>
          </w:tcPr>
          <w:p>
            <w:pPr>
              <w:spacing w:after="0"/>
              <w:rPr>
                <w:sz w:val="16"/>
                <w:szCs w:val="16"/>
                <w:color w:val="auto"/>
              </w:rPr>
            </w:pPr>
          </w:p>
        </w:tc>
        <w:tc>
          <w:tcPr>
            <w:tcW w:w="4040" w:type="dxa"/>
            <w:vAlign w:val="bottom"/>
            <w:tcBorders>
              <w:top w:val="single" w:sz="8" w:color="0000EE"/>
            </w:tcBorders>
            <w:gridSpan w:val="18"/>
          </w:tcPr>
          <w:p>
            <w:pPr>
              <w:spacing w:after="0" w:line="193" w:lineRule="exact"/>
              <w:rPr>
                <w:rFonts w:ascii="Arial" w:cs="Arial" w:eastAsia="Arial" w:hAnsi="Arial"/>
                <w:sz w:val="19"/>
                <w:szCs w:val="19"/>
                <w:b w:val="1"/>
                <w:bCs w:val="1"/>
                <w:color w:val="0000EE"/>
              </w:rPr>
            </w:pPr>
            <w:hyperlink w:anchor="page73">
              <w:r>
                <w:rPr>
                  <w:rFonts w:ascii="Arial" w:cs="Arial" w:eastAsia="Arial" w:hAnsi="Arial"/>
                  <w:sz w:val="19"/>
                  <w:szCs w:val="19"/>
                  <w:b w:val="1"/>
                  <w:bCs w:val="1"/>
                  <w:color w:val="0000EE"/>
                </w:rPr>
                <w:t>STATEMENT (PROPOSAL NO. 3)</w:t>
              </w:r>
            </w:hyperlink>
          </w:p>
        </w:tc>
        <w:tc>
          <w:tcPr>
            <w:tcW w:w="2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1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860" w:type="dxa"/>
            <w:vAlign w:val="bottom"/>
            <w:gridSpan w:val="25"/>
          </w:tcPr>
          <w:p>
            <w:pPr>
              <w:spacing w:after="0"/>
              <w:rPr>
                <w:rFonts w:ascii="Arial" w:cs="Arial" w:eastAsia="Arial" w:hAnsi="Arial"/>
                <w:sz w:val="19"/>
                <w:szCs w:val="19"/>
                <w:b w:val="1"/>
                <w:bCs w:val="1"/>
                <w:color w:val="0000EE"/>
              </w:rPr>
            </w:pPr>
            <w:hyperlink w:anchor="page74">
              <w:r>
                <w:rPr>
                  <w:rFonts w:ascii="Arial" w:cs="Arial" w:eastAsia="Arial" w:hAnsi="Arial"/>
                  <w:sz w:val="19"/>
                  <w:szCs w:val="19"/>
                  <w:b w:val="1"/>
                  <w:bCs w:val="1"/>
                  <w:color w:val="0000EE"/>
                </w:rPr>
                <w:t>VOTE TO APPROVE THE LEAR CORPORATION</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tcBorders>
              <w:top w:val="single" w:sz="8" w:color="0000EE"/>
            </w:tcBorders>
          </w:tcPr>
          <w:p>
            <w:pPr>
              <w:spacing w:after="0"/>
              <w:rPr>
                <w:sz w:val="16"/>
                <w:szCs w:val="16"/>
                <w:color w:val="auto"/>
              </w:rPr>
            </w:pPr>
          </w:p>
        </w:tc>
        <w:tc>
          <w:tcPr>
            <w:tcW w:w="4000" w:type="dxa"/>
            <w:vAlign w:val="bottom"/>
            <w:tcBorders>
              <w:top w:val="single" w:sz="8" w:color="0000EE"/>
            </w:tcBorders>
            <w:gridSpan w:val="17"/>
          </w:tcPr>
          <w:p>
            <w:pPr>
              <w:spacing w:after="0" w:line="193" w:lineRule="exact"/>
              <w:rPr>
                <w:rFonts w:ascii="Arial" w:cs="Arial" w:eastAsia="Arial" w:hAnsi="Arial"/>
                <w:sz w:val="19"/>
                <w:szCs w:val="19"/>
                <w:b w:val="1"/>
                <w:bCs w:val="1"/>
                <w:color w:val="0000EE"/>
                <w:w w:val="99"/>
              </w:rPr>
            </w:pPr>
            <w:hyperlink w:anchor="page74">
              <w:r>
                <w:rPr>
                  <w:rFonts w:ascii="Arial" w:cs="Arial" w:eastAsia="Arial" w:hAnsi="Arial"/>
                  <w:sz w:val="19"/>
                  <w:szCs w:val="19"/>
                  <w:b w:val="1"/>
                  <w:bCs w:val="1"/>
                  <w:color w:val="0000EE"/>
                  <w:w w:val="99"/>
                </w:rPr>
                <w:t>2019 LONG-TERM STOCK INCENTIVE PLAN</w:t>
              </w:r>
            </w:hyperlink>
          </w:p>
        </w:tc>
        <w:tc>
          <w:tcPr>
            <w:tcW w:w="60" w:type="dxa"/>
            <w:vAlign w:val="bottom"/>
            <w:gridSpan w:val="2"/>
          </w:tcPr>
          <w:p>
            <w:pPr>
              <w:spacing w:after="0"/>
              <w:rPr>
                <w:sz w:val="16"/>
                <w:szCs w:val="16"/>
                <w:color w:val="auto"/>
              </w:rPr>
            </w:pPr>
          </w:p>
        </w:tc>
        <w:tc>
          <w:tcPr>
            <w:tcW w:w="180" w:type="dxa"/>
            <w:vAlign w:val="bottom"/>
            <w:gridSpan w:val="2"/>
          </w:tcPr>
          <w:p>
            <w:pPr>
              <w:spacing w:after="0"/>
              <w:rPr>
                <w:sz w:val="16"/>
                <w:szCs w:val="16"/>
                <w:color w:val="auto"/>
              </w:rPr>
            </w:pPr>
          </w:p>
        </w:tc>
        <w:tc>
          <w:tcPr>
            <w:tcW w:w="1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vMerge w:val="restart"/>
          </w:tcPr>
          <w:p>
            <w:pPr>
              <w:jc w:val="right"/>
              <w:ind w:right="47"/>
              <w:spacing w:after="0"/>
              <w:rPr>
                <w:sz w:val="20"/>
                <w:szCs w:val="20"/>
                <w:color w:val="auto"/>
              </w:rPr>
            </w:pPr>
            <w:r>
              <w:rPr>
                <w:rFonts w:ascii="Arial" w:cs="Arial" w:eastAsia="Arial" w:hAnsi="Arial"/>
                <w:sz w:val="19"/>
                <w:szCs w:val="19"/>
                <w:b w:val="1"/>
                <w:bCs w:val="1"/>
                <w:color w:val="auto"/>
              </w:rPr>
              <w:t>69</w:t>
            </w:r>
          </w:p>
        </w:tc>
        <w:tc>
          <w:tcPr>
            <w:tcW w:w="0" w:type="dxa"/>
            <w:vAlign w:val="bottom"/>
          </w:tcPr>
          <w:p>
            <w:pPr>
              <w:spacing w:after="0"/>
              <w:rPr>
                <w:sz w:val="1"/>
                <w:szCs w:val="1"/>
                <w:color w:val="auto"/>
              </w:rPr>
            </w:pPr>
          </w:p>
        </w:tc>
      </w:tr>
      <w:tr>
        <w:trPr>
          <w:trHeight w:val="193"/>
        </w:trPr>
        <w:tc>
          <w:tcPr>
            <w:tcW w:w="200" w:type="dxa"/>
            <w:vAlign w:val="bottom"/>
          </w:tcPr>
          <w:p>
            <w:pPr>
              <w:spacing w:after="0"/>
              <w:rPr>
                <w:sz w:val="16"/>
                <w:szCs w:val="16"/>
                <w:color w:val="auto"/>
              </w:rPr>
            </w:pPr>
          </w:p>
        </w:tc>
        <w:tc>
          <w:tcPr>
            <w:tcW w:w="3900" w:type="dxa"/>
            <w:vAlign w:val="bottom"/>
            <w:tcBorders>
              <w:top w:val="single" w:sz="8" w:color="0000EE"/>
            </w:tcBorders>
            <w:gridSpan w:val="15"/>
          </w:tcPr>
          <w:p>
            <w:pPr>
              <w:spacing w:after="0" w:line="193" w:lineRule="exact"/>
              <w:rPr>
                <w:rFonts w:ascii="Arial" w:cs="Arial" w:eastAsia="Arial" w:hAnsi="Arial"/>
                <w:sz w:val="19"/>
                <w:szCs w:val="19"/>
                <w:b w:val="1"/>
                <w:bCs w:val="1"/>
                <w:color w:val="0000EE"/>
              </w:rPr>
            </w:pPr>
            <w:hyperlink w:anchor="page74">
              <w:r>
                <w:rPr>
                  <w:rFonts w:ascii="Arial" w:cs="Arial" w:eastAsia="Arial" w:hAnsi="Arial"/>
                  <w:sz w:val="19"/>
                  <w:szCs w:val="19"/>
                  <w:b w:val="1"/>
                  <w:bCs w:val="1"/>
                  <w:color w:val="0000EE"/>
                </w:rPr>
                <w:t>(PROPOSAL NO. 4)</w:t>
              </w:r>
            </w:hyperlink>
          </w:p>
        </w:tc>
        <w:tc>
          <w:tcPr>
            <w:tcW w:w="60" w:type="dxa"/>
            <w:vAlign w:val="bottom"/>
          </w:tcPr>
          <w:p>
            <w:pPr>
              <w:spacing w:after="0"/>
              <w:rPr>
                <w:sz w:val="16"/>
                <w:szCs w:val="16"/>
                <w:color w:val="auto"/>
              </w:rPr>
            </w:pPr>
          </w:p>
        </w:tc>
        <w:tc>
          <w:tcPr>
            <w:tcW w:w="100" w:type="dxa"/>
            <w:vAlign w:val="bottom"/>
            <w:gridSpan w:val="3"/>
          </w:tcPr>
          <w:p>
            <w:pPr>
              <w:spacing w:after="0"/>
              <w:rPr>
                <w:sz w:val="16"/>
                <w:szCs w:val="16"/>
                <w:color w:val="auto"/>
              </w:rPr>
            </w:pPr>
          </w:p>
        </w:tc>
        <w:tc>
          <w:tcPr>
            <w:tcW w:w="180" w:type="dxa"/>
            <w:vAlign w:val="bottom"/>
            <w:gridSpan w:val="2"/>
          </w:tcPr>
          <w:p>
            <w:pPr>
              <w:spacing w:after="0"/>
              <w:rPr>
                <w:sz w:val="16"/>
                <w:szCs w:val="16"/>
                <w:color w:val="auto"/>
              </w:rPr>
            </w:pPr>
          </w:p>
        </w:tc>
        <w:tc>
          <w:tcPr>
            <w:tcW w:w="1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860" w:type="dxa"/>
            <w:vAlign w:val="bottom"/>
            <w:gridSpan w:val="25"/>
          </w:tcPr>
          <w:p>
            <w:pPr>
              <w:spacing w:after="0"/>
              <w:rPr>
                <w:rFonts w:ascii="Arial" w:cs="Arial" w:eastAsia="Arial" w:hAnsi="Arial"/>
                <w:sz w:val="19"/>
                <w:szCs w:val="19"/>
                <w:b w:val="1"/>
                <w:bCs w:val="1"/>
                <w:color w:val="0000EE"/>
              </w:rPr>
            </w:pPr>
            <w:hyperlink w:anchor="page83">
              <w:r>
                <w:rPr>
                  <w:rFonts w:ascii="Arial" w:cs="Arial" w:eastAsia="Arial" w:hAnsi="Arial"/>
                  <w:sz w:val="19"/>
                  <w:szCs w:val="19"/>
                  <w:b w:val="1"/>
                  <w:bCs w:val="1"/>
                  <w:color w:val="0000EE"/>
                </w:rPr>
                <w:t>QUESTIONS AND ANSWERS ABOUT THE ANNUAL</w:t>
              </w:r>
            </w:hyperlink>
          </w:p>
        </w:tc>
        <w:tc>
          <w:tcPr>
            <w:tcW w:w="460" w:type="dxa"/>
            <w:vAlign w:val="bottom"/>
            <w:vMerge w:val="restart"/>
          </w:tcPr>
          <w:p>
            <w:pPr>
              <w:jc w:val="right"/>
              <w:ind w:right="47"/>
              <w:spacing w:after="0"/>
              <w:rPr>
                <w:sz w:val="20"/>
                <w:szCs w:val="20"/>
                <w:color w:val="auto"/>
              </w:rPr>
            </w:pPr>
            <w:r>
              <w:rPr>
                <w:rFonts w:ascii="Arial" w:cs="Arial" w:eastAsia="Arial" w:hAnsi="Arial"/>
                <w:sz w:val="19"/>
                <w:szCs w:val="19"/>
                <w:b w:val="1"/>
                <w:bCs w:val="1"/>
                <w:color w:val="auto"/>
              </w:rPr>
              <w:t>78</w:t>
            </w:r>
          </w:p>
        </w:tc>
        <w:tc>
          <w:tcPr>
            <w:tcW w:w="0" w:type="dxa"/>
            <w:vAlign w:val="bottom"/>
          </w:tcPr>
          <w:p>
            <w:pPr>
              <w:spacing w:after="0"/>
              <w:rPr>
                <w:sz w:val="1"/>
                <w:szCs w:val="1"/>
                <w:color w:val="auto"/>
              </w:rPr>
            </w:pPr>
          </w:p>
        </w:tc>
      </w:tr>
      <w:tr>
        <w:trPr>
          <w:trHeight w:val="193"/>
        </w:trPr>
        <w:tc>
          <w:tcPr>
            <w:tcW w:w="200" w:type="dxa"/>
            <w:vAlign w:val="bottom"/>
            <w:tcBorders>
              <w:top w:val="single" w:sz="8" w:color="0000EE"/>
            </w:tcBorders>
          </w:tcPr>
          <w:p>
            <w:pPr>
              <w:spacing w:after="0"/>
              <w:rPr>
                <w:sz w:val="16"/>
                <w:szCs w:val="16"/>
                <w:color w:val="auto"/>
              </w:rPr>
            </w:pPr>
          </w:p>
        </w:tc>
        <w:tc>
          <w:tcPr>
            <w:tcW w:w="4340" w:type="dxa"/>
            <w:vAlign w:val="bottom"/>
            <w:tcBorders>
              <w:top w:val="single" w:sz="8" w:color="0000EE"/>
            </w:tcBorders>
            <w:gridSpan w:val="23"/>
          </w:tcPr>
          <w:p>
            <w:pPr>
              <w:spacing w:after="0" w:line="193" w:lineRule="exact"/>
              <w:rPr>
                <w:rFonts w:ascii="Arial" w:cs="Arial" w:eastAsia="Arial" w:hAnsi="Arial"/>
                <w:sz w:val="19"/>
                <w:szCs w:val="19"/>
                <w:b w:val="1"/>
                <w:bCs w:val="1"/>
                <w:color w:val="0000EE"/>
              </w:rPr>
            </w:pPr>
            <w:hyperlink w:anchor="page83">
              <w:r>
                <w:rPr>
                  <w:rFonts w:ascii="Arial" w:cs="Arial" w:eastAsia="Arial" w:hAnsi="Arial"/>
                  <w:sz w:val="19"/>
                  <w:szCs w:val="19"/>
                  <w:b w:val="1"/>
                  <w:bCs w:val="1"/>
                  <w:color w:val="0000EE"/>
                </w:rPr>
                <w:t>MEETING</w:t>
              </w:r>
            </w:hyperlink>
          </w:p>
        </w:tc>
        <w:tc>
          <w:tcPr>
            <w:tcW w:w="3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860" w:type="dxa"/>
            <w:vAlign w:val="bottom"/>
            <w:gridSpan w:val="25"/>
          </w:tcPr>
          <w:p>
            <w:pPr>
              <w:spacing w:after="0"/>
              <w:rPr>
                <w:rFonts w:ascii="Arial" w:cs="Arial" w:eastAsia="Arial" w:hAnsi="Arial"/>
                <w:sz w:val="19"/>
                <w:szCs w:val="19"/>
                <w:b w:val="1"/>
                <w:bCs w:val="1"/>
                <w:color w:val="0000EE"/>
              </w:rPr>
            </w:pPr>
            <w:hyperlink w:anchor="page88">
              <w:r>
                <w:rPr>
                  <w:rFonts w:ascii="Arial" w:cs="Arial" w:eastAsia="Arial" w:hAnsi="Arial"/>
                  <w:sz w:val="19"/>
                  <w:szCs w:val="19"/>
                  <w:b w:val="1"/>
                  <w:bCs w:val="1"/>
                  <w:color w:val="0000EE"/>
                </w:rPr>
                <w:t>STOCKHOLDER PROPOSALS FOR 2020 ANNUAL</w:t>
              </w:r>
            </w:hyperlink>
          </w:p>
        </w:tc>
        <w:tc>
          <w:tcPr>
            <w:tcW w:w="460" w:type="dxa"/>
            <w:vAlign w:val="bottom"/>
            <w:vMerge w:val="restart"/>
          </w:tcPr>
          <w:p>
            <w:pPr>
              <w:jc w:val="right"/>
              <w:ind w:right="47"/>
              <w:spacing w:after="0"/>
              <w:rPr>
                <w:sz w:val="20"/>
                <w:szCs w:val="20"/>
                <w:color w:val="auto"/>
              </w:rPr>
            </w:pPr>
            <w:r>
              <w:rPr>
                <w:rFonts w:ascii="Arial" w:cs="Arial" w:eastAsia="Arial" w:hAnsi="Arial"/>
                <w:sz w:val="19"/>
                <w:szCs w:val="19"/>
                <w:b w:val="1"/>
                <w:bCs w:val="1"/>
                <w:color w:val="auto"/>
              </w:rPr>
              <w:t>83</w:t>
            </w:r>
          </w:p>
        </w:tc>
        <w:tc>
          <w:tcPr>
            <w:tcW w:w="0" w:type="dxa"/>
            <w:vAlign w:val="bottom"/>
          </w:tcPr>
          <w:p>
            <w:pPr>
              <w:spacing w:after="0"/>
              <w:rPr>
                <w:sz w:val="1"/>
                <w:szCs w:val="1"/>
                <w:color w:val="auto"/>
              </w:rPr>
            </w:pPr>
          </w:p>
        </w:tc>
      </w:tr>
      <w:tr>
        <w:trPr>
          <w:trHeight w:val="193"/>
        </w:trPr>
        <w:tc>
          <w:tcPr>
            <w:tcW w:w="200" w:type="dxa"/>
            <w:vAlign w:val="bottom"/>
            <w:tcBorders>
              <w:top w:val="single" w:sz="8" w:color="0000EE"/>
            </w:tcBorders>
          </w:tcPr>
          <w:p>
            <w:pPr>
              <w:spacing w:after="0"/>
              <w:rPr>
                <w:sz w:val="16"/>
                <w:szCs w:val="16"/>
                <w:color w:val="auto"/>
              </w:rPr>
            </w:pPr>
          </w:p>
        </w:tc>
        <w:tc>
          <w:tcPr>
            <w:tcW w:w="4240" w:type="dxa"/>
            <w:vAlign w:val="bottom"/>
            <w:tcBorders>
              <w:top w:val="single" w:sz="8" w:color="0000EE"/>
            </w:tcBorders>
            <w:gridSpan w:val="21"/>
          </w:tcPr>
          <w:p>
            <w:pPr>
              <w:spacing w:after="0" w:line="193" w:lineRule="exact"/>
              <w:rPr>
                <w:rFonts w:ascii="Arial" w:cs="Arial" w:eastAsia="Arial" w:hAnsi="Arial"/>
                <w:sz w:val="19"/>
                <w:szCs w:val="19"/>
                <w:b w:val="1"/>
                <w:bCs w:val="1"/>
                <w:color w:val="0000EE"/>
              </w:rPr>
            </w:pPr>
            <w:hyperlink w:anchor="page88">
              <w:r>
                <w:rPr>
                  <w:rFonts w:ascii="Arial" w:cs="Arial" w:eastAsia="Arial" w:hAnsi="Arial"/>
                  <w:sz w:val="19"/>
                  <w:szCs w:val="19"/>
                  <w:b w:val="1"/>
                  <w:bCs w:val="1"/>
                  <w:color w:val="0000EE"/>
                </w:rPr>
                <w:t>MEETING OF STOCKHOLDERS</w:t>
              </w:r>
            </w:hyperlink>
          </w:p>
        </w:tc>
        <w:tc>
          <w:tcPr>
            <w:tcW w:w="420" w:type="dxa"/>
            <w:vAlign w:val="bottom"/>
            <w:gridSpan w:val="3"/>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860" w:type="dxa"/>
            <w:vAlign w:val="bottom"/>
            <w:gridSpan w:val="25"/>
          </w:tcPr>
          <w:p>
            <w:pPr>
              <w:spacing w:after="0"/>
              <w:rPr>
                <w:rFonts w:ascii="Arial" w:cs="Arial" w:eastAsia="Arial" w:hAnsi="Arial"/>
                <w:sz w:val="19"/>
                <w:szCs w:val="19"/>
                <w:b w:val="1"/>
                <w:bCs w:val="1"/>
                <w:color w:val="0000EE"/>
              </w:rPr>
            </w:pPr>
            <w:hyperlink w:anchor="page89">
              <w:r>
                <w:rPr>
                  <w:rFonts w:ascii="Arial" w:cs="Arial" w:eastAsia="Arial" w:hAnsi="Arial"/>
                  <w:sz w:val="19"/>
                  <w:szCs w:val="19"/>
                  <w:b w:val="1"/>
                  <w:bCs w:val="1"/>
                  <w:color w:val="0000EE"/>
                </w:rPr>
                <w:t>OTHER MATTERS</w:t>
              </w:r>
            </w:hyperlink>
          </w:p>
        </w:tc>
        <w:tc>
          <w:tcPr>
            <w:tcW w:w="460" w:type="dxa"/>
            <w:vAlign w:val="bottom"/>
          </w:tcPr>
          <w:p>
            <w:pPr>
              <w:jc w:val="right"/>
              <w:ind w:right="47"/>
              <w:spacing w:after="0"/>
              <w:rPr>
                <w:sz w:val="20"/>
                <w:szCs w:val="20"/>
                <w:color w:val="auto"/>
              </w:rPr>
            </w:pPr>
            <w:r>
              <w:rPr>
                <w:rFonts w:ascii="Arial" w:cs="Arial" w:eastAsia="Arial" w:hAnsi="Arial"/>
                <w:sz w:val="19"/>
                <w:szCs w:val="19"/>
                <w:b w:val="1"/>
                <w:bCs w:val="1"/>
                <w:color w:val="auto"/>
              </w:rPr>
              <w:t>84</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860" w:type="dxa"/>
            <w:vAlign w:val="bottom"/>
            <w:gridSpan w:val="25"/>
          </w:tcPr>
          <w:p>
            <w:pPr>
              <w:spacing w:after="0"/>
              <w:rPr>
                <w:rFonts w:ascii="Arial" w:cs="Arial" w:eastAsia="Arial" w:hAnsi="Arial"/>
                <w:sz w:val="19"/>
                <w:szCs w:val="19"/>
                <w:b w:val="1"/>
                <w:bCs w:val="1"/>
                <w:color w:val="0000EE"/>
              </w:rPr>
            </w:pPr>
            <w:hyperlink w:anchor="page90">
              <w:r>
                <w:rPr>
                  <w:rFonts w:ascii="Arial" w:cs="Arial" w:eastAsia="Arial" w:hAnsi="Arial"/>
                  <w:sz w:val="19"/>
                  <w:szCs w:val="19"/>
                  <w:b w:val="1"/>
                  <w:bCs w:val="1"/>
                  <w:color w:val="0000EE"/>
                </w:rPr>
                <w:t>APPENDIX A RECONCILIATION OF NON-GAAP</w:t>
              </w:r>
            </w:hyperlink>
          </w:p>
        </w:tc>
        <w:tc>
          <w:tcPr>
            <w:tcW w:w="460" w:type="dxa"/>
            <w:vAlign w:val="bottom"/>
            <w:vMerge w:val="restart"/>
          </w:tcPr>
          <w:p>
            <w:pPr>
              <w:jc w:val="right"/>
              <w:ind w:right="47"/>
              <w:spacing w:after="0"/>
              <w:rPr>
                <w:sz w:val="20"/>
                <w:szCs w:val="20"/>
                <w:color w:val="auto"/>
              </w:rPr>
            </w:pPr>
            <w:r>
              <w:rPr>
                <w:rFonts w:ascii="Arial" w:cs="Arial" w:eastAsia="Arial" w:hAnsi="Arial"/>
                <w:sz w:val="19"/>
                <w:szCs w:val="19"/>
                <w:b w:val="1"/>
                <w:bCs w:val="1"/>
                <w:color w:val="auto"/>
                <w:w w:val="97"/>
              </w:rPr>
              <w:t>A-1</w:t>
            </w:r>
          </w:p>
        </w:tc>
        <w:tc>
          <w:tcPr>
            <w:tcW w:w="0" w:type="dxa"/>
            <w:vAlign w:val="bottom"/>
          </w:tcPr>
          <w:p>
            <w:pPr>
              <w:spacing w:after="0"/>
              <w:rPr>
                <w:sz w:val="1"/>
                <w:szCs w:val="1"/>
                <w:color w:val="auto"/>
              </w:rPr>
            </w:pPr>
          </w:p>
        </w:tc>
      </w:tr>
      <w:tr>
        <w:trPr>
          <w:trHeight w:val="193"/>
        </w:trPr>
        <w:tc>
          <w:tcPr>
            <w:tcW w:w="200" w:type="dxa"/>
            <w:vAlign w:val="bottom"/>
            <w:tcBorders>
              <w:top w:val="single" w:sz="8" w:color="0000EE"/>
            </w:tcBorders>
          </w:tcPr>
          <w:p>
            <w:pPr>
              <w:spacing w:after="0"/>
              <w:rPr>
                <w:sz w:val="16"/>
                <w:szCs w:val="16"/>
                <w:color w:val="auto"/>
              </w:rPr>
            </w:pPr>
          </w:p>
        </w:tc>
        <w:tc>
          <w:tcPr>
            <w:tcW w:w="3960" w:type="dxa"/>
            <w:vAlign w:val="bottom"/>
            <w:tcBorders>
              <w:top w:val="single" w:sz="8" w:color="0000EE"/>
            </w:tcBorders>
            <w:gridSpan w:val="16"/>
          </w:tcPr>
          <w:p>
            <w:pPr>
              <w:spacing w:after="0" w:line="193" w:lineRule="exact"/>
              <w:rPr>
                <w:rFonts w:ascii="Arial" w:cs="Arial" w:eastAsia="Arial" w:hAnsi="Arial"/>
                <w:sz w:val="19"/>
                <w:szCs w:val="19"/>
                <w:b w:val="1"/>
                <w:bCs w:val="1"/>
                <w:color w:val="0000EE"/>
              </w:rPr>
            </w:pPr>
            <w:hyperlink w:anchor="page90">
              <w:r>
                <w:rPr>
                  <w:rFonts w:ascii="Arial" w:cs="Arial" w:eastAsia="Arial" w:hAnsi="Arial"/>
                  <w:sz w:val="19"/>
                  <w:szCs w:val="19"/>
                  <w:b w:val="1"/>
                  <w:bCs w:val="1"/>
                  <w:color w:val="0000EE"/>
                </w:rPr>
                <w:t>FINANCIAL MEASURES</w:t>
              </w:r>
            </w:hyperlink>
          </w:p>
        </w:tc>
        <w:tc>
          <w:tcPr>
            <w:tcW w:w="100" w:type="dxa"/>
            <w:vAlign w:val="bottom"/>
            <w:gridSpan w:val="3"/>
          </w:tcPr>
          <w:p>
            <w:pPr>
              <w:spacing w:after="0"/>
              <w:rPr>
                <w:sz w:val="16"/>
                <w:szCs w:val="16"/>
                <w:color w:val="auto"/>
              </w:rPr>
            </w:pPr>
          </w:p>
        </w:tc>
        <w:tc>
          <w:tcPr>
            <w:tcW w:w="600" w:type="dxa"/>
            <w:vAlign w:val="bottom"/>
            <w:gridSpan w:val="5"/>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860" w:type="dxa"/>
            <w:vAlign w:val="bottom"/>
            <w:gridSpan w:val="25"/>
          </w:tcPr>
          <w:p>
            <w:pPr>
              <w:spacing w:after="0"/>
              <w:rPr>
                <w:rFonts w:ascii="Arial" w:cs="Arial" w:eastAsia="Arial" w:hAnsi="Arial"/>
                <w:sz w:val="19"/>
                <w:szCs w:val="19"/>
                <w:b w:val="1"/>
                <w:bCs w:val="1"/>
                <w:color w:val="0000EE"/>
              </w:rPr>
            </w:pPr>
            <w:hyperlink w:anchor="page92">
              <w:r>
                <w:rPr>
                  <w:rFonts w:ascii="Arial" w:cs="Arial" w:eastAsia="Arial" w:hAnsi="Arial"/>
                  <w:sz w:val="19"/>
                  <w:szCs w:val="19"/>
                  <w:b w:val="1"/>
                  <w:bCs w:val="1"/>
                  <w:color w:val="0000EE"/>
                </w:rPr>
                <w:t>APPENDIX B LEAR CORPORATION 2019 LONG-</w:t>
              </w:r>
            </w:hyperlink>
          </w:p>
        </w:tc>
        <w:tc>
          <w:tcPr>
            <w:tcW w:w="460" w:type="dxa"/>
            <w:vAlign w:val="bottom"/>
            <w:vMerge w:val="restart"/>
          </w:tcPr>
          <w:p>
            <w:pPr>
              <w:jc w:val="right"/>
              <w:ind w:right="47"/>
              <w:spacing w:after="0"/>
              <w:rPr>
                <w:sz w:val="20"/>
                <w:szCs w:val="20"/>
                <w:color w:val="auto"/>
              </w:rPr>
            </w:pPr>
            <w:r>
              <w:rPr>
                <w:rFonts w:ascii="Arial" w:cs="Arial" w:eastAsia="Arial" w:hAnsi="Arial"/>
                <w:sz w:val="19"/>
                <w:szCs w:val="19"/>
                <w:b w:val="1"/>
                <w:bCs w:val="1"/>
                <w:color w:val="auto"/>
                <w:w w:val="97"/>
              </w:rPr>
              <w:t>B-1</w:t>
            </w:r>
          </w:p>
        </w:tc>
        <w:tc>
          <w:tcPr>
            <w:tcW w:w="0" w:type="dxa"/>
            <w:vAlign w:val="bottom"/>
          </w:tcPr>
          <w:p>
            <w:pPr>
              <w:spacing w:after="0"/>
              <w:rPr>
                <w:sz w:val="1"/>
                <w:szCs w:val="1"/>
                <w:color w:val="auto"/>
              </w:rPr>
            </w:pPr>
          </w:p>
        </w:tc>
      </w:tr>
      <w:tr>
        <w:trPr>
          <w:trHeight w:val="193"/>
        </w:trPr>
        <w:tc>
          <w:tcPr>
            <w:tcW w:w="200" w:type="dxa"/>
            <w:vAlign w:val="bottom"/>
            <w:tcBorders>
              <w:top w:val="single" w:sz="8" w:color="0000EE"/>
            </w:tcBorders>
          </w:tcPr>
          <w:p>
            <w:pPr>
              <w:spacing w:after="0"/>
              <w:rPr>
                <w:sz w:val="16"/>
                <w:szCs w:val="16"/>
                <w:color w:val="auto"/>
              </w:rPr>
            </w:pPr>
          </w:p>
        </w:tc>
        <w:tc>
          <w:tcPr>
            <w:tcW w:w="4060" w:type="dxa"/>
            <w:vAlign w:val="bottom"/>
            <w:tcBorders>
              <w:top w:val="single" w:sz="8" w:color="0000EE"/>
            </w:tcBorders>
            <w:gridSpan w:val="19"/>
          </w:tcPr>
          <w:p>
            <w:pPr>
              <w:spacing w:after="0" w:line="193" w:lineRule="exact"/>
              <w:rPr>
                <w:rFonts w:ascii="Arial" w:cs="Arial" w:eastAsia="Arial" w:hAnsi="Arial"/>
                <w:sz w:val="19"/>
                <w:szCs w:val="19"/>
                <w:b w:val="1"/>
                <w:bCs w:val="1"/>
                <w:color w:val="0000EE"/>
              </w:rPr>
            </w:pPr>
            <w:hyperlink w:anchor="page92">
              <w:r>
                <w:rPr>
                  <w:rFonts w:ascii="Arial" w:cs="Arial" w:eastAsia="Arial" w:hAnsi="Arial"/>
                  <w:sz w:val="19"/>
                  <w:szCs w:val="19"/>
                  <w:b w:val="1"/>
                  <w:bCs w:val="1"/>
                  <w:color w:val="0000EE"/>
                </w:rPr>
                <w:t>TERM STOCK INCENTIVE PLAN</w:t>
              </w:r>
            </w:hyperlink>
          </w:p>
        </w:tc>
        <w:tc>
          <w:tcPr>
            <w:tcW w:w="600" w:type="dxa"/>
            <w:vAlign w:val="bottom"/>
            <w:gridSpan w:val="5"/>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gridSpan w:val="14"/>
          </w:tcPr>
          <w:p>
            <w:pPr>
              <w:ind w:left="200"/>
              <w:spacing w:after="0"/>
              <w:rPr>
                <w:sz w:val="20"/>
                <w:szCs w:val="20"/>
                <w:color w:val="auto"/>
              </w:rPr>
            </w:pPr>
            <w:r>
              <w:rPr>
                <w:rFonts w:ascii="Arial" w:cs="Arial" w:eastAsia="Arial" w:hAnsi="Arial"/>
                <w:sz w:val="15"/>
                <w:szCs w:val="15"/>
                <w:b w:val="1"/>
                <w:bCs w:val="1"/>
                <w:color w:val="E2231A"/>
              </w:rPr>
              <w:t>2019 Proxy Statement</w:t>
            </w:r>
          </w:p>
        </w:tc>
        <w:tc>
          <w:tcPr>
            <w:tcW w:w="460" w:type="dxa"/>
            <w:vAlign w:val="bottom"/>
          </w:tcPr>
          <w:p>
            <w:pPr>
              <w:jc w:val="right"/>
              <w:ind w:right="7"/>
              <w:spacing w:after="0"/>
              <w:rPr>
                <w:sz w:val="20"/>
                <w:szCs w:val="20"/>
                <w:color w:val="auto"/>
              </w:rPr>
            </w:pPr>
            <w:r>
              <w:rPr>
                <w:rFonts w:ascii="Arial" w:cs="Arial" w:eastAsia="Arial" w:hAnsi="Arial"/>
                <w:sz w:val="18"/>
                <w:szCs w:val="18"/>
                <w:b w:val="1"/>
                <w:bCs w:val="1"/>
                <w:color w:val="E2231A"/>
              </w:rPr>
              <w:t xml:space="preserve">|  </w:t>
            </w:r>
            <w:r>
              <w:rPr>
                <w:rFonts w:ascii="Arial" w:cs="Arial" w:eastAsia="Arial" w:hAnsi="Arial"/>
                <w:sz w:val="18"/>
                <w:szCs w:val="18"/>
                <w:b w:val="1"/>
                <w:bCs w:val="1"/>
                <w:color w:val="000000"/>
              </w:rPr>
              <w:t>i</w:t>
            </w:r>
          </w:p>
        </w:tc>
        <w:tc>
          <w:tcPr>
            <w:tcW w:w="0" w:type="dxa"/>
            <w:vAlign w:val="bottom"/>
          </w:tcPr>
          <w:p>
            <w:pPr>
              <w:spacing w:after="0"/>
              <w:rPr>
                <w:sz w:val="1"/>
                <w:szCs w:val="1"/>
                <w:color w:val="auto"/>
              </w:rPr>
            </w:pPr>
          </w:p>
        </w:tc>
      </w:tr>
    </w:tbl>
    <w:p>
      <w:pPr>
        <w:sectPr>
          <w:pgSz w:w="11900" w:h="16838" w:orient="portrait"/>
          <w:cols w:equalWidth="0" w:num="2">
            <w:col w:w="5500" w:space="320"/>
            <w:col w:w="5320"/>
          </w:cols>
          <w:pgMar w:left="240" w:top="455" w:right="5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left="280"/>
        <w:spacing w:after="0"/>
        <w:rPr>
          <w:sz w:val="20"/>
          <w:szCs w:val="20"/>
          <w:color w:val="auto"/>
        </w:rPr>
      </w:pPr>
      <w:r>
        <w:rPr>
          <w:rFonts w:ascii="Arial" w:cs="Arial" w:eastAsia="Arial" w:hAnsi="Arial"/>
          <w:sz w:val="39"/>
          <w:szCs w:val="39"/>
          <w:b w:val="1"/>
          <w:bCs w:val="1"/>
          <w:color w:val="E2231A"/>
        </w:rPr>
        <w:t>LEAR CORPORATION</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39"/>
          <w:szCs w:val="39"/>
          <w:b w:val="1"/>
          <w:bCs w:val="1"/>
          <w:color w:val="E2231A"/>
        </w:rPr>
        <w:t>2019 PROXY STATEMENT SUMMARY</w:t>
      </w:r>
    </w:p>
    <w:p>
      <w:pPr>
        <w:spacing w:after="0" w:line="157" w:lineRule="exact"/>
        <w:rPr>
          <w:sz w:val="20"/>
          <w:szCs w:val="20"/>
          <w:color w:val="auto"/>
        </w:rPr>
      </w:pPr>
    </w:p>
    <w:p>
      <w:pPr>
        <w:ind w:left="280" w:right="280"/>
        <w:spacing w:after="0" w:line="248" w:lineRule="auto"/>
        <w:rPr>
          <w:sz w:val="20"/>
          <w:szCs w:val="20"/>
          <w:color w:val="auto"/>
        </w:rPr>
      </w:pPr>
      <w:r>
        <w:rPr>
          <w:rFonts w:ascii="Arial" w:cs="Arial" w:eastAsia="Arial" w:hAnsi="Arial"/>
          <w:sz w:val="16"/>
          <w:szCs w:val="16"/>
          <w:color w:val="auto"/>
        </w:rPr>
        <w:t>This summary highlights information contained elsewhere in the proxy statement. This summary does not contain all of the information that you should consider, and you should read the entire proxy statement carefully before voting. For more complete information regarding the Company’s 2018 performance, please review our 2018 Annual Report on Form 10-K.</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41" w:lineRule="exact"/>
        <w:rPr>
          <w:sz w:val="20"/>
          <w:szCs w:val="20"/>
          <w:color w:val="auto"/>
        </w:rPr>
      </w:pPr>
    </w:p>
    <w:p>
      <w:pPr>
        <w:ind w:left="820" w:hanging="221"/>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Date and Time: </w:t>
      </w:r>
      <w:r>
        <w:rPr>
          <w:rFonts w:ascii="Arial" w:cs="Arial" w:eastAsia="Arial" w:hAnsi="Arial"/>
          <w:sz w:val="16"/>
          <w:szCs w:val="16"/>
          <w:color w:val="auto"/>
        </w:rPr>
        <w:t>May 16, 2019, 9:00 a.m. (Eastern Time)</w:t>
      </w:r>
    </w:p>
    <w:p>
      <w:pPr>
        <w:spacing w:after="0" w:line="22" w:lineRule="exact"/>
        <w:rPr>
          <w:rFonts w:ascii="Arial" w:cs="Arial" w:eastAsia="Arial" w:hAnsi="Arial"/>
          <w:sz w:val="16"/>
          <w:szCs w:val="16"/>
          <w:color w:val="auto"/>
        </w:rPr>
      </w:pPr>
    </w:p>
    <w:p>
      <w:pPr>
        <w:ind w:left="820" w:hanging="221"/>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Lear Corporation’s Corporate Headquarters, 21557 Telegraph Road, Southfield, Michigan 48033</w:t>
      </w:r>
    </w:p>
    <w:p>
      <w:pPr>
        <w:spacing w:after="0" w:line="2" w:lineRule="exact"/>
        <w:rPr>
          <w:rFonts w:ascii="Arial" w:cs="Arial" w:eastAsia="Arial" w:hAnsi="Arial"/>
          <w:sz w:val="16"/>
          <w:szCs w:val="16"/>
          <w:color w:val="auto"/>
        </w:rPr>
      </w:pPr>
    </w:p>
    <w:p>
      <w:pPr>
        <w:ind w:left="820" w:hanging="221"/>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Record Date: </w:t>
      </w:r>
      <w:r>
        <w:rPr>
          <w:rFonts w:ascii="Arial" w:cs="Arial" w:eastAsia="Arial" w:hAnsi="Arial"/>
          <w:sz w:val="16"/>
          <w:szCs w:val="16"/>
          <w:color w:val="auto"/>
        </w:rPr>
        <w:t>March 21, 2019</w:t>
      </w:r>
    </w:p>
    <w:p>
      <w:pPr>
        <w:spacing w:after="0" w:line="2" w:lineRule="exact"/>
        <w:rPr>
          <w:rFonts w:ascii="Arial" w:cs="Arial" w:eastAsia="Arial" w:hAnsi="Arial"/>
          <w:sz w:val="16"/>
          <w:szCs w:val="16"/>
          <w:color w:val="auto"/>
        </w:rPr>
      </w:pPr>
    </w:p>
    <w:p>
      <w:pPr>
        <w:ind w:left="820" w:right="280" w:hanging="221"/>
        <w:spacing w:after="0" w:line="243"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Voting: </w:t>
      </w:r>
      <w:r>
        <w:rPr>
          <w:rFonts w:ascii="Arial" w:cs="Arial" w:eastAsia="Arial" w:hAnsi="Arial"/>
          <w:sz w:val="16"/>
          <w:szCs w:val="16"/>
          <w:color w:val="auto"/>
        </w:rPr>
        <w:t>Stockholders as of the close of business on the record date are entitled to vote. Each share of common stock is entitled to one vote for</w:t>
      </w:r>
      <w:r>
        <w:rPr>
          <w:rFonts w:ascii="Arial" w:cs="Arial" w:eastAsia="Arial" w:hAnsi="Arial"/>
          <w:sz w:val="16"/>
          <w:szCs w:val="16"/>
          <w:b w:val="1"/>
          <w:bCs w:val="1"/>
          <w:color w:val="auto"/>
        </w:rPr>
        <w:t xml:space="preserve"> </w:t>
      </w:r>
      <w:r>
        <w:rPr>
          <w:rFonts w:ascii="Arial" w:cs="Arial" w:eastAsia="Arial" w:hAnsi="Arial"/>
          <w:sz w:val="16"/>
          <w:szCs w:val="16"/>
          <w:color w:val="auto"/>
        </w:rPr>
        <w:t>each director nominee and one vote for the other proposals to be voted on.</w:t>
      </w:r>
    </w:p>
    <w:p>
      <w:pPr>
        <w:ind w:left="820" w:hanging="221"/>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Shares of Common Stock Outstanding (as of the record date): </w:t>
      </w:r>
      <w:r>
        <w:rPr>
          <w:rFonts w:ascii="Arial" w:cs="Arial" w:eastAsia="Arial" w:hAnsi="Arial"/>
          <w:sz w:val="16"/>
          <w:szCs w:val="16"/>
          <w:color w:val="auto"/>
        </w:rPr>
        <w:t>62,415,363</w:t>
      </w:r>
    </w:p>
    <w:p>
      <w:pPr>
        <w:spacing w:after="0" w:line="2" w:lineRule="exact"/>
        <w:rPr>
          <w:rFonts w:ascii="Arial" w:cs="Arial" w:eastAsia="Arial" w:hAnsi="Arial"/>
          <w:sz w:val="16"/>
          <w:szCs w:val="16"/>
          <w:color w:val="auto"/>
        </w:rPr>
      </w:pPr>
    </w:p>
    <w:p>
      <w:pPr>
        <w:ind w:left="820" w:hanging="221"/>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Stock Symbol: </w:t>
      </w:r>
      <w:r>
        <w:rPr>
          <w:rFonts w:ascii="Arial" w:cs="Arial" w:eastAsia="Arial" w:hAnsi="Arial"/>
          <w:sz w:val="16"/>
          <w:szCs w:val="16"/>
          <w:color w:val="auto"/>
        </w:rPr>
        <w:t>LEA</w:t>
      </w:r>
    </w:p>
    <w:p>
      <w:pPr>
        <w:spacing w:after="0" w:line="2" w:lineRule="exact"/>
        <w:rPr>
          <w:rFonts w:ascii="Arial" w:cs="Arial" w:eastAsia="Arial" w:hAnsi="Arial"/>
          <w:sz w:val="16"/>
          <w:szCs w:val="16"/>
          <w:color w:val="auto"/>
        </w:rPr>
      </w:pPr>
    </w:p>
    <w:p>
      <w:pPr>
        <w:ind w:left="820" w:hanging="221"/>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Exchange: </w:t>
      </w:r>
      <w:r>
        <w:rPr>
          <w:rFonts w:ascii="Arial" w:cs="Arial" w:eastAsia="Arial" w:hAnsi="Arial"/>
          <w:sz w:val="16"/>
          <w:szCs w:val="16"/>
          <w:color w:val="auto"/>
        </w:rPr>
        <w:t>NYSE</w:t>
      </w:r>
    </w:p>
    <w:p>
      <w:pPr>
        <w:spacing w:after="0" w:line="2" w:lineRule="exact"/>
        <w:rPr>
          <w:rFonts w:ascii="Arial" w:cs="Arial" w:eastAsia="Arial" w:hAnsi="Arial"/>
          <w:sz w:val="16"/>
          <w:szCs w:val="16"/>
          <w:color w:val="auto"/>
        </w:rPr>
      </w:pPr>
    </w:p>
    <w:p>
      <w:pPr>
        <w:ind w:left="820" w:hanging="221"/>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Registrar &amp; Transfer Agent: </w:t>
      </w:r>
      <w:r>
        <w:rPr>
          <w:rFonts w:ascii="Arial" w:cs="Arial" w:eastAsia="Arial" w:hAnsi="Arial"/>
          <w:sz w:val="16"/>
          <w:szCs w:val="16"/>
          <w:color w:val="auto"/>
        </w:rPr>
        <w:t>Computershare Trust Company, N.A.</w:t>
      </w:r>
    </w:p>
    <w:p>
      <w:pPr>
        <w:spacing w:after="0" w:line="2" w:lineRule="exact"/>
        <w:rPr>
          <w:rFonts w:ascii="Arial" w:cs="Arial" w:eastAsia="Arial" w:hAnsi="Arial"/>
          <w:sz w:val="16"/>
          <w:szCs w:val="16"/>
          <w:color w:val="auto"/>
        </w:rPr>
      </w:pPr>
    </w:p>
    <w:p>
      <w:pPr>
        <w:ind w:left="820" w:hanging="221"/>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Principal Executive Office: </w:t>
      </w:r>
      <w:r>
        <w:rPr>
          <w:rFonts w:ascii="Arial" w:cs="Arial" w:eastAsia="Arial" w:hAnsi="Arial"/>
          <w:sz w:val="16"/>
          <w:szCs w:val="16"/>
          <w:color w:val="auto"/>
        </w:rPr>
        <w:t>21557 Telegraph Road, Southfield, Michigan 48033</w:t>
      </w:r>
    </w:p>
    <w:p>
      <w:pPr>
        <w:spacing w:after="0" w:line="2" w:lineRule="exact"/>
        <w:rPr>
          <w:rFonts w:ascii="Arial" w:cs="Arial" w:eastAsia="Arial" w:hAnsi="Arial"/>
          <w:sz w:val="16"/>
          <w:szCs w:val="16"/>
          <w:color w:val="auto"/>
        </w:rPr>
      </w:pPr>
    </w:p>
    <w:p>
      <w:pPr>
        <w:ind w:left="820" w:hanging="221"/>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Corporate Website: </w:t>
      </w:r>
      <w:r>
        <w:rPr>
          <w:rFonts w:ascii="Arial" w:cs="Arial" w:eastAsia="Arial" w:hAnsi="Arial"/>
          <w:sz w:val="16"/>
          <w:szCs w:val="16"/>
          <w:color w:val="auto"/>
        </w:rPr>
        <w:t>lear.com</w:t>
      </w:r>
    </w:p>
    <w:p>
      <w:pPr>
        <w:spacing w:after="0" w:line="2" w:lineRule="exact"/>
        <w:rPr>
          <w:rFonts w:ascii="Arial" w:cs="Arial" w:eastAsia="Arial" w:hAnsi="Arial"/>
          <w:sz w:val="16"/>
          <w:szCs w:val="16"/>
          <w:color w:val="auto"/>
        </w:rPr>
      </w:pPr>
    </w:p>
    <w:p>
      <w:pPr>
        <w:ind w:left="820" w:hanging="221"/>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Investor Relations Website: </w:t>
      </w:r>
      <w:r>
        <w:rPr>
          <w:rFonts w:ascii="Arial" w:cs="Arial" w:eastAsia="Arial" w:hAnsi="Arial"/>
          <w:sz w:val="16"/>
          <w:szCs w:val="16"/>
          <w:color w:val="auto"/>
        </w:rPr>
        <w:t>ir.lear.com</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365"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3500" w:type="dxa"/>
            <w:vAlign w:val="bottom"/>
            <w:gridSpan w:val="2"/>
          </w:tcPr>
          <w:p>
            <w:pPr>
              <w:spacing w:after="0"/>
              <w:rPr>
                <w:sz w:val="20"/>
                <w:szCs w:val="20"/>
                <w:color w:val="auto"/>
              </w:rPr>
            </w:pPr>
            <w:r>
              <w:rPr>
                <w:rFonts w:ascii="Arial" w:cs="Arial" w:eastAsia="Arial" w:hAnsi="Arial"/>
                <w:sz w:val="14"/>
                <w:szCs w:val="14"/>
                <w:b w:val="1"/>
                <w:bCs w:val="1"/>
                <w:color w:val="E2231A"/>
              </w:rPr>
              <w:t>Proposal</w:t>
            </w:r>
          </w:p>
        </w:tc>
        <w:tc>
          <w:tcPr>
            <w:tcW w:w="1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b w:val="1"/>
                <w:bCs w:val="1"/>
                <w:color w:val="E2231A"/>
              </w:rPr>
              <w:t>Our Board’s Recommendation</w:t>
            </w:r>
          </w:p>
        </w:tc>
      </w:tr>
      <w:tr>
        <w:trPr>
          <w:trHeight w:val="180"/>
        </w:trPr>
        <w:tc>
          <w:tcPr>
            <w:tcW w:w="20" w:type="dxa"/>
            <w:vAlign w:val="bottom"/>
          </w:tcPr>
          <w:p>
            <w:pPr>
              <w:spacing w:after="0"/>
              <w:rPr>
                <w:sz w:val="15"/>
                <w:szCs w:val="15"/>
                <w:color w:val="auto"/>
              </w:rPr>
            </w:pPr>
          </w:p>
        </w:tc>
        <w:tc>
          <w:tcPr>
            <w:tcW w:w="3480" w:type="dxa"/>
            <w:vAlign w:val="bottom"/>
            <w:tcBorders>
              <w:top w:val="single" w:sz="8" w:color="auto"/>
            </w:tcBorders>
            <w:shd w:val="clear" w:color="auto" w:fill="FCE9E8"/>
          </w:tcPr>
          <w:p>
            <w:pPr>
              <w:spacing w:after="0" w:line="180" w:lineRule="exact"/>
              <w:rPr>
                <w:sz w:val="20"/>
                <w:szCs w:val="20"/>
                <w:color w:val="auto"/>
              </w:rPr>
            </w:pPr>
            <w:r>
              <w:rPr>
                <w:rFonts w:ascii="Arial" w:cs="Arial" w:eastAsia="Arial" w:hAnsi="Arial"/>
                <w:sz w:val="16"/>
                <w:szCs w:val="16"/>
                <w:color w:val="auto"/>
              </w:rPr>
              <w:t>Election of Directors (page 6)</w:t>
            </w:r>
          </w:p>
        </w:tc>
        <w:tc>
          <w:tcPr>
            <w:tcW w:w="1760" w:type="dxa"/>
            <w:vAlign w:val="bottom"/>
            <w:tcBorders>
              <w:top w:val="single" w:sz="8" w:color="auto"/>
            </w:tcBorders>
            <w:shd w:val="clear" w:color="auto" w:fill="FCE9E8"/>
          </w:tcPr>
          <w:p>
            <w:pPr>
              <w:spacing w:after="0"/>
              <w:rPr>
                <w:sz w:val="15"/>
                <w:szCs w:val="15"/>
                <w:color w:val="auto"/>
              </w:rPr>
            </w:pPr>
          </w:p>
        </w:tc>
        <w:tc>
          <w:tcPr>
            <w:tcW w:w="1800" w:type="dxa"/>
            <w:vAlign w:val="bottom"/>
            <w:tcBorders>
              <w:top w:val="single" w:sz="8" w:color="auto"/>
            </w:tcBorders>
            <w:shd w:val="clear" w:color="auto" w:fill="FCE9E8"/>
          </w:tcPr>
          <w:p>
            <w:pPr>
              <w:spacing w:after="0"/>
              <w:rPr>
                <w:sz w:val="15"/>
                <w:szCs w:val="15"/>
                <w:color w:val="auto"/>
              </w:rPr>
            </w:pPr>
          </w:p>
        </w:tc>
        <w:tc>
          <w:tcPr>
            <w:tcW w:w="860" w:type="dxa"/>
            <w:vAlign w:val="bottom"/>
            <w:tcBorders>
              <w:top w:val="single" w:sz="8" w:color="auto"/>
            </w:tcBorders>
            <w:shd w:val="clear" w:color="auto" w:fill="FCE9E8"/>
          </w:tcPr>
          <w:p>
            <w:pPr>
              <w:spacing w:after="0"/>
              <w:rPr>
                <w:sz w:val="15"/>
                <w:szCs w:val="15"/>
                <w:color w:val="auto"/>
              </w:rPr>
            </w:pPr>
          </w:p>
        </w:tc>
        <w:tc>
          <w:tcPr>
            <w:tcW w:w="1660" w:type="dxa"/>
            <w:vAlign w:val="bottom"/>
            <w:tcBorders>
              <w:top w:val="single" w:sz="8" w:color="auto"/>
            </w:tcBorders>
            <w:shd w:val="clear" w:color="auto" w:fill="FCE9E8"/>
          </w:tcPr>
          <w:p>
            <w:pPr>
              <w:spacing w:after="0"/>
              <w:rPr>
                <w:sz w:val="15"/>
                <w:szCs w:val="15"/>
                <w:color w:val="auto"/>
              </w:rPr>
            </w:pPr>
          </w:p>
        </w:tc>
        <w:tc>
          <w:tcPr>
            <w:tcW w:w="1300" w:type="dxa"/>
            <w:vAlign w:val="bottom"/>
            <w:tcBorders>
              <w:top w:val="single" w:sz="8" w:color="auto"/>
            </w:tcBorders>
            <w:shd w:val="clear" w:color="auto" w:fill="FCE9E8"/>
          </w:tcPr>
          <w:p>
            <w:pPr>
              <w:ind w:left="100"/>
              <w:spacing w:after="0" w:line="180" w:lineRule="exact"/>
              <w:rPr>
                <w:sz w:val="20"/>
                <w:szCs w:val="20"/>
                <w:color w:val="auto"/>
              </w:rPr>
            </w:pPr>
            <w:r>
              <w:rPr>
                <w:rFonts w:ascii="Arial" w:cs="Arial" w:eastAsia="Arial" w:hAnsi="Arial"/>
                <w:sz w:val="16"/>
                <w:szCs w:val="16"/>
                <w:color w:val="auto"/>
              </w:rPr>
              <w:t>FOR</w:t>
            </w:r>
          </w:p>
        </w:tc>
      </w:tr>
      <w:tr>
        <w:trPr>
          <w:trHeight w:val="186"/>
        </w:trPr>
        <w:tc>
          <w:tcPr>
            <w:tcW w:w="7060" w:type="dxa"/>
            <w:vAlign w:val="bottom"/>
            <w:gridSpan w:val="4"/>
          </w:tcPr>
          <w:p>
            <w:pPr>
              <w:spacing w:after="0"/>
              <w:rPr>
                <w:sz w:val="20"/>
                <w:szCs w:val="20"/>
                <w:color w:val="auto"/>
              </w:rPr>
            </w:pPr>
            <w:r>
              <w:rPr>
                <w:rFonts w:ascii="Arial" w:cs="Arial" w:eastAsia="Arial" w:hAnsi="Arial"/>
                <w:sz w:val="16"/>
                <w:szCs w:val="16"/>
                <w:color w:val="auto"/>
              </w:rPr>
              <w:t>Ratification of Retention of Independent Registered Public Accounting Firm (page 67)</w:t>
            </w:r>
          </w:p>
        </w:tc>
        <w:tc>
          <w:tcPr>
            <w:tcW w:w="8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00" w:type="dxa"/>
            <w:vAlign w:val="bottom"/>
          </w:tcPr>
          <w:p>
            <w:pPr>
              <w:ind w:left="100"/>
              <w:spacing w:after="0"/>
              <w:rPr>
                <w:sz w:val="20"/>
                <w:szCs w:val="20"/>
                <w:color w:val="auto"/>
              </w:rPr>
            </w:pPr>
            <w:r>
              <w:rPr>
                <w:rFonts w:ascii="Arial" w:cs="Arial" w:eastAsia="Arial" w:hAnsi="Arial"/>
                <w:sz w:val="16"/>
                <w:szCs w:val="16"/>
                <w:color w:val="auto"/>
              </w:rPr>
              <w:t>FOR</w:t>
            </w:r>
          </w:p>
        </w:tc>
      </w:tr>
      <w:tr>
        <w:trPr>
          <w:trHeight w:val="220"/>
        </w:trPr>
        <w:tc>
          <w:tcPr>
            <w:tcW w:w="20" w:type="dxa"/>
            <w:vAlign w:val="bottom"/>
          </w:tcPr>
          <w:p>
            <w:pPr>
              <w:spacing w:after="0"/>
              <w:rPr>
                <w:sz w:val="19"/>
                <w:szCs w:val="19"/>
                <w:color w:val="auto"/>
              </w:rPr>
            </w:pPr>
          </w:p>
        </w:tc>
        <w:tc>
          <w:tcPr>
            <w:tcW w:w="5240" w:type="dxa"/>
            <w:vAlign w:val="bottom"/>
            <w:tcBorders>
              <w:bottom w:val="single" w:sz="8" w:color="FCE9E8"/>
            </w:tcBorders>
            <w:gridSpan w:val="2"/>
            <w:shd w:val="clear" w:color="auto" w:fill="FCE9E8"/>
          </w:tcPr>
          <w:p>
            <w:pPr>
              <w:spacing w:after="0"/>
              <w:rPr>
                <w:sz w:val="20"/>
                <w:szCs w:val="20"/>
                <w:color w:val="auto"/>
              </w:rPr>
            </w:pPr>
            <w:r>
              <w:rPr>
                <w:rFonts w:ascii="Arial" w:cs="Arial" w:eastAsia="Arial" w:hAnsi="Arial"/>
                <w:sz w:val="16"/>
                <w:szCs w:val="16"/>
                <w:color w:val="auto"/>
              </w:rPr>
              <w:t>Advisory Vote to Approve Executive Compensation (page 68)</w:t>
            </w:r>
          </w:p>
        </w:tc>
        <w:tc>
          <w:tcPr>
            <w:tcW w:w="1800" w:type="dxa"/>
            <w:vAlign w:val="bottom"/>
            <w:tcBorders>
              <w:bottom w:val="single" w:sz="8" w:color="FCE9E8"/>
            </w:tcBorders>
            <w:shd w:val="clear" w:color="auto" w:fill="FCE9E8"/>
          </w:tcPr>
          <w:p>
            <w:pPr>
              <w:spacing w:after="0"/>
              <w:rPr>
                <w:sz w:val="19"/>
                <w:szCs w:val="19"/>
                <w:color w:val="auto"/>
              </w:rPr>
            </w:pPr>
          </w:p>
        </w:tc>
        <w:tc>
          <w:tcPr>
            <w:tcW w:w="860" w:type="dxa"/>
            <w:vAlign w:val="bottom"/>
            <w:tcBorders>
              <w:bottom w:val="single" w:sz="8" w:color="FCE9E8"/>
            </w:tcBorders>
            <w:shd w:val="clear" w:color="auto" w:fill="FCE9E8"/>
          </w:tcPr>
          <w:p>
            <w:pPr>
              <w:spacing w:after="0"/>
              <w:rPr>
                <w:sz w:val="19"/>
                <w:szCs w:val="19"/>
                <w:color w:val="auto"/>
              </w:rPr>
            </w:pPr>
          </w:p>
        </w:tc>
        <w:tc>
          <w:tcPr>
            <w:tcW w:w="1660" w:type="dxa"/>
            <w:vAlign w:val="bottom"/>
            <w:tcBorders>
              <w:bottom w:val="single" w:sz="8" w:color="FCE9E8"/>
            </w:tcBorders>
            <w:shd w:val="clear" w:color="auto" w:fill="FCE9E8"/>
          </w:tcPr>
          <w:p>
            <w:pPr>
              <w:spacing w:after="0"/>
              <w:rPr>
                <w:sz w:val="19"/>
                <w:szCs w:val="19"/>
                <w:color w:val="auto"/>
              </w:rPr>
            </w:pPr>
          </w:p>
        </w:tc>
        <w:tc>
          <w:tcPr>
            <w:tcW w:w="13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rPr>
              <w:t>FOR</w:t>
            </w:r>
          </w:p>
        </w:tc>
      </w:tr>
      <w:tr>
        <w:trPr>
          <w:trHeight w:val="186"/>
        </w:trPr>
        <w:tc>
          <w:tcPr>
            <w:tcW w:w="3500" w:type="dxa"/>
            <w:vAlign w:val="bottom"/>
            <w:gridSpan w:val="2"/>
          </w:tcPr>
          <w:p>
            <w:pPr>
              <w:spacing w:after="0"/>
              <w:rPr>
                <w:sz w:val="20"/>
                <w:szCs w:val="20"/>
                <w:color w:val="auto"/>
              </w:rPr>
            </w:pPr>
            <w:r>
              <w:rPr>
                <w:rFonts w:ascii="Arial" w:cs="Arial" w:eastAsia="Arial" w:hAnsi="Arial"/>
                <w:sz w:val="16"/>
                <w:szCs w:val="16"/>
                <w:color w:val="auto"/>
              </w:rPr>
              <w:t>Vote to Approve the 2019 LTSIP (page 69)</w:t>
            </w:r>
          </w:p>
        </w:tc>
        <w:tc>
          <w:tcPr>
            <w:tcW w:w="1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00" w:type="dxa"/>
            <w:vAlign w:val="bottom"/>
          </w:tcPr>
          <w:p>
            <w:pPr>
              <w:ind w:left="100"/>
              <w:spacing w:after="0"/>
              <w:rPr>
                <w:sz w:val="20"/>
                <w:szCs w:val="20"/>
                <w:color w:val="auto"/>
              </w:rPr>
            </w:pPr>
            <w:r>
              <w:rPr>
                <w:rFonts w:ascii="Arial" w:cs="Arial" w:eastAsia="Arial" w:hAnsi="Arial"/>
                <w:sz w:val="16"/>
                <w:szCs w:val="16"/>
                <w:color w:val="auto"/>
              </w:rPr>
              <w:t>FOR</w:t>
            </w:r>
          </w:p>
        </w:tc>
      </w:tr>
      <w:tr>
        <w:trPr>
          <w:trHeight w:val="168"/>
        </w:trPr>
        <w:tc>
          <w:tcPr>
            <w:tcW w:w="20" w:type="dxa"/>
            <w:vAlign w:val="bottom"/>
          </w:tcPr>
          <w:p>
            <w:pPr>
              <w:spacing w:after="0"/>
              <w:rPr>
                <w:sz w:val="14"/>
                <w:szCs w:val="14"/>
                <w:color w:val="auto"/>
              </w:rPr>
            </w:pPr>
          </w:p>
        </w:tc>
        <w:tc>
          <w:tcPr>
            <w:tcW w:w="10860" w:type="dxa"/>
            <w:vAlign w:val="bottom"/>
            <w:gridSpan w:val="6"/>
            <w:shd w:val="clear" w:color="auto" w:fill="FCE9E8"/>
          </w:tcPr>
          <w:p>
            <w:pPr>
              <w:spacing w:after="0" w:line="168" w:lineRule="exact"/>
              <w:rPr>
                <w:sz w:val="20"/>
                <w:szCs w:val="20"/>
                <w:color w:val="auto"/>
              </w:rPr>
            </w:pPr>
            <w:r>
              <w:rPr>
                <w:rFonts w:ascii="Arial" w:cs="Arial" w:eastAsia="Arial" w:hAnsi="Arial"/>
                <w:sz w:val="16"/>
                <w:szCs w:val="16"/>
                <w:b w:val="1"/>
                <w:bCs w:val="1"/>
                <w:color w:val="auto"/>
              </w:rPr>
              <w:t>YOUR VOTE IS IMPORTANT. WHETHER OR NOT YOU PLAN TO ATTEND THE ANNUAL MEETING, PLEASE VOTE YOUR SHARES OVER THE</w:t>
            </w:r>
          </w:p>
        </w:tc>
      </w:tr>
      <w:tr>
        <w:trPr>
          <w:trHeight w:val="186"/>
        </w:trPr>
        <w:tc>
          <w:tcPr>
            <w:tcW w:w="20" w:type="dxa"/>
            <w:vAlign w:val="bottom"/>
          </w:tcPr>
          <w:p>
            <w:pPr>
              <w:spacing w:after="0"/>
              <w:rPr>
                <w:sz w:val="16"/>
                <w:szCs w:val="16"/>
                <w:color w:val="auto"/>
              </w:rPr>
            </w:pPr>
          </w:p>
        </w:tc>
        <w:tc>
          <w:tcPr>
            <w:tcW w:w="10860" w:type="dxa"/>
            <w:vAlign w:val="bottom"/>
            <w:gridSpan w:val="6"/>
            <w:shd w:val="clear" w:color="auto" w:fill="FCE9E8"/>
          </w:tcPr>
          <w:p>
            <w:pPr>
              <w:spacing w:after="0"/>
              <w:rPr>
                <w:sz w:val="20"/>
                <w:szCs w:val="20"/>
                <w:color w:val="auto"/>
              </w:rPr>
            </w:pPr>
            <w:r>
              <w:rPr>
                <w:rFonts w:ascii="Arial" w:cs="Arial" w:eastAsia="Arial" w:hAnsi="Arial"/>
                <w:sz w:val="16"/>
                <w:szCs w:val="16"/>
                <w:b w:val="1"/>
                <w:bCs w:val="1"/>
                <w:color w:val="auto"/>
              </w:rPr>
              <w:t>TELEPHONE, VIA THE INTERNET OR BY COMPLETING, DATING, SIGNING AND RETURNING A PROXY CARD, AS DESCRIBED IN THE PROXY</w:t>
            </w:r>
          </w:p>
        </w:tc>
      </w:tr>
      <w:tr>
        <w:trPr>
          <w:trHeight w:val="205"/>
        </w:trPr>
        <w:tc>
          <w:tcPr>
            <w:tcW w:w="20" w:type="dxa"/>
            <w:vAlign w:val="bottom"/>
          </w:tcPr>
          <w:p>
            <w:pPr>
              <w:spacing w:after="0"/>
              <w:rPr>
                <w:sz w:val="17"/>
                <w:szCs w:val="17"/>
                <w:color w:val="auto"/>
              </w:rPr>
            </w:pPr>
          </w:p>
        </w:tc>
        <w:tc>
          <w:tcPr>
            <w:tcW w:w="7040" w:type="dxa"/>
            <w:vAlign w:val="bottom"/>
            <w:tcBorders>
              <w:bottom w:val="single" w:sz="8" w:color="auto"/>
            </w:tcBorders>
            <w:gridSpan w:val="3"/>
            <w:shd w:val="clear" w:color="auto" w:fill="FCE9E8"/>
          </w:tcPr>
          <w:p>
            <w:pPr>
              <w:spacing w:after="0"/>
              <w:rPr>
                <w:sz w:val="20"/>
                <w:szCs w:val="20"/>
                <w:color w:val="auto"/>
              </w:rPr>
            </w:pPr>
            <w:r>
              <w:rPr>
                <w:rFonts w:ascii="Arial" w:cs="Arial" w:eastAsia="Arial" w:hAnsi="Arial"/>
                <w:sz w:val="16"/>
                <w:szCs w:val="16"/>
                <w:b w:val="1"/>
                <w:bCs w:val="1"/>
                <w:color w:val="auto"/>
              </w:rPr>
              <w:t>STATEMENT. YOUR PROMPT COOPERATION IS GREATLY APPRECIATED.</w:t>
            </w:r>
          </w:p>
        </w:tc>
        <w:tc>
          <w:tcPr>
            <w:tcW w:w="860" w:type="dxa"/>
            <w:vAlign w:val="bottom"/>
            <w:tcBorders>
              <w:bottom w:val="single" w:sz="8" w:color="auto"/>
            </w:tcBorders>
            <w:shd w:val="clear" w:color="auto" w:fill="FCE9E8"/>
          </w:tcPr>
          <w:p>
            <w:pPr>
              <w:spacing w:after="0"/>
              <w:rPr>
                <w:sz w:val="17"/>
                <w:szCs w:val="17"/>
                <w:color w:val="auto"/>
              </w:rPr>
            </w:pPr>
          </w:p>
        </w:tc>
        <w:tc>
          <w:tcPr>
            <w:tcW w:w="1660" w:type="dxa"/>
            <w:vAlign w:val="bottom"/>
            <w:tcBorders>
              <w:bottom w:val="single" w:sz="8" w:color="auto"/>
            </w:tcBorders>
            <w:shd w:val="clear" w:color="auto" w:fill="FCE9E8"/>
          </w:tcPr>
          <w:p>
            <w:pPr>
              <w:spacing w:after="0"/>
              <w:rPr>
                <w:sz w:val="17"/>
                <w:szCs w:val="17"/>
                <w:color w:val="auto"/>
              </w:rPr>
            </w:pPr>
          </w:p>
        </w:tc>
        <w:tc>
          <w:tcPr>
            <w:tcW w:w="1300" w:type="dxa"/>
            <w:vAlign w:val="bottom"/>
            <w:tcBorders>
              <w:bottom w:val="single" w:sz="8" w:color="auto"/>
            </w:tcBorders>
            <w:shd w:val="clear" w:color="auto" w:fill="FCE9E8"/>
          </w:tcPr>
          <w:p>
            <w:pPr>
              <w:spacing w:after="0"/>
              <w:rPr>
                <w:sz w:val="17"/>
                <w:szCs w:val="17"/>
                <w:color w:val="auto"/>
              </w:rPr>
            </w:pPr>
          </w:p>
        </w:tc>
      </w:tr>
      <w:tr>
        <w:trPr>
          <w:trHeight w:val="488"/>
        </w:trPr>
        <w:tc>
          <w:tcPr>
            <w:tcW w:w="3500" w:type="dxa"/>
            <w:vAlign w:val="bottom"/>
            <w:gridSpan w:val="2"/>
          </w:tcPr>
          <w:p>
            <w:pPr>
              <w:spacing w:after="0"/>
              <w:rPr>
                <w:sz w:val="20"/>
                <w:szCs w:val="20"/>
                <w:color w:val="auto"/>
              </w:rPr>
            </w:pPr>
            <w:r>
              <w:rPr>
                <w:rFonts w:ascii="Arial" w:cs="Arial" w:eastAsia="Arial" w:hAnsi="Arial"/>
                <w:sz w:val="23"/>
                <w:szCs w:val="23"/>
                <w:b w:val="1"/>
                <w:bCs w:val="1"/>
                <w:color w:val="auto"/>
              </w:rPr>
              <w:t>Director Nominees</w:t>
            </w:r>
          </w:p>
        </w:tc>
        <w:tc>
          <w:tcPr>
            <w:tcW w:w="1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79"/>
        </w:trPr>
        <w:tc>
          <w:tcPr>
            <w:tcW w:w="20" w:type="dxa"/>
            <w:vAlign w:val="bottom"/>
          </w:tcPr>
          <w:p>
            <w:pPr>
              <w:spacing w:after="0"/>
              <w:rPr>
                <w:sz w:val="6"/>
                <w:szCs w:val="6"/>
                <w:color w:val="auto"/>
              </w:rPr>
            </w:pPr>
          </w:p>
        </w:tc>
        <w:tc>
          <w:tcPr>
            <w:tcW w:w="3480" w:type="dxa"/>
            <w:vAlign w:val="bottom"/>
            <w:tcBorders>
              <w:bottom w:val="single" w:sz="8" w:color="E2231A"/>
            </w:tcBorders>
          </w:tcPr>
          <w:p>
            <w:pPr>
              <w:spacing w:after="0"/>
              <w:rPr>
                <w:sz w:val="6"/>
                <w:szCs w:val="6"/>
                <w:color w:val="auto"/>
              </w:rPr>
            </w:pPr>
          </w:p>
        </w:tc>
        <w:tc>
          <w:tcPr>
            <w:tcW w:w="1760" w:type="dxa"/>
            <w:vAlign w:val="bottom"/>
            <w:tcBorders>
              <w:bottom w:val="single" w:sz="8" w:color="E2231A"/>
            </w:tcBorders>
          </w:tcPr>
          <w:p>
            <w:pPr>
              <w:spacing w:after="0"/>
              <w:rPr>
                <w:sz w:val="6"/>
                <w:szCs w:val="6"/>
                <w:color w:val="auto"/>
              </w:rPr>
            </w:pPr>
          </w:p>
        </w:tc>
        <w:tc>
          <w:tcPr>
            <w:tcW w:w="1800" w:type="dxa"/>
            <w:vAlign w:val="bottom"/>
            <w:tcBorders>
              <w:bottom w:val="single" w:sz="8" w:color="E2231A"/>
            </w:tcBorders>
          </w:tcPr>
          <w:p>
            <w:pPr>
              <w:spacing w:after="0"/>
              <w:rPr>
                <w:sz w:val="6"/>
                <w:szCs w:val="6"/>
                <w:color w:val="auto"/>
              </w:rPr>
            </w:pPr>
          </w:p>
        </w:tc>
        <w:tc>
          <w:tcPr>
            <w:tcW w:w="860" w:type="dxa"/>
            <w:vAlign w:val="bottom"/>
            <w:tcBorders>
              <w:bottom w:val="single" w:sz="8" w:color="E2231A"/>
            </w:tcBorders>
          </w:tcPr>
          <w:p>
            <w:pPr>
              <w:spacing w:after="0"/>
              <w:rPr>
                <w:sz w:val="6"/>
                <w:szCs w:val="6"/>
                <w:color w:val="auto"/>
              </w:rPr>
            </w:pPr>
          </w:p>
        </w:tc>
        <w:tc>
          <w:tcPr>
            <w:tcW w:w="1660" w:type="dxa"/>
            <w:vAlign w:val="bottom"/>
            <w:tcBorders>
              <w:bottom w:val="single" w:sz="8" w:color="E2231A"/>
            </w:tcBorders>
          </w:tcPr>
          <w:p>
            <w:pPr>
              <w:spacing w:after="0"/>
              <w:rPr>
                <w:sz w:val="6"/>
                <w:szCs w:val="6"/>
                <w:color w:val="auto"/>
              </w:rPr>
            </w:pPr>
          </w:p>
        </w:tc>
        <w:tc>
          <w:tcPr>
            <w:tcW w:w="1300" w:type="dxa"/>
            <w:vAlign w:val="bottom"/>
            <w:tcBorders>
              <w:bottom w:val="single" w:sz="8" w:color="E2231A"/>
            </w:tcBorders>
          </w:tcPr>
          <w:p>
            <w:pPr>
              <w:spacing w:after="0"/>
              <w:rPr>
                <w:sz w:val="6"/>
                <w:szCs w:val="6"/>
                <w:color w:val="auto"/>
              </w:rPr>
            </w:pPr>
          </w:p>
        </w:tc>
      </w:tr>
      <w:tr>
        <w:trPr>
          <w:trHeight w:val="420"/>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E2231A"/>
              </w:rPr>
              <w:t>Board Committees</w:t>
            </w:r>
          </w:p>
        </w:tc>
        <w:tc>
          <w:tcPr>
            <w:tcW w:w="1300" w:type="dxa"/>
            <w:vAlign w:val="bottom"/>
            <w:tcBorders>
              <w:bottom w:val="single" w:sz="8" w:color="auto"/>
            </w:tcBorders>
          </w:tcPr>
          <w:p>
            <w:pPr>
              <w:spacing w:after="0"/>
              <w:rPr>
                <w:sz w:val="24"/>
                <w:szCs w:val="24"/>
                <w:color w:val="auto"/>
              </w:rPr>
            </w:pPr>
          </w:p>
        </w:tc>
      </w:tr>
      <w:tr>
        <w:trPr>
          <w:trHeight w:val="153"/>
        </w:trPr>
        <w:tc>
          <w:tcPr>
            <w:tcW w:w="20" w:type="dxa"/>
            <w:vAlign w:val="bottom"/>
          </w:tcPr>
          <w:p>
            <w:pPr>
              <w:spacing w:after="0"/>
              <w:rPr>
                <w:sz w:val="13"/>
                <w:szCs w:val="13"/>
                <w:color w:val="auto"/>
              </w:rPr>
            </w:pPr>
          </w:p>
        </w:tc>
        <w:tc>
          <w:tcPr>
            <w:tcW w:w="34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color w:val="E2231A"/>
              </w:rPr>
              <w:t>Name</w:t>
            </w:r>
          </w:p>
        </w:tc>
        <w:tc>
          <w:tcPr>
            <w:tcW w:w="1760" w:type="dxa"/>
            <w:vAlign w:val="bottom"/>
            <w:tcBorders>
              <w:bottom w:val="single" w:sz="8" w:color="auto"/>
            </w:tcBorders>
          </w:tcPr>
          <w:p>
            <w:pPr>
              <w:jc w:val="right"/>
              <w:ind w:right="241"/>
              <w:spacing w:after="0" w:line="153" w:lineRule="exact"/>
              <w:rPr>
                <w:sz w:val="20"/>
                <w:szCs w:val="20"/>
                <w:color w:val="auto"/>
              </w:rPr>
            </w:pPr>
            <w:r>
              <w:rPr>
                <w:rFonts w:ascii="Arial" w:cs="Arial" w:eastAsia="Arial" w:hAnsi="Arial"/>
                <w:sz w:val="14"/>
                <w:szCs w:val="14"/>
                <w:b w:val="1"/>
                <w:bCs w:val="1"/>
                <w:color w:val="E2231A"/>
              </w:rPr>
              <w:t>Director Since</w:t>
            </w:r>
          </w:p>
        </w:tc>
        <w:tc>
          <w:tcPr>
            <w:tcW w:w="1800" w:type="dxa"/>
            <w:vAlign w:val="bottom"/>
            <w:tcBorders>
              <w:bottom w:val="single" w:sz="8" w:color="auto"/>
            </w:tcBorders>
          </w:tcPr>
          <w:p>
            <w:pPr>
              <w:jc w:val="right"/>
              <w:ind w:right="461"/>
              <w:spacing w:after="0" w:line="153" w:lineRule="exact"/>
              <w:rPr>
                <w:sz w:val="20"/>
                <w:szCs w:val="20"/>
                <w:color w:val="auto"/>
              </w:rPr>
            </w:pPr>
            <w:r>
              <w:rPr>
                <w:rFonts w:ascii="Arial" w:cs="Arial" w:eastAsia="Arial" w:hAnsi="Arial"/>
                <w:sz w:val="14"/>
                <w:szCs w:val="14"/>
                <w:b w:val="1"/>
                <w:bCs w:val="1"/>
                <w:color w:val="E2231A"/>
              </w:rPr>
              <w:t>Independent</w:t>
            </w:r>
          </w:p>
        </w:tc>
        <w:tc>
          <w:tcPr>
            <w:tcW w:w="860" w:type="dxa"/>
            <w:vAlign w:val="bottom"/>
            <w:tcBorders>
              <w:bottom w:val="single" w:sz="8" w:color="auto"/>
            </w:tcBorders>
          </w:tcPr>
          <w:p>
            <w:pPr>
              <w:jc w:val="right"/>
              <w:ind w:right="222"/>
              <w:spacing w:after="0" w:line="153" w:lineRule="exact"/>
              <w:rPr>
                <w:sz w:val="20"/>
                <w:szCs w:val="20"/>
                <w:color w:val="auto"/>
              </w:rPr>
            </w:pPr>
            <w:r>
              <w:rPr>
                <w:rFonts w:ascii="Arial" w:cs="Arial" w:eastAsia="Arial" w:hAnsi="Arial"/>
                <w:sz w:val="14"/>
                <w:szCs w:val="14"/>
                <w:b w:val="1"/>
                <w:bCs w:val="1"/>
                <w:color w:val="E2231A"/>
              </w:rPr>
              <w:t>Audit</w:t>
            </w:r>
          </w:p>
        </w:tc>
        <w:tc>
          <w:tcPr>
            <w:tcW w:w="1660" w:type="dxa"/>
            <w:vAlign w:val="bottom"/>
            <w:tcBorders>
              <w:bottom w:val="single" w:sz="8" w:color="auto"/>
            </w:tcBorders>
          </w:tcPr>
          <w:p>
            <w:pPr>
              <w:jc w:val="right"/>
              <w:ind w:right="603"/>
              <w:spacing w:after="0" w:line="153" w:lineRule="exact"/>
              <w:rPr>
                <w:sz w:val="20"/>
                <w:szCs w:val="20"/>
                <w:color w:val="auto"/>
              </w:rPr>
            </w:pPr>
            <w:r>
              <w:rPr>
                <w:rFonts w:ascii="Arial" w:cs="Arial" w:eastAsia="Arial" w:hAnsi="Arial"/>
                <w:sz w:val="14"/>
                <w:szCs w:val="14"/>
                <w:b w:val="1"/>
                <w:bCs w:val="1"/>
                <w:color w:val="E2231A"/>
              </w:rPr>
              <w:t>Comp</w:t>
            </w:r>
          </w:p>
        </w:tc>
        <w:tc>
          <w:tcPr>
            <w:tcW w:w="1300" w:type="dxa"/>
            <w:vAlign w:val="bottom"/>
            <w:tcBorders>
              <w:bottom w:val="single" w:sz="8" w:color="auto"/>
            </w:tcBorders>
          </w:tcPr>
          <w:p>
            <w:pPr>
              <w:ind w:left="100"/>
              <w:spacing w:after="0" w:line="153" w:lineRule="exact"/>
              <w:rPr>
                <w:sz w:val="20"/>
                <w:szCs w:val="20"/>
                <w:color w:val="auto"/>
              </w:rPr>
            </w:pPr>
            <w:r>
              <w:rPr>
                <w:rFonts w:ascii="Arial" w:cs="Arial" w:eastAsia="Arial" w:hAnsi="Arial"/>
                <w:sz w:val="14"/>
                <w:szCs w:val="14"/>
                <w:b w:val="1"/>
                <w:bCs w:val="1"/>
                <w:color w:val="E2231A"/>
              </w:rPr>
              <w:t>Nominating</w:t>
            </w:r>
          </w:p>
        </w:tc>
      </w:tr>
      <w:tr>
        <w:trPr>
          <w:trHeight w:val="180"/>
        </w:trPr>
        <w:tc>
          <w:tcPr>
            <w:tcW w:w="20" w:type="dxa"/>
            <w:vAlign w:val="bottom"/>
          </w:tcPr>
          <w:p>
            <w:pPr>
              <w:spacing w:after="0"/>
              <w:rPr>
                <w:sz w:val="15"/>
                <w:szCs w:val="15"/>
                <w:color w:val="auto"/>
              </w:rPr>
            </w:pPr>
          </w:p>
        </w:tc>
        <w:tc>
          <w:tcPr>
            <w:tcW w:w="3480" w:type="dxa"/>
            <w:vAlign w:val="bottom"/>
            <w:shd w:val="clear" w:color="auto" w:fill="FCE9E8"/>
          </w:tcPr>
          <w:p>
            <w:pPr>
              <w:spacing w:after="0" w:line="180" w:lineRule="exact"/>
              <w:rPr>
                <w:sz w:val="20"/>
                <w:szCs w:val="20"/>
                <w:color w:val="auto"/>
              </w:rPr>
            </w:pPr>
            <w:r>
              <w:rPr>
                <w:rFonts w:ascii="Arial" w:cs="Arial" w:eastAsia="Arial" w:hAnsi="Arial"/>
                <w:sz w:val="17"/>
                <w:szCs w:val="17"/>
                <w:b w:val="1"/>
                <w:bCs w:val="1"/>
                <w:color w:val="auto"/>
              </w:rPr>
              <w:t>Thomas P. Capo</w:t>
            </w:r>
          </w:p>
        </w:tc>
        <w:tc>
          <w:tcPr>
            <w:tcW w:w="1760" w:type="dxa"/>
            <w:vAlign w:val="bottom"/>
            <w:shd w:val="clear" w:color="auto" w:fill="FCE9E8"/>
          </w:tcPr>
          <w:p>
            <w:pPr>
              <w:jc w:val="right"/>
              <w:ind w:right="221"/>
              <w:spacing w:after="0" w:line="180" w:lineRule="exact"/>
              <w:rPr>
                <w:sz w:val="20"/>
                <w:szCs w:val="20"/>
                <w:color w:val="auto"/>
              </w:rPr>
            </w:pPr>
            <w:r>
              <w:rPr>
                <w:rFonts w:ascii="Arial" w:cs="Arial" w:eastAsia="Arial" w:hAnsi="Arial"/>
                <w:sz w:val="16"/>
                <w:szCs w:val="16"/>
                <w:color w:val="auto"/>
              </w:rPr>
              <w:t>2009</w:t>
            </w:r>
          </w:p>
        </w:tc>
        <w:tc>
          <w:tcPr>
            <w:tcW w:w="1800" w:type="dxa"/>
            <w:vAlign w:val="bottom"/>
            <w:shd w:val="clear" w:color="auto" w:fill="FCE9E8"/>
          </w:tcPr>
          <w:p>
            <w:pPr>
              <w:jc w:val="right"/>
              <w:ind w:right="461"/>
              <w:spacing w:after="0" w:line="180" w:lineRule="exact"/>
              <w:rPr>
                <w:sz w:val="20"/>
                <w:szCs w:val="20"/>
                <w:color w:val="auto"/>
              </w:rPr>
            </w:pPr>
            <w:r>
              <w:rPr>
                <w:rFonts w:ascii="Arial" w:cs="Arial" w:eastAsia="Arial" w:hAnsi="Arial"/>
                <w:sz w:val="16"/>
                <w:szCs w:val="16"/>
                <w:color w:val="auto"/>
              </w:rPr>
              <w:t>X</w:t>
            </w:r>
          </w:p>
        </w:tc>
        <w:tc>
          <w:tcPr>
            <w:tcW w:w="860" w:type="dxa"/>
            <w:vAlign w:val="bottom"/>
            <w:shd w:val="clear" w:color="auto" w:fill="FCE9E8"/>
          </w:tcPr>
          <w:p>
            <w:pPr>
              <w:jc w:val="right"/>
              <w:ind w:right="222"/>
              <w:spacing w:after="0" w:line="180" w:lineRule="exact"/>
              <w:rPr>
                <w:sz w:val="20"/>
                <w:szCs w:val="20"/>
                <w:color w:val="auto"/>
              </w:rPr>
            </w:pPr>
            <w:r>
              <w:rPr>
                <w:rFonts w:ascii="Arial" w:cs="Arial" w:eastAsia="Arial" w:hAnsi="Arial"/>
                <w:sz w:val="16"/>
                <w:szCs w:val="16"/>
                <w:b w:val="1"/>
                <w:bCs w:val="1"/>
                <w:color w:val="auto"/>
              </w:rPr>
              <w:t>X</w:t>
            </w:r>
          </w:p>
        </w:tc>
        <w:tc>
          <w:tcPr>
            <w:tcW w:w="1660" w:type="dxa"/>
            <w:vAlign w:val="bottom"/>
            <w:shd w:val="clear" w:color="auto" w:fill="FCE9E8"/>
          </w:tcPr>
          <w:p>
            <w:pPr>
              <w:jc w:val="right"/>
              <w:ind w:right="603"/>
              <w:spacing w:after="0" w:line="180" w:lineRule="exact"/>
              <w:rPr>
                <w:sz w:val="20"/>
                <w:szCs w:val="20"/>
                <w:color w:val="auto"/>
              </w:rPr>
            </w:pPr>
            <w:r>
              <w:rPr>
                <w:rFonts w:ascii="Arial" w:cs="Arial" w:eastAsia="Arial" w:hAnsi="Arial"/>
                <w:sz w:val="16"/>
                <w:szCs w:val="16"/>
                <w:b w:val="1"/>
                <w:bCs w:val="1"/>
                <w:color w:val="auto"/>
              </w:rPr>
              <w:t>C</w:t>
            </w:r>
          </w:p>
        </w:tc>
        <w:tc>
          <w:tcPr>
            <w:tcW w:w="1300" w:type="dxa"/>
            <w:vAlign w:val="bottom"/>
            <w:shd w:val="clear" w:color="auto" w:fill="FCE9E8"/>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480" w:type="dxa"/>
            <w:vAlign w:val="bottom"/>
          </w:tcPr>
          <w:p>
            <w:pPr>
              <w:spacing w:after="0" w:line="186" w:lineRule="exact"/>
              <w:rPr>
                <w:sz w:val="20"/>
                <w:szCs w:val="20"/>
                <w:color w:val="auto"/>
              </w:rPr>
            </w:pPr>
            <w:r>
              <w:rPr>
                <w:rFonts w:ascii="Arial" w:cs="Arial" w:eastAsia="Arial" w:hAnsi="Arial"/>
                <w:sz w:val="17"/>
                <w:szCs w:val="17"/>
                <w:b w:val="1"/>
                <w:bCs w:val="1"/>
                <w:color w:val="auto"/>
              </w:rPr>
              <w:t>Mei-Wei Cheng</w:t>
            </w:r>
          </w:p>
        </w:tc>
        <w:tc>
          <w:tcPr>
            <w:tcW w:w="1760" w:type="dxa"/>
            <w:vAlign w:val="bottom"/>
          </w:tcPr>
          <w:p>
            <w:pPr>
              <w:jc w:val="right"/>
              <w:ind w:right="221"/>
              <w:spacing w:after="0"/>
              <w:rPr>
                <w:sz w:val="20"/>
                <w:szCs w:val="20"/>
                <w:color w:val="auto"/>
              </w:rPr>
            </w:pPr>
            <w:r>
              <w:rPr>
                <w:rFonts w:ascii="Arial" w:cs="Arial" w:eastAsia="Arial" w:hAnsi="Arial"/>
                <w:sz w:val="16"/>
                <w:szCs w:val="16"/>
                <w:color w:val="auto"/>
              </w:rPr>
              <w:t>2019</w:t>
            </w:r>
          </w:p>
        </w:tc>
        <w:tc>
          <w:tcPr>
            <w:tcW w:w="1800" w:type="dxa"/>
            <w:vAlign w:val="bottom"/>
          </w:tcPr>
          <w:p>
            <w:pPr>
              <w:jc w:val="right"/>
              <w:ind w:right="461"/>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480" w:type="dxa"/>
            <w:vAlign w:val="bottom"/>
            <w:shd w:val="clear" w:color="auto" w:fill="FCE9E8"/>
          </w:tcPr>
          <w:p>
            <w:pPr>
              <w:spacing w:after="0" w:line="186" w:lineRule="exact"/>
              <w:rPr>
                <w:sz w:val="20"/>
                <w:szCs w:val="20"/>
                <w:color w:val="auto"/>
              </w:rPr>
            </w:pPr>
            <w:r>
              <w:rPr>
                <w:rFonts w:ascii="Arial" w:cs="Arial" w:eastAsia="Arial" w:hAnsi="Arial"/>
                <w:sz w:val="17"/>
                <w:szCs w:val="17"/>
                <w:b w:val="1"/>
                <w:bCs w:val="1"/>
                <w:color w:val="auto"/>
              </w:rPr>
              <w:t>Jonathan F. Foster</w:t>
            </w:r>
          </w:p>
        </w:tc>
        <w:tc>
          <w:tcPr>
            <w:tcW w:w="1760" w:type="dxa"/>
            <w:vAlign w:val="bottom"/>
            <w:shd w:val="clear" w:color="auto" w:fill="FCE9E8"/>
          </w:tcPr>
          <w:p>
            <w:pPr>
              <w:jc w:val="right"/>
              <w:ind w:right="221"/>
              <w:spacing w:after="0"/>
              <w:rPr>
                <w:sz w:val="20"/>
                <w:szCs w:val="20"/>
                <w:color w:val="auto"/>
              </w:rPr>
            </w:pPr>
            <w:r>
              <w:rPr>
                <w:rFonts w:ascii="Arial" w:cs="Arial" w:eastAsia="Arial" w:hAnsi="Arial"/>
                <w:sz w:val="16"/>
                <w:szCs w:val="16"/>
                <w:color w:val="auto"/>
              </w:rPr>
              <w:t>2009</w:t>
            </w:r>
          </w:p>
        </w:tc>
        <w:tc>
          <w:tcPr>
            <w:tcW w:w="1800" w:type="dxa"/>
            <w:vAlign w:val="bottom"/>
            <w:shd w:val="clear" w:color="auto" w:fill="FCE9E8"/>
          </w:tcPr>
          <w:p>
            <w:pPr>
              <w:jc w:val="right"/>
              <w:ind w:right="461"/>
              <w:spacing w:after="0"/>
              <w:rPr>
                <w:sz w:val="20"/>
                <w:szCs w:val="20"/>
                <w:color w:val="auto"/>
              </w:rPr>
            </w:pPr>
            <w:r>
              <w:rPr>
                <w:rFonts w:ascii="Arial" w:cs="Arial" w:eastAsia="Arial" w:hAnsi="Arial"/>
                <w:sz w:val="16"/>
                <w:szCs w:val="16"/>
                <w:color w:val="auto"/>
              </w:rPr>
              <w:t>X</w:t>
            </w:r>
          </w:p>
        </w:tc>
        <w:tc>
          <w:tcPr>
            <w:tcW w:w="860" w:type="dxa"/>
            <w:vAlign w:val="bottom"/>
            <w:shd w:val="clear" w:color="auto" w:fill="FCE9E8"/>
          </w:tcPr>
          <w:p>
            <w:pPr>
              <w:jc w:val="right"/>
              <w:ind w:right="222"/>
              <w:spacing w:after="0"/>
              <w:rPr>
                <w:sz w:val="20"/>
                <w:szCs w:val="20"/>
                <w:color w:val="auto"/>
              </w:rPr>
            </w:pPr>
            <w:r>
              <w:rPr>
                <w:rFonts w:ascii="Arial" w:cs="Arial" w:eastAsia="Arial" w:hAnsi="Arial"/>
                <w:sz w:val="16"/>
                <w:szCs w:val="16"/>
                <w:b w:val="1"/>
                <w:bCs w:val="1"/>
                <w:color w:val="auto"/>
              </w:rPr>
              <w:t>C</w:t>
            </w:r>
          </w:p>
        </w:tc>
        <w:tc>
          <w:tcPr>
            <w:tcW w:w="1660" w:type="dxa"/>
            <w:vAlign w:val="bottom"/>
            <w:shd w:val="clear" w:color="auto" w:fill="FCE9E8"/>
          </w:tcPr>
          <w:p>
            <w:pPr>
              <w:spacing w:after="0"/>
              <w:rPr>
                <w:sz w:val="16"/>
                <w:szCs w:val="16"/>
                <w:color w:val="auto"/>
              </w:rPr>
            </w:pPr>
          </w:p>
        </w:tc>
        <w:tc>
          <w:tcPr>
            <w:tcW w:w="1300" w:type="dxa"/>
            <w:vAlign w:val="bottom"/>
            <w:shd w:val="clear" w:color="auto" w:fill="FCE9E8"/>
          </w:tcPr>
          <w:p>
            <w:pPr>
              <w:jc w:val="right"/>
              <w:ind w:right="341"/>
              <w:spacing w:after="0"/>
              <w:rPr>
                <w:sz w:val="20"/>
                <w:szCs w:val="20"/>
                <w:color w:val="auto"/>
              </w:rPr>
            </w:pPr>
            <w:r>
              <w:rPr>
                <w:rFonts w:ascii="Arial" w:cs="Arial" w:eastAsia="Arial" w:hAnsi="Arial"/>
                <w:sz w:val="16"/>
                <w:szCs w:val="16"/>
                <w:b w:val="1"/>
                <w:bCs w:val="1"/>
                <w:color w:val="auto"/>
              </w:rPr>
              <w:t>X</w:t>
            </w:r>
          </w:p>
        </w:tc>
      </w:tr>
      <w:tr>
        <w:trPr>
          <w:trHeight w:val="186"/>
        </w:trPr>
        <w:tc>
          <w:tcPr>
            <w:tcW w:w="20" w:type="dxa"/>
            <w:vAlign w:val="bottom"/>
          </w:tcPr>
          <w:p>
            <w:pPr>
              <w:spacing w:after="0"/>
              <w:rPr>
                <w:sz w:val="16"/>
                <w:szCs w:val="16"/>
                <w:color w:val="auto"/>
              </w:rPr>
            </w:pPr>
          </w:p>
        </w:tc>
        <w:tc>
          <w:tcPr>
            <w:tcW w:w="3480" w:type="dxa"/>
            <w:vAlign w:val="bottom"/>
          </w:tcPr>
          <w:p>
            <w:pPr>
              <w:spacing w:after="0" w:line="186" w:lineRule="exact"/>
              <w:rPr>
                <w:sz w:val="20"/>
                <w:szCs w:val="20"/>
                <w:color w:val="auto"/>
              </w:rPr>
            </w:pPr>
            <w:r>
              <w:rPr>
                <w:rFonts w:ascii="Arial" w:cs="Arial" w:eastAsia="Arial" w:hAnsi="Arial"/>
                <w:sz w:val="17"/>
                <w:szCs w:val="17"/>
                <w:b w:val="1"/>
                <w:bCs w:val="1"/>
                <w:color w:val="auto"/>
              </w:rPr>
              <w:t>Mary Lou Jepsen</w:t>
            </w:r>
          </w:p>
        </w:tc>
        <w:tc>
          <w:tcPr>
            <w:tcW w:w="1760" w:type="dxa"/>
            <w:vAlign w:val="bottom"/>
          </w:tcPr>
          <w:p>
            <w:pPr>
              <w:jc w:val="right"/>
              <w:ind w:right="221"/>
              <w:spacing w:after="0"/>
              <w:rPr>
                <w:sz w:val="20"/>
                <w:szCs w:val="20"/>
                <w:color w:val="auto"/>
              </w:rPr>
            </w:pPr>
            <w:r>
              <w:rPr>
                <w:rFonts w:ascii="Arial" w:cs="Arial" w:eastAsia="Arial" w:hAnsi="Arial"/>
                <w:sz w:val="16"/>
                <w:szCs w:val="16"/>
                <w:color w:val="auto"/>
              </w:rPr>
              <w:t>2016</w:t>
            </w:r>
          </w:p>
        </w:tc>
        <w:tc>
          <w:tcPr>
            <w:tcW w:w="1800" w:type="dxa"/>
            <w:vAlign w:val="bottom"/>
          </w:tcPr>
          <w:p>
            <w:pPr>
              <w:jc w:val="right"/>
              <w:ind w:right="461"/>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16"/>
                <w:szCs w:val="16"/>
                <w:color w:val="auto"/>
              </w:rPr>
            </w:pPr>
          </w:p>
        </w:tc>
        <w:tc>
          <w:tcPr>
            <w:tcW w:w="1660" w:type="dxa"/>
            <w:vAlign w:val="bottom"/>
          </w:tcPr>
          <w:p>
            <w:pPr>
              <w:jc w:val="right"/>
              <w:ind w:right="603"/>
              <w:spacing w:after="0"/>
              <w:rPr>
                <w:sz w:val="20"/>
                <w:szCs w:val="20"/>
                <w:color w:val="auto"/>
              </w:rPr>
            </w:pPr>
            <w:r>
              <w:rPr>
                <w:rFonts w:ascii="Arial" w:cs="Arial" w:eastAsia="Arial" w:hAnsi="Arial"/>
                <w:sz w:val="16"/>
                <w:szCs w:val="16"/>
                <w:b w:val="1"/>
                <w:bCs w:val="1"/>
                <w:color w:val="auto"/>
              </w:rPr>
              <w:t>X</w:t>
            </w:r>
          </w:p>
        </w:tc>
        <w:tc>
          <w:tcPr>
            <w:tcW w:w="1300" w:type="dxa"/>
            <w:vAlign w:val="bottom"/>
          </w:tcPr>
          <w:p>
            <w:pPr>
              <w:jc w:val="right"/>
              <w:ind w:right="341"/>
              <w:spacing w:after="0"/>
              <w:rPr>
                <w:sz w:val="20"/>
                <w:szCs w:val="20"/>
                <w:color w:val="auto"/>
              </w:rPr>
            </w:pPr>
            <w:r>
              <w:rPr>
                <w:rFonts w:ascii="Arial" w:cs="Arial" w:eastAsia="Arial" w:hAnsi="Arial"/>
                <w:sz w:val="16"/>
                <w:szCs w:val="16"/>
                <w:b w:val="1"/>
                <w:bCs w:val="1"/>
                <w:color w:val="auto"/>
              </w:rPr>
              <w:t>X</w:t>
            </w:r>
          </w:p>
        </w:tc>
      </w:tr>
      <w:tr>
        <w:trPr>
          <w:trHeight w:val="186"/>
        </w:trPr>
        <w:tc>
          <w:tcPr>
            <w:tcW w:w="20" w:type="dxa"/>
            <w:vAlign w:val="bottom"/>
          </w:tcPr>
          <w:p>
            <w:pPr>
              <w:spacing w:after="0"/>
              <w:rPr>
                <w:sz w:val="16"/>
                <w:szCs w:val="16"/>
                <w:color w:val="auto"/>
              </w:rPr>
            </w:pPr>
          </w:p>
        </w:tc>
        <w:tc>
          <w:tcPr>
            <w:tcW w:w="3480" w:type="dxa"/>
            <w:vAlign w:val="bottom"/>
            <w:shd w:val="clear" w:color="auto" w:fill="FCE9E8"/>
          </w:tcPr>
          <w:p>
            <w:pPr>
              <w:spacing w:after="0" w:line="186" w:lineRule="exact"/>
              <w:rPr>
                <w:sz w:val="20"/>
                <w:szCs w:val="20"/>
                <w:color w:val="auto"/>
              </w:rPr>
            </w:pPr>
            <w:r>
              <w:rPr>
                <w:rFonts w:ascii="Arial" w:cs="Arial" w:eastAsia="Arial" w:hAnsi="Arial"/>
                <w:sz w:val="17"/>
                <w:szCs w:val="17"/>
                <w:b w:val="1"/>
                <w:bCs w:val="1"/>
                <w:color w:val="auto"/>
              </w:rPr>
              <w:t>Kathleen A. Ligocki</w:t>
            </w:r>
          </w:p>
        </w:tc>
        <w:tc>
          <w:tcPr>
            <w:tcW w:w="1760" w:type="dxa"/>
            <w:vAlign w:val="bottom"/>
            <w:shd w:val="clear" w:color="auto" w:fill="FCE9E8"/>
          </w:tcPr>
          <w:p>
            <w:pPr>
              <w:jc w:val="right"/>
              <w:ind w:right="221"/>
              <w:spacing w:after="0"/>
              <w:rPr>
                <w:sz w:val="20"/>
                <w:szCs w:val="20"/>
                <w:color w:val="auto"/>
              </w:rPr>
            </w:pPr>
            <w:r>
              <w:rPr>
                <w:rFonts w:ascii="Arial" w:cs="Arial" w:eastAsia="Arial" w:hAnsi="Arial"/>
                <w:sz w:val="16"/>
                <w:szCs w:val="16"/>
                <w:color w:val="auto"/>
              </w:rPr>
              <w:t>2012</w:t>
            </w:r>
          </w:p>
        </w:tc>
        <w:tc>
          <w:tcPr>
            <w:tcW w:w="1800" w:type="dxa"/>
            <w:vAlign w:val="bottom"/>
            <w:shd w:val="clear" w:color="auto" w:fill="FCE9E8"/>
          </w:tcPr>
          <w:p>
            <w:pPr>
              <w:jc w:val="right"/>
              <w:ind w:right="461"/>
              <w:spacing w:after="0"/>
              <w:rPr>
                <w:sz w:val="20"/>
                <w:szCs w:val="20"/>
                <w:color w:val="auto"/>
              </w:rPr>
            </w:pPr>
            <w:r>
              <w:rPr>
                <w:rFonts w:ascii="Arial" w:cs="Arial" w:eastAsia="Arial" w:hAnsi="Arial"/>
                <w:sz w:val="16"/>
                <w:szCs w:val="16"/>
                <w:color w:val="auto"/>
              </w:rPr>
              <w:t>X</w:t>
            </w:r>
          </w:p>
        </w:tc>
        <w:tc>
          <w:tcPr>
            <w:tcW w:w="860" w:type="dxa"/>
            <w:vAlign w:val="bottom"/>
            <w:shd w:val="clear" w:color="auto" w:fill="FCE9E8"/>
          </w:tcPr>
          <w:p>
            <w:pPr>
              <w:spacing w:after="0"/>
              <w:rPr>
                <w:sz w:val="16"/>
                <w:szCs w:val="16"/>
                <w:color w:val="auto"/>
              </w:rPr>
            </w:pPr>
          </w:p>
        </w:tc>
        <w:tc>
          <w:tcPr>
            <w:tcW w:w="1660" w:type="dxa"/>
            <w:vAlign w:val="bottom"/>
            <w:shd w:val="clear" w:color="auto" w:fill="FCE9E8"/>
          </w:tcPr>
          <w:p>
            <w:pPr>
              <w:jc w:val="right"/>
              <w:ind w:right="603"/>
              <w:spacing w:after="0"/>
              <w:rPr>
                <w:sz w:val="20"/>
                <w:szCs w:val="20"/>
                <w:color w:val="auto"/>
              </w:rPr>
            </w:pPr>
            <w:r>
              <w:rPr>
                <w:rFonts w:ascii="Arial" w:cs="Arial" w:eastAsia="Arial" w:hAnsi="Arial"/>
                <w:sz w:val="16"/>
                <w:szCs w:val="16"/>
                <w:b w:val="1"/>
                <w:bCs w:val="1"/>
                <w:color w:val="auto"/>
              </w:rPr>
              <w:t>X</w:t>
            </w:r>
          </w:p>
        </w:tc>
        <w:tc>
          <w:tcPr>
            <w:tcW w:w="1300" w:type="dxa"/>
            <w:vAlign w:val="bottom"/>
            <w:shd w:val="clear" w:color="auto" w:fill="FCE9E8"/>
          </w:tcPr>
          <w:p>
            <w:pPr>
              <w:jc w:val="right"/>
              <w:ind w:right="341"/>
              <w:spacing w:after="0"/>
              <w:rPr>
                <w:sz w:val="20"/>
                <w:szCs w:val="20"/>
                <w:color w:val="auto"/>
              </w:rPr>
            </w:pPr>
            <w:r>
              <w:rPr>
                <w:rFonts w:ascii="Arial" w:cs="Arial" w:eastAsia="Arial" w:hAnsi="Arial"/>
                <w:sz w:val="16"/>
                <w:szCs w:val="16"/>
                <w:b w:val="1"/>
                <w:bCs w:val="1"/>
                <w:color w:val="auto"/>
              </w:rPr>
              <w:t>C</w:t>
            </w:r>
          </w:p>
        </w:tc>
      </w:tr>
      <w:tr>
        <w:trPr>
          <w:trHeight w:val="186"/>
        </w:trPr>
        <w:tc>
          <w:tcPr>
            <w:tcW w:w="20" w:type="dxa"/>
            <w:vAlign w:val="bottom"/>
          </w:tcPr>
          <w:p>
            <w:pPr>
              <w:spacing w:after="0"/>
              <w:rPr>
                <w:sz w:val="16"/>
                <w:szCs w:val="16"/>
                <w:color w:val="auto"/>
              </w:rPr>
            </w:pPr>
          </w:p>
        </w:tc>
        <w:tc>
          <w:tcPr>
            <w:tcW w:w="3480" w:type="dxa"/>
            <w:vAlign w:val="bottom"/>
          </w:tcPr>
          <w:p>
            <w:pPr>
              <w:spacing w:after="0" w:line="186" w:lineRule="exact"/>
              <w:rPr>
                <w:sz w:val="20"/>
                <w:szCs w:val="20"/>
                <w:color w:val="auto"/>
              </w:rPr>
            </w:pPr>
            <w:r>
              <w:rPr>
                <w:rFonts w:ascii="Arial" w:cs="Arial" w:eastAsia="Arial" w:hAnsi="Arial"/>
                <w:sz w:val="17"/>
                <w:szCs w:val="17"/>
                <w:b w:val="1"/>
                <w:bCs w:val="1"/>
                <w:color w:val="auto"/>
              </w:rPr>
              <w:t>Conrad L. Mallett, Jr.</w:t>
            </w:r>
          </w:p>
        </w:tc>
        <w:tc>
          <w:tcPr>
            <w:tcW w:w="1760" w:type="dxa"/>
            <w:vAlign w:val="bottom"/>
          </w:tcPr>
          <w:p>
            <w:pPr>
              <w:jc w:val="right"/>
              <w:ind w:right="221"/>
              <w:spacing w:after="0"/>
              <w:rPr>
                <w:sz w:val="20"/>
                <w:szCs w:val="20"/>
                <w:color w:val="auto"/>
              </w:rPr>
            </w:pPr>
            <w:r>
              <w:rPr>
                <w:rFonts w:ascii="Arial" w:cs="Arial" w:eastAsia="Arial" w:hAnsi="Arial"/>
                <w:sz w:val="16"/>
                <w:szCs w:val="16"/>
                <w:color w:val="auto"/>
              </w:rPr>
              <w:t>2002</w:t>
            </w:r>
          </w:p>
        </w:tc>
        <w:tc>
          <w:tcPr>
            <w:tcW w:w="1800" w:type="dxa"/>
            <w:vAlign w:val="bottom"/>
          </w:tcPr>
          <w:p>
            <w:pPr>
              <w:jc w:val="right"/>
              <w:ind w:right="461"/>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16"/>
                <w:szCs w:val="16"/>
                <w:color w:val="auto"/>
              </w:rPr>
            </w:pPr>
          </w:p>
        </w:tc>
        <w:tc>
          <w:tcPr>
            <w:tcW w:w="1660" w:type="dxa"/>
            <w:vAlign w:val="bottom"/>
          </w:tcPr>
          <w:p>
            <w:pPr>
              <w:jc w:val="right"/>
              <w:ind w:right="603"/>
              <w:spacing w:after="0"/>
              <w:rPr>
                <w:sz w:val="20"/>
                <w:szCs w:val="20"/>
                <w:color w:val="auto"/>
              </w:rPr>
            </w:pPr>
            <w:r>
              <w:rPr>
                <w:rFonts w:ascii="Arial" w:cs="Arial" w:eastAsia="Arial" w:hAnsi="Arial"/>
                <w:sz w:val="16"/>
                <w:szCs w:val="16"/>
                <w:b w:val="1"/>
                <w:bCs w:val="1"/>
                <w:color w:val="auto"/>
              </w:rPr>
              <w:t>X</w:t>
            </w:r>
          </w:p>
        </w:tc>
        <w:tc>
          <w:tcPr>
            <w:tcW w:w="1300" w:type="dxa"/>
            <w:vAlign w:val="bottom"/>
          </w:tcPr>
          <w:p>
            <w:pPr>
              <w:jc w:val="right"/>
              <w:ind w:right="341"/>
              <w:spacing w:after="0"/>
              <w:rPr>
                <w:sz w:val="20"/>
                <w:szCs w:val="20"/>
                <w:color w:val="auto"/>
              </w:rPr>
            </w:pPr>
            <w:r>
              <w:rPr>
                <w:rFonts w:ascii="Arial" w:cs="Arial" w:eastAsia="Arial" w:hAnsi="Arial"/>
                <w:sz w:val="16"/>
                <w:szCs w:val="16"/>
                <w:b w:val="1"/>
                <w:bCs w:val="1"/>
                <w:color w:val="auto"/>
              </w:rPr>
              <w:t>X</w:t>
            </w:r>
          </w:p>
        </w:tc>
      </w:tr>
      <w:tr>
        <w:trPr>
          <w:trHeight w:val="186"/>
        </w:trPr>
        <w:tc>
          <w:tcPr>
            <w:tcW w:w="20" w:type="dxa"/>
            <w:vAlign w:val="bottom"/>
          </w:tcPr>
          <w:p>
            <w:pPr>
              <w:spacing w:after="0"/>
              <w:rPr>
                <w:sz w:val="16"/>
                <w:szCs w:val="16"/>
                <w:color w:val="auto"/>
              </w:rPr>
            </w:pPr>
          </w:p>
        </w:tc>
        <w:tc>
          <w:tcPr>
            <w:tcW w:w="3480" w:type="dxa"/>
            <w:vAlign w:val="bottom"/>
            <w:shd w:val="clear" w:color="auto" w:fill="FCE9E8"/>
          </w:tcPr>
          <w:p>
            <w:pPr>
              <w:spacing w:after="0" w:line="186" w:lineRule="exact"/>
              <w:rPr>
                <w:sz w:val="20"/>
                <w:szCs w:val="20"/>
                <w:color w:val="auto"/>
              </w:rPr>
            </w:pPr>
            <w:r>
              <w:rPr>
                <w:rFonts w:ascii="Arial" w:cs="Arial" w:eastAsia="Arial" w:hAnsi="Arial"/>
                <w:sz w:val="17"/>
                <w:szCs w:val="17"/>
                <w:b w:val="1"/>
                <w:bCs w:val="1"/>
                <w:color w:val="auto"/>
              </w:rPr>
              <w:t>Raymond E. Scott</w:t>
            </w:r>
          </w:p>
        </w:tc>
        <w:tc>
          <w:tcPr>
            <w:tcW w:w="1760" w:type="dxa"/>
            <w:vAlign w:val="bottom"/>
            <w:shd w:val="clear" w:color="auto" w:fill="FCE9E8"/>
          </w:tcPr>
          <w:p>
            <w:pPr>
              <w:jc w:val="right"/>
              <w:ind w:right="221"/>
              <w:spacing w:after="0"/>
              <w:rPr>
                <w:sz w:val="20"/>
                <w:szCs w:val="20"/>
                <w:color w:val="auto"/>
              </w:rPr>
            </w:pPr>
            <w:r>
              <w:rPr>
                <w:rFonts w:ascii="Arial" w:cs="Arial" w:eastAsia="Arial" w:hAnsi="Arial"/>
                <w:sz w:val="16"/>
                <w:szCs w:val="16"/>
                <w:color w:val="auto"/>
              </w:rPr>
              <w:t>2018</w:t>
            </w:r>
          </w:p>
        </w:tc>
        <w:tc>
          <w:tcPr>
            <w:tcW w:w="1800" w:type="dxa"/>
            <w:vAlign w:val="bottom"/>
            <w:shd w:val="clear" w:color="auto" w:fill="FCE9E8"/>
          </w:tcPr>
          <w:p>
            <w:pPr>
              <w:spacing w:after="0"/>
              <w:rPr>
                <w:sz w:val="16"/>
                <w:szCs w:val="16"/>
                <w:color w:val="auto"/>
              </w:rPr>
            </w:pPr>
          </w:p>
        </w:tc>
        <w:tc>
          <w:tcPr>
            <w:tcW w:w="860" w:type="dxa"/>
            <w:vAlign w:val="bottom"/>
            <w:shd w:val="clear" w:color="auto" w:fill="FCE9E8"/>
          </w:tcPr>
          <w:p>
            <w:pPr>
              <w:spacing w:after="0"/>
              <w:rPr>
                <w:sz w:val="16"/>
                <w:szCs w:val="16"/>
                <w:color w:val="auto"/>
              </w:rPr>
            </w:pPr>
          </w:p>
        </w:tc>
        <w:tc>
          <w:tcPr>
            <w:tcW w:w="1660" w:type="dxa"/>
            <w:vAlign w:val="bottom"/>
            <w:shd w:val="clear" w:color="auto" w:fill="FCE9E8"/>
          </w:tcPr>
          <w:p>
            <w:pPr>
              <w:spacing w:after="0"/>
              <w:rPr>
                <w:sz w:val="16"/>
                <w:szCs w:val="16"/>
                <w:color w:val="auto"/>
              </w:rPr>
            </w:pPr>
          </w:p>
        </w:tc>
        <w:tc>
          <w:tcPr>
            <w:tcW w:w="1300" w:type="dxa"/>
            <w:vAlign w:val="bottom"/>
            <w:shd w:val="clear" w:color="auto" w:fill="FCE9E8"/>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480" w:type="dxa"/>
            <w:vAlign w:val="bottom"/>
          </w:tcPr>
          <w:p>
            <w:pPr>
              <w:spacing w:after="0" w:line="186" w:lineRule="exact"/>
              <w:rPr>
                <w:sz w:val="20"/>
                <w:szCs w:val="20"/>
                <w:color w:val="auto"/>
              </w:rPr>
            </w:pPr>
            <w:r>
              <w:rPr>
                <w:rFonts w:ascii="Arial" w:cs="Arial" w:eastAsia="Arial" w:hAnsi="Arial"/>
                <w:sz w:val="17"/>
                <w:szCs w:val="17"/>
                <w:b w:val="1"/>
                <w:bCs w:val="1"/>
                <w:color w:val="auto"/>
              </w:rPr>
              <w:t>Gregory C. Smith</w:t>
            </w:r>
          </w:p>
        </w:tc>
        <w:tc>
          <w:tcPr>
            <w:tcW w:w="1760" w:type="dxa"/>
            <w:vAlign w:val="bottom"/>
          </w:tcPr>
          <w:p>
            <w:pPr>
              <w:jc w:val="right"/>
              <w:ind w:right="221"/>
              <w:spacing w:after="0"/>
              <w:rPr>
                <w:sz w:val="20"/>
                <w:szCs w:val="20"/>
                <w:color w:val="auto"/>
              </w:rPr>
            </w:pPr>
            <w:r>
              <w:rPr>
                <w:rFonts w:ascii="Arial" w:cs="Arial" w:eastAsia="Arial" w:hAnsi="Arial"/>
                <w:sz w:val="16"/>
                <w:szCs w:val="16"/>
                <w:color w:val="auto"/>
              </w:rPr>
              <w:t>2009</w:t>
            </w:r>
          </w:p>
        </w:tc>
        <w:tc>
          <w:tcPr>
            <w:tcW w:w="1800" w:type="dxa"/>
            <w:vAlign w:val="bottom"/>
          </w:tcPr>
          <w:p>
            <w:pPr>
              <w:jc w:val="right"/>
              <w:ind w:right="461"/>
              <w:spacing w:after="0"/>
              <w:rPr>
                <w:sz w:val="20"/>
                <w:szCs w:val="20"/>
                <w:color w:val="auto"/>
              </w:rPr>
            </w:pPr>
            <w:r>
              <w:rPr>
                <w:rFonts w:ascii="Arial" w:cs="Arial" w:eastAsia="Arial" w:hAnsi="Arial"/>
                <w:sz w:val="16"/>
                <w:szCs w:val="16"/>
                <w:color w:val="auto"/>
              </w:rPr>
              <w:t>X</w:t>
            </w:r>
          </w:p>
        </w:tc>
        <w:tc>
          <w:tcPr>
            <w:tcW w:w="860" w:type="dxa"/>
            <w:vAlign w:val="bottom"/>
          </w:tcPr>
          <w:p>
            <w:pPr>
              <w:jc w:val="right"/>
              <w:ind w:right="222"/>
              <w:spacing w:after="0"/>
              <w:rPr>
                <w:sz w:val="20"/>
                <w:szCs w:val="20"/>
                <w:color w:val="auto"/>
              </w:rPr>
            </w:pPr>
            <w:r>
              <w:rPr>
                <w:rFonts w:ascii="Arial" w:cs="Arial" w:eastAsia="Arial" w:hAnsi="Arial"/>
                <w:sz w:val="16"/>
                <w:szCs w:val="16"/>
                <w:b w:val="1"/>
                <w:bCs w:val="1"/>
                <w:color w:val="auto"/>
              </w:rPr>
              <w:t>X</w:t>
            </w:r>
          </w:p>
        </w:tc>
        <w:tc>
          <w:tcPr>
            <w:tcW w:w="1660" w:type="dxa"/>
            <w:vAlign w:val="bottom"/>
          </w:tcPr>
          <w:p>
            <w:pPr>
              <w:spacing w:after="0"/>
              <w:rPr>
                <w:sz w:val="16"/>
                <w:szCs w:val="16"/>
                <w:color w:val="auto"/>
              </w:rPr>
            </w:pPr>
          </w:p>
        </w:tc>
        <w:tc>
          <w:tcPr>
            <w:tcW w:w="1300" w:type="dxa"/>
            <w:vAlign w:val="bottom"/>
          </w:tcPr>
          <w:p>
            <w:pPr>
              <w:jc w:val="right"/>
              <w:ind w:right="341"/>
              <w:spacing w:after="0"/>
              <w:rPr>
                <w:sz w:val="20"/>
                <w:szCs w:val="20"/>
                <w:color w:val="auto"/>
              </w:rPr>
            </w:pPr>
            <w:r>
              <w:rPr>
                <w:rFonts w:ascii="Arial" w:cs="Arial" w:eastAsia="Arial" w:hAnsi="Arial"/>
                <w:sz w:val="16"/>
                <w:szCs w:val="16"/>
                <w:b w:val="1"/>
                <w:bCs w:val="1"/>
                <w:color w:val="auto"/>
              </w:rPr>
              <w:t>X</w:t>
            </w:r>
          </w:p>
        </w:tc>
      </w:tr>
      <w:tr>
        <w:trPr>
          <w:trHeight w:val="186"/>
        </w:trPr>
        <w:tc>
          <w:tcPr>
            <w:tcW w:w="20" w:type="dxa"/>
            <w:vAlign w:val="bottom"/>
          </w:tcPr>
          <w:p>
            <w:pPr>
              <w:spacing w:after="0"/>
              <w:rPr>
                <w:sz w:val="16"/>
                <w:szCs w:val="16"/>
                <w:color w:val="auto"/>
              </w:rPr>
            </w:pPr>
          </w:p>
        </w:tc>
        <w:tc>
          <w:tcPr>
            <w:tcW w:w="3480" w:type="dxa"/>
            <w:vAlign w:val="bottom"/>
            <w:tcBorders>
              <w:bottom w:val="single" w:sz="8" w:color="auto"/>
            </w:tcBorders>
            <w:shd w:val="clear" w:color="auto" w:fill="FCE9E8"/>
          </w:tcPr>
          <w:p>
            <w:pPr>
              <w:spacing w:after="0" w:line="186" w:lineRule="exact"/>
              <w:rPr>
                <w:sz w:val="20"/>
                <w:szCs w:val="20"/>
                <w:color w:val="auto"/>
              </w:rPr>
            </w:pPr>
            <w:r>
              <w:rPr>
                <w:rFonts w:ascii="Arial" w:cs="Arial" w:eastAsia="Arial" w:hAnsi="Arial"/>
                <w:sz w:val="17"/>
                <w:szCs w:val="17"/>
                <w:b w:val="1"/>
                <w:bCs w:val="1"/>
                <w:color w:val="auto"/>
              </w:rPr>
              <w:t>Henry D.G. Wallace</w:t>
            </w:r>
          </w:p>
        </w:tc>
        <w:tc>
          <w:tcPr>
            <w:tcW w:w="1760" w:type="dxa"/>
            <w:vAlign w:val="bottom"/>
            <w:tcBorders>
              <w:bottom w:val="single" w:sz="8" w:color="auto"/>
            </w:tcBorders>
            <w:shd w:val="clear" w:color="auto" w:fill="FCE9E8"/>
          </w:tcPr>
          <w:p>
            <w:pPr>
              <w:jc w:val="right"/>
              <w:ind w:right="221"/>
              <w:spacing w:after="0"/>
              <w:rPr>
                <w:sz w:val="20"/>
                <w:szCs w:val="20"/>
                <w:color w:val="auto"/>
              </w:rPr>
            </w:pPr>
            <w:r>
              <w:rPr>
                <w:rFonts w:ascii="Arial" w:cs="Arial" w:eastAsia="Arial" w:hAnsi="Arial"/>
                <w:sz w:val="16"/>
                <w:szCs w:val="16"/>
                <w:color w:val="auto"/>
              </w:rPr>
              <w:t>2005</w:t>
            </w:r>
          </w:p>
        </w:tc>
        <w:tc>
          <w:tcPr>
            <w:tcW w:w="1800" w:type="dxa"/>
            <w:vAlign w:val="bottom"/>
            <w:tcBorders>
              <w:bottom w:val="single" w:sz="8" w:color="auto"/>
            </w:tcBorders>
            <w:shd w:val="clear" w:color="auto" w:fill="FCE9E8"/>
          </w:tcPr>
          <w:p>
            <w:pPr>
              <w:jc w:val="right"/>
              <w:ind w:right="461"/>
              <w:spacing w:after="0"/>
              <w:rPr>
                <w:sz w:val="20"/>
                <w:szCs w:val="20"/>
                <w:color w:val="auto"/>
              </w:rPr>
            </w:pPr>
            <w:r>
              <w:rPr>
                <w:rFonts w:ascii="Arial" w:cs="Arial" w:eastAsia="Arial" w:hAnsi="Arial"/>
                <w:sz w:val="16"/>
                <w:szCs w:val="16"/>
                <w:color w:val="auto"/>
              </w:rPr>
              <w:t>X</w:t>
            </w:r>
          </w:p>
        </w:tc>
        <w:tc>
          <w:tcPr>
            <w:tcW w:w="860" w:type="dxa"/>
            <w:vAlign w:val="bottom"/>
            <w:tcBorders>
              <w:bottom w:val="single" w:sz="8" w:color="auto"/>
            </w:tcBorders>
            <w:shd w:val="clear" w:color="auto" w:fill="FCE9E8"/>
          </w:tcPr>
          <w:p>
            <w:pPr>
              <w:jc w:val="right"/>
              <w:ind w:right="222"/>
              <w:spacing w:after="0"/>
              <w:rPr>
                <w:sz w:val="20"/>
                <w:szCs w:val="20"/>
                <w:color w:val="auto"/>
              </w:rPr>
            </w:pPr>
            <w:r>
              <w:rPr>
                <w:rFonts w:ascii="Arial" w:cs="Arial" w:eastAsia="Arial" w:hAnsi="Arial"/>
                <w:sz w:val="16"/>
                <w:szCs w:val="16"/>
                <w:b w:val="1"/>
                <w:bCs w:val="1"/>
                <w:color w:val="auto"/>
              </w:rPr>
              <w:t>E</w:t>
            </w:r>
          </w:p>
        </w:tc>
        <w:tc>
          <w:tcPr>
            <w:tcW w:w="1660" w:type="dxa"/>
            <w:vAlign w:val="bottom"/>
            <w:tcBorders>
              <w:bottom w:val="single" w:sz="8" w:color="auto"/>
            </w:tcBorders>
            <w:shd w:val="clear" w:color="auto" w:fill="FCE9E8"/>
          </w:tcPr>
          <w:p>
            <w:pPr>
              <w:jc w:val="right"/>
              <w:ind w:right="603"/>
              <w:spacing w:after="0"/>
              <w:rPr>
                <w:sz w:val="20"/>
                <w:szCs w:val="20"/>
                <w:color w:val="auto"/>
              </w:rPr>
            </w:pPr>
            <w:r>
              <w:rPr>
                <w:rFonts w:ascii="Arial" w:cs="Arial" w:eastAsia="Arial" w:hAnsi="Arial"/>
                <w:sz w:val="16"/>
                <w:szCs w:val="16"/>
                <w:b w:val="1"/>
                <w:bCs w:val="1"/>
                <w:color w:val="auto"/>
              </w:rPr>
              <w:t>E</w:t>
            </w:r>
          </w:p>
        </w:tc>
        <w:tc>
          <w:tcPr>
            <w:tcW w:w="1300" w:type="dxa"/>
            <w:vAlign w:val="bottom"/>
            <w:tcBorders>
              <w:bottom w:val="single" w:sz="8" w:color="auto"/>
            </w:tcBorders>
            <w:shd w:val="clear" w:color="auto" w:fill="FCE9E8"/>
          </w:tcPr>
          <w:p>
            <w:pPr>
              <w:jc w:val="right"/>
              <w:ind w:right="341"/>
              <w:spacing w:after="0"/>
              <w:rPr>
                <w:sz w:val="20"/>
                <w:szCs w:val="20"/>
                <w:color w:val="auto"/>
              </w:rPr>
            </w:pPr>
            <w:r>
              <w:rPr>
                <w:rFonts w:ascii="Arial" w:cs="Arial" w:eastAsia="Arial" w:hAnsi="Arial"/>
                <w:sz w:val="16"/>
                <w:szCs w:val="16"/>
                <w:b w:val="1"/>
                <w:bCs w:val="1"/>
                <w:color w:val="auto"/>
              </w:rPr>
              <w:t>E</w:t>
            </w:r>
          </w:p>
        </w:tc>
      </w:tr>
      <w:tr>
        <w:trPr>
          <w:trHeight w:val="162"/>
        </w:trPr>
        <w:tc>
          <w:tcPr>
            <w:tcW w:w="3500" w:type="dxa"/>
            <w:vAlign w:val="bottom"/>
            <w:gridSpan w:val="2"/>
          </w:tcPr>
          <w:p>
            <w:pPr>
              <w:spacing w:after="0" w:line="161" w:lineRule="exact"/>
              <w:rPr>
                <w:sz w:val="20"/>
                <w:szCs w:val="20"/>
                <w:color w:val="auto"/>
              </w:rPr>
            </w:pPr>
            <w:r>
              <w:rPr>
                <w:rFonts w:ascii="Arial" w:cs="Arial" w:eastAsia="Arial" w:hAnsi="Arial"/>
                <w:sz w:val="16"/>
                <w:szCs w:val="16"/>
                <w:color w:val="auto"/>
              </w:rPr>
              <w:t>“C” = Chair of Committee</w:t>
            </w:r>
          </w:p>
        </w:tc>
        <w:tc>
          <w:tcPr>
            <w:tcW w:w="1760" w:type="dxa"/>
            <w:vAlign w:val="bottom"/>
          </w:tcPr>
          <w:p>
            <w:pPr>
              <w:spacing w:after="0"/>
              <w:rPr>
                <w:sz w:val="14"/>
                <w:szCs w:val="14"/>
                <w:color w:val="auto"/>
              </w:rPr>
            </w:pPr>
          </w:p>
        </w:tc>
        <w:tc>
          <w:tcPr>
            <w:tcW w:w="2660" w:type="dxa"/>
            <w:vAlign w:val="bottom"/>
            <w:gridSpan w:val="2"/>
          </w:tcPr>
          <w:p>
            <w:pPr>
              <w:ind w:left="300"/>
              <w:spacing w:after="0" w:line="161" w:lineRule="exact"/>
              <w:rPr>
                <w:sz w:val="20"/>
                <w:szCs w:val="20"/>
                <w:color w:val="auto"/>
              </w:rPr>
            </w:pPr>
            <w:r>
              <w:rPr>
                <w:rFonts w:ascii="Arial" w:cs="Arial" w:eastAsia="Arial" w:hAnsi="Arial"/>
                <w:sz w:val="16"/>
                <w:szCs w:val="16"/>
                <w:b w:val="1"/>
                <w:bCs w:val="1"/>
                <w:color w:val="auto"/>
              </w:rPr>
              <w:t xml:space="preserve">Director Term: </w:t>
            </w:r>
            <w:r>
              <w:rPr>
                <w:rFonts w:ascii="Arial" w:cs="Arial" w:eastAsia="Arial" w:hAnsi="Arial"/>
                <w:sz w:val="16"/>
                <w:szCs w:val="16"/>
                <w:color w:val="auto"/>
              </w:rPr>
              <w:t>One Year</w:t>
            </w: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6"/>
        </w:trPr>
        <w:tc>
          <w:tcPr>
            <w:tcW w:w="3500" w:type="dxa"/>
            <w:vAlign w:val="bottom"/>
            <w:gridSpan w:val="2"/>
          </w:tcPr>
          <w:p>
            <w:pPr>
              <w:spacing w:after="0"/>
              <w:rPr>
                <w:sz w:val="20"/>
                <w:szCs w:val="20"/>
                <w:color w:val="auto"/>
              </w:rPr>
            </w:pPr>
            <w:r>
              <w:rPr>
                <w:rFonts w:ascii="Arial" w:cs="Arial" w:eastAsia="Arial" w:hAnsi="Arial"/>
                <w:sz w:val="16"/>
                <w:szCs w:val="16"/>
                <w:color w:val="auto"/>
              </w:rPr>
              <w:t>“X” = Member of Committee</w:t>
            </w:r>
          </w:p>
        </w:tc>
        <w:tc>
          <w:tcPr>
            <w:tcW w:w="1760" w:type="dxa"/>
            <w:vAlign w:val="bottom"/>
          </w:tcPr>
          <w:p>
            <w:pPr>
              <w:spacing w:after="0"/>
              <w:rPr>
                <w:sz w:val="16"/>
                <w:szCs w:val="16"/>
                <w:color w:val="auto"/>
              </w:rPr>
            </w:pPr>
          </w:p>
        </w:tc>
        <w:tc>
          <w:tcPr>
            <w:tcW w:w="2660" w:type="dxa"/>
            <w:vAlign w:val="bottom"/>
            <w:gridSpan w:val="2"/>
          </w:tcPr>
          <w:p>
            <w:pPr>
              <w:ind w:left="300"/>
              <w:spacing w:after="0"/>
              <w:rPr>
                <w:sz w:val="20"/>
                <w:szCs w:val="20"/>
                <w:color w:val="auto"/>
              </w:rPr>
            </w:pPr>
            <w:r>
              <w:rPr>
                <w:rFonts w:ascii="Arial" w:cs="Arial" w:eastAsia="Arial" w:hAnsi="Arial"/>
                <w:sz w:val="16"/>
                <w:szCs w:val="16"/>
                <w:b w:val="1"/>
                <w:bCs w:val="1"/>
                <w:color w:val="auto"/>
              </w:rPr>
              <w:t xml:space="preserve">Board Meetings in 2018: </w:t>
            </w:r>
            <w:r>
              <w:rPr>
                <w:rFonts w:ascii="Arial" w:cs="Arial" w:eastAsia="Arial" w:hAnsi="Arial"/>
                <w:sz w:val="16"/>
                <w:szCs w:val="16"/>
                <w:color w:val="auto"/>
              </w:rPr>
              <w:t>6</w:t>
            </w:r>
          </w:p>
        </w:tc>
        <w:tc>
          <w:tcPr>
            <w:tcW w:w="16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6"/>
        </w:trPr>
        <w:tc>
          <w:tcPr>
            <w:tcW w:w="3500" w:type="dxa"/>
            <w:vAlign w:val="bottom"/>
            <w:gridSpan w:val="2"/>
          </w:tcPr>
          <w:p>
            <w:pPr>
              <w:spacing w:after="0"/>
              <w:rPr>
                <w:sz w:val="20"/>
                <w:szCs w:val="20"/>
                <w:color w:val="auto"/>
              </w:rPr>
            </w:pPr>
            <w:r>
              <w:rPr>
                <w:rFonts w:ascii="Arial" w:cs="Arial" w:eastAsia="Arial" w:hAnsi="Arial"/>
                <w:sz w:val="16"/>
                <w:szCs w:val="16"/>
                <w:color w:val="auto"/>
              </w:rPr>
              <w:t>“E” = Ex Officio Member</w:t>
            </w:r>
          </w:p>
        </w:tc>
        <w:tc>
          <w:tcPr>
            <w:tcW w:w="1760" w:type="dxa"/>
            <w:vAlign w:val="bottom"/>
          </w:tcPr>
          <w:p>
            <w:pPr>
              <w:spacing w:after="0"/>
              <w:rPr>
                <w:sz w:val="17"/>
                <w:szCs w:val="17"/>
                <w:color w:val="auto"/>
              </w:rPr>
            </w:pPr>
          </w:p>
        </w:tc>
        <w:tc>
          <w:tcPr>
            <w:tcW w:w="5620" w:type="dxa"/>
            <w:vAlign w:val="bottom"/>
            <w:gridSpan w:val="4"/>
          </w:tcPr>
          <w:p>
            <w:pPr>
              <w:ind w:left="300"/>
              <w:spacing w:after="0"/>
              <w:rPr>
                <w:sz w:val="20"/>
                <w:szCs w:val="20"/>
                <w:color w:val="auto"/>
              </w:rPr>
            </w:pPr>
            <w:r>
              <w:rPr>
                <w:rFonts w:ascii="Arial" w:cs="Arial" w:eastAsia="Arial" w:hAnsi="Arial"/>
                <w:sz w:val="16"/>
                <w:szCs w:val="16"/>
                <w:b w:val="1"/>
                <w:bCs w:val="1"/>
                <w:color w:val="auto"/>
              </w:rPr>
              <w:t xml:space="preserve">Standard Board Committee Meetings in 2018: </w:t>
            </w:r>
            <w:r>
              <w:rPr>
                <w:rFonts w:ascii="Arial" w:cs="Arial" w:eastAsia="Arial" w:hAnsi="Arial"/>
                <w:sz w:val="16"/>
                <w:szCs w:val="16"/>
                <w:color w:val="auto"/>
              </w:rPr>
              <w:t>Audit (9), Compensation</w:t>
            </w:r>
          </w:p>
        </w:tc>
      </w:tr>
      <w:tr>
        <w:trPr>
          <w:trHeight w:val="193"/>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0" w:type="dxa"/>
            <w:vAlign w:val="bottom"/>
          </w:tcPr>
          <w:p>
            <w:pPr>
              <w:ind w:left="300"/>
              <w:spacing w:after="0"/>
              <w:rPr>
                <w:sz w:val="20"/>
                <w:szCs w:val="20"/>
                <w:color w:val="auto"/>
              </w:rPr>
            </w:pPr>
            <w:r>
              <w:rPr>
                <w:rFonts w:ascii="Arial" w:cs="Arial" w:eastAsia="Arial" w:hAnsi="Arial"/>
                <w:sz w:val="16"/>
                <w:szCs w:val="16"/>
                <w:color w:val="auto"/>
              </w:rPr>
              <w:t>(4), Nominating (4)</w:t>
            </w:r>
          </w:p>
        </w:tc>
        <w:tc>
          <w:tcPr>
            <w:tcW w:w="8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spacing w:after="0" w:line="129" w:lineRule="exact"/>
        <w:rPr>
          <w:sz w:val="20"/>
          <w:szCs w:val="20"/>
          <w:color w:val="auto"/>
        </w:rPr>
      </w:pPr>
    </w:p>
    <w:p>
      <w:pPr>
        <w:ind w:left="9040"/>
        <w:spacing w:after="0"/>
        <w:tabs>
          <w:tab w:leader="none" w:pos="10720" w:val="left"/>
          <w:tab w:leader="none" w:pos="1092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1</w:t>
      </w:r>
    </w:p>
    <w:p>
      <w:pPr>
        <w:sectPr>
          <w:pgSz w:w="11900" w:h="16838" w:orient="portrait"/>
          <w:cols w:equalWidth="0" w:num="1">
            <w:col w:w="11160"/>
          </w:cols>
          <w:pgMar w:left="240" w:top="455"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PROXY SUMMARY</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2018 Performance and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01815" cy="825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253365</wp:posOffset>
            </wp:positionV>
            <wp:extent cx="6360160" cy="5066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60160" cy="506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0" w:right="280" w:hanging="320"/>
        <w:spacing w:after="0" w:line="181" w:lineRule="auto"/>
        <w:tabs>
          <w:tab w:leader="none" w:pos="600" w:val="left"/>
        </w:tabs>
        <w:numPr>
          <w:ilvl w:val="0"/>
          <w:numId w:val="8"/>
        </w:numPr>
        <w:rPr>
          <w:rFonts w:ascii="Arial" w:cs="Arial" w:eastAsia="Arial" w:hAnsi="Arial"/>
          <w:sz w:val="24"/>
          <w:szCs w:val="24"/>
          <w:color w:val="auto"/>
          <w:vertAlign w:val="superscript"/>
        </w:rPr>
      </w:pPr>
      <w:r>
        <w:rPr>
          <w:rFonts w:ascii="Arial" w:cs="Arial" w:eastAsia="Arial" w:hAnsi="Arial"/>
          <w:sz w:val="14"/>
          <w:szCs w:val="14"/>
          <w:color w:val="auto"/>
        </w:rPr>
        <w:t>Reflects estimated net sales for 2019-2021 from formally awarded new programs, less lost and discontinued programs. Excludes sales backlog at non-consolidated joint ventures.</w:t>
      </w:r>
    </w:p>
    <w:p>
      <w:pPr>
        <w:spacing w:after="0" w:line="70" w:lineRule="exact"/>
        <w:rPr>
          <w:rFonts w:ascii="Arial" w:cs="Arial" w:eastAsia="Arial" w:hAnsi="Arial"/>
          <w:sz w:val="24"/>
          <w:szCs w:val="24"/>
          <w:color w:val="auto"/>
          <w:vertAlign w:val="superscript"/>
        </w:rPr>
      </w:pPr>
    </w:p>
    <w:p>
      <w:pPr>
        <w:ind w:left="600" w:hanging="320"/>
        <w:spacing w:after="0" w:line="196" w:lineRule="auto"/>
        <w:tabs>
          <w:tab w:leader="none" w:pos="600" w:val="left"/>
        </w:tabs>
        <w:numPr>
          <w:ilvl w:val="0"/>
          <w:numId w:val="8"/>
        </w:numPr>
        <w:rPr>
          <w:rFonts w:ascii="Arial" w:cs="Arial" w:eastAsia="Arial" w:hAnsi="Arial"/>
          <w:sz w:val="24"/>
          <w:szCs w:val="24"/>
          <w:color w:val="auto"/>
          <w:vertAlign w:val="superscript"/>
        </w:rPr>
      </w:pPr>
      <w:r>
        <w:rPr>
          <w:rFonts w:ascii="Arial" w:cs="Arial" w:eastAsia="Arial" w:hAnsi="Arial"/>
          <w:sz w:val="14"/>
          <w:szCs w:val="14"/>
          <w:color w:val="auto"/>
        </w:rPr>
        <w:t>Core operating earnings, adjusted earnings per share and free cash flow are financial measures that are not calculated in accordance with accounting principles generally accepted in the United States (“GAAP”). For more information regarding our non-GAAP financial measures and reconciliations to the most directly comparable GAAP financial measures, see Appendix A. “Reconciliation of Non-GAAP Financial Measures.”</w:t>
      </w:r>
    </w:p>
    <w:p>
      <w:pPr>
        <w:spacing w:after="0" w:line="110" w:lineRule="exact"/>
        <w:rPr>
          <w:sz w:val="20"/>
          <w:szCs w:val="20"/>
          <w:color w:val="auto"/>
        </w:rPr>
      </w:pPr>
    </w:p>
    <w:p>
      <w:pPr>
        <w:ind w:left="640" w:hanging="257"/>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240" w:top="455"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250825</wp:posOffset>
            </wp:positionV>
            <wp:extent cx="6360160" cy="63182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60160" cy="631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0" w:right="280" w:hanging="320"/>
        <w:spacing w:after="0" w:line="181" w:lineRule="auto"/>
        <w:tabs>
          <w:tab w:leader="none" w:pos="600" w:val="left"/>
        </w:tabs>
        <w:numPr>
          <w:ilvl w:val="0"/>
          <w:numId w:val="10"/>
        </w:numPr>
        <w:rPr>
          <w:rFonts w:ascii="Arial" w:cs="Arial" w:eastAsia="Arial" w:hAnsi="Arial"/>
          <w:sz w:val="24"/>
          <w:szCs w:val="24"/>
          <w:color w:val="auto"/>
          <w:vertAlign w:val="superscript"/>
        </w:rPr>
      </w:pPr>
      <w:r>
        <w:rPr>
          <w:rFonts w:ascii="Arial" w:cs="Arial" w:eastAsia="Arial" w:hAnsi="Arial"/>
          <w:sz w:val="14"/>
          <w:szCs w:val="14"/>
          <w:color w:val="auto"/>
        </w:rPr>
        <w:t>Reflects estimated net sales for 2019-2021 from formally awarded new programs, less lost and discontinued programs. Excludes sales backlog at non-consolidated joint ventures.</w:t>
      </w:r>
    </w:p>
    <w:p>
      <w:pPr>
        <w:spacing w:after="0" w:line="70" w:lineRule="exact"/>
        <w:rPr>
          <w:rFonts w:ascii="Arial" w:cs="Arial" w:eastAsia="Arial" w:hAnsi="Arial"/>
          <w:sz w:val="24"/>
          <w:szCs w:val="24"/>
          <w:color w:val="auto"/>
          <w:vertAlign w:val="superscript"/>
        </w:rPr>
      </w:pPr>
    </w:p>
    <w:p>
      <w:pPr>
        <w:ind w:left="600" w:right="60" w:hanging="320"/>
        <w:spacing w:after="0" w:line="196" w:lineRule="auto"/>
        <w:tabs>
          <w:tab w:leader="none" w:pos="600" w:val="left"/>
        </w:tabs>
        <w:numPr>
          <w:ilvl w:val="0"/>
          <w:numId w:val="10"/>
        </w:numPr>
        <w:rPr>
          <w:rFonts w:ascii="Arial" w:cs="Arial" w:eastAsia="Arial" w:hAnsi="Arial"/>
          <w:sz w:val="24"/>
          <w:szCs w:val="24"/>
          <w:color w:val="auto"/>
          <w:vertAlign w:val="superscript"/>
        </w:rPr>
      </w:pPr>
      <w:r>
        <w:rPr>
          <w:rFonts w:ascii="Arial" w:cs="Arial" w:eastAsia="Arial" w:hAnsi="Arial"/>
          <w:sz w:val="14"/>
          <w:szCs w:val="14"/>
          <w:color w:val="auto"/>
        </w:rPr>
        <w:t>Core operating earnings, adjusted earnings per share and free cash flow are financial measures that are not calculated in accordance with GAAP. For more information regarding our non-GAAP financial measures and reconciliations to the most directly comparable GAAP financial measures, see Appendix A, “Reconciliation of Non-GAAP Financial Measures.”</w:t>
      </w:r>
    </w:p>
    <w:p>
      <w:pPr>
        <w:spacing w:after="0" w:line="110" w:lineRule="exact"/>
        <w:rPr>
          <w:sz w:val="20"/>
          <w:szCs w:val="20"/>
          <w:color w:val="auto"/>
        </w:rPr>
      </w:pPr>
    </w:p>
    <w:p>
      <w:pPr>
        <w:ind w:left="9040"/>
        <w:spacing w:after="0"/>
        <w:tabs>
          <w:tab w:leader="none" w:pos="10720" w:val="left"/>
          <w:tab w:leader="none" w:pos="1092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w:t>
      </w:r>
    </w:p>
    <w:p>
      <w:pPr>
        <w:sectPr>
          <w:pgSz w:w="11900" w:h="16838" w:orient="portrait"/>
          <w:cols w:equalWidth="0" w:num="1">
            <w:col w:w="11140"/>
          </w:cols>
          <w:pgMar w:left="240" w:top="455"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PROXY SUMMARY</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307"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WHAT WE DO:</w:t>
      </w:r>
    </w:p>
    <w:p>
      <w:pPr>
        <w:sectPr>
          <w:pgSz w:w="11900" w:h="16838" w:orient="portrait"/>
          <w:cols w:equalWidth="0" w:num="1">
            <w:col w:w="11160"/>
          </w:cols>
          <w:pgMar w:left="240" w:top="455" w:right="499" w:bottom="1440" w:gutter="0" w:footer="0" w:header="0"/>
        </w:sectPr>
      </w:pPr>
    </w:p>
    <w:p>
      <w:pPr>
        <w:spacing w:after="0" w:line="242" w:lineRule="exact"/>
        <w:rPr>
          <w:sz w:val="20"/>
          <w:szCs w:val="20"/>
          <w:color w:val="auto"/>
        </w:rPr>
      </w:pPr>
    </w:p>
    <w:p>
      <w:pPr>
        <w:ind w:left="600" w:right="100" w:hanging="320"/>
        <w:spacing w:after="0" w:line="261" w:lineRule="auto"/>
        <w:tabs>
          <w:tab w:leader="none" w:pos="605" w:val="left"/>
        </w:tabs>
        <w:numPr>
          <w:ilvl w:val="0"/>
          <w:numId w:val="11"/>
        </w:numPr>
        <w:rPr>
          <w:rFonts w:ascii="MS PGothic" w:cs="MS PGothic" w:eastAsia="MS PGothic" w:hAnsi="MS PGothic"/>
          <w:sz w:val="16"/>
          <w:szCs w:val="16"/>
          <w:color w:val="auto"/>
        </w:rPr>
      </w:pPr>
      <w:r>
        <w:rPr>
          <w:rFonts w:ascii="Arial" w:cs="Arial" w:eastAsia="Arial" w:hAnsi="Arial"/>
          <w:sz w:val="16"/>
          <w:szCs w:val="16"/>
          <w:b w:val="1"/>
          <w:bCs w:val="1"/>
          <w:color w:val="auto"/>
        </w:rPr>
        <w:t>Pay Program Aligned with Business Strategy</w:t>
      </w:r>
      <w:r>
        <w:rPr>
          <w:rFonts w:ascii="Arial" w:cs="Arial" w:eastAsia="Arial" w:hAnsi="Arial"/>
          <w:sz w:val="16"/>
          <w:szCs w:val="16"/>
          <w:color w:val="auto"/>
        </w:rPr>
        <w:t>: Our incentive plan</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measures are well aligned with our business strategy, correlative to total stockholder return and generally consistent with those used by our peer companies.</w:t>
      </w:r>
    </w:p>
    <w:p>
      <w:pPr>
        <w:spacing w:after="0" w:line="251" w:lineRule="exact"/>
        <w:rPr>
          <w:rFonts w:ascii="MS PGothic" w:cs="MS PGothic" w:eastAsia="MS PGothic" w:hAnsi="MS PGothic"/>
          <w:sz w:val="16"/>
          <w:szCs w:val="16"/>
          <w:color w:val="auto"/>
        </w:rPr>
      </w:pPr>
    </w:p>
    <w:p>
      <w:pPr>
        <w:ind w:left="600" w:right="120" w:hanging="320"/>
        <w:spacing w:after="0" w:line="266" w:lineRule="auto"/>
        <w:tabs>
          <w:tab w:leader="none" w:pos="605" w:val="left"/>
        </w:tabs>
        <w:numPr>
          <w:ilvl w:val="0"/>
          <w:numId w:val="11"/>
        </w:numPr>
        <w:rPr>
          <w:rFonts w:ascii="MS PGothic" w:cs="MS PGothic" w:eastAsia="MS PGothic" w:hAnsi="MS PGothic"/>
          <w:sz w:val="15"/>
          <w:szCs w:val="15"/>
          <w:color w:val="auto"/>
        </w:rPr>
      </w:pPr>
      <w:r>
        <w:rPr>
          <w:rFonts w:ascii="Arial" w:cs="Arial" w:eastAsia="Arial" w:hAnsi="Arial"/>
          <w:sz w:val="15"/>
          <w:szCs w:val="15"/>
          <w:b w:val="1"/>
          <w:bCs w:val="1"/>
          <w:color w:val="auto"/>
        </w:rPr>
        <w:t>Balanced Mix of Performance Measures</w:t>
      </w:r>
      <w:r>
        <w:rPr>
          <w:rFonts w:ascii="Arial" w:cs="Arial" w:eastAsia="Arial" w:hAnsi="Arial"/>
          <w:sz w:val="15"/>
          <w:szCs w:val="15"/>
          <w:color w:val="auto"/>
        </w:rPr>
        <w:t>: We use four complementary</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measures in our incentive compensation programs (Adjusted Operating Income, Free Cash Flow, Adjusted Return on Invested Capital (ROIC) and Cumulative Adjusted Pre-Tax Income), which were selected to drive profitable growth with efficient capital management. (See pages 35 and 38 in the “Compensation Discussion and Analysis” for definitions of these performance measures.)</w:t>
      </w:r>
    </w:p>
    <w:p>
      <w:pPr>
        <w:ind w:left="600" w:hanging="320"/>
        <w:spacing w:after="0" w:line="257" w:lineRule="auto"/>
        <w:tabs>
          <w:tab w:leader="none" w:pos="605" w:val="left"/>
        </w:tabs>
        <w:numPr>
          <w:ilvl w:val="0"/>
          <w:numId w:val="11"/>
        </w:numPr>
        <w:rPr>
          <w:rFonts w:ascii="MS PGothic" w:cs="MS PGothic" w:eastAsia="MS PGothic" w:hAnsi="MS PGothic"/>
          <w:sz w:val="16"/>
          <w:szCs w:val="16"/>
          <w:color w:val="auto"/>
        </w:rPr>
      </w:pPr>
      <w:r>
        <w:rPr>
          <w:rFonts w:ascii="Arial" w:cs="Arial" w:eastAsia="Arial" w:hAnsi="Arial"/>
          <w:sz w:val="16"/>
          <w:szCs w:val="16"/>
          <w:b w:val="1"/>
          <w:bCs w:val="1"/>
          <w:color w:val="auto"/>
        </w:rPr>
        <w:t>Independent Compensation Consultant for Compensation Committee</w:t>
      </w:r>
      <w:r>
        <w:rPr>
          <w:rFonts w:ascii="Arial" w:cs="Arial" w:eastAsia="Arial" w:hAnsi="Arial"/>
          <w:sz w:val="16"/>
          <w:szCs w:val="16"/>
          <w:color w:val="auto"/>
        </w:rPr>
        <w:t>: Since 2010, our Compensation Committee has engaged Pay</w:t>
      </w:r>
      <w:r>
        <w:rPr>
          <w:rFonts w:ascii="Arial" w:cs="Arial" w:eastAsia="Arial" w:hAnsi="Arial"/>
          <w:sz w:val="16"/>
          <w:szCs w:val="16"/>
          <w:b w:val="1"/>
          <w:bCs w:val="1"/>
          <w:color w:val="auto"/>
        </w:rPr>
        <w:t xml:space="preserve"> </w:t>
      </w:r>
      <w:r>
        <w:rPr>
          <w:rFonts w:ascii="Arial" w:cs="Arial" w:eastAsia="Arial" w:hAnsi="Arial"/>
          <w:sz w:val="16"/>
          <w:szCs w:val="16"/>
          <w:color w:val="auto"/>
        </w:rPr>
        <w:t>Governance LLC as its independent compensation consultant.</w:t>
      </w:r>
    </w:p>
    <w:p>
      <w:pPr>
        <w:spacing w:after="0" w:line="68" w:lineRule="exact"/>
        <w:rPr>
          <w:rFonts w:ascii="MS PGothic" w:cs="MS PGothic" w:eastAsia="MS PGothic" w:hAnsi="MS PGothic"/>
          <w:sz w:val="16"/>
          <w:szCs w:val="16"/>
          <w:color w:val="auto"/>
        </w:rPr>
      </w:pPr>
    </w:p>
    <w:p>
      <w:pPr>
        <w:ind w:left="600" w:hanging="320"/>
        <w:spacing w:after="0" w:line="256" w:lineRule="auto"/>
        <w:tabs>
          <w:tab w:leader="none" w:pos="599" w:val="left"/>
        </w:tabs>
        <w:numPr>
          <w:ilvl w:val="0"/>
          <w:numId w:val="11"/>
        </w:numPr>
        <w:rPr>
          <w:rFonts w:ascii="MS PGothic" w:cs="MS PGothic" w:eastAsia="MS PGothic" w:hAnsi="MS PGothic"/>
          <w:sz w:val="16"/>
          <w:szCs w:val="16"/>
          <w:color w:val="auto"/>
        </w:rPr>
      </w:pPr>
      <w:r>
        <w:rPr>
          <w:rFonts w:ascii="Arial" w:cs="Arial" w:eastAsia="Arial" w:hAnsi="Arial"/>
          <w:sz w:val="16"/>
          <w:szCs w:val="16"/>
          <w:b w:val="1"/>
          <w:bCs w:val="1"/>
          <w:color w:val="auto"/>
        </w:rPr>
        <w:t>Annual Market Practices and Compensation Risk Review</w:t>
      </w:r>
      <w:r>
        <w:rPr>
          <w:rFonts w:ascii="Arial" w:cs="Arial" w:eastAsia="Arial" w:hAnsi="Arial"/>
          <w:sz w:val="16"/>
          <w:szCs w:val="16"/>
          <w:color w:val="auto"/>
        </w:rPr>
        <w:t>: We assess</w:t>
      </w:r>
      <w:r>
        <w:rPr>
          <w:rFonts w:ascii="Arial" w:cs="Arial" w:eastAsia="Arial" w:hAnsi="Arial"/>
          <w:sz w:val="16"/>
          <w:szCs w:val="16"/>
          <w:b w:val="1"/>
          <w:bCs w:val="1"/>
          <w:color w:val="auto"/>
        </w:rPr>
        <w:t xml:space="preserve"> </w:t>
      </w:r>
      <w:r>
        <w:rPr>
          <w:rFonts w:ascii="Arial" w:cs="Arial" w:eastAsia="Arial" w:hAnsi="Arial"/>
          <w:sz w:val="16"/>
          <w:szCs w:val="16"/>
          <w:color w:val="auto"/>
        </w:rPr>
        <w:t>on an annual basis the key elements of our executive compensation programs as compared to market practices and emerging trends. We also complete annually a comprehensive risk assessment of our employee compensation policies and practices.</w:t>
      </w:r>
    </w:p>
    <w:p>
      <w:pPr>
        <w:spacing w:after="0" w:line="150" w:lineRule="exact"/>
        <w:rPr>
          <w:rFonts w:ascii="MS PGothic" w:cs="MS PGothic" w:eastAsia="MS PGothic" w:hAnsi="MS PGothic"/>
          <w:sz w:val="16"/>
          <w:szCs w:val="16"/>
          <w:color w:val="auto"/>
        </w:rPr>
      </w:pPr>
    </w:p>
    <w:p>
      <w:pPr>
        <w:ind w:left="600" w:right="40" w:hanging="320"/>
        <w:spacing w:after="0" w:line="261" w:lineRule="auto"/>
        <w:tabs>
          <w:tab w:leader="none" w:pos="605" w:val="left"/>
        </w:tabs>
        <w:numPr>
          <w:ilvl w:val="0"/>
          <w:numId w:val="11"/>
        </w:numPr>
        <w:rPr>
          <w:rFonts w:ascii="MS PGothic" w:cs="MS PGothic" w:eastAsia="MS PGothic" w:hAnsi="MS PGothic"/>
          <w:sz w:val="16"/>
          <w:szCs w:val="16"/>
          <w:color w:val="auto"/>
        </w:rPr>
      </w:pPr>
      <w:r>
        <w:rPr>
          <w:rFonts w:ascii="Arial" w:cs="Arial" w:eastAsia="Arial" w:hAnsi="Arial"/>
          <w:sz w:val="16"/>
          <w:szCs w:val="16"/>
          <w:b w:val="1"/>
          <w:bCs w:val="1"/>
          <w:color w:val="auto"/>
        </w:rPr>
        <w:t>Robust Stock Ownership Guidelines</w:t>
      </w:r>
      <w:r>
        <w:rPr>
          <w:rFonts w:ascii="Arial" w:cs="Arial" w:eastAsia="Arial" w:hAnsi="Arial"/>
          <w:sz w:val="16"/>
          <w:szCs w:val="16"/>
          <w:color w:val="auto"/>
        </w:rPr>
        <w:t>: We have adopted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stock ownership guidelines that are applicable to all executive officers, including our named executive officers. The stock ownership guideline for our CEO is six times his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-3152140</wp:posOffset>
            </wp:positionV>
            <wp:extent cx="6901815" cy="6007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01815" cy="60071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-1646555</wp:posOffset>
            </wp:positionV>
            <wp:extent cx="6901815" cy="3638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01815" cy="36385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-495935</wp:posOffset>
            </wp:positionV>
            <wp:extent cx="6901815" cy="6007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01815" cy="600710"/>
                    </a:xfrm>
                    <a:prstGeom prst="rect">
                      <a:avLst/>
                    </a:prstGeom>
                    <a:noFill/>
                  </pic:spPr>
                </pic:pic>
              </a:graphicData>
            </a:graphic>
          </wp:anchor>
        </w:drawing>
      </w:r>
    </w:p>
    <w:p>
      <w:pPr>
        <w:spacing w:after="0" w:line="338"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WHAT WE DON’T DO:</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326" w:right="60" w:hanging="326"/>
        <w:spacing w:after="0" w:line="256" w:lineRule="auto"/>
        <w:tabs>
          <w:tab w:leader="none" w:pos="332" w:val="left"/>
        </w:tabs>
        <w:numPr>
          <w:ilvl w:val="0"/>
          <w:numId w:val="12"/>
        </w:numPr>
        <w:rPr>
          <w:rFonts w:ascii="MS PGothic" w:cs="MS PGothic" w:eastAsia="MS PGothic" w:hAnsi="MS PGothic"/>
          <w:sz w:val="16"/>
          <w:szCs w:val="16"/>
          <w:color w:val="auto"/>
        </w:rPr>
      </w:pPr>
      <w:r>
        <w:rPr>
          <w:rFonts w:ascii="Arial" w:cs="Arial" w:eastAsia="Arial" w:hAnsi="Arial"/>
          <w:sz w:val="16"/>
          <w:szCs w:val="16"/>
          <w:b w:val="1"/>
          <w:bCs w:val="1"/>
          <w:color w:val="auto"/>
        </w:rPr>
        <w:t>High Percentage of Performance-Based Pay</w:t>
      </w:r>
      <w:r>
        <w:rPr>
          <w:rFonts w:ascii="Arial" w:cs="Arial" w:eastAsia="Arial" w:hAnsi="Arial"/>
          <w:sz w:val="16"/>
          <w:szCs w:val="16"/>
          <w:color w:val="auto"/>
        </w:rPr>
        <w:t>: All of the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opportunity and the majority (75%) of the long-term incentive opportunity that we offer our named executive officers are determined based on the achievement of specific performance measures.</w:t>
      </w:r>
    </w:p>
    <w:p>
      <w:pPr>
        <w:spacing w:after="0" w:line="70" w:lineRule="exact"/>
        <w:rPr>
          <w:rFonts w:ascii="MS PGothic" w:cs="MS PGothic" w:eastAsia="MS PGothic" w:hAnsi="MS PGothic"/>
          <w:sz w:val="16"/>
          <w:szCs w:val="16"/>
          <w:color w:val="auto"/>
        </w:rPr>
      </w:pPr>
    </w:p>
    <w:p>
      <w:pPr>
        <w:ind w:left="326" w:right="20" w:hanging="326"/>
        <w:spacing w:after="0" w:line="266" w:lineRule="auto"/>
        <w:tabs>
          <w:tab w:leader="none" w:pos="332" w:val="left"/>
        </w:tabs>
        <w:numPr>
          <w:ilvl w:val="0"/>
          <w:numId w:val="12"/>
        </w:numPr>
        <w:rPr>
          <w:rFonts w:ascii="MS PGothic" w:cs="MS PGothic" w:eastAsia="MS PGothic" w:hAnsi="MS PGothic"/>
          <w:sz w:val="15"/>
          <w:szCs w:val="15"/>
          <w:color w:val="auto"/>
        </w:rPr>
      </w:pPr>
      <w:r>
        <w:rPr>
          <w:rFonts w:ascii="Arial" w:cs="Arial" w:eastAsia="Arial" w:hAnsi="Arial"/>
          <w:sz w:val="15"/>
          <w:szCs w:val="15"/>
          <w:b w:val="1"/>
          <w:bCs w:val="1"/>
          <w:color w:val="auto"/>
        </w:rPr>
        <w:t>Clawback of Incentive Compensation</w:t>
      </w:r>
      <w:r>
        <w:rPr>
          <w:rFonts w:ascii="Arial" w:cs="Arial" w:eastAsia="Arial" w:hAnsi="Arial"/>
          <w:sz w:val="15"/>
          <w:szCs w:val="15"/>
          <w:color w:val="auto"/>
        </w:rPr>
        <w:t>: Our clawback policy</w:t>
      </w:r>
      <w:r>
        <w:rPr>
          <w:rFonts w:ascii="Arial" w:cs="Arial" w:eastAsia="Arial" w:hAnsi="Arial"/>
          <w:sz w:val="15"/>
          <w:szCs w:val="15"/>
          <w:b w:val="1"/>
          <w:bCs w:val="1"/>
          <w:color w:val="auto"/>
        </w:rPr>
        <w:t xml:space="preserve"> </w:t>
      </w:r>
      <w:r>
        <w:rPr>
          <w:rFonts w:ascii="Arial" w:cs="Arial" w:eastAsia="Arial" w:hAnsi="Arial"/>
          <w:sz w:val="15"/>
          <w:szCs w:val="15"/>
          <w:color w:val="auto"/>
        </w:rPr>
        <w:t>applies to all incentive-based cash and equity compensation granted to current and former executive officers. In the event that we are required to prepare an accounting restatement due to any such executive officer’s intentional misconduct, we will recover from him or her the amount, if any, of incentive compensation in excess of what would have been paid under the accounting restatement.</w:t>
      </w:r>
    </w:p>
    <w:p>
      <w:pPr>
        <w:ind w:left="326" w:right="180" w:hanging="326"/>
        <w:spacing w:after="0" w:line="257" w:lineRule="auto"/>
        <w:tabs>
          <w:tab w:leader="none" w:pos="332" w:val="left"/>
        </w:tabs>
        <w:numPr>
          <w:ilvl w:val="0"/>
          <w:numId w:val="12"/>
        </w:numPr>
        <w:rPr>
          <w:rFonts w:ascii="MS PGothic" w:cs="MS PGothic" w:eastAsia="MS PGothic" w:hAnsi="MS PGothic"/>
          <w:sz w:val="16"/>
          <w:szCs w:val="16"/>
          <w:color w:val="auto"/>
        </w:rPr>
      </w:pPr>
      <w:r>
        <w:rPr>
          <w:rFonts w:ascii="Arial" w:cs="Arial" w:eastAsia="Arial" w:hAnsi="Arial"/>
          <w:sz w:val="16"/>
          <w:szCs w:val="16"/>
          <w:b w:val="1"/>
          <w:bCs w:val="1"/>
          <w:color w:val="auto"/>
        </w:rPr>
        <w:t>Equity Retention Requirement</w:t>
      </w:r>
      <w:r>
        <w:rPr>
          <w:rFonts w:ascii="Arial" w:cs="Arial" w:eastAsia="Arial" w:hAnsi="Arial"/>
          <w:sz w:val="16"/>
          <w:szCs w:val="16"/>
          <w:color w:val="auto"/>
        </w:rPr>
        <w:t>: Until an executive satisfies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stock ownership guideline, he or she must hold 50% of the net shares acquired upon the vesting of equity awards.</w:t>
      </w:r>
    </w:p>
    <w:p>
      <w:pPr>
        <w:spacing w:after="0" w:line="68" w:lineRule="exact"/>
        <w:rPr>
          <w:rFonts w:ascii="MS PGothic" w:cs="MS PGothic" w:eastAsia="MS PGothic" w:hAnsi="MS PGothic"/>
          <w:sz w:val="16"/>
          <w:szCs w:val="16"/>
          <w:color w:val="auto"/>
        </w:rPr>
      </w:pPr>
    </w:p>
    <w:p>
      <w:pPr>
        <w:ind w:left="326" w:right="140" w:hanging="326"/>
        <w:spacing w:after="0" w:line="267" w:lineRule="auto"/>
        <w:tabs>
          <w:tab w:leader="none" w:pos="332" w:val="left"/>
        </w:tabs>
        <w:numPr>
          <w:ilvl w:val="0"/>
          <w:numId w:val="12"/>
        </w:numPr>
        <w:rPr>
          <w:rFonts w:ascii="MS PGothic" w:cs="MS PGothic" w:eastAsia="MS PGothic" w:hAnsi="MS PGothic"/>
          <w:sz w:val="15"/>
          <w:szCs w:val="15"/>
          <w:color w:val="auto"/>
        </w:rPr>
      </w:pPr>
      <w:r>
        <w:rPr>
          <w:rFonts w:ascii="Arial" w:cs="Arial" w:eastAsia="Arial" w:hAnsi="Arial"/>
          <w:sz w:val="15"/>
          <w:szCs w:val="15"/>
          <w:b w:val="1"/>
          <w:bCs w:val="1"/>
          <w:color w:val="auto"/>
        </w:rPr>
        <w:t>Relative TSR Performance Modifier Starting with 2019 Performance Share Grants</w:t>
      </w:r>
      <w:r>
        <w:rPr>
          <w:rFonts w:ascii="Arial" w:cs="Arial" w:eastAsia="Arial" w:hAnsi="Arial"/>
          <w:sz w:val="15"/>
          <w:szCs w:val="15"/>
          <w:color w:val="auto"/>
        </w:rPr>
        <w:t>: Starting with awards of performance</w:t>
      </w:r>
      <w:r>
        <w:rPr>
          <w:rFonts w:ascii="Arial" w:cs="Arial" w:eastAsia="Arial" w:hAnsi="Arial"/>
          <w:sz w:val="15"/>
          <w:szCs w:val="15"/>
          <w:b w:val="1"/>
          <w:bCs w:val="1"/>
          <w:color w:val="auto"/>
        </w:rPr>
        <w:t xml:space="preserve"> </w:t>
      </w:r>
      <w:r>
        <w:rPr>
          <w:rFonts w:ascii="Arial" w:cs="Arial" w:eastAsia="Arial" w:hAnsi="Arial"/>
          <w:sz w:val="15"/>
          <w:szCs w:val="15"/>
          <w:color w:val="auto"/>
        </w:rPr>
        <w:t>shares granted in 2019, we have added a performance modifier that may cause payouts to be adjusted upwards or downwards based on our relative total stockholder return, as compared to an auto supplier peer group, over the performance period.</w:t>
      </w:r>
    </w:p>
    <w:p>
      <w:pPr>
        <w:ind w:left="326" w:right="140" w:hanging="326"/>
        <w:spacing w:after="0" w:line="250" w:lineRule="auto"/>
        <w:tabs>
          <w:tab w:leader="none" w:pos="332" w:val="left"/>
        </w:tabs>
        <w:numPr>
          <w:ilvl w:val="0"/>
          <w:numId w:val="12"/>
        </w:numPr>
        <w:rPr>
          <w:rFonts w:ascii="MS PGothic" w:cs="MS PGothic" w:eastAsia="MS PGothic" w:hAnsi="MS PGothic"/>
          <w:sz w:val="16"/>
          <w:szCs w:val="16"/>
          <w:color w:val="auto"/>
        </w:rPr>
      </w:pPr>
      <w:r>
        <w:rPr>
          <w:rFonts w:ascii="Arial" w:cs="Arial" w:eastAsia="Arial" w:hAnsi="Arial"/>
          <w:sz w:val="16"/>
          <w:szCs w:val="16"/>
          <w:b w:val="1"/>
          <w:bCs w:val="1"/>
          <w:color w:val="auto"/>
        </w:rPr>
        <w:t>Holding Period for Career Shares</w:t>
      </w:r>
      <w:r>
        <w:rPr>
          <w:rFonts w:ascii="Arial" w:cs="Arial" w:eastAsia="Arial" w:hAnsi="Arial"/>
          <w:sz w:val="16"/>
          <w:szCs w:val="16"/>
          <w:color w:val="auto"/>
        </w:rPr>
        <w:t>: As part of our long-term</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package, certain executives (including our CEO) receive awards of time-vesting Career Share RSUs. The units underlying the Career Shares must be held until the earlier of age 62 or three years after retirement.</w:t>
      </w:r>
    </w:p>
    <w:p>
      <w:pPr>
        <w:spacing w:after="0" w:line="564" w:lineRule="exact"/>
        <w:rPr>
          <w:sz w:val="20"/>
          <w:szCs w:val="20"/>
          <w:color w:val="auto"/>
        </w:rPr>
      </w:pPr>
    </w:p>
    <w:p>
      <w:pPr>
        <w:sectPr>
          <w:pgSz w:w="11900" w:h="16838" w:orient="portrait"/>
          <w:cols w:equalWidth="0" w:num="2">
            <w:col w:w="5820" w:space="214"/>
            <w:col w:w="5126"/>
          </w:cols>
          <w:pgMar w:left="240" w:top="455" w:right="499" w:bottom="1440" w:gutter="0" w:footer="0" w:header="0"/>
          <w:type w:val="continuous"/>
        </w:sectPr>
      </w:pPr>
    </w:p>
    <w:p>
      <w:pPr>
        <w:spacing w:after="0" w:line="21" w:lineRule="exact"/>
        <w:rPr>
          <w:sz w:val="20"/>
          <w:szCs w:val="20"/>
          <w:color w:val="auto"/>
        </w:rPr>
      </w:pPr>
    </w:p>
    <w:tbl>
      <w:tblPr>
        <w:tblLayout w:type="fixed"/>
        <w:tblInd w:w="280" w:type="dxa"/>
        <w:tblCellMar>
          <w:top w:w="0" w:type="dxa"/>
          <w:left w:w="0" w:type="dxa"/>
          <w:bottom w:w="0" w:type="dxa"/>
          <w:right w:w="0" w:type="dxa"/>
        </w:tblCellMar>
      </w:tblPr>
      <w:tr>
        <w:trPr>
          <w:trHeight w:val="241"/>
        </w:trPr>
        <w:tc>
          <w:tcPr>
            <w:tcW w:w="560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Single-Trigger Change in Control Vesting of Equity Awards</w:t>
            </w:r>
            <w:r>
              <w:rPr>
                <w:rFonts w:ascii="Arial" w:cs="Arial" w:eastAsia="Arial" w:hAnsi="Arial"/>
                <w:sz w:val="16"/>
                <w:szCs w:val="16"/>
                <w:color w:val="auto"/>
              </w:rPr>
              <w:t>: All</w:t>
            </w:r>
          </w:p>
        </w:tc>
        <w:tc>
          <w:tcPr>
            <w:tcW w:w="5280" w:type="dxa"/>
            <w:vAlign w:val="bottom"/>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Hedging or Pledging of Company Stock</w:t>
            </w:r>
            <w:r>
              <w:rPr>
                <w:rFonts w:ascii="Arial" w:cs="Arial" w:eastAsia="Arial" w:hAnsi="Arial"/>
                <w:sz w:val="16"/>
                <w:szCs w:val="16"/>
                <w:color w:val="auto"/>
              </w:rPr>
              <w:t>: We maintain a</w:t>
            </w:r>
          </w:p>
        </w:tc>
      </w:tr>
      <w:tr>
        <w:trPr>
          <w:trHeight w:val="186"/>
        </w:trPr>
        <w:tc>
          <w:tcPr>
            <w:tcW w:w="5600" w:type="dxa"/>
            <w:vAlign w:val="bottom"/>
          </w:tcPr>
          <w:p>
            <w:pPr>
              <w:ind w:left="320"/>
              <w:spacing w:after="0"/>
              <w:rPr>
                <w:sz w:val="20"/>
                <w:szCs w:val="20"/>
                <w:color w:val="auto"/>
              </w:rPr>
            </w:pPr>
            <w:r>
              <w:rPr>
                <w:rFonts w:ascii="Arial" w:cs="Arial" w:eastAsia="Arial" w:hAnsi="Arial"/>
                <w:sz w:val="16"/>
                <w:szCs w:val="16"/>
                <w:color w:val="auto"/>
              </w:rPr>
              <w:t>equity awards are subject to “double trigger” vesting upon a change in</w:t>
            </w:r>
          </w:p>
        </w:tc>
        <w:tc>
          <w:tcPr>
            <w:tcW w:w="5280" w:type="dxa"/>
            <w:vAlign w:val="bottom"/>
          </w:tcPr>
          <w:p>
            <w:pPr>
              <w:ind w:left="480"/>
              <w:spacing w:after="0"/>
              <w:rPr>
                <w:sz w:val="20"/>
                <w:szCs w:val="20"/>
                <w:color w:val="auto"/>
              </w:rPr>
            </w:pPr>
            <w:r>
              <w:rPr>
                <w:rFonts w:ascii="Arial" w:cs="Arial" w:eastAsia="Arial" w:hAnsi="Arial"/>
                <w:sz w:val="16"/>
                <w:szCs w:val="16"/>
                <w:color w:val="auto"/>
              </w:rPr>
              <w:t>formal policy prohibiting our officers and directors from entering into</w:t>
            </w:r>
          </w:p>
        </w:tc>
      </w:tr>
      <w:tr>
        <w:trPr>
          <w:trHeight w:val="186"/>
        </w:trPr>
        <w:tc>
          <w:tcPr>
            <w:tcW w:w="5600" w:type="dxa"/>
            <w:vAlign w:val="bottom"/>
          </w:tcPr>
          <w:p>
            <w:pPr>
              <w:ind w:left="320"/>
              <w:spacing w:after="0"/>
              <w:rPr>
                <w:sz w:val="20"/>
                <w:szCs w:val="20"/>
                <w:color w:val="auto"/>
              </w:rPr>
            </w:pPr>
            <w:r>
              <w:rPr>
                <w:rFonts w:ascii="Arial" w:cs="Arial" w:eastAsia="Arial" w:hAnsi="Arial"/>
                <w:sz w:val="16"/>
                <w:szCs w:val="16"/>
                <w:color w:val="auto"/>
              </w:rPr>
              <w:t>control, which protects our employees in the event of a change in control</w:t>
            </w:r>
          </w:p>
        </w:tc>
        <w:tc>
          <w:tcPr>
            <w:tcW w:w="5280" w:type="dxa"/>
            <w:vAlign w:val="bottom"/>
          </w:tcPr>
          <w:p>
            <w:pPr>
              <w:ind w:left="480"/>
              <w:spacing w:after="0"/>
              <w:rPr>
                <w:sz w:val="20"/>
                <w:szCs w:val="20"/>
                <w:color w:val="auto"/>
              </w:rPr>
            </w:pPr>
            <w:r>
              <w:rPr>
                <w:rFonts w:ascii="Arial" w:cs="Arial" w:eastAsia="Arial" w:hAnsi="Arial"/>
                <w:sz w:val="16"/>
                <w:szCs w:val="16"/>
                <w:color w:val="auto"/>
              </w:rPr>
              <w:t>hedging transactions involving Company stock and pledging</w:t>
            </w:r>
          </w:p>
        </w:tc>
      </w:tr>
      <w:tr>
        <w:trPr>
          <w:trHeight w:val="185"/>
        </w:trPr>
        <w:tc>
          <w:tcPr>
            <w:tcW w:w="5600" w:type="dxa"/>
            <w:vAlign w:val="bottom"/>
          </w:tcPr>
          <w:p>
            <w:pPr>
              <w:ind w:left="320"/>
              <w:spacing w:after="0"/>
              <w:rPr>
                <w:sz w:val="20"/>
                <w:szCs w:val="20"/>
                <w:color w:val="auto"/>
              </w:rPr>
            </w:pPr>
            <w:r>
              <w:rPr>
                <w:rFonts w:ascii="Arial" w:cs="Arial" w:eastAsia="Arial" w:hAnsi="Arial"/>
                <w:sz w:val="16"/>
                <w:szCs w:val="16"/>
                <w:color w:val="auto"/>
              </w:rPr>
              <w:t>transaction and helps ensure an orderly transition of leadership.</w:t>
            </w:r>
          </w:p>
        </w:tc>
        <w:tc>
          <w:tcPr>
            <w:tcW w:w="5280" w:type="dxa"/>
            <w:vAlign w:val="bottom"/>
          </w:tcPr>
          <w:p>
            <w:pPr>
              <w:ind w:left="480"/>
              <w:spacing w:after="0"/>
              <w:rPr>
                <w:sz w:val="20"/>
                <w:szCs w:val="20"/>
                <w:color w:val="auto"/>
              </w:rPr>
            </w:pPr>
            <w:r>
              <w:rPr>
                <w:rFonts w:ascii="Arial" w:cs="Arial" w:eastAsia="Arial" w:hAnsi="Arial"/>
                <w:sz w:val="16"/>
                <w:szCs w:val="16"/>
                <w:color w:val="auto"/>
              </w:rPr>
              <w:t>Company stock as collateral for loans.</w:t>
            </w:r>
          </w:p>
        </w:tc>
      </w:tr>
      <w:tr>
        <w:trPr>
          <w:trHeight w:val="202"/>
        </w:trPr>
        <w:tc>
          <w:tcPr>
            <w:tcW w:w="5600" w:type="dxa"/>
            <w:vAlign w:val="bottom"/>
            <w:shd w:val="clear" w:color="auto" w:fill="FCE9E8"/>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Single-Trigger Change in Control Severance Benefits</w:t>
            </w:r>
            <w:r>
              <w:rPr>
                <w:rFonts w:ascii="Arial" w:cs="Arial" w:eastAsia="Arial" w:hAnsi="Arial"/>
                <w:sz w:val="16"/>
                <w:szCs w:val="16"/>
                <w:color w:val="auto"/>
              </w:rPr>
              <w:t>: Our</w:t>
            </w:r>
          </w:p>
        </w:tc>
        <w:tc>
          <w:tcPr>
            <w:tcW w:w="5280" w:type="dxa"/>
            <w:vAlign w:val="bottom"/>
            <w:shd w:val="clear" w:color="auto" w:fill="FCE9E8"/>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Excise Tax Gross-Ups</w:t>
            </w:r>
            <w:r>
              <w:rPr>
                <w:rFonts w:ascii="Arial" w:cs="Arial" w:eastAsia="Arial" w:hAnsi="Arial"/>
                <w:sz w:val="16"/>
                <w:szCs w:val="16"/>
                <w:color w:val="auto"/>
              </w:rPr>
              <w:t>: None of the employment agreements</w:t>
            </w:r>
          </w:p>
        </w:tc>
      </w:tr>
      <w:tr>
        <w:trPr>
          <w:trHeight w:val="186"/>
        </w:trPr>
        <w:tc>
          <w:tcPr>
            <w:tcW w:w="5600" w:type="dxa"/>
            <w:vAlign w:val="bottom"/>
            <w:shd w:val="clear" w:color="auto" w:fill="FCE9E8"/>
          </w:tcPr>
          <w:p>
            <w:pPr>
              <w:ind w:left="320"/>
              <w:spacing w:after="0"/>
              <w:rPr>
                <w:sz w:val="20"/>
                <w:szCs w:val="20"/>
                <w:color w:val="auto"/>
              </w:rPr>
            </w:pPr>
            <w:r>
              <w:rPr>
                <w:rFonts w:ascii="Arial" w:cs="Arial" w:eastAsia="Arial" w:hAnsi="Arial"/>
                <w:sz w:val="16"/>
                <w:szCs w:val="16"/>
                <w:color w:val="auto"/>
              </w:rPr>
              <w:t>executives are not eligible to receive severance benefits solely upon the</w:t>
            </w:r>
          </w:p>
        </w:tc>
        <w:tc>
          <w:tcPr>
            <w:tcW w:w="5280" w:type="dxa"/>
            <w:vAlign w:val="bottom"/>
            <w:shd w:val="clear" w:color="auto" w:fill="FCE9E8"/>
          </w:tcPr>
          <w:p>
            <w:pPr>
              <w:ind w:left="480"/>
              <w:spacing w:after="0"/>
              <w:rPr>
                <w:sz w:val="20"/>
                <w:szCs w:val="20"/>
                <w:color w:val="auto"/>
              </w:rPr>
            </w:pPr>
            <w:r>
              <w:rPr>
                <w:rFonts w:ascii="Arial" w:cs="Arial" w:eastAsia="Arial" w:hAnsi="Arial"/>
                <w:sz w:val="16"/>
                <w:szCs w:val="16"/>
                <w:color w:val="auto"/>
              </w:rPr>
              <w:t>with our executive officers contains an excise tax gross-up</w:t>
            </w:r>
          </w:p>
        </w:tc>
      </w:tr>
      <w:tr>
        <w:trPr>
          <w:trHeight w:val="186"/>
        </w:trPr>
        <w:tc>
          <w:tcPr>
            <w:tcW w:w="5600" w:type="dxa"/>
            <w:vAlign w:val="bottom"/>
            <w:shd w:val="clear" w:color="auto" w:fill="FCE9E8"/>
          </w:tcPr>
          <w:p>
            <w:pPr>
              <w:ind w:left="320"/>
              <w:spacing w:after="0"/>
              <w:rPr>
                <w:sz w:val="20"/>
                <w:szCs w:val="20"/>
                <w:color w:val="auto"/>
              </w:rPr>
            </w:pPr>
            <w:r>
              <w:rPr>
                <w:rFonts w:ascii="Arial" w:cs="Arial" w:eastAsia="Arial" w:hAnsi="Arial"/>
                <w:sz w:val="16"/>
                <w:szCs w:val="16"/>
                <w:color w:val="auto"/>
              </w:rPr>
              <w:t>occurrence of a change in control. This is intended to ensure that</w:t>
            </w:r>
          </w:p>
        </w:tc>
        <w:tc>
          <w:tcPr>
            <w:tcW w:w="5280" w:type="dxa"/>
            <w:vAlign w:val="bottom"/>
            <w:shd w:val="clear" w:color="auto" w:fill="FCE9E8"/>
          </w:tcPr>
          <w:p>
            <w:pPr>
              <w:ind w:left="480"/>
              <w:spacing w:after="0"/>
              <w:rPr>
                <w:sz w:val="20"/>
                <w:szCs w:val="20"/>
                <w:color w:val="auto"/>
              </w:rPr>
            </w:pPr>
            <w:r>
              <w:rPr>
                <w:rFonts w:ascii="Arial" w:cs="Arial" w:eastAsia="Arial" w:hAnsi="Arial"/>
                <w:sz w:val="16"/>
                <w:szCs w:val="16"/>
                <w:color w:val="auto"/>
              </w:rPr>
              <w:t>provision.</w:t>
            </w:r>
          </w:p>
        </w:tc>
      </w:tr>
      <w:tr>
        <w:trPr>
          <w:trHeight w:val="186"/>
        </w:trPr>
        <w:tc>
          <w:tcPr>
            <w:tcW w:w="5600" w:type="dxa"/>
            <w:vAlign w:val="bottom"/>
            <w:shd w:val="clear" w:color="auto" w:fill="FCE9E8"/>
          </w:tcPr>
          <w:p>
            <w:pPr>
              <w:ind w:left="320"/>
              <w:spacing w:after="0"/>
              <w:rPr>
                <w:sz w:val="20"/>
                <w:szCs w:val="20"/>
                <w:color w:val="auto"/>
              </w:rPr>
            </w:pPr>
            <w:r>
              <w:rPr>
                <w:rFonts w:ascii="Arial" w:cs="Arial" w:eastAsia="Arial" w:hAnsi="Arial"/>
                <w:sz w:val="16"/>
                <w:szCs w:val="16"/>
                <w:color w:val="auto"/>
              </w:rPr>
              <w:t>members of senior management are not influenced by their personal</w:t>
            </w:r>
          </w:p>
        </w:tc>
        <w:tc>
          <w:tcPr>
            <w:tcW w:w="5280" w:type="dxa"/>
            <w:vAlign w:val="bottom"/>
            <w:shd w:val="clear" w:color="auto" w:fill="FCE9E8"/>
          </w:tcPr>
          <w:p>
            <w:pPr>
              <w:spacing w:after="0"/>
              <w:rPr>
                <w:sz w:val="16"/>
                <w:szCs w:val="16"/>
                <w:color w:val="auto"/>
              </w:rPr>
            </w:pPr>
          </w:p>
        </w:tc>
      </w:tr>
      <w:tr>
        <w:trPr>
          <w:trHeight w:val="186"/>
        </w:trPr>
        <w:tc>
          <w:tcPr>
            <w:tcW w:w="5600" w:type="dxa"/>
            <w:vAlign w:val="bottom"/>
            <w:shd w:val="clear" w:color="auto" w:fill="FCE9E8"/>
          </w:tcPr>
          <w:p>
            <w:pPr>
              <w:ind w:left="320"/>
              <w:spacing w:after="0"/>
              <w:rPr>
                <w:sz w:val="20"/>
                <w:szCs w:val="20"/>
                <w:color w:val="auto"/>
              </w:rPr>
            </w:pPr>
            <w:r>
              <w:rPr>
                <w:rFonts w:ascii="Arial" w:cs="Arial" w:eastAsia="Arial" w:hAnsi="Arial"/>
                <w:sz w:val="16"/>
                <w:szCs w:val="16"/>
                <w:color w:val="auto"/>
              </w:rPr>
              <w:t>situations and are able to be objective in evaluating a potential change in</w:t>
            </w:r>
          </w:p>
        </w:tc>
        <w:tc>
          <w:tcPr>
            <w:tcW w:w="5280" w:type="dxa"/>
            <w:vAlign w:val="bottom"/>
            <w:shd w:val="clear" w:color="auto" w:fill="FCE9E8"/>
          </w:tcPr>
          <w:p>
            <w:pPr>
              <w:spacing w:after="0"/>
              <w:rPr>
                <w:sz w:val="16"/>
                <w:szCs w:val="16"/>
                <w:color w:val="auto"/>
              </w:rPr>
            </w:pPr>
          </w:p>
        </w:tc>
      </w:tr>
      <w:tr>
        <w:trPr>
          <w:trHeight w:val="185"/>
        </w:trPr>
        <w:tc>
          <w:tcPr>
            <w:tcW w:w="5600" w:type="dxa"/>
            <w:vAlign w:val="bottom"/>
            <w:shd w:val="clear" w:color="auto" w:fill="FCE9E8"/>
          </w:tcPr>
          <w:p>
            <w:pPr>
              <w:ind w:left="320"/>
              <w:spacing w:after="0"/>
              <w:rPr>
                <w:sz w:val="20"/>
                <w:szCs w:val="20"/>
                <w:color w:val="auto"/>
              </w:rPr>
            </w:pPr>
            <w:r>
              <w:rPr>
                <w:rFonts w:ascii="Arial" w:cs="Arial" w:eastAsia="Arial" w:hAnsi="Arial"/>
                <w:sz w:val="16"/>
                <w:szCs w:val="16"/>
                <w:color w:val="auto"/>
              </w:rPr>
              <w:t>control transaction.</w:t>
            </w:r>
          </w:p>
        </w:tc>
        <w:tc>
          <w:tcPr>
            <w:tcW w:w="5280" w:type="dxa"/>
            <w:vAlign w:val="bottom"/>
            <w:shd w:val="clear" w:color="auto" w:fill="FCE9E8"/>
          </w:tcPr>
          <w:p>
            <w:pPr>
              <w:spacing w:after="0"/>
              <w:rPr>
                <w:sz w:val="16"/>
                <w:szCs w:val="16"/>
                <w:color w:val="auto"/>
              </w:rPr>
            </w:pPr>
          </w:p>
        </w:tc>
      </w:tr>
    </w:tbl>
    <w:p>
      <w:pPr>
        <w:spacing w:after="0" w:line="124" w:lineRule="exact"/>
        <w:rPr>
          <w:sz w:val="20"/>
          <w:szCs w:val="20"/>
          <w:color w:val="auto"/>
        </w:rPr>
      </w:pPr>
    </w:p>
    <w:p>
      <w:pPr>
        <w:ind w:left="640" w:hanging="257"/>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60"/>
          </w:cols>
          <w:pgMar w:left="240" w:top="455" w:right="4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PROXY SUMMARY</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Corporate Social Responsibility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sectPr>
      </w:pPr>
    </w:p>
    <w:p>
      <w:pPr>
        <w:spacing w:after="0" w:line="37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Social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-116205</wp:posOffset>
            </wp:positionV>
            <wp:extent cx="2224405" cy="2723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24405" cy="2723515"/>
                    </a:xfrm>
                    <a:prstGeom prst="rect">
                      <a:avLst/>
                    </a:prstGeom>
                    <a:noFill/>
                  </pic:spPr>
                </pic:pic>
              </a:graphicData>
            </a:graphic>
          </wp:anchor>
        </w:drawing>
      </w:r>
    </w:p>
    <w:p>
      <w:pPr>
        <w:spacing w:after="0" w:line="117" w:lineRule="exact"/>
        <w:rPr>
          <w:sz w:val="20"/>
          <w:szCs w:val="20"/>
          <w:color w:val="auto"/>
        </w:rPr>
      </w:pPr>
    </w:p>
    <w:p>
      <w:pPr>
        <w:ind w:left="420" w:hanging="140"/>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actively support human and animal rights.</w:t>
      </w:r>
    </w:p>
    <w:p>
      <w:pPr>
        <w:spacing w:after="0" w:line="122" w:lineRule="exact"/>
        <w:rPr>
          <w:rFonts w:ascii="Arial" w:cs="Arial" w:eastAsia="Arial" w:hAnsi="Arial"/>
          <w:sz w:val="16"/>
          <w:szCs w:val="16"/>
          <w:color w:val="auto"/>
        </w:rPr>
      </w:pPr>
    </w:p>
    <w:p>
      <w:pPr>
        <w:ind w:left="440" w:right="160" w:hanging="160"/>
        <w:spacing w:after="0" w:line="248" w:lineRule="auto"/>
        <w:tabs>
          <w:tab w:leader="none" w:pos="426"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a global reporting channel for any ethical concerns or violations for employees and our supply chain.</w:t>
      </w:r>
    </w:p>
    <w:p>
      <w:pPr>
        <w:spacing w:after="0" w:line="108" w:lineRule="exact"/>
        <w:rPr>
          <w:rFonts w:ascii="Arial" w:cs="Arial" w:eastAsia="Arial" w:hAnsi="Arial"/>
          <w:sz w:val="16"/>
          <w:szCs w:val="16"/>
          <w:color w:val="auto"/>
        </w:rPr>
      </w:pPr>
    </w:p>
    <w:p>
      <w:pPr>
        <w:ind w:left="440" w:hanging="160"/>
        <w:spacing w:after="0" w:line="247" w:lineRule="auto"/>
        <w:tabs>
          <w:tab w:leader="none" w:pos="426"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committed to partnering with our industry and society in driving change through implementation of the United Nations Sustainable Development Goals.</w:t>
      </w:r>
    </w:p>
    <w:p>
      <w:pPr>
        <w:spacing w:after="0" w:line="108" w:lineRule="exact"/>
        <w:rPr>
          <w:rFonts w:ascii="Arial" w:cs="Arial" w:eastAsia="Arial" w:hAnsi="Arial"/>
          <w:sz w:val="16"/>
          <w:szCs w:val="16"/>
          <w:color w:val="auto"/>
        </w:rPr>
      </w:pPr>
    </w:p>
    <w:p>
      <w:pPr>
        <w:ind w:left="440" w:hanging="160"/>
        <w:spacing w:after="0" w:line="254" w:lineRule="auto"/>
        <w:tabs>
          <w:tab w:leader="none" w:pos="426"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Community outreach and giving are engrained in Lear’s core values.</w:t>
      </w:r>
    </w:p>
    <w:p>
      <w:pPr>
        <w:spacing w:after="0" w:line="103" w:lineRule="exact"/>
        <w:rPr>
          <w:rFonts w:ascii="Arial" w:cs="Arial" w:eastAsia="Arial" w:hAnsi="Arial"/>
          <w:sz w:val="16"/>
          <w:szCs w:val="16"/>
          <w:color w:val="auto"/>
        </w:rPr>
      </w:pPr>
    </w:p>
    <w:p>
      <w:pPr>
        <w:ind w:left="440" w:hanging="160"/>
        <w:spacing w:after="0" w:line="254" w:lineRule="auto"/>
        <w:tabs>
          <w:tab w:leader="none" w:pos="426"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developed a global distracted driving awareness initiative.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w:t>
      </w:r>
    </w:p>
    <w:p>
      <w:pPr>
        <w:spacing w:after="0" w:line="137" w:lineRule="exact"/>
        <w:rPr>
          <w:sz w:val="20"/>
          <w:szCs w:val="20"/>
          <w:color w:val="auto"/>
        </w:rPr>
      </w:pPr>
    </w:p>
    <w:p>
      <w:pPr>
        <w:ind w:left="160" w:right="80" w:hanging="151"/>
        <w:spacing w:after="0" w:line="247" w:lineRule="auto"/>
        <w:tabs>
          <w:tab w:leader="none" w:pos="1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work to integrate Environmental, Health and Safety (“EHS”), as well as Sustainability, into overall business strategy and supply chain management.</w:t>
      </w:r>
    </w:p>
    <w:p>
      <w:pPr>
        <w:spacing w:after="0" w:line="108" w:lineRule="exact"/>
        <w:rPr>
          <w:rFonts w:ascii="Arial" w:cs="Arial" w:eastAsia="Arial" w:hAnsi="Arial"/>
          <w:sz w:val="16"/>
          <w:szCs w:val="16"/>
          <w:color w:val="auto"/>
        </w:rPr>
      </w:pPr>
    </w:p>
    <w:p>
      <w:pPr>
        <w:ind w:left="160" w:right="20" w:hanging="151"/>
        <w:spacing w:after="0" w:line="248" w:lineRule="auto"/>
        <w:tabs>
          <w:tab w:leader="none" w:pos="1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reduce EHS risks by minimizing environmental impact and eliminating health and safety hazards.</w:t>
      </w:r>
    </w:p>
    <w:p>
      <w:pPr>
        <w:spacing w:after="0" w:line="108" w:lineRule="exact"/>
        <w:rPr>
          <w:rFonts w:ascii="Arial" w:cs="Arial" w:eastAsia="Arial" w:hAnsi="Arial"/>
          <w:sz w:val="16"/>
          <w:szCs w:val="16"/>
          <w:color w:val="auto"/>
        </w:rPr>
      </w:pPr>
    </w:p>
    <w:p>
      <w:pPr>
        <w:ind w:left="160" w:right="480" w:hanging="151"/>
        <w:spacing w:after="0" w:line="248" w:lineRule="auto"/>
        <w:tabs>
          <w:tab w:leader="none" w:pos="1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develop and utilize environmentally acceptable, safe, sustainable and efficient production methods and processes.</w:t>
      </w:r>
    </w:p>
    <w:p>
      <w:pPr>
        <w:spacing w:after="0" w:line="108" w:lineRule="exact"/>
        <w:rPr>
          <w:rFonts w:ascii="Arial" w:cs="Arial" w:eastAsia="Arial" w:hAnsi="Arial"/>
          <w:sz w:val="16"/>
          <w:szCs w:val="16"/>
          <w:color w:val="auto"/>
        </w:rPr>
      </w:pPr>
    </w:p>
    <w:p>
      <w:pPr>
        <w:ind w:left="160" w:right="20" w:hanging="151"/>
        <w:spacing w:after="0" w:line="248" w:lineRule="auto"/>
        <w:tabs>
          <w:tab w:leader="none" w:pos="1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implement efficient uses of energy, reduction of greenhouse gas emissions and supporting climate change initiatives.</w:t>
      </w:r>
    </w:p>
    <w:p>
      <w:pPr>
        <w:spacing w:after="0" w:line="108" w:lineRule="exact"/>
        <w:rPr>
          <w:rFonts w:ascii="Arial" w:cs="Arial" w:eastAsia="Arial" w:hAnsi="Arial"/>
          <w:sz w:val="16"/>
          <w:szCs w:val="16"/>
          <w:color w:val="auto"/>
        </w:rPr>
      </w:pPr>
    </w:p>
    <w:p>
      <w:pPr>
        <w:jc w:val="both"/>
        <w:ind w:left="160" w:hanging="151"/>
        <w:spacing w:after="0" w:line="254" w:lineRule="auto"/>
        <w:tabs>
          <w:tab w:leader="none" w:pos="1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work to reduce our use of chemicals and raw materials, as well as to reduce waste generation.</w:t>
      </w:r>
    </w:p>
    <w:p>
      <w:pPr>
        <w:spacing w:after="0" w:line="103" w:lineRule="exact"/>
        <w:rPr>
          <w:rFonts w:ascii="Arial" w:cs="Arial" w:eastAsia="Arial" w:hAnsi="Arial"/>
          <w:sz w:val="16"/>
          <w:szCs w:val="16"/>
          <w:color w:val="auto"/>
        </w:rPr>
      </w:pPr>
    </w:p>
    <w:p>
      <w:pPr>
        <w:ind w:left="160" w:right="20" w:hanging="151"/>
        <w:spacing w:after="0" w:line="248" w:lineRule="auto"/>
        <w:tabs>
          <w:tab w:leader="none" w:pos="1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communicate our policies and expectations to all our employees, customers, suppliers, other stakeholders and the public.</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-116205</wp:posOffset>
            </wp:positionV>
            <wp:extent cx="2300605" cy="2723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00605" cy="2723515"/>
                    </a:xfrm>
                    <a:prstGeom prst="rect">
                      <a:avLst/>
                    </a:prstGeom>
                    <a:noFill/>
                  </pic:spPr>
                </pic:pic>
              </a:graphicData>
            </a:graphic>
          </wp:anchor>
        </w:drawing>
      </w:r>
    </w:p>
    <w:p>
      <w:pPr>
        <w:spacing w:after="0" w:line="101" w:lineRule="exact"/>
        <w:rPr>
          <w:sz w:val="20"/>
          <w:szCs w:val="20"/>
          <w:color w:val="auto"/>
        </w:rPr>
      </w:pPr>
    </w:p>
    <w:p>
      <w:pPr>
        <w:ind w:left="168" w:right="260" w:hanging="168"/>
        <w:spacing w:after="0" w:line="269" w:lineRule="auto"/>
        <w:tabs>
          <w:tab w:leader="none" w:pos="154"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 xml:space="preserve">Together We Win </w:t>
      </w:r>
      <w:r>
        <w:rPr>
          <w:rFonts w:ascii="Arial" w:cs="Arial" w:eastAsia="Arial" w:hAnsi="Arial"/>
          <w:sz w:val="15"/>
          <w:szCs w:val="15"/>
          <w:color w:val="auto"/>
        </w:rPr>
        <w:t>is our global employee</w:t>
      </w:r>
      <w:r>
        <w:rPr>
          <w:rFonts w:ascii="Arial" w:cs="Arial" w:eastAsia="Arial" w:hAnsi="Arial"/>
          <w:sz w:val="15"/>
          <w:szCs w:val="15"/>
          <w:i w:val="1"/>
          <w:iCs w:val="1"/>
          <w:color w:val="auto"/>
        </w:rPr>
        <w:t xml:space="preserve"> </w:t>
      </w:r>
      <w:r>
        <w:rPr>
          <w:rFonts w:ascii="Arial" w:cs="Arial" w:eastAsia="Arial" w:hAnsi="Arial"/>
          <w:sz w:val="15"/>
          <w:szCs w:val="15"/>
          <w:color w:val="auto"/>
        </w:rPr>
        <w:t>engagement initiative focused on promoting and sustaining a positive culture in our operational environments using four key elements: Leadership, Work Environment, Employee Involvement and Teams.</w:t>
      </w:r>
    </w:p>
    <w:p>
      <w:pPr>
        <w:spacing w:after="0" w:line="94" w:lineRule="exact"/>
        <w:rPr>
          <w:rFonts w:ascii="Arial" w:cs="Arial" w:eastAsia="Arial" w:hAnsi="Arial"/>
          <w:sz w:val="15"/>
          <w:szCs w:val="15"/>
          <w:color w:val="auto"/>
        </w:rPr>
      </w:pPr>
    </w:p>
    <w:p>
      <w:pPr>
        <w:ind w:left="168" w:right="40" w:hanging="168"/>
        <w:spacing w:after="0" w:line="248" w:lineRule="auto"/>
        <w:tabs>
          <w:tab w:leader="none" w:pos="154"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Diversity and inclusion is deeply integrated into our organizational framework and hiring and promotional practices.</w:t>
      </w:r>
    </w:p>
    <w:p>
      <w:pPr>
        <w:spacing w:after="0" w:line="108" w:lineRule="exact"/>
        <w:rPr>
          <w:rFonts w:ascii="Arial" w:cs="Arial" w:eastAsia="Arial" w:hAnsi="Arial"/>
          <w:sz w:val="16"/>
          <w:szCs w:val="16"/>
          <w:color w:val="auto"/>
        </w:rPr>
      </w:pPr>
    </w:p>
    <w:p>
      <w:pPr>
        <w:ind w:left="168" w:right="20" w:hanging="168"/>
        <w:spacing w:after="0" w:line="266" w:lineRule="auto"/>
        <w:tabs>
          <w:tab w:leader="none" w:pos="154"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Developing talent is a priority across all levels of the organization and includes a CEO Academy, Leadership Model and Assessments, Emerging Leaders Development Program and One Lear Mindset training.</w:t>
      </w:r>
    </w:p>
    <w:p>
      <w:pPr>
        <w:spacing w:after="0" w:line="1282" w:lineRule="exact"/>
        <w:rPr>
          <w:sz w:val="20"/>
          <w:szCs w:val="20"/>
          <w:color w:val="auto"/>
        </w:rPr>
      </w:pPr>
    </w:p>
    <w:p>
      <w:pPr>
        <w:sectPr>
          <w:pgSz w:w="11900" w:h="16838" w:orient="portrait"/>
          <w:cols w:equalWidth="0" w:num="3">
            <w:col w:w="3700" w:space="180"/>
            <w:col w:w="3620" w:space="132"/>
            <w:col w:w="3508"/>
          </w:cols>
          <w:pgMar w:left="240" w:top="455" w:right="519" w:bottom="1440" w:gutter="0" w:footer="0" w:header="0"/>
          <w:type w:val="continuous"/>
        </w:sectPr>
      </w:pPr>
    </w:p>
    <w:p>
      <w:pPr>
        <w:ind w:left="280"/>
        <w:spacing w:after="0"/>
        <w:rPr>
          <w:sz w:val="20"/>
          <w:szCs w:val="20"/>
          <w:color w:val="auto"/>
        </w:rPr>
      </w:pPr>
      <w:r>
        <w:rPr>
          <w:rFonts w:ascii="Arial" w:cs="Arial" w:eastAsia="Arial" w:hAnsi="Arial"/>
          <w:sz w:val="23"/>
          <w:szCs w:val="23"/>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ind w:left="600" w:right="180" w:hanging="320"/>
        <w:spacing w:after="0" w:line="306" w:lineRule="auto"/>
        <w:tabs>
          <w:tab w:leader="none" w:pos="597" w:val="left"/>
        </w:tabs>
        <w:numPr>
          <w:ilvl w:val="0"/>
          <w:numId w:val="17"/>
        </w:numPr>
        <w:rPr>
          <w:rFonts w:ascii="MS PGothic" w:cs="MS PGothic" w:eastAsia="MS PGothic" w:hAnsi="MS PGothic"/>
          <w:sz w:val="15"/>
          <w:szCs w:val="15"/>
          <w:color w:val="auto"/>
        </w:rPr>
      </w:pPr>
      <w:r>
        <w:rPr>
          <w:rFonts w:ascii="Arial" w:cs="Arial" w:eastAsia="Arial" w:hAnsi="Arial"/>
          <w:sz w:val="15"/>
          <w:szCs w:val="15"/>
          <w:color w:val="auto"/>
        </w:rPr>
        <w:t>All of our director nominees are independent, except our President, Chief Executive Officer and Interim President, E-Systems.</w:t>
      </w:r>
    </w:p>
    <w:p>
      <w:pPr>
        <w:spacing w:after="0" w:line="146" w:lineRule="exact"/>
        <w:rPr>
          <w:rFonts w:ascii="MS PGothic" w:cs="MS PGothic" w:eastAsia="MS PGothic" w:hAnsi="MS PGothic"/>
          <w:sz w:val="15"/>
          <w:szCs w:val="15"/>
          <w:color w:val="auto"/>
        </w:rPr>
      </w:pPr>
    </w:p>
    <w:p>
      <w:pPr>
        <w:ind w:left="600" w:hanging="320"/>
        <w:spacing w:after="0"/>
        <w:tabs>
          <w:tab w:leader="none" w:pos="600" w:val="left"/>
        </w:tabs>
        <w:numPr>
          <w:ilvl w:val="0"/>
          <w:numId w:val="17"/>
        </w:numPr>
        <w:rPr>
          <w:rFonts w:ascii="MS PGothic" w:cs="MS PGothic" w:eastAsia="MS PGothic" w:hAnsi="MS PGothic"/>
          <w:sz w:val="16"/>
          <w:szCs w:val="16"/>
          <w:color w:val="auto"/>
        </w:rPr>
      </w:pPr>
      <w:r>
        <w:rPr>
          <w:rFonts w:ascii="Arial" w:cs="Arial" w:eastAsia="Arial" w:hAnsi="Arial"/>
          <w:sz w:val="16"/>
          <w:szCs w:val="16"/>
          <w:color w:val="auto"/>
        </w:rPr>
        <w:t>We have a non-executive Chairman of the Board of Directors.</w:t>
      </w:r>
    </w:p>
    <w:p>
      <w:pPr>
        <w:spacing w:after="0" w:line="122" w:lineRule="exact"/>
        <w:rPr>
          <w:rFonts w:ascii="MS PGothic" w:cs="MS PGothic" w:eastAsia="MS PGothic" w:hAnsi="MS PGothic"/>
          <w:sz w:val="16"/>
          <w:szCs w:val="16"/>
          <w:color w:val="auto"/>
        </w:rPr>
      </w:pPr>
    </w:p>
    <w:p>
      <w:pPr>
        <w:ind w:left="600" w:hanging="320"/>
        <w:spacing w:after="0" w:line="271" w:lineRule="auto"/>
        <w:tabs>
          <w:tab w:leader="none" w:pos="605" w:val="left"/>
        </w:tabs>
        <w:numPr>
          <w:ilvl w:val="0"/>
          <w:numId w:val="17"/>
        </w:numPr>
        <w:rPr>
          <w:rFonts w:ascii="MS PGothic" w:cs="MS PGothic" w:eastAsia="MS PGothic" w:hAnsi="MS PGothic"/>
          <w:sz w:val="16"/>
          <w:szCs w:val="16"/>
          <w:color w:val="auto"/>
        </w:rPr>
      </w:pPr>
      <w:r>
        <w:rPr>
          <w:rFonts w:ascii="Arial" w:cs="Arial" w:eastAsia="Arial" w:hAnsi="Arial"/>
          <w:sz w:val="16"/>
          <w:szCs w:val="16"/>
          <w:color w:val="auto"/>
        </w:rPr>
        <w:t>We have a majority voting standard with director resignation policy for uncontested director elections.</w:t>
      </w:r>
    </w:p>
    <w:p>
      <w:pPr>
        <w:spacing w:after="0" w:line="170" w:lineRule="exact"/>
        <w:rPr>
          <w:rFonts w:ascii="MS PGothic" w:cs="MS PGothic" w:eastAsia="MS PGothic" w:hAnsi="MS PGothic"/>
          <w:sz w:val="16"/>
          <w:szCs w:val="16"/>
          <w:color w:val="auto"/>
        </w:rPr>
      </w:pPr>
    </w:p>
    <w:p>
      <w:pPr>
        <w:ind w:left="600" w:hanging="320"/>
        <w:spacing w:after="0"/>
        <w:tabs>
          <w:tab w:leader="none" w:pos="600" w:val="left"/>
        </w:tabs>
        <w:numPr>
          <w:ilvl w:val="0"/>
          <w:numId w:val="17"/>
        </w:numPr>
        <w:rPr>
          <w:rFonts w:ascii="MS PGothic" w:cs="MS PGothic" w:eastAsia="MS PGothic" w:hAnsi="MS PGothic"/>
          <w:sz w:val="16"/>
          <w:szCs w:val="16"/>
          <w:color w:val="auto"/>
        </w:rPr>
      </w:pPr>
      <w:r>
        <w:rPr>
          <w:rFonts w:ascii="Arial" w:cs="Arial" w:eastAsia="Arial" w:hAnsi="Arial"/>
          <w:sz w:val="16"/>
          <w:szCs w:val="16"/>
          <w:color w:val="auto"/>
        </w:rPr>
        <w:t>We have robust stock ownership guidelines.</w:t>
      </w:r>
    </w:p>
    <w:p>
      <w:pPr>
        <w:spacing w:after="0" w:line="215" w:lineRule="exact"/>
        <w:rPr>
          <w:rFonts w:ascii="MS PGothic" w:cs="MS PGothic" w:eastAsia="MS PGothic" w:hAnsi="MS PGothic"/>
          <w:sz w:val="16"/>
          <w:szCs w:val="16"/>
          <w:color w:val="auto"/>
        </w:rPr>
      </w:pPr>
    </w:p>
    <w:p>
      <w:pPr>
        <w:ind w:left="600" w:hanging="320"/>
        <w:spacing w:after="0"/>
        <w:tabs>
          <w:tab w:leader="none" w:pos="600" w:val="left"/>
        </w:tabs>
        <w:numPr>
          <w:ilvl w:val="0"/>
          <w:numId w:val="17"/>
        </w:numPr>
        <w:rPr>
          <w:rFonts w:ascii="MS PGothic" w:cs="MS PGothic" w:eastAsia="MS PGothic" w:hAnsi="MS PGothic"/>
          <w:sz w:val="16"/>
          <w:szCs w:val="16"/>
          <w:color w:val="auto"/>
        </w:rPr>
      </w:pPr>
      <w:r>
        <w:rPr>
          <w:rFonts w:ascii="Arial" w:cs="Arial" w:eastAsia="Arial" w:hAnsi="Arial"/>
          <w:sz w:val="16"/>
          <w:szCs w:val="16"/>
          <w:color w:val="auto"/>
        </w:rPr>
        <w:t>Diversity is reflected in Board composition.</w:t>
      </w:r>
    </w:p>
    <w:p>
      <w:pPr>
        <w:spacing w:after="0" w:line="122" w:lineRule="exact"/>
        <w:rPr>
          <w:rFonts w:ascii="MS PGothic" w:cs="MS PGothic" w:eastAsia="MS PGothic" w:hAnsi="MS PGothic"/>
          <w:sz w:val="16"/>
          <w:szCs w:val="16"/>
          <w:color w:val="auto"/>
        </w:rPr>
      </w:pPr>
    </w:p>
    <w:p>
      <w:pPr>
        <w:ind w:left="600" w:hanging="320"/>
        <w:spacing w:after="0"/>
        <w:tabs>
          <w:tab w:leader="none" w:pos="600" w:val="left"/>
        </w:tabs>
        <w:numPr>
          <w:ilvl w:val="0"/>
          <w:numId w:val="17"/>
        </w:numPr>
        <w:rPr>
          <w:rFonts w:ascii="MS PGothic" w:cs="MS PGothic" w:eastAsia="MS PGothic" w:hAnsi="MS PGothic"/>
          <w:sz w:val="16"/>
          <w:szCs w:val="16"/>
          <w:color w:val="auto"/>
        </w:rPr>
      </w:pPr>
      <w:r>
        <w:rPr>
          <w:rFonts w:ascii="Arial" w:cs="Arial" w:eastAsia="Arial" w:hAnsi="Arial"/>
          <w:sz w:val="16"/>
          <w:szCs w:val="16"/>
          <w:color w:val="auto"/>
        </w:rPr>
        <w:t>Risk oversight by full Board and committees.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319" w:right="180" w:hanging="319"/>
        <w:spacing w:after="0" w:line="257" w:lineRule="auto"/>
        <w:tabs>
          <w:tab w:leader="none" w:pos="316" w:val="left"/>
        </w:tabs>
        <w:numPr>
          <w:ilvl w:val="0"/>
          <w:numId w:val="18"/>
        </w:numPr>
        <w:rPr>
          <w:rFonts w:ascii="MS PGothic" w:cs="MS PGothic" w:eastAsia="MS PGothic" w:hAnsi="MS PGothic"/>
          <w:sz w:val="16"/>
          <w:szCs w:val="16"/>
          <w:color w:val="auto"/>
        </w:rPr>
      </w:pPr>
      <w:r>
        <w:rPr>
          <w:rFonts w:ascii="Arial" w:cs="Arial" w:eastAsia="Arial" w:hAnsi="Arial"/>
          <w:sz w:val="16"/>
          <w:szCs w:val="16"/>
          <w:color w:val="auto"/>
        </w:rPr>
        <w:t>All of our Audit, Compensation and Nominating and Corporate Governance Committee (the “Nominating Committee”) members are independent.</w:t>
      </w:r>
    </w:p>
    <w:p>
      <w:pPr>
        <w:spacing w:after="0" w:line="88" w:lineRule="exact"/>
        <w:rPr>
          <w:rFonts w:ascii="MS PGothic" w:cs="MS PGothic" w:eastAsia="MS PGothic" w:hAnsi="MS PGothic"/>
          <w:sz w:val="16"/>
          <w:szCs w:val="16"/>
          <w:color w:val="auto"/>
        </w:rPr>
      </w:pPr>
    </w:p>
    <w:p>
      <w:pPr>
        <w:ind w:left="319" w:hanging="319"/>
        <w:spacing w:after="0"/>
        <w:tabs>
          <w:tab w:leader="none" w:pos="319" w:val="left"/>
        </w:tabs>
        <w:numPr>
          <w:ilvl w:val="0"/>
          <w:numId w:val="18"/>
        </w:numPr>
        <w:rPr>
          <w:rFonts w:ascii="MS PGothic" w:cs="MS PGothic" w:eastAsia="MS PGothic" w:hAnsi="MS PGothic"/>
          <w:sz w:val="16"/>
          <w:szCs w:val="16"/>
          <w:color w:val="auto"/>
        </w:rPr>
      </w:pPr>
      <w:r>
        <w:rPr>
          <w:rFonts w:ascii="Arial" w:cs="Arial" w:eastAsia="Arial" w:hAnsi="Arial"/>
          <w:sz w:val="16"/>
          <w:szCs w:val="16"/>
          <w:color w:val="auto"/>
        </w:rPr>
        <w:t>All directors are elected annually.</w:t>
      </w:r>
    </w:p>
    <w:p>
      <w:pPr>
        <w:spacing w:after="0" w:line="122" w:lineRule="exact"/>
        <w:rPr>
          <w:rFonts w:ascii="MS PGothic" w:cs="MS PGothic" w:eastAsia="MS PGothic" w:hAnsi="MS PGothic"/>
          <w:sz w:val="16"/>
          <w:szCs w:val="16"/>
          <w:color w:val="auto"/>
        </w:rPr>
      </w:pPr>
    </w:p>
    <w:p>
      <w:pPr>
        <w:ind w:left="319" w:right="420" w:hanging="319"/>
        <w:spacing w:after="0" w:line="271" w:lineRule="auto"/>
        <w:tabs>
          <w:tab w:leader="none" w:pos="325" w:val="left"/>
        </w:tabs>
        <w:numPr>
          <w:ilvl w:val="0"/>
          <w:numId w:val="18"/>
        </w:numPr>
        <w:rPr>
          <w:rFonts w:ascii="MS PGothic" w:cs="MS PGothic" w:eastAsia="MS PGothic" w:hAnsi="MS PGothic"/>
          <w:sz w:val="16"/>
          <w:szCs w:val="16"/>
          <w:color w:val="auto"/>
        </w:rPr>
      </w:pPr>
      <w:r>
        <w:rPr>
          <w:rFonts w:ascii="Arial" w:cs="Arial" w:eastAsia="Arial" w:hAnsi="Arial"/>
          <w:sz w:val="16"/>
          <w:szCs w:val="16"/>
          <w:color w:val="auto"/>
        </w:rPr>
        <w:t>Executive sessions of independent directors are held at regularly scheduled Board meetings.</w:t>
      </w:r>
    </w:p>
    <w:p>
      <w:pPr>
        <w:spacing w:after="0" w:line="77" w:lineRule="exact"/>
        <w:rPr>
          <w:rFonts w:ascii="MS PGothic" w:cs="MS PGothic" w:eastAsia="MS PGothic" w:hAnsi="MS PGothic"/>
          <w:sz w:val="16"/>
          <w:szCs w:val="16"/>
          <w:color w:val="auto"/>
        </w:rPr>
      </w:pPr>
    </w:p>
    <w:p>
      <w:pPr>
        <w:ind w:left="319" w:right="500" w:hanging="319"/>
        <w:spacing w:after="0" w:line="271" w:lineRule="auto"/>
        <w:tabs>
          <w:tab w:leader="none" w:pos="325" w:val="left"/>
        </w:tabs>
        <w:numPr>
          <w:ilvl w:val="0"/>
          <w:numId w:val="18"/>
        </w:numPr>
        <w:rPr>
          <w:rFonts w:ascii="MS PGothic" w:cs="MS PGothic" w:eastAsia="MS PGothic" w:hAnsi="MS PGothic"/>
          <w:sz w:val="16"/>
          <w:szCs w:val="16"/>
          <w:color w:val="auto"/>
        </w:rPr>
      </w:pPr>
      <w:r>
        <w:rPr>
          <w:rFonts w:ascii="Arial" w:cs="Arial" w:eastAsia="Arial" w:hAnsi="Arial"/>
          <w:sz w:val="16"/>
          <w:szCs w:val="16"/>
          <w:color w:val="auto"/>
        </w:rPr>
        <w:t>Excellent track record of attendance at all Board and committee meetings in 2018.</w:t>
      </w:r>
    </w:p>
    <w:p>
      <w:pPr>
        <w:spacing w:after="0" w:line="77" w:lineRule="exact"/>
        <w:rPr>
          <w:rFonts w:ascii="MS PGothic" w:cs="MS PGothic" w:eastAsia="MS PGothic" w:hAnsi="MS PGothic"/>
          <w:sz w:val="16"/>
          <w:szCs w:val="16"/>
          <w:color w:val="auto"/>
        </w:rPr>
      </w:pPr>
    </w:p>
    <w:p>
      <w:pPr>
        <w:ind w:left="319" w:hanging="319"/>
        <w:spacing w:after="0"/>
        <w:tabs>
          <w:tab w:leader="none" w:pos="319" w:val="left"/>
        </w:tabs>
        <w:numPr>
          <w:ilvl w:val="0"/>
          <w:numId w:val="18"/>
        </w:numPr>
        <w:rPr>
          <w:rFonts w:ascii="MS PGothic" w:cs="MS PGothic" w:eastAsia="MS PGothic" w:hAnsi="MS PGothic"/>
          <w:sz w:val="16"/>
          <w:szCs w:val="16"/>
          <w:color w:val="auto"/>
        </w:rPr>
      </w:pPr>
      <w:r>
        <w:rPr>
          <w:rFonts w:ascii="Arial" w:cs="Arial" w:eastAsia="Arial" w:hAnsi="Arial"/>
          <w:sz w:val="16"/>
          <w:szCs w:val="16"/>
          <w:color w:val="auto"/>
        </w:rPr>
        <w:t>Annual Board and committee self-evaluations.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-1005205</wp:posOffset>
            </wp:positionV>
            <wp:extent cx="6901815" cy="1943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01815" cy="194310"/>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-497840</wp:posOffset>
            </wp:positionV>
            <wp:extent cx="6901815" cy="3130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01815" cy="313055"/>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8890</wp:posOffset>
            </wp:positionV>
            <wp:extent cx="6901815" cy="1943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01815" cy="19431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right"/>
        <w:ind w:right="100"/>
        <w:spacing w:after="0"/>
        <w:tabs>
          <w:tab w:leader="none" w:pos="280" w:val="left"/>
          <w:tab w:leader="none" w:pos="8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w:t>
      </w:r>
    </w:p>
    <w:p>
      <w:pPr>
        <w:sectPr>
          <w:pgSz w:w="11900" w:h="16838" w:orient="portrait"/>
          <w:cols w:equalWidth="0" w:num="2">
            <w:col w:w="5520" w:space="301"/>
            <w:col w:w="5319"/>
          </w:cols>
          <w:pgMar w:left="240" w:top="455" w:right="5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left="280" w:right="160"/>
        <w:spacing w:after="0" w:line="352" w:lineRule="auto"/>
        <w:rPr>
          <w:sz w:val="20"/>
          <w:szCs w:val="20"/>
          <w:color w:val="auto"/>
        </w:rPr>
      </w:pPr>
      <w:r>
        <w:rPr>
          <w:rFonts w:ascii="Arial" w:cs="Arial" w:eastAsia="Arial" w:hAnsi="Arial"/>
          <w:sz w:val="38"/>
          <w:szCs w:val="38"/>
          <w:b w:val="1"/>
          <w:bCs w:val="1"/>
          <w:color w:val="E2231A"/>
        </w:rPr>
        <w:t>ELECTION OF DIRECTORS (PROPOSAL NO. 1)</w:t>
      </w:r>
    </w:p>
    <w:p>
      <w:pPr>
        <w:spacing w:after="0" w:line="69" w:lineRule="exact"/>
        <w:rPr>
          <w:sz w:val="20"/>
          <w:szCs w:val="20"/>
          <w:color w:val="auto"/>
        </w:rPr>
      </w:pPr>
    </w:p>
    <w:p>
      <w:pPr>
        <w:ind w:left="280"/>
        <w:spacing w:after="0" w:line="261" w:lineRule="auto"/>
        <w:rPr>
          <w:sz w:val="20"/>
          <w:szCs w:val="20"/>
          <w:color w:val="auto"/>
        </w:rPr>
      </w:pPr>
      <w:r>
        <w:rPr>
          <w:rFonts w:ascii="Arial" w:cs="Arial" w:eastAsia="Arial" w:hAnsi="Arial"/>
          <w:sz w:val="15"/>
          <w:szCs w:val="15"/>
          <w:color w:val="auto"/>
        </w:rPr>
        <w:t>Richard H. Bott, who has served on our Board of Directors (the “Board”) since 2013, will not be standing for re-election when his current term expires, as he has reached the Company’s mandatory retirement age. The Board would like to thank Mr. Bott for his years of dedicated service to the Company. On January 23, 2019, the Board resolved to increase its size to ten members and appoint Mei-Wei Cheng to the Board. Subsequently, the Board resolved to decrease its size to nine members effective upon the expiration of the current term of the members of the Board. Our Board determined that to assist the Company in the orderly transition of Board members, including the resignation of Mr. Simoncini and the departure of Mr. Runkle in 2018, the retirement of Mr. Bott following the Annual Meeting and the additions of Mr. Scott in 2018 and Mr. Cheng in 2019, it would waive the Company’s mandatory retirement age for Mr. Wallace in order for him to continue serving as Non-Executive Chairman of our Board through the Company’s 2020 annual meeting.</w:t>
      </w:r>
    </w:p>
    <w:p>
      <w:pPr>
        <w:spacing w:after="0" w:line="278" w:lineRule="exact"/>
        <w:rPr>
          <w:sz w:val="20"/>
          <w:szCs w:val="20"/>
          <w:color w:val="auto"/>
        </w:rPr>
      </w:pPr>
    </w:p>
    <w:p>
      <w:pPr>
        <w:ind w:left="280" w:right="100"/>
        <w:spacing w:after="0" w:line="254" w:lineRule="auto"/>
        <w:rPr>
          <w:sz w:val="20"/>
          <w:szCs w:val="20"/>
          <w:color w:val="auto"/>
        </w:rPr>
      </w:pPr>
      <w:r>
        <w:rPr>
          <w:rFonts w:ascii="Arial" w:cs="Arial" w:eastAsia="Arial" w:hAnsi="Arial"/>
          <w:sz w:val="16"/>
          <w:szCs w:val="16"/>
          <w:color w:val="auto"/>
        </w:rPr>
        <w:t>Upon the recommendation of our Nominating Committee, the Board has nominated the nine individuals listed below to stand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for election to the Board for a one-year term ending at the annual meeting of stockholders in 2020 or until their successors, if any, are elected or appointed. Our Amended and Restated Certificate of Incorporation and Bylaws provide for the annual election of directors. Each director nominee must receive the affirmative vote of a majority of the votes cast to be elected (i.e., the number of shares voted “for” a director nominee must exceed the number of votes cast “against” that nominee). Unless contrary instructions are given, the shares represented by your proxy will be voted FOR the election of all director nominees. In addition, our Corporate Governance Guidelines contain a resignation policy which provides that in the event an incumbent director fails to receive a majority of the votes cast in an uncontested election, such director shall promptly tender his or her resignation to the Board for consideration. The Board has determined that each director nominee, other than Mr. Scott, if elected, would be an independent director, as further described below in “Directors and Corporate Governance — Independence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-3255010</wp:posOffset>
            </wp:positionV>
            <wp:extent cx="729107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512" w:lineRule="exact"/>
        <w:rPr>
          <w:sz w:val="20"/>
          <w:szCs w:val="20"/>
          <w:color w:val="auto"/>
        </w:rPr>
      </w:pPr>
    </w:p>
    <w:p>
      <w:pPr>
        <w:sectPr>
          <w:pgSz w:w="11900" w:h="16838" w:orient="portrait"/>
          <w:cols w:equalWidth="0" w:num="2">
            <w:col w:w="5460" w:space="360"/>
            <w:col w:w="5340"/>
          </w:cols>
          <w:pgMar w:left="240" w:top="455" w:right="499" w:bottom="1440" w:gutter="0" w:footer="0" w:header="0"/>
        </w:sectPr>
      </w:pPr>
    </w:p>
    <w:p>
      <w:pPr>
        <w:spacing w:after="0" w:line="50" w:lineRule="exact"/>
        <w:rPr>
          <w:sz w:val="20"/>
          <w:szCs w:val="20"/>
          <w:color w:val="auto"/>
        </w:rPr>
      </w:pPr>
    </w:p>
    <w:p>
      <w:pPr>
        <w:ind w:left="280" w:right="280"/>
        <w:spacing w:after="0" w:line="248" w:lineRule="auto"/>
        <w:rPr>
          <w:sz w:val="20"/>
          <w:szCs w:val="20"/>
          <w:color w:val="auto"/>
        </w:rPr>
      </w:pPr>
      <w:r>
        <w:rPr>
          <w:rFonts w:ascii="Arial" w:cs="Arial" w:eastAsia="Arial" w:hAnsi="Arial"/>
          <w:sz w:val="16"/>
          <w:szCs w:val="16"/>
          <w:color w:val="auto"/>
        </w:rPr>
        <w:t>All of the director nominees listed below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Annual Meeting.</w:t>
      </w:r>
    </w:p>
    <w:p>
      <w:pPr>
        <w:spacing w:after="0" w:line="214"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w:t>
            </w:r>
          </w:p>
        </w:tc>
        <w:tc>
          <w:tcPr>
            <w:tcW w:w="722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E2231A"/>
              </w:rPr>
              <w:t>Position</w:t>
            </w:r>
          </w:p>
        </w:tc>
      </w:tr>
      <w:tr>
        <w:trPr>
          <w:trHeight w:val="180"/>
        </w:trPr>
        <w:tc>
          <w:tcPr>
            <w:tcW w:w="3660" w:type="dxa"/>
            <w:vAlign w:val="bottom"/>
            <w:shd w:val="clear" w:color="auto" w:fill="FCE9E8"/>
          </w:tcPr>
          <w:p>
            <w:pPr>
              <w:ind w:left="80"/>
              <w:spacing w:after="0" w:line="180" w:lineRule="exact"/>
              <w:rPr>
                <w:sz w:val="20"/>
                <w:szCs w:val="20"/>
                <w:color w:val="auto"/>
              </w:rPr>
            </w:pPr>
            <w:r>
              <w:rPr>
                <w:rFonts w:ascii="Arial" w:cs="Arial" w:eastAsia="Arial" w:hAnsi="Arial"/>
                <w:sz w:val="16"/>
                <w:szCs w:val="16"/>
                <w:color w:val="auto"/>
              </w:rPr>
              <w:t>Thomas P. Capo</w:t>
            </w:r>
          </w:p>
        </w:tc>
        <w:tc>
          <w:tcPr>
            <w:tcW w:w="7220" w:type="dxa"/>
            <w:vAlign w:val="bottom"/>
            <w:shd w:val="clear" w:color="auto" w:fill="FCE9E8"/>
          </w:tcPr>
          <w:p>
            <w:pPr>
              <w:ind w:left="2100"/>
              <w:spacing w:after="0" w:line="180" w:lineRule="exact"/>
              <w:rPr>
                <w:sz w:val="20"/>
                <w:szCs w:val="20"/>
                <w:color w:val="auto"/>
              </w:rPr>
            </w:pPr>
            <w:r>
              <w:rPr>
                <w:rFonts w:ascii="Arial" w:cs="Arial" w:eastAsia="Arial" w:hAnsi="Arial"/>
                <w:sz w:val="16"/>
                <w:szCs w:val="16"/>
                <w:color w:val="auto"/>
              </w:rPr>
              <w:t>Director</w:t>
            </w:r>
          </w:p>
        </w:tc>
      </w:tr>
      <w:tr>
        <w:trPr>
          <w:trHeight w:val="186"/>
        </w:trPr>
        <w:tc>
          <w:tcPr>
            <w:tcW w:w="3660" w:type="dxa"/>
            <w:vAlign w:val="bottom"/>
          </w:tcPr>
          <w:p>
            <w:pPr>
              <w:ind w:left="80"/>
              <w:spacing w:after="0"/>
              <w:rPr>
                <w:sz w:val="20"/>
                <w:szCs w:val="20"/>
                <w:color w:val="auto"/>
              </w:rPr>
            </w:pPr>
            <w:r>
              <w:rPr>
                <w:rFonts w:ascii="Arial" w:cs="Arial" w:eastAsia="Arial" w:hAnsi="Arial"/>
                <w:sz w:val="16"/>
                <w:szCs w:val="16"/>
                <w:color w:val="auto"/>
              </w:rPr>
              <w:t>Mei-Wei Cheng</w:t>
            </w:r>
          </w:p>
        </w:tc>
        <w:tc>
          <w:tcPr>
            <w:tcW w:w="7220" w:type="dxa"/>
            <w:vAlign w:val="bottom"/>
          </w:tcPr>
          <w:p>
            <w:pPr>
              <w:ind w:left="2100"/>
              <w:spacing w:after="0"/>
              <w:rPr>
                <w:sz w:val="20"/>
                <w:szCs w:val="20"/>
                <w:color w:val="auto"/>
              </w:rPr>
            </w:pPr>
            <w:r>
              <w:rPr>
                <w:rFonts w:ascii="Arial" w:cs="Arial" w:eastAsia="Arial" w:hAnsi="Arial"/>
                <w:sz w:val="16"/>
                <w:szCs w:val="16"/>
                <w:color w:val="auto"/>
              </w:rPr>
              <w:t>Director</w:t>
            </w:r>
          </w:p>
        </w:tc>
      </w:tr>
      <w:tr>
        <w:trPr>
          <w:trHeight w:val="186"/>
        </w:trPr>
        <w:tc>
          <w:tcPr>
            <w:tcW w:w="3660" w:type="dxa"/>
            <w:vAlign w:val="bottom"/>
            <w:shd w:val="clear" w:color="auto" w:fill="FCE9E8"/>
          </w:tcPr>
          <w:p>
            <w:pPr>
              <w:ind w:left="80"/>
              <w:spacing w:after="0"/>
              <w:rPr>
                <w:sz w:val="20"/>
                <w:szCs w:val="20"/>
                <w:color w:val="auto"/>
              </w:rPr>
            </w:pPr>
            <w:r>
              <w:rPr>
                <w:rFonts w:ascii="Arial" w:cs="Arial" w:eastAsia="Arial" w:hAnsi="Arial"/>
                <w:sz w:val="16"/>
                <w:szCs w:val="16"/>
                <w:color w:val="auto"/>
              </w:rPr>
              <w:t>Jonathan F. Foster</w:t>
            </w:r>
          </w:p>
        </w:tc>
        <w:tc>
          <w:tcPr>
            <w:tcW w:w="7220" w:type="dxa"/>
            <w:vAlign w:val="bottom"/>
            <w:shd w:val="clear" w:color="auto" w:fill="FCE9E8"/>
          </w:tcPr>
          <w:p>
            <w:pPr>
              <w:ind w:left="2100"/>
              <w:spacing w:after="0"/>
              <w:rPr>
                <w:sz w:val="20"/>
                <w:szCs w:val="20"/>
                <w:color w:val="auto"/>
              </w:rPr>
            </w:pPr>
            <w:r>
              <w:rPr>
                <w:rFonts w:ascii="Arial" w:cs="Arial" w:eastAsia="Arial" w:hAnsi="Arial"/>
                <w:sz w:val="16"/>
                <w:szCs w:val="16"/>
                <w:color w:val="auto"/>
              </w:rPr>
              <w:t>Director</w:t>
            </w:r>
          </w:p>
        </w:tc>
      </w:tr>
      <w:tr>
        <w:trPr>
          <w:trHeight w:val="186"/>
        </w:trPr>
        <w:tc>
          <w:tcPr>
            <w:tcW w:w="3660" w:type="dxa"/>
            <w:vAlign w:val="bottom"/>
          </w:tcPr>
          <w:p>
            <w:pPr>
              <w:ind w:left="80"/>
              <w:spacing w:after="0"/>
              <w:rPr>
                <w:sz w:val="20"/>
                <w:szCs w:val="20"/>
                <w:color w:val="auto"/>
              </w:rPr>
            </w:pPr>
            <w:r>
              <w:rPr>
                <w:rFonts w:ascii="Arial" w:cs="Arial" w:eastAsia="Arial" w:hAnsi="Arial"/>
                <w:sz w:val="16"/>
                <w:szCs w:val="16"/>
                <w:color w:val="auto"/>
              </w:rPr>
              <w:t>Mary Lou Jepsen</w:t>
            </w:r>
          </w:p>
        </w:tc>
        <w:tc>
          <w:tcPr>
            <w:tcW w:w="7220" w:type="dxa"/>
            <w:vAlign w:val="bottom"/>
          </w:tcPr>
          <w:p>
            <w:pPr>
              <w:ind w:left="2100"/>
              <w:spacing w:after="0"/>
              <w:rPr>
                <w:sz w:val="20"/>
                <w:szCs w:val="20"/>
                <w:color w:val="auto"/>
              </w:rPr>
            </w:pPr>
            <w:r>
              <w:rPr>
                <w:rFonts w:ascii="Arial" w:cs="Arial" w:eastAsia="Arial" w:hAnsi="Arial"/>
                <w:sz w:val="16"/>
                <w:szCs w:val="16"/>
                <w:color w:val="auto"/>
              </w:rPr>
              <w:t>Director</w:t>
            </w:r>
          </w:p>
        </w:tc>
      </w:tr>
      <w:tr>
        <w:trPr>
          <w:trHeight w:val="186"/>
        </w:trPr>
        <w:tc>
          <w:tcPr>
            <w:tcW w:w="3660" w:type="dxa"/>
            <w:vAlign w:val="bottom"/>
            <w:shd w:val="clear" w:color="auto" w:fill="FCE9E8"/>
          </w:tcPr>
          <w:p>
            <w:pPr>
              <w:ind w:left="80"/>
              <w:spacing w:after="0"/>
              <w:rPr>
                <w:sz w:val="20"/>
                <w:szCs w:val="20"/>
                <w:color w:val="auto"/>
              </w:rPr>
            </w:pPr>
            <w:r>
              <w:rPr>
                <w:rFonts w:ascii="Arial" w:cs="Arial" w:eastAsia="Arial" w:hAnsi="Arial"/>
                <w:sz w:val="16"/>
                <w:szCs w:val="16"/>
                <w:color w:val="auto"/>
              </w:rPr>
              <w:t>Kathleen A. Ligocki</w:t>
            </w:r>
          </w:p>
        </w:tc>
        <w:tc>
          <w:tcPr>
            <w:tcW w:w="7220" w:type="dxa"/>
            <w:vAlign w:val="bottom"/>
            <w:shd w:val="clear" w:color="auto" w:fill="FCE9E8"/>
          </w:tcPr>
          <w:p>
            <w:pPr>
              <w:ind w:left="2100"/>
              <w:spacing w:after="0"/>
              <w:rPr>
                <w:sz w:val="20"/>
                <w:szCs w:val="20"/>
                <w:color w:val="auto"/>
              </w:rPr>
            </w:pPr>
            <w:r>
              <w:rPr>
                <w:rFonts w:ascii="Arial" w:cs="Arial" w:eastAsia="Arial" w:hAnsi="Arial"/>
                <w:sz w:val="16"/>
                <w:szCs w:val="16"/>
                <w:color w:val="auto"/>
              </w:rPr>
              <w:t>Director</w:t>
            </w:r>
          </w:p>
        </w:tc>
      </w:tr>
      <w:tr>
        <w:trPr>
          <w:trHeight w:val="186"/>
        </w:trPr>
        <w:tc>
          <w:tcPr>
            <w:tcW w:w="3660" w:type="dxa"/>
            <w:vAlign w:val="bottom"/>
          </w:tcPr>
          <w:p>
            <w:pPr>
              <w:ind w:left="80"/>
              <w:spacing w:after="0"/>
              <w:rPr>
                <w:sz w:val="20"/>
                <w:szCs w:val="20"/>
                <w:color w:val="auto"/>
              </w:rPr>
            </w:pPr>
            <w:r>
              <w:rPr>
                <w:rFonts w:ascii="Arial" w:cs="Arial" w:eastAsia="Arial" w:hAnsi="Arial"/>
                <w:sz w:val="16"/>
                <w:szCs w:val="16"/>
                <w:color w:val="auto"/>
              </w:rPr>
              <w:t>Conrad L. Mallett, Jr.</w:t>
            </w:r>
          </w:p>
        </w:tc>
        <w:tc>
          <w:tcPr>
            <w:tcW w:w="7220" w:type="dxa"/>
            <w:vAlign w:val="bottom"/>
          </w:tcPr>
          <w:p>
            <w:pPr>
              <w:ind w:left="2100"/>
              <w:spacing w:after="0"/>
              <w:rPr>
                <w:sz w:val="20"/>
                <w:szCs w:val="20"/>
                <w:color w:val="auto"/>
              </w:rPr>
            </w:pPr>
            <w:r>
              <w:rPr>
                <w:rFonts w:ascii="Arial" w:cs="Arial" w:eastAsia="Arial" w:hAnsi="Arial"/>
                <w:sz w:val="16"/>
                <w:szCs w:val="16"/>
                <w:color w:val="auto"/>
              </w:rPr>
              <w:t>Director</w:t>
            </w:r>
          </w:p>
        </w:tc>
      </w:tr>
      <w:tr>
        <w:trPr>
          <w:trHeight w:val="188"/>
        </w:trPr>
        <w:tc>
          <w:tcPr>
            <w:tcW w:w="366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7220" w:type="dxa"/>
            <w:vAlign w:val="bottom"/>
            <w:shd w:val="clear" w:color="auto" w:fill="FCE9E8"/>
          </w:tcPr>
          <w:p>
            <w:pPr>
              <w:ind w:left="2100"/>
              <w:spacing w:after="0"/>
              <w:rPr>
                <w:sz w:val="20"/>
                <w:szCs w:val="20"/>
                <w:color w:val="auto"/>
              </w:rPr>
            </w:pPr>
            <w:r>
              <w:rPr>
                <w:rFonts w:ascii="Arial" w:cs="Arial" w:eastAsia="Arial" w:hAnsi="Arial"/>
                <w:sz w:val="16"/>
                <w:szCs w:val="16"/>
                <w:color w:val="auto"/>
              </w:rPr>
              <w:t>Director, President, Chief Executive Officer and Interim President,</w:t>
            </w:r>
          </w:p>
        </w:tc>
      </w:tr>
      <w:tr>
        <w:trPr>
          <w:trHeight w:val="185"/>
        </w:trPr>
        <w:tc>
          <w:tcPr>
            <w:tcW w:w="3660" w:type="dxa"/>
            <w:vAlign w:val="bottom"/>
            <w:shd w:val="clear" w:color="auto" w:fill="FCE9E8"/>
          </w:tcPr>
          <w:p>
            <w:pPr>
              <w:spacing w:after="0"/>
              <w:rPr>
                <w:sz w:val="16"/>
                <w:szCs w:val="16"/>
                <w:color w:val="auto"/>
              </w:rPr>
            </w:pPr>
          </w:p>
        </w:tc>
        <w:tc>
          <w:tcPr>
            <w:tcW w:w="7220" w:type="dxa"/>
            <w:vAlign w:val="bottom"/>
            <w:shd w:val="clear" w:color="auto" w:fill="FCE9E8"/>
          </w:tcPr>
          <w:p>
            <w:pPr>
              <w:ind w:left="2100"/>
              <w:spacing w:after="0"/>
              <w:rPr>
                <w:sz w:val="20"/>
                <w:szCs w:val="20"/>
                <w:color w:val="auto"/>
              </w:rPr>
            </w:pPr>
            <w:r>
              <w:rPr>
                <w:rFonts w:ascii="Arial" w:cs="Arial" w:eastAsia="Arial" w:hAnsi="Arial"/>
                <w:sz w:val="16"/>
                <w:szCs w:val="16"/>
                <w:color w:val="auto"/>
              </w:rPr>
              <w:t>E-Systems</w:t>
            </w:r>
          </w:p>
        </w:tc>
      </w:tr>
      <w:tr>
        <w:trPr>
          <w:trHeight w:val="186"/>
        </w:trPr>
        <w:tc>
          <w:tcPr>
            <w:tcW w:w="3660" w:type="dxa"/>
            <w:vAlign w:val="bottom"/>
          </w:tcPr>
          <w:p>
            <w:pPr>
              <w:ind w:left="80"/>
              <w:spacing w:after="0"/>
              <w:rPr>
                <w:sz w:val="20"/>
                <w:szCs w:val="20"/>
                <w:color w:val="auto"/>
              </w:rPr>
            </w:pPr>
            <w:r>
              <w:rPr>
                <w:rFonts w:ascii="Arial" w:cs="Arial" w:eastAsia="Arial" w:hAnsi="Arial"/>
                <w:sz w:val="16"/>
                <w:szCs w:val="16"/>
                <w:color w:val="auto"/>
              </w:rPr>
              <w:t>Gregory C. Smith</w:t>
            </w:r>
          </w:p>
        </w:tc>
        <w:tc>
          <w:tcPr>
            <w:tcW w:w="7220" w:type="dxa"/>
            <w:vAlign w:val="bottom"/>
          </w:tcPr>
          <w:p>
            <w:pPr>
              <w:ind w:left="2100"/>
              <w:spacing w:after="0"/>
              <w:rPr>
                <w:sz w:val="20"/>
                <w:szCs w:val="20"/>
                <w:color w:val="auto"/>
              </w:rPr>
            </w:pPr>
            <w:r>
              <w:rPr>
                <w:rFonts w:ascii="Arial" w:cs="Arial" w:eastAsia="Arial" w:hAnsi="Arial"/>
                <w:sz w:val="16"/>
                <w:szCs w:val="16"/>
                <w:color w:val="auto"/>
              </w:rPr>
              <w:t>Director</w:t>
            </w:r>
          </w:p>
        </w:tc>
      </w:tr>
      <w:tr>
        <w:trPr>
          <w:trHeight w:val="186"/>
        </w:trPr>
        <w:tc>
          <w:tcPr>
            <w:tcW w:w="3660" w:type="dxa"/>
            <w:vAlign w:val="bottom"/>
            <w:shd w:val="clear" w:color="auto" w:fill="FCE9E8"/>
          </w:tcPr>
          <w:p>
            <w:pPr>
              <w:ind w:left="80"/>
              <w:spacing w:after="0"/>
              <w:rPr>
                <w:sz w:val="20"/>
                <w:szCs w:val="20"/>
                <w:color w:val="auto"/>
              </w:rPr>
            </w:pPr>
            <w:r>
              <w:rPr>
                <w:rFonts w:ascii="Arial" w:cs="Arial" w:eastAsia="Arial" w:hAnsi="Arial"/>
                <w:sz w:val="16"/>
                <w:szCs w:val="16"/>
                <w:color w:val="auto"/>
              </w:rPr>
              <w:t>Henry D.G. Wallace</w:t>
            </w:r>
          </w:p>
        </w:tc>
        <w:tc>
          <w:tcPr>
            <w:tcW w:w="7220" w:type="dxa"/>
            <w:vAlign w:val="bottom"/>
            <w:shd w:val="clear" w:color="auto" w:fill="FCE9E8"/>
          </w:tcPr>
          <w:p>
            <w:pPr>
              <w:ind w:left="2100"/>
              <w:spacing w:after="0"/>
              <w:rPr>
                <w:sz w:val="20"/>
                <w:szCs w:val="20"/>
                <w:color w:val="auto"/>
              </w:rPr>
            </w:pPr>
            <w:r>
              <w:rPr>
                <w:rFonts w:ascii="Arial" w:cs="Arial" w:eastAsia="Arial" w:hAnsi="Arial"/>
                <w:sz w:val="16"/>
                <w:szCs w:val="16"/>
                <w:color w:val="auto"/>
              </w:rPr>
              <w:t>Director, Non-Executive Chairman</w:t>
            </w: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72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1">
            <w:col w:w="11160"/>
          </w:cols>
          <w:pgMar w:left="240" w:top="455" w:right="499" w:bottom="1440" w:gutter="0" w:footer="0" w:header="0"/>
          <w:type w:val="continuous"/>
        </w:sectPr>
      </w:pPr>
    </w:p>
    <w:p>
      <w:pPr>
        <w:spacing w:after="0" w:line="20" w:lineRule="exact"/>
        <w:rPr>
          <w:sz w:val="20"/>
          <w:szCs w:val="20"/>
          <w:color w:val="auto"/>
        </w:rPr>
      </w:pPr>
    </w:p>
    <w:p>
      <w:pPr>
        <w:ind w:left="280" w:right="60"/>
        <w:spacing w:after="0" w:line="248" w:lineRule="auto"/>
        <w:rPr>
          <w:sz w:val="20"/>
          <w:szCs w:val="20"/>
          <w:color w:val="auto"/>
        </w:rPr>
      </w:pPr>
      <w:r>
        <w:rPr>
          <w:rFonts w:ascii="Arial" w:cs="Arial" w:eastAsia="Arial" w:hAnsi="Arial"/>
          <w:sz w:val="16"/>
          <w:szCs w:val="16"/>
          <w:color w:val="auto"/>
        </w:rPr>
        <w:t>Biographical information relating to each of the director nominees is set forth below under “Directors and Corporate Governance” and incorporated by reference herein.</w:t>
      </w:r>
    </w:p>
    <w:p>
      <w:pPr>
        <w:spacing w:after="0" w:line="76" w:lineRule="exact"/>
        <w:rPr>
          <w:sz w:val="20"/>
          <w:szCs w:val="20"/>
          <w:color w:val="auto"/>
        </w:rPr>
      </w:pPr>
    </w:p>
    <w:p>
      <w:pPr>
        <w:ind w:left="280"/>
        <w:spacing w:after="0" w:line="261" w:lineRule="auto"/>
        <w:rPr>
          <w:sz w:val="20"/>
          <w:szCs w:val="20"/>
          <w:color w:val="auto"/>
        </w:rPr>
      </w:pPr>
      <w:r>
        <w:rPr>
          <w:rFonts w:ascii="Arial" w:cs="Arial" w:eastAsia="Arial" w:hAnsi="Arial"/>
          <w:sz w:val="16"/>
          <w:szCs w:val="16"/>
          <w:b w:val="1"/>
          <w:bCs w:val="1"/>
          <w:color w:val="auto"/>
        </w:rPr>
        <w:t>THE BOARD UNANIMOUSLY RECOMMENDS A VOTE “FOR” THE ELECTION OF EACH OF LEAR’S DIRECTOR NOMINEES NAMED IN THIS PROXY STATEMENT.</w:t>
      </w:r>
    </w:p>
    <w:p>
      <w:pPr>
        <w:spacing w:after="0" w:line="234" w:lineRule="exact"/>
        <w:rPr>
          <w:sz w:val="20"/>
          <w:szCs w:val="20"/>
          <w:color w:val="auto"/>
        </w:rPr>
      </w:pPr>
    </w:p>
    <w:p>
      <w:pPr>
        <w:ind w:left="640" w:hanging="257"/>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ind w:right="260"/>
        <w:spacing w:after="0" w:line="255" w:lineRule="auto"/>
        <w:rPr>
          <w:sz w:val="20"/>
          <w:szCs w:val="20"/>
          <w:color w:val="auto"/>
        </w:rPr>
      </w:pPr>
      <w:r>
        <w:rPr>
          <w:rFonts w:ascii="Arial" w:cs="Arial" w:eastAsia="Arial" w:hAnsi="Arial"/>
          <w:sz w:val="16"/>
          <w:szCs w:val="16"/>
          <w:b w:val="1"/>
          <w:bCs w:val="1"/>
          <w:color w:val="auto"/>
        </w:rPr>
        <w:t>PROXIES SOLICITED BY THE BOARD WILL BE VOTED FOR THE ELECTION OF EACH OF LEAR’S DIRECTOR NOMINEES NAMED IN THIS PROXY STATEMENT UNLESS STOCKHOLDERS SPECIFY A CONTRARY VOTE.</w:t>
      </w:r>
    </w:p>
    <w:p>
      <w:pPr>
        <w:sectPr>
          <w:pgSz w:w="11900" w:h="16838" w:orient="portrait"/>
          <w:cols w:equalWidth="0" w:num="2">
            <w:col w:w="5360" w:space="460"/>
            <w:col w:w="5340"/>
          </w:cols>
          <w:pgMar w:left="240" w:top="455" w:right="4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280"/>
        <w:spacing w:after="0"/>
        <w:rPr>
          <w:sz w:val="20"/>
          <w:szCs w:val="20"/>
          <w:color w:val="auto"/>
        </w:rPr>
      </w:pPr>
      <w:r>
        <w:rPr>
          <w:rFonts w:ascii="Arial" w:cs="Arial" w:eastAsia="Arial" w:hAnsi="Arial"/>
          <w:sz w:val="39"/>
          <w:szCs w:val="39"/>
          <w:b w:val="1"/>
          <w:bCs w:val="1"/>
          <w:color w:val="E2231A"/>
        </w:rPr>
        <w:t>DIRECTORS AND CORPORATE GOVERNANCE</w:t>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Director Biographical Information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21" w:lineRule="exact"/>
        <w:rPr>
          <w:sz w:val="20"/>
          <w:szCs w:val="20"/>
          <w:color w:val="auto"/>
        </w:rPr>
      </w:pPr>
    </w:p>
    <w:p>
      <w:pPr>
        <w:ind w:left="280" w:right="540"/>
        <w:spacing w:after="0" w:line="273" w:lineRule="auto"/>
        <w:rPr>
          <w:sz w:val="20"/>
          <w:szCs w:val="20"/>
          <w:color w:val="auto"/>
        </w:rPr>
      </w:pPr>
      <w:r>
        <w:rPr>
          <w:rFonts w:ascii="Arial" w:cs="Arial" w:eastAsia="Arial" w:hAnsi="Arial"/>
          <w:sz w:val="15"/>
          <w:szCs w:val="15"/>
          <w:color w:val="auto"/>
        </w:rPr>
        <w:t>Set forth below is a description of the business experience of each director nominee, as well as the specific qualifications, skills and experiences considered by the Nominating Committee and the Board in recommending our slate of director nominees. Each director nominee listed below is nominated for election to the Board for a term expiring at the annual meeting of stockholders in 2020. See “Election of Directors (Proposal No. 1).”</w:t>
      </w:r>
    </w:p>
    <w:p>
      <w:pPr>
        <w:spacing w:after="0" w:line="195" w:lineRule="exact"/>
        <w:rPr>
          <w:sz w:val="20"/>
          <w:szCs w:val="20"/>
          <w:color w:val="auto"/>
        </w:rPr>
      </w:pPr>
    </w:p>
    <w:p>
      <w:pPr>
        <w:ind w:left="280"/>
        <w:spacing w:after="0"/>
        <w:tabs>
          <w:tab w:leader="none" w:pos="2440" w:val="left"/>
          <w:tab w:leader="none" w:pos="3440" w:val="left"/>
        </w:tabs>
        <w:rPr>
          <w:sz w:val="20"/>
          <w:szCs w:val="20"/>
          <w:color w:val="auto"/>
        </w:rPr>
      </w:pPr>
      <w:r>
        <w:rPr>
          <w:rFonts w:ascii="Arial" w:cs="Arial" w:eastAsia="Arial" w:hAnsi="Arial"/>
          <w:sz w:val="16"/>
          <w:szCs w:val="16"/>
          <w:i w:val="1"/>
          <w:iCs w:val="1"/>
          <w:color w:val="auto"/>
        </w:rPr>
        <w:t>Thomas P. Capo</w:t>
      </w:r>
      <w:r>
        <w:rPr>
          <w:sz w:val="20"/>
          <w:szCs w:val="20"/>
          <w:color w:val="auto"/>
        </w:rPr>
        <w:tab/>
      </w:r>
      <w:r>
        <w:rPr>
          <w:rFonts w:ascii="Arial" w:cs="Arial" w:eastAsia="Arial" w:hAnsi="Arial"/>
          <w:sz w:val="16"/>
          <w:szCs w:val="16"/>
          <w:color w:val="auto"/>
        </w:rPr>
        <w:t>Age: 68</w:t>
      </w:r>
      <w:r>
        <w:rPr>
          <w:sz w:val="20"/>
          <w:szCs w:val="20"/>
          <w:color w:val="auto"/>
        </w:rPr>
        <w:tab/>
      </w:r>
      <w:r>
        <w:rPr>
          <w:rFonts w:ascii="Arial" w:cs="Arial" w:eastAsia="Arial" w:hAnsi="Arial"/>
          <w:sz w:val="15"/>
          <w:szCs w:val="15"/>
          <w:color w:val="auto"/>
        </w:rPr>
        <w:t>Lear Committees:</w:t>
      </w:r>
    </w:p>
    <w:p>
      <w:pPr>
        <w:spacing w:after="0" w:line="138" w:lineRule="exact"/>
        <w:rPr>
          <w:sz w:val="20"/>
          <w:szCs w:val="20"/>
          <w:color w:val="auto"/>
        </w:rPr>
      </w:pPr>
    </w:p>
    <w:p>
      <w:pPr>
        <w:ind w:left="3520" w:hanging="132"/>
        <w:spacing w:after="0"/>
        <w:tabs>
          <w:tab w:leader="none" w:pos="3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Audit</w:t>
      </w:r>
    </w:p>
    <w:p>
      <w:pPr>
        <w:spacing w:after="0" w:line="122" w:lineRule="exact"/>
        <w:rPr>
          <w:rFonts w:ascii="Arial" w:cs="Arial" w:eastAsia="Arial" w:hAnsi="Arial"/>
          <w:sz w:val="16"/>
          <w:szCs w:val="16"/>
          <w:color w:val="auto"/>
        </w:rPr>
      </w:pPr>
    </w:p>
    <w:p>
      <w:pPr>
        <w:ind w:left="3540" w:hanging="152"/>
        <w:spacing w:after="0"/>
        <w:tabs>
          <w:tab w:leader="none" w:pos="3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Compensation (Chair)</w:t>
      </w:r>
    </w:p>
    <w:p>
      <w:pPr>
        <w:spacing w:after="0" w:line="222" w:lineRule="exact"/>
        <w:rPr>
          <w:sz w:val="20"/>
          <w:szCs w:val="20"/>
          <w:color w:val="auto"/>
        </w:rPr>
      </w:pPr>
    </w:p>
    <w:p>
      <w:pPr>
        <w:ind w:left="24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2" w:lineRule="exact"/>
        <w:rPr>
          <w:sz w:val="20"/>
          <w:szCs w:val="20"/>
          <w:color w:val="auto"/>
        </w:rPr>
      </w:pPr>
    </w:p>
    <w:p>
      <w:pPr>
        <w:ind w:left="2460"/>
        <w:spacing w:after="0" w:line="244" w:lineRule="auto"/>
        <w:rPr>
          <w:sz w:val="20"/>
          <w:szCs w:val="20"/>
          <w:color w:val="auto"/>
        </w:rPr>
      </w:pPr>
      <w:r>
        <w:rPr>
          <w:rFonts w:ascii="Arial" w:cs="Arial" w:eastAsia="Arial" w:hAnsi="Arial"/>
          <w:sz w:val="16"/>
          <w:szCs w:val="16"/>
          <w:color w:val="auto"/>
        </w:rPr>
        <w:t>Mr. Capo has been a director of the Company since November 2009. Mr. Capo was Chairman of Dollar Thrifty Automotive Group, Inc. from October 2003 until November 2010. Mr. Capo was a Senior Vice President and the Treasurer of DaimlerChrysler Corporation from November 1998 to August 2000, Vice President and Treasurer of Chrysler Corporation from 1993 to 1998 and Treasurer of Chrysler Corporation from 1991 to 1993. Prior to holding these positions, Mr. Capo served as Vice President and Controller of Chrysler Financial Corporation. Mr. Capo also serves as the Non-Executive Chairman of Cooper Tire &amp; Rubber Company. Previously, Mr. Capo served as a director of Dollar Thrifty Automotive Group, Inc. from its initial public offering in 1997 until its sale to Hertz Corporation in 2012, JLG Industries, Inc. until its sale to Oshkosh Corp. in 2006, Sonic Automotive, Inc. and Microheat, Inc. Mr. Capo has a bachelor’s degree in Finance, an MBA and a master’s degree in Economics from the University of Detroit Mercy.</w:t>
      </w:r>
    </w:p>
    <w:p>
      <w:pPr>
        <w:spacing w:after="0" w:line="215" w:lineRule="exact"/>
        <w:rPr>
          <w:sz w:val="20"/>
          <w:szCs w:val="20"/>
          <w:color w:val="auto"/>
        </w:rPr>
      </w:pPr>
    </w:p>
    <w:p>
      <w:pPr>
        <w:ind w:left="24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2" w:lineRule="exact"/>
        <w:rPr>
          <w:sz w:val="20"/>
          <w:szCs w:val="20"/>
          <w:color w:val="auto"/>
        </w:rPr>
      </w:pPr>
    </w:p>
    <w:p>
      <w:pPr>
        <w:ind w:left="2640" w:hanging="176"/>
        <w:spacing w:after="0"/>
        <w:tabs>
          <w:tab w:leader="none" w:pos="2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Executive management and leadership experience, with extensive knowledge of the automotive industry</w:t>
      </w:r>
    </w:p>
    <w:p>
      <w:pPr>
        <w:spacing w:after="0" w:line="122" w:lineRule="exact"/>
        <w:rPr>
          <w:rFonts w:ascii="Arial" w:cs="Arial" w:eastAsia="Arial" w:hAnsi="Arial"/>
          <w:sz w:val="16"/>
          <w:szCs w:val="16"/>
          <w:color w:val="auto"/>
        </w:rPr>
      </w:pPr>
    </w:p>
    <w:p>
      <w:pPr>
        <w:ind w:left="2640" w:hanging="176"/>
        <w:spacing w:after="0"/>
        <w:tabs>
          <w:tab w:leader="none" w:pos="2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at board chairman level</w:t>
      </w:r>
    </w:p>
    <w:p>
      <w:pPr>
        <w:spacing w:after="0" w:line="122" w:lineRule="exact"/>
        <w:rPr>
          <w:rFonts w:ascii="Arial" w:cs="Arial" w:eastAsia="Arial" w:hAnsi="Arial"/>
          <w:sz w:val="16"/>
          <w:szCs w:val="16"/>
          <w:color w:val="auto"/>
        </w:rPr>
      </w:pPr>
    </w:p>
    <w:p>
      <w:pPr>
        <w:ind w:left="2640" w:hanging="176"/>
        <w:spacing w:after="0"/>
        <w:tabs>
          <w:tab w:leader="none" w:pos="2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Extensive experience in global finance, treasury, investment management and capital markets</w:t>
      </w:r>
    </w:p>
    <w:p>
      <w:pPr>
        <w:spacing w:after="0" w:line="122" w:lineRule="exact"/>
        <w:rPr>
          <w:rFonts w:ascii="Arial" w:cs="Arial" w:eastAsia="Arial" w:hAnsi="Arial"/>
          <w:sz w:val="16"/>
          <w:szCs w:val="16"/>
          <w:color w:val="auto"/>
        </w:rPr>
      </w:pPr>
    </w:p>
    <w:p>
      <w:pPr>
        <w:ind w:left="2620" w:right="420" w:hanging="156"/>
        <w:spacing w:after="0" w:line="254" w:lineRule="auto"/>
        <w:tabs>
          <w:tab w:leader="none" w:pos="26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Core leadership and management experience in mergers, acquisitions and divestitures, strategy development and capital restructuring</w:t>
      </w:r>
    </w:p>
    <w:p>
      <w:pPr>
        <w:spacing w:after="0" w:line="103" w:lineRule="exact"/>
        <w:rPr>
          <w:rFonts w:ascii="Arial" w:cs="Arial" w:eastAsia="Arial" w:hAnsi="Arial"/>
          <w:sz w:val="16"/>
          <w:szCs w:val="16"/>
          <w:color w:val="auto"/>
        </w:rPr>
      </w:pPr>
    </w:p>
    <w:p>
      <w:pPr>
        <w:ind w:left="2640" w:hanging="176"/>
        <w:spacing w:after="0"/>
        <w:tabs>
          <w:tab w:leader="none" w:pos="2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Extensive experience in financial analysis, financial reporting, compliance and internal controls</w:t>
      </w:r>
    </w:p>
    <w:p>
      <w:pPr>
        <w:spacing w:after="0" w:line="122" w:lineRule="exact"/>
        <w:rPr>
          <w:rFonts w:ascii="Arial" w:cs="Arial" w:eastAsia="Arial" w:hAnsi="Arial"/>
          <w:sz w:val="16"/>
          <w:szCs w:val="16"/>
          <w:color w:val="auto"/>
        </w:rPr>
      </w:pPr>
    </w:p>
    <w:p>
      <w:pPr>
        <w:ind w:left="2640" w:hanging="176"/>
        <w:spacing w:after="0"/>
        <w:tabs>
          <w:tab w:leader="none" w:pos="2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38" w:lineRule="exact"/>
        <w:rPr>
          <w:sz w:val="20"/>
          <w:szCs w:val="20"/>
          <w:color w:val="auto"/>
        </w:rPr>
      </w:pPr>
    </w:p>
    <w:p>
      <w:pPr>
        <w:ind w:left="9040"/>
        <w:spacing w:after="0"/>
        <w:tabs>
          <w:tab w:leader="none" w:pos="10720" w:val="left"/>
          <w:tab w:leader="none" w:pos="1092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7</w:t>
      </w:r>
    </w:p>
    <w:p>
      <w:pPr>
        <w:sectPr>
          <w:pgSz w:w="11900" w:h="16838" w:orient="portrait"/>
          <w:cols w:equalWidth="0" w:num="1">
            <w:col w:w="11120"/>
          </w:cols>
          <w:pgMar w:left="240" w:top="455"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381" w:lineRule="exact"/>
        <w:rPr>
          <w:sz w:val="20"/>
          <w:szCs w:val="20"/>
          <w:color w:val="auto"/>
        </w:rPr>
      </w:pPr>
    </w:p>
    <w:p>
      <w:pPr>
        <w:ind w:left="280"/>
        <w:spacing w:after="0"/>
        <w:tabs>
          <w:tab w:leader="none" w:pos="2440" w:val="left"/>
        </w:tabs>
        <w:rPr>
          <w:sz w:val="20"/>
          <w:szCs w:val="20"/>
          <w:color w:val="auto"/>
        </w:rPr>
      </w:pPr>
      <w:r>
        <w:rPr>
          <w:rFonts w:ascii="Arial" w:cs="Arial" w:eastAsia="Arial" w:hAnsi="Arial"/>
          <w:sz w:val="16"/>
          <w:szCs w:val="16"/>
          <w:i w:val="1"/>
          <w:iCs w:val="1"/>
          <w:color w:val="auto"/>
        </w:rPr>
        <w:t>Mei-Wei Cheng</w:t>
      </w:r>
      <w:r>
        <w:rPr>
          <w:sz w:val="20"/>
          <w:szCs w:val="20"/>
          <w:color w:val="auto"/>
        </w:rPr>
        <w:tab/>
      </w:r>
      <w:r>
        <w:rPr>
          <w:rFonts w:ascii="Arial" w:cs="Arial" w:eastAsia="Arial" w:hAnsi="Arial"/>
          <w:sz w:val="16"/>
          <w:szCs w:val="16"/>
          <w:color w:val="auto"/>
        </w:rPr>
        <w:t>Age: 69</w:t>
      </w:r>
    </w:p>
    <w:p>
      <w:pPr>
        <w:spacing w:after="0" w:line="238" w:lineRule="exact"/>
        <w:rPr>
          <w:sz w:val="20"/>
          <w:szCs w:val="20"/>
          <w:color w:val="auto"/>
        </w:rPr>
      </w:pPr>
    </w:p>
    <w:p>
      <w:pPr>
        <w:ind w:left="24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2" w:lineRule="exact"/>
        <w:rPr>
          <w:sz w:val="20"/>
          <w:szCs w:val="20"/>
          <w:color w:val="auto"/>
        </w:rPr>
      </w:pPr>
    </w:p>
    <w:p>
      <w:pPr>
        <w:ind w:left="2460" w:right="180"/>
        <w:spacing w:after="0" w:line="243" w:lineRule="auto"/>
        <w:rPr>
          <w:sz w:val="20"/>
          <w:szCs w:val="20"/>
          <w:color w:val="auto"/>
        </w:rPr>
      </w:pPr>
      <w:r>
        <w:rPr>
          <w:rFonts w:ascii="Arial" w:cs="Arial" w:eastAsia="Arial" w:hAnsi="Arial"/>
          <w:sz w:val="16"/>
          <w:szCs w:val="16"/>
          <w:color w:val="auto"/>
        </w:rPr>
        <w:t>Mr. Cheng has been a director of the Company since January 2019. Additionally, Mr. Cheng is a member of the Board of Directors of both Interplex Holdings Pte. Ltd. and NIU Technologies. Mr. Cheng also serves as the Non-Executive Chairman of HCP Packaging, a Baring Private Equity Asia portfolio company, a role he has held since August 2018.</w:t>
      </w:r>
    </w:p>
    <w:p>
      <w:pPr>
        <w:spacing w:after="0" w:line="1" w:lineRule="exact"/>
        <w:rPr>
          <w:sz w:val="20"/>
          <w:szCs w:val="20"/>
          <w:color w:val="auto"/>
        </w:rPr>
      </w:pPr>
    </w:p>
    <w:p>
      <w:pPr>
        <w:ind w:left="2460"/>
        <w:spacing w:after="0" w:line="244" w:lineRule="auto"/>
        <w:rPr>
          <w:sz w:val="20"/>
          <w:szCs w:val="20"/>
          <w:color w:val="auto"/>
        </w:rPr>
      </w:pPr>
      <w:r>
        <w:rPr>
          <w:rFonts w:ascii="Arial" w:cs="Arial" w:eastAsia="Arial" w:hAnsi="Arial"/>
          <w:sz w:val="16"/>
          <w:szCs w:val="16"/>
          <w:color w:val="auto"/>
        </w:rPr>
        <w:t>Mr. Cheng has served as an Advisory Board member of (i) CareSyntax, a technology and services platform for hospitals, since May 2018 and (ii) Lumileds, a lighting company, since April 2018. Additionally, Mr. Cheng is a Senior Advisor of Iconiq Motors, a new energy vehicle company, a position he has held since September 2017, and a Senior Venture Partner of Fontinalis Capital Partners II, a position he has held since December 2014. From July 2012 to October 2018, Mr. Cheng served as a member of the Audit and Finance Committee of the Board of Directors for Seagate Technology (Nasdaq: STX), a data storage company. From February 2015 to January 2017, Mr. Cheng served as the Chairman of the Board of Directors of Pactera Technology International Ltd., a portfolio company of Blackstone Group. From July 2010 to April 2014, Mr. Cheng served as the Chief Executive Officer of Siemens Northeast Asia and as President and Chief Executive Officer of Siemens China. Prior to joining Siemens, Mr. Cheng served as the Chairman and Chief Executive Officer of Ford Motor (China) Ltd. and as Group Vice President of Ford Motor Company from 2009 to 2010. Before joining Ford, Mr. Cheng held various senior executive positions at General Electric Corporation and AT&amp;T. Mr. Cheng also served as a member of the Audit Committee of the Board of Directors of Diebold Nixdorf, Inc. (NYSE: DBD) from 2009 to 2013. Mr. Cheng earned a bachelor’s degree in industrial engineering and operations research from Cornell University, a master’s degree in business administration from Rutgers University and is a graduate of both Dartmouth’s Tuck Executive Program and Massachusetts Institute of Technology’s Program for Senior Executives.</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2" w:lineRule="exact"/>
        <w:rPr>
          <w:sz w:val="20"/>
          <w:szCs w:val="20"/>
          <w:color w:val="auto"/>
        </w:rPr>
      </w:pPr>
    </w:p>
    <w:p>
      <w:pPr>
        <w:ind w:left="2640" w:hanging="176"/>
        <w:spacing w:after="0"/>
        <w:tabs>
          <w:tab w:leader="none" w:pos="2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Senior management and leadership experience, with a particular focus on Asian markets</w:t>
      </w:r>
    </w:p>
    <w:p>
      <w:pPr>
        <w:spacing w:after="0" w:line="122" w:lineRule="exact"/>
        <w:rPr>
          <w:rFonts w:ascii="Arial" w:cs="Arial" w:eastAsia="Arial" w:hAnsi="Arial"/>
          <w:sz w:val="16"/>
          <w:szCs w:val="16"/>
          <w:color w:val="auto"/>
        </w:rPr>
      </w:pPr>
    </w:p>
    <w:p>
      <w:pPr>
        <w:ind w:left="2640" w:hanging="176"/>
        <w:spacing w:after="0"/>
        <w:tabs>
          <w:tab w:leader="none" w:pos="2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Extensive international, business development, technological and sales and marketing expertise</w:t>
      </w:r>
    </w:p>
    <w:p>
      <w:pPr>
        <w:spacing w:after="0" w:line="122" w:lineRule="exact"/>
        <w:rPr>
          <w:rFonts w:ascii="Arial" w:cs="Arial" w:eastAsia="Arial" w:hAnsi="Arial"/>
          <w:sz w:val="16"/>
          <w:szCs w:val="16"/>
          <w:color w:val="auto"/>
        </w:rPr>
      </w:pPr>
    </w:p>
    <w:p>
      <w:pPr>
        <w:ind w:left="2640" w:hanging="176"/>
        <w:spacing w:after="0"/>
        <w:tabs>
          <w:tab w:leader="none" w:pos="2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Significant international executive-level leadership experience, including at board chairman level</w:t>
      </w:r>
    </w:p>
    <w:p>
      <w:pPr>
        <w:spacing w:after="0" w:line="122" w:lineRule="exact"/>
        <w:rPr>
          <w:rFonts w:ascii="Arial" w:cs="Arial" w:eastAsia="Arial" w:hAnsi="Arial"/>
          <w:sz w:val="16"/>
          <w:szCs w:val="16"/>
          <w:color w:val="auto"/>
        </w:rPr>
      </w:pPr>
    </w:p>
    <w:p>
      <w:pPr>
        <w:ind w:left="2640" w:hanging="176"/>
        <w:spacing w:after="0"/>
        <w:tabs>
          <w:tab w:leader="none" w:pos="2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Extensive knowledge of the automotive industry</w:t>
      </w:r>
    </w:p>
    <w:p>
      <w:pPr>
        <w:spacing w:after="0" w:line="122" w:lineRule="exact"/>
        <w:rPr>
          <w:rFonts w:ascii="Arial" w:cs="Arial" w:eastAsia="Arial" w:hAnsi="Arial"/>
          <w:sz w:val="16"/>
          <w:szCs w:val="16"/>
          <w:color w:val="auto"/>
        </w:rPr>
      </w:pPr>
    </w:p>
    <w:p>
      <w:pPr>
        <w:ind w:left="2640" w:hanging="176"/>
        <w:spacing w:after="0"/>
        <w:tabs>
          <w:tab w:leader="none" w:pos="2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38" w:lineRule="exact"/>
        <w:rPr>
          <w:sz w:val="20"/>
          <w:szCs w:val="20"/>
          <w:color w:val="auto"/>
        </w:rPr>
      </w:pPr>
    </w:p>
    <w:p>
      <w:pPr>
        <w:ind w:left="640" w:hanging="257"/>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240" w:top="455"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381" w:lineRule="exact"/>
        <w:rPr>
          <w:sz w:val="20"/>
          <w:szCs w:val="20"/>
          <w:color w:val="auto"/>
        </w:rPr>
      </w:pPr>
    </w:p>
    <w:p>
      <w:pPr>
        <w:ind w:left="280"/>
        <w:spacing w:after="0"/>
        <w:tabs>
          <w:tab w:leader="none" w:pos="2560" w:val="left"/>
          <w:tab w:leader="none" w:pos="3540" w:val="left"/>
        </w:tabs>
        <w:rPr>
          <w:sz w:val="20"/>
          <w:szCs w:val="20"/>
          <w:color w:val="auto"/>
        </w:rPr>
      </w:pPr>
      <w:r>
        <w:rPr>
          <w:rFonts w:ascii="Arial" w:cs="Arial" w:eastAsia="Arial" w:hAnsi="Arial"/>
          <w:sz w:val="16"/>
          <w:szCs w:val="16"/>
          <w:i w:val="1"/>
          <w:iCs w:val="1"/>
          <w:color w:val="auto"/>
        </w:rPr>
        <w:t>Jonathan F. Foster</w:t>
      </w:r>
      <w:r>
        <w:rPr>
          <w:sz w:val="20"/>
          <w:szCs w:val="20"/>
          <w:color w:val="auto"/>
        </w:rPr>
        <w:tab/>
      </w:r>
      <w:r>
        <w:rPr>
          <w:rFonts w:ascii="Arial" w:cs="Arial" w:eastAsia="Arial" w:hAnsi="Arial"/>
          <w:sz w:val="16"/>
          <w:szCs w:val="16"/>
          <w:color w:val="auto"/>
        </w:rPr>
        <w:t>Age: 58</w:t>
      </w:r>
      <w:r>
        <w:rPr>
          <w:sz w:val="20"/>
          <w:szCs w:val="20"/>
          <w:color w:val="auto"/>
        </w:rPr>
        <w:tab/>
      </w:r>
      <w:r>
        <w:rPr>
          <w:rFonts w:ascii="Arial" w:cs="Arial" w:eastAsia="Arial" w:hAnsi="Arial"/>
          <w:sz w:val="15"/>
          <w:szCs w:val="15"/>
          <w:color w:val="auto"/>
        </w:rPr>
        <w:t>Lear Committees:</w:t>
      </w:r>
    </w:p>
    <w:p>
      <w:pPr>
        <w:spacing w:after="0" w:line="138" w:lineRule="exact"/>
        <w:rPr>
          <w:sz w:val="20"/>
          <w:szCs w:val="20"/>
          <w:color w:val="auto"/>
        </w:rPr>
      </w:pPr>
    </w:p>
    <w:p>
      <w:pPr>
        <w:ind w:left="3640" w:hanging="146"/>
        <w:spacing w:after="0"/>
        <w:tabs>
          <w:tab w:leader="none" w:pos="3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Audit (Chair)</w:t>
      </w:r>
    </w:p>
    <w:p>
      <w:pPr>
        <w:spacing w:after="0" w:line="122" w:lineRule="exact"/>
        <w:rPr>
          <w:rFonts w:ascii="Arial" w:cs="Arial" w:eastAsia="Arial" w:hAnsi="Arial"/>
          <w:sz w:val="16"/>
          <w:szCs w:val="16"/>
          <w:color w:val="auto"/>
        </w:rPr>
      </w:pPr>
    </w:p>
    <w:p>
      <w:pPr>
        <w:ind w:left="3640" w:hanging="146"/>
        <w:spacing w:after="0"/>
        <w:tabs>
          <w:tab w:leader="none" w:pos="3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Nominating</w:t>
      </w:r>
    </w:p>
    <w:p>
      <w:pPr>
        <w:spacing w:after="0" w:line="236" w:lineRule="exact"/>
        <w:rPr>
          <w:sz w:val="20"/>
          <w:szCs w:val="20"/>
          <w:color w:val="auto"/>
        </w:rPr>
      </w:pPr>
    </w:p>
    <w:p>
      <w:pPr>
        <w:ind w:left="258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2" w:lineRule="exact"/>
        <w:rPr>
          <w:sz w:val="20"/>
          <w:szCs w:val="20"/>
          <w:color w:val="auto"/>
        </w:rPr>
      </w:pPr>
    </w:p>
    <w:p>
      <w:pPr>
        <w:ind w:left="2580" w:right="40"/>
        <w:spacing w:after="0" w:line="244" w:lineRule="auto"/>
        <w:rPr>
          <w:sz w:val="20"/>
          <w:szCs w:val="20"/>
          <w:color w:val="auto"/>
        </w:rPr>
      </w:pPr>
      <w:r>
        <w:rPr>
          <w:rFonts w:ascii="Arial" w:cs="Arial" w:eastAsia="Arial" w:hAnsi="Arial"/>
          <w:sz w:val="16"/>
          <w:szCs w:val="16"/>
          <w:color w:val="auto"/>
        </w:rPr>
        <w:t>Mr. Foster has been a director of the Company since November 2009. Mr. Foster is Managing Director of Current Capital Partners LLC, a mergers and acquisitions advisory, corporate management services and private equity investing firm. Previously, from 2007 until 2008, Mr. Foster served as a Managing Director and Co-Head of Diversified Industrials and Services at Wachovia Securities. From 2005 until 2007, he served as Executive Vice President — Finance and Business Development of Revolution LLC. From 2002 until 2004, Mr. Foster was a Managing Director of The Cypress Group, a private equity investment firm and from 2001 until 2002, he served as a Senior Managing Director and Head of Industrial Products and Services Mergers &amp; Acquisitions at Bear Stearns &amp; Co. From 1999 until 2000, Mr. Foster served as the Executive Vice President, Chief Operating Officer and Chief Financial Officer of Toysrus.com, Inc. Previously, Mr. Foster was with Lazard, primarily in mergers and acquisitions, for over ten years, including as a Managing Director. Mr. Foster is a director of publicly traded Masonite International Corporation, Berry Global and Five Point Holdings. He was previously a director of publicly traded Chemtura Corp., Sabine Oil &amp; Gas and Smurfit-Stone Container Corporation. Mr. Foster is also a director of privately held automotive suppliers Chassix, Dayco and Rimstock. He was previously a director of privately held automotive suppliers TI Automotive and Stackpole. Mr. Foster has a bachelor’s degree in Accounting from Emory University, a master’s degree in Accounting &amp; Finance from the London School of Economics and has attended the Executive Education Program at Harvard Business School.</w:t>
      </w:r>
    </w:p>
    <w:p>
      <w:pPr>
        <w:spacing w:after="0" w:line="211" w:lineRule="exact"/>
        <w:rPr>
          <w:sz w:val="20"/>
          <w:szCs w:val="20"/>
          <w:color w:val="auto"/>
        </w:rPr>
      </w:pPr>
    </w:p>
    <w:p>
      <w:pPr>
        <w:ind w:left="258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2" w:lineRule="exact"/>
        <w:rPr>
          <w:sz w:val="20"/>
          <w:szCs w:val="20"/>
          <w:color w:val="auto"/>
        </w:rPr>
      </w:pPr>
    </w:p>
    <w:p>
      <w:pPr>
        <w:ind w:left="2740" w:hanging="169"/>
        <w:spacing w:after="0"/>
        <w:tabs>
          <w:tab w:leader="none" w:pos="2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Executive management and leadership experience</w:t>
      </w:r>
    </w:p>
    <w:p>
      <w:pPr>
        <w:spacing w:after="0" w:line="122" w:lineRule="exact"/>
        <w:rPr>
          <w:rFonts w:ascii="Arial" w:cs="Arial" w:eastAsia="Arial" w:hAnsi="Arial"/>
          <w:sz w:val="16"/>
          <w:szCs w:val="16"/>
          <w:color w:val="auto"/>
        </w:rPr>
      </w:pPr>
    </w:p>
    <w:p>
      <w:pPr>
        <w:ind w:left="2740" w:hanging="169"/>
        <w:spacing w:after="0"/>
        <w:tabs>
          <w:tab w:leader="none" w:pos="2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with global manufacturing companies</w:t>
      </w:r>
    </w:p>
    <w:p>
      <w:pPr>
        <w:spacing w:after="0" w:line="122" w:lineRule="exact"/>
        <w:rPr>
          <w:rFonts w:ascii="Arial" w:cs="Arial" w:eastAsia="Arial" w:hAnsi="Arial"/>
          <w:sz w:val="16"/>
          <w:szCs w:val="16"/>
          <w:color w:val="auto"/>
        </w:rPr>
      </w:pPr>
    </w:p>
    <w:p>
      <w:pPr>
        <w:ind w:left="2740" w:hanging="169"/>
        <w:spacing w:after="0"/>
        <w:tabs>
          <w:tab w:leader="none" w:pos="2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Experience in financial statement preparation and accounting, financial reporting, compliance and internal controls</w:t>
      </w:r>
    </w:p>
    <w:p>
      <w:pPr>
        <w:spacing w:after="0" w:line="122" w:lineRule="exact"/>
        <w:rPr>
          <w:rFonts w:ascii="Arial" w:cs="Arial" w:eastAsia="Arial" w:hAnsi="Arial"/>
          <w:sz w:val="16"/>
          <w:szCs w:val="16"/>
          <w:color w:val="auto"/>
        </w:rPr>
      </w:pPr>
    </w:p>
    <w:p>
      <w:pPr>
        <w:ind w:left="2740" w:hanging="169"/>
        <w:spacing w:after="0"/>
        <w:tabs>
          <w:tab w:leader="none" w:pos="2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Previous experience as a chief financial officer</w:t>
      </w:r>
    </w:p>
    <w:p>
      <w:pPr>
        <w:spacing w:after="0" w:line="122" w:lineRule="exact"/>
        <w:rPr>
          <w:rFonts w:ascii="Arial" w:cs="Arial" w:eastAsia="Arial" w:hAnsi="Arial"/>
          <w:sz w:val="16"/>
          <w:szCs w:val="16"/>
          <w:color w:val="auto"/>
        </w:rPr>
      </w:pPr>
    </w:p>
    <w:p>
      <w:pPr>
        <w:ind w:left="2740" w:hanging="169"/>
        <w:spacing w:after="0"/>
        <w:tabs>
          <w:tab w:leader="none" w:pos="2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Extensive transactional experience in mergers and acquisitions, debt financings and equity offerings</w:t>
      </w:r>
    </w:p>
    <w:p>
      <w:pPr>
        <w:spacing w:after="0" w:line="122" w:lineRule="exact"/>
        <w:rPr>
          <w:rFonts w:ascii="Arial" w:cs="Arial" w:eastAsia="Arial" w:hAnsi="Arial"/>
          <w:sz w:val="16"/>
          <w:szCs w:val="16"/>
          <w:color w:val="auto"/>
        </w:rPr>
      </w:pPr>
    </w:p>
    <w:p>
      <w:pPr>
        <w:ind w:left="2740" w:right="20" w:hanging="169"/>
        <w:spacing w:after="0" w:line="254" w:lineRule="auto"/>
        <w:tabs>
          <w:tab w:leader="none" w:pos="27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Extensive experience as an investment banker, private equity investor and director with industrial companies, including those in the automotive sector</w:t>
      </w:r>
    </w:p>
    <w:p>
      <w:pPr>
        <w:spacing w:after="0" w:line="103" w:lineRule="exact"/>
        <w:rPr>
          <w:rFonts w:ascii="Arial" w:cs="Arial" w:eastAsia="Arial" w:hAnsi="Arial"/>
          <w:sz w:val="16"/>
          <w:szCs w:val="16"/>
          <w:color w:val="auto"/>
        </w:rPr>
      </w:pPr>
    </w:p>
    <w:p>
      <w:pPr>
        <w:ind w:left="2740" w:hanging="169"/>
        <w:spacing w:after="0"/>
        <w:tabs>
          <w:tab w:leader="none" w:pos="2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38" w:lineRule="exact"/>
        <w:rPr>
          <w:sz w:val="20"/>
          <w:szCs w:val="20"/>
          <w:color w:val="auto"/>
        </w:rPr>
      </w:pPr>
    </w:p>
    <w:p>
      <w:pPr>
        <w:ind w:left="9040"/>
        <w:spacing w:after="0"/>
        <w:tabs>
          <w:tab w:leader="none" w:pos="10720" w:val="left"/>
          <w:tab w:leader="none" w:pos="1092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9</w:t>
      </w:r>
    </w:p>
    <w:p>
      <w:pPr>
        <w:sectPr>
          <w:pgSz w:w="11900" w:h="16838" w:orient="portrait"/>
          <w:cols w:equalWidth="0" w:num="1">
            <w:col w:w="11140"/>
          </w:cols>
          <w:pgMar w:left="240" w:top="455"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381" w:lineRule="exact"/>
        <w:rPr>
          <w:sz w:val="20"/>
          <w:szCs w:val="20"/>
          <w:color w:val="auto"/>
        </w:rPr>
      </w:pPr>
    </w:p>
    <w:p>
      <w:pPr>
        <w:ind w:left="280"/>
        <w:spacing w:after="0"/>
        <w:tabs>
          <w:tab w:leader="none" w:pos="2560" w:val="left"/>
          <w:tab w:leader="none" w:pos="3500" w:val="left"/>
        </w:tabs>
        <w:rPr>
          <w:sz w:val="20"/>
          <w:szCs w:val="20"/>
          <w:color w:val="auto"/>
        </w:rPr>
      </w:pPr>
      <w:r>
        <w:rPr>
          <w:rFonts w:ascii="Arial" w:cs="Arial" w:eastAsia="Arial" w:hAnsi="Arial"/>
          <w:sz w:val="16"/>
          <w:szCs w:val="16"/>
          <w:i w:val="1"/>
          <w:iCs w:val="1"/>
          <w:color w:val="auto"/>
        </w:rPr>
        <w:t>Mary Lou Jepsen</w:t>
      </w:r>
      <w:r>
        <w:rPr>
          <w:sz w:val="20"/>
          <w:szCs w:val="20"/>
          <w:color w:val="auto"/>
        </w:rPr>
        <w:tab/>
      </w:r>
      <w:r>
        <w:rPr>
          <w:rFonts w:ascii="Arial" w:cs="Arial" w:eastAsia="Arial" w:hAnsi="Arial"/>
          <w:sz w:val="16"/>
          <w:szCs w:val="16"/>
          <w:color w:val="auto"/>
        </w:rPr>
        <w:t>Age: 53</w:t>
      </w:r>
      <w:r>
        <w:rPr>
          <w:sz w:val="20"/>
          <w:szCs w:val="20"/>
          <w:color w:val="auto"/>
        </w:rPr>
        <w:tab/>
      </w:r>
      <w:r>
        <w:rPr>
          <w:rFonts w:ascii="Arial" w:cs="Arial" w:eastAsia="Arial" w:hAnsi="Arial"/>
          <w:sz w:val="16"/>
          <w:szCs w:val="16"/>
          <w:color w:val="auto"/>
        </w:rPr>
        <w:t>Lear Committees</w:t>
      </w:r>
    </w:p>
    <w:p>
      <w:pPr>
        <w:spacing w:after="0" w:line="138" w:lineRule="exact"/>
        <w:rPr>
          <w:sz w:val="20"/>
          <w:szCs w:val="20"/>
          <w:color w:val="auto"/>
        </w:rPr>
      </w:pPr>
    </w:p>
    <w:p>
      <w:pPr>
        <w:ind w:left="3640" w:hanging="146"/>
        <w:spacing w:after="0"/>
        <w:tabs>
          <w:tab w:leader="none" w:pos="3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122" w:lineRule="exact"/>
        <w:rPr>
          <w:rFonts w:ascii="Arial" w:cs="Arial" w:eastAsia="Arial" w:hAnsi="Arial"/>
          <w:sz w:val="16"/>
          <w:szCs w:val="16"/>
          <w:color w:val="auto"/>
        </w:rPr>
      </w:pPr>
    </w:p>
    <w:p>
      <w:pPr>
        <w:ind w:left="3640" w:hanging="146"/>
        <w:spacing w:after="0"/>
        <w:tabs>
          <w:tab w:leader="none" w:pos="3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Nominating</w:t>
      </w:r>
    </w:p>
    <w:p>
      <w:pPr>
        <w:spacing w:after="0" w:line="236" w:lineRule="exact"/>
        <w:rPr>
          <w:sz w:val="20"/>
          <w:szCs w:val="20"/>
          <w:color w:val="auto"/>
        </w:rPr>
      </w:pPr>
    </w:p>
    <w:p>
      <w:pPr>
        <w:ind w:left="258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2" w:lineRule="exact"/>
        <w:rPr>
          <w:sz w:val="20"/>
          <w:szCs w:val="20"/>
          <w:color w:val="auto"/>
        </w:rPr>
      </w:pPr>
    </w:p>
    <w:p>
      <w:pPr>
        <w:ind w:left="2580"/>
        <w:spacing w:after="0" w:line="244" w:lineRule="auto"/>
        <w:rPr>
          <w:sz w:val="20"/>
          <w:szCs w:val="20"/>
          <w:color w:val="auto"/>
        </w:rPr>
      </w:pPr>
      <w:r>
        <w:rPr>
          <w:rFonts w:ascii="Arial" w:cs="Arial" w:eastAsia="Arial" w:hAnsi="Arial"/>
          <w:sz w:val="16"/>
          <w:szCs w:val="16"/>
          <w:color w:val="auto"/>
        </w:rPr>
        <w:t>Dr. Jepsen was appointed a director of the Company in March 2016. Dr. Jepsen is the CEO, Founder and Chairman of the Board of Openwater, a start-up company focused on replacing the functionality of Magnetic Resonance Imaging (MRI) with a consumer electronic wearable using novel opto-electronics to achieve comparable resolution to a MRI. Previously, Dr. Jepsen was the Executive Director of Engineering at Facebook, Inc. and Head of Display Technologies at Oculus where she led advanced consumer electronics, opto-electronic and display design and manufacturing efforts. From 2012 to 2015, Dr. Jepsen had a similar role at Google, Inc. and Google X. She also co-founded One Laptop per Child and was the lead architect of the $100 laptop, millions of which were shipped to children in the developing world. She is the principal inventor on approximately 200 patents. She has broad advisory experience in Peru, China, Uruguay, Taiwan, Brazil and the United States, as well as at the United Nations. Dr. Jepsen holds a doctorate degree from Brown University in Optical Sciences, a master of science degree from Massachusetts Institute of Technology in Visual Studies and a bachelor’s of science degree in Electrical Engineering from Brown University.</w:t>
      </w:r>
    </w:p>
    <w:p>
      <w:pPr>
        <w:spacing w:after="0" w:line="213" w:lineRule="exact"/>
        <w:rPr>
          <w:sz w:val="20"/>
          <w:szCs w:val="20"/>
          <w:color w:val="auto"/>
        </w:rPr>
      </w:pPr>
    </w:p>
    <w:p>
      <w:pPr>
        <w:ind w:left="258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2" w:lineRule="exact"/>
        <w:rPr>
          <w:sz w:val="20"/>
          <w:szCs w:val="20"/>
          <w:color w:val="auto"/>
        </w:rPr>
      </w:pPr>
    </w:p>
    <w:p>
      <w:pPr>
        <w:ind w:left="2740" w:hanging="169"/>
        <w:spacing w:after="0"/>
        <w:tabs>
          <w:tab w:leader="none" w:pos="2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One of the world’s foremost display innovators</w:t>
      </w:r>
    </w:p>
    <w:p>
      <w:pPr>
        <w:spacing w:after="0" w:line="122" w:lineRule="exact"/>
        <w:rPr>
          <w:rFonts w:ascii="Arial" w:cs="Arial" w:eastAsia="Arial" w:hAnsi="Arial"/>
          <w:sz w:val="16"/>
          <w:szCs w:val="16"/>
          <w:color w:val="auto"/>
        </w:rPr>
      </w:pPr>
    </w:p>
    <w:p>
      <w:pPr>
        <w:ind w:left="2740" w:hanging="169"/>
        <w:spacing w:after="0"/>
        <w:tabs>
          <w:tab w:leader="none" w:pos="2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Exceptional track record of leadership and innovation</w:t>
      </w:r>
    </w:p>
    <w:p>
      <w:pPr>
        <w:spacing w:after="0" w:line="122" w:lineRule="exact"/>
        <w:rPr>
          <w:rFonts w:ascii="Arial" w:cs="Arial" w:eastAsia="Arial" w:hAnsi="Arial"/>
          <w:sz w:val="16"/>
          <w:szCs w:val="16"/>
          <w:color w:val="auto"/>
        </w:rPr>
      </w:pPr>
    </w:p>
    <w:p>
      <w:pPr>
        <w:ind w:left="2740" w:hanging="169"/>
        <w:spacing w:after="0"/>
        <w:tabs>
          <w:tab w:leader="none" w:pos="2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Significant experience in working with Asia’s largest computer manufacturers</w:t>
      </w:r>
    </w:p>
    <w:p>
      <w:pPr>
        <w:spacing w:after="0" w:line="122" w:lineRule="exact"/>
        <w:rPr>
          <w:rFonts w:ascii="Arial" w:cs="Arial" w:eastAsia="Arial" w:hAnsi="Arial"/>
          <w:sz w:val="16"/>
          <w:szCs w:val="16"/>
          <w:color w:val="auto"/>
        </w:rPr>
      </w:pPr>
    </w:p>
    <w:p>
      <w:pPr>
        <w:ind w:left="2740" w:hanging="169"/>
        <w:spacing w:after="0"/>
        <w:tabs>
          <w:tab w:leader="none" w:pos="2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Experience and leadership in engineering with global technology companies</w:t>
      </w:r>
    </w:p>
    <w:p>
      <w:pPr>
        <w:spacing w:after="0" w:line="122" w:lineRule="exact"/>
        <w:rPr>
          <w:rFonts w:ascii="Arial" w:cs="Arial" w:eastAsia="Arial" w:hAnsi="Arial"/>
          <w:sz w:val="16"/>
          <w:szCs w:val="16"/>
          <w:color w:val="auto"/>
        </w:rPr>
      </w:pPr>
    </w:p>
    <w:p>
      <w:pPr>
        <w:ind w:left="2740" w:hanging="169"/>
        <w:spacing w:after="0" w:line="248" w:lineRule="auto"/>
        <w:tabs>
          <w:tab w:leader="none" w:pos="27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Globally recognized with dozens of prestigious awards, including TIME magazine’s “Time 100” as one of the 100 most influential people in the world, a CNN top 10 thinker and by the leading global professional societies in optics, display and electronics</w:t>
      </w:r>
    </w:p>
    <w:p>
      <w:pPr>
        <w:spacing w:after="0" w:line="108" w:lineRule="exact"/>
        <w:rPr>
          <w:rFonts w:ascii="Arial" w:cs="Arial" w:eastAsia="Arial" w:hAnsi="Arial"/>
          <w:sz w:val="16"/>
          <w:szCs w:val="16"/>
          <w:color w:val="auto"/>
        </w:rPr>
      </w:pPr>
    </w:p>
    <w:p>
      <w:pPr>
        <w:ind w:left="2740" w:hanging="169"/>
        <w:spacing w:after="0"/>
        <w:tabs>
          <w:tab w:leader="none" w:pos="2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Executive management experience</w:t>
      </w:r>
    </w:p>
    <w:p>
      <w:pPr>
        <w:spacing w:after="0" w:line="122" w:lineRule="exact"/>
        <w:rPr>
          <w:rFonts w:ascii="Arial" w:cs="Arial" w:eastAsia="Arial" w:hAnsi="Arial"/>
          <w:sz w:val="16"/>
          <w:szCs w:val="16"/>
          <w:color w:val="auto"/>
        </w:rPr>
      </w:pPr>
    </w:p>
    <w:p>
      <w:pPr>
        <w:ind w:left="2740" w:hanging="169"/>
        <w:spacing w:after="0"/>
        <w:tabs>
          <w:tab w:leader="none" w:pos="2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38" w:lineRule="exact"/>
        <w:rPr>
          <w:sz w:val="20"/>
          <w:szCs w:val="20"/>
          <w:color w:val="auto"/>
        </w:rPr>
      </w:pPr>
    </w:p>
    <w:p>
      <w:pPr>
        <w:ind w:left="740" w:hanging="359"/>
        <w:spacing w:after="0"/>
        <w:tabs>
          <w:tab w:leader="none" w:pos="7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060"/>
          </w:cols>
          <w:pgMar w:left="240" w:top="455" w:right="5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381" w:lineRule="exact"/>
        <w:rPr>
          <w:sz w:val="20"/>
          <w:szCs w:val="20"/>
          <w:color w:val="auto"/>
        </w:rPr>
      </w:pPr>
    </w:p>
    <w:p>
      <w:pPr>
        <w:ind w:left="280"/>
        <w:spacing w:after="0"/>
        <w:tabs>
          <w:tab w:leader="none" w:pos="2560" w:val="left"/>
          <w:tab w:leader="none" w:pos="3500" w:val="left"/>
        </w:tabs>
        <w:rPr>
          <w:sz w:val="20"/>
          <w:szCs w:val="20"/>
          <w:color w:val="auto"/>
        </w:rPr>
      </w:pPr>
      <w:r>
        <w:rPr>
          <w:rFonts w:ascii="Arial" w:cs="Arial" w:eastAsia="Arial" w:hAnsi="Arial"/>
          <w:sz w:val="16"/>
          <w:szCs w:val="16"/>
          <w:i w:val="1"/>
          <w:iCs w:val="1"/>
          <w:color w:val="auto"/>
        </w:rPr>
        <w:t>Kathleen A. Ligocki</w:t>
      </w:r>
      <w:r>
        <w:rPr>
          <w:sz w:val="20"/>
          <w:szCs w:val="20"/>
          <w:color w:val="auto"/>
        </w:rPr>
        <w:tab/>
      </w:r>
      <w:r>
        <w:rPr>
          <w:rFonts w:ascii="Arial" w:cs="Arial" w:eastAsia="Arial" w:hAnsi="Arial"/>
          <w:sz w:val="16"/>
          <w:szCs w:val="16"/>
          <w:color w:val="auto"/>
        </w:rPr>
        <w:t>Age: 62</w:t>
      </w:r>
      <w:r>
        <w:rPr>
          <w:sz w:val="20"/>
          <w:szCs w:val="20"/>
          <w:color w:val="auto"/>
        </w:rPr>
        <w:tab/>
      </w:r>
      <w:r>
        <w:rPr>
          <w:rFonts w:ascii="Arial" w:cs="Arial" w:eastAsia="Arial" w:hAnsi="Arial"/>
          <w:sz w:val="15"/>
          <w:szCs w:val="15"/>
          <w:color w:val="auto"/>
        </w:rPr>
        <w:t>Lear Committees:</w:t>
      </w:r>
    </w:p>
    <w:p>
      <w:pPr>
        <w:spacing w:after="0" w:line="138" w:lineRule="exact"/>
        <w:rPr>
          <w:sz w:val="20"/>
          <w:szCs w:val="20"/>
          <w:color w:val="auto"/>
        </w:rPr>
      </w:pPr>
    </w:p>
    <w:p>
      <w:pPr>
        <w:ind w:left="3640" w:hanging="146"/>
        <w:spacing w:after="0"/>
        <w:tabs>
          <w:tab w:leader="none" w:pos="3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2" w:lineRule="exact"/>
        <w:rPr>
          <w:rFonts w:ascii="Arial" w:cs="Arial" w:eastAsia="Arial" w:hAnsi="Arial"/>
          <w:sz w:val="16"/>
          <w:szCs w:val="16"/>
          <w:color w:val="auto"/>
        </w:rPr>
      </w:pPr>
    </w:p>
    <w:p>
      <w:pPr>
        <w:ind w:left="3640" w:hanging="146"/>
        <w:spacing w:after="0"/>
        <w:tabs>
          <w:tab w:leader="none" w:pos="3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Nominating (Chair)</w:t>
      </w:r>
    </w:p>
    <w:p>
      <w:pPr>
        <w:spacing w:after="0" w:line="222" w:lineRule="exact"/>
        <w:rPr>
          <w:sz w:val="20"/>
          <w:szCs w:val="20"/>
          <w:color w:val="auto"/>
        </w:rPr>
      </w:pPr>
    </w:p>
    <w:p>
      <w:pPr>
        <w:ind w:left="258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2"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Ms. Ligocki has been a director of the Company since September 2012. From December 2015 to February 2019,</w:t>
      </w:r>
    </w:p>
    <w:p>
      <w:pPr>
        <w:spacing w:after="0" w:line="2" w:lineRule="exact"/>
        <w:rPr>
          <w:sz w:val="20"/>
          <w:szCs w:val="20"/>
          <w:color w:val="auto"/>
        </w:rPr>
      </w:pPr>
    </w:p>
    <w:p>
      <w:pPr>
        <w:ind w:left="2580" w:right="20"/>
        <w:spacing w:after="0" w:line="243" w:lineRule="auto"/>
        <w:rPr>
          <w:sz w:val="20"/>
          <w:szCs w:val="20"/>
          <w:color w:val="auto"/>
        </w:rPr>
      </w:pPr>
      <w:r>
        <w:rPr>
          <w:rFonts w:ascii="Arial" w:cs="Arial" w:eastAsia="Arial" w:hAnsi="Arial"/>
          <w:sz w:val="16"/>
          <w:szCs w:val="16"/>
          <w:color w:val="auto"/>
        </w:rPr>
        <w:t>Ms. Ligocki served as the Chief Executive Officer of Agility Fuel Solutions, based in Costa Mesa, California. Ms. Ligocki served as the Chief Executive Officer of Harvest Power, Inc., one of the leading organics management companies in North America from 2014 to 2015 and has served as a director of Carpenter Technology Company since 2017, where she serves on the Compensation, Nominating and Governance and Strategy Committees. From 2012 to 2014, she served as an Operating Partner at Kleiner Perkins Caufield &amp; Byers, one of Silicon Valley’s top venture capital providers where she worked with the firm’s greentech ventures on strategic challenges, scaling operations and commercialization. Ms. Ligocki also has served as the Chief Executive Officer of two early stage companies: Next Autoworks, an auto company with a unique low-cost business model, from 2010 to 2012, and GS Motors, a Mexico City-based auto retailer owned by Grupo Salinas, a large Mexican conglomerate, from 2008 to 2009. From 2008 to 2010, Ms. Ligocki also served as a Principal in Pine Lake Partners, a consultancy focused on start-ups and turnarounds. From 2003 to 2007,</w:t>
      </w:r>
    </w:p>
    <w:p>
      <w:pPr>
        <w:spacing w:after="0" w:line="2" w:lineRule="exact"/>
        <w:rPr>
          <w:sz w:val="20"/>
          <w:szCs w:val="20"/>
          <w:color w:val="auto"/>
        </w:rPr>
      </w:pPr>
    </w:p>
    <w:p>
      <w:pPr>
        <w:ind w:left="2580" w:right="60"/>
        <w:spacing w:after="0" w:line="244" w:lineRule="auto"/>
        <w:rPr>
          <w:sz w:val="20"/>
          <w:szCs w:val="20"/>
          <w:color w:val="auto"/>
        </w:rPr>
      </w:pPr>
      <w:r>
        <w:rPr>
          <w:rFonts w:ascii="Arial" w:cs="Arial" w:eastAsia="Arial" w:hAnsi="Arial"/>
          <w:sz w:val="16"/>
          <w:szCs w:val="16"/>
          <w:color w:val="auto"/>
        </w:rPr>
        <w:t>Ms. Ligocki was the Chief Executive Officer of Tower Automotive, a global Fortune 1000 automotive supplier. Previously, Ms. Ligocki held executive positions at Ford Motor Company and at United Technologies Corporation where she led operations in North America, Europe, Africa, the Middle East and Russia. Ms. Ligocki began her career at General Motors Corporation working for 15 years at Delco Electronics Corporation. Ms. Ligocki formerly served as a director of Harvest Power, Inc., Ashland Inc., Next Autoworks, BlueOak Resources and Lehigh Technologies. Ms. Ligocki earned a bachelor’s degree with highest distinction in Liberal Studies from Indiana University Kokomo and holds an MBA from the Wharton School at the University of Pennsylvania. She also has been awarded honorary doctorate degrees from Central Michigan University and Indiana University Kokomo.</w:t>
      </w:r>
    </w:p>
    <w:p>
      <w:pPr>
        <w:spacing w:after="0" w:line="215" w:lineRule="exact"/>
        <w:rPr>
          <w:sz w:val="20"/>
          <w:szCs w:val="20"/>
          <w:color w:val="auto"/>
        </w:rPr>
      </w:pPr>
    </w:p>
    <w:p>
      <w:pPr>
        <w:ind w:left="258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2" w:lineRule="exact"/>
        <w:rPr>
          <w:sz w:val="20"/>
          <w:szCs w:val="20"/>
          <w:color w:val="auto"/>
        </w:rPr>
      </w:pPr>
    </w:p>
    <w:p>
      <w:pPr>
        <w:ind w:left="2740" w:hanging="169"/>
        <w:spacing w:after="0"/>
        <w:tabs>
          <w:tab w:leader="none" w:pos="2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Executive management and leadership experience, including in the automotive industry</w:t>
      </w:r>
    </w:p>
    <w:p>
      <w:pPr>
        <w:spacing w:after="0" w:line="122" w:lineRule="exact"/>
        <w:rPr>
          <w:rFonts w:ascii="Arial" w:cs="Arial" w:eastAsia="Arial" w:hAnsi="Arial"/>
          <w:sz w:val="16"/>
          <w:szCs w:val="16"/>
          <w:color w:val="auto"/>
        </w:rPr>
      </w:pPr>
    </w:p>
    <w:p>
      <w:pPr>
        <w:ind w:left="2740" w:hanging="169"/>
        <w:spacing w:after="0"/>
        <w:tabs>
          <w:tab w:leader="none" w:pos="2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in the automotive industry</w:t>
      </w:r>
    </w:p>
    <w:p>
      <w:pPr>
        <w:spacing w:after="0" w:line="122" w:lineRule="exact"/>
        <w:rPr>
          <w:rFonts w:ascii="Arial" w:cs="Arial" w:eastAsia="Arial" w:hAnsi="Arial"/>
          <w:sz w:val="16"/>
          <w:szCs w:val="16"/>
          <w:color w:val="auto"/>
        </w:rPr>
      </w:pPr>
    </w:p>
    <w:p>
      <w:pPr>
        <w:ind w:left="2740" w:right="60" w:hanging="169"/>
        <w:spacing w:after="0" w:line="254" w:lineRule="auto"/>
        <w:tabs>
          <w:tab w:leader="none" w:pos="27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Extensive experience in financial analysis, financial statement preparation, financial reporting, compliance and internal controls</w:t>
      </w:r>
    </w:p>
    <w:p>
      <w:pPr>
        <w:spacing w:after="0" w:line="103" w:lineRule="exact"/>
        <w:rPr>
          <w:rFonts w:ascii="Arial" w:cs="Arial" w:eastAsia="Arial" w:hAnsi="Arial"/>
          <w:sz w:val="16"/>
          <w:szCs w:val="16"/>
          <w:color w:val="auto"/>
        </w:rPr>
      </w:pPr>
    </w:p>
    <w:p>
      <w:pPr>
        <w:ind w:left="2740" w:hanging="169"/>
        <w:spacing w:after="0"/>
        <w:tabs>
          <w:tab w:leader="none" w:pos="2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Senior management experience in international automotive operations</w:t>
      </w:r>
    </w:p>
    <w:p>
      <w:pPr>
        <w:spacing w:after="0" w:line="122" w:lineRule="exact"/>
        <w:rPr>
          <w:rFonts w:ascii="Arial" w:cs="Arial" w:eastAsia="Arial" w:hAnsi="Arial"/>
          <w:sz w:val="16"/>
          <w:szCs w:val="16"/>
          <w:color w:val="auto"/>
        </w:rPr>
      </w:pPr>
    </w:p>
    <w:p>
      <w:pPr>
        <w:ind w:left="2740" w:right="260" w:hanging="169"/>
        <w:spacing w:after="0" w:line="254" w:lineRule="auto"/>
        <w:tabs>
          <w:tab w:leader="none" w:pos="27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Understanding of a wide range of issues through experience with businesses ranging from start-ups to large, global manufacturing operations</w:t>
      </w:r>
    </w:p>
    <w:p>
      <w:pPr>
        <w:spacing w:after="0" w:line="103" w:lineRule="exact"/>
        <w:rPr>
          <w:rFonts w:ascii="Arial" w:cs="Arial" w:eastAsia="Arial" w:hAnsi="Arial"/>
          <w:sz w:val="16"/>
          <w:szCs w:val="16"/>
          <w:color w:val="auto"/>
        </w:rPr>
      </w:pPr>
    </w:p>
    <w:p>
      <w:pPr>
        <w:ind w:left="2740" w:hanging="169"/>
        <w:spacing w:after="0"/>
        <w:tabs>
          <w:tab w:leader="none" w:pos="2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38"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11</w:t>
      </w:r>
    </w:p>
    <w:p>
      <w:pPr>
        <w:sectPr>
          <w:pgSz w:w="11900" w:h="16838" w:orient="portrait"/>
          <w:cols w:equalWidth="0" w:num="1">
            <w:col w:w="11140"/>
          </w:cols>
          <w:pgMar w:left="240" w:top="455"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381" w:lineRule="exact"/>
        <w:rPr>
          <w:sz w:val="20"/>
          <w:szCs w:val="20"/>
          <w:color w:val="auto"/>
        </w:rPr>
      </w:pPr>
    </w:p>
    <w:p>
      <w:pPr>
        <w:ind w:left="280"/>
        <w:spacing w:after="0"/>
        <w:tabs>
          <w:tab w:leader="none" w:pos="2560" w:val="left"/>
          <w:tab w:leader="none" w:pos="3500" w:val="left"/>
        </w:tabs>
        <w:rPr>
          <w:sz w:val="20"/>
          <w:szCs w:val="20"/>
          <w:color w:val="auto"/>
        </w:rPr>
      </w:pPr>
      <w:r>
        <w:rPr>
          <w:rFonts w:ascii="Arial" w:cs="Arial" w:eastAsia="Arial" w:hAnsi="Arial"/>
          <w:sz w:val="16"/>
          <w:szCs w:val="16"/>
          <w:i w:val="1"/>
          <w:iCs w:val="1"/>
          <w:color w:val="auto"/>
        </w:rPr>
        <w:t>Conrad L. Mallett, Jr.</w:t>
      </w:r>
      <w:r>
        <w:rPr>
          <w:sz w:val="20"/>
          <w:szCs w:val="20"/>
          <w:color w:val="auto"/>
        </w:rPr>
        <w:tab/>
      </w:r>
      <w:r>
        <w:rPr>
          <w:rFonts w:ascii="Arial" w:cs="Arial" w:eastAsia="Arial" w:hAnsi="Arial"/>
          <w:sz w:val="16"/>
          <w:szCs w:val="16"/>
          <w:color w:val="auto"/>
        </w:rPr>
        <w:t>Age: 65</w:t>
      </w:r>
      <w:r>
        <w:rPr>
          <w:sz w:val="20"/>
          <w:szCs w:val="20"/>
          <w:color w:val="auto"/>
        </w:rPr>
        <w:tab/>
      </w:r>
      <w:r>
        <w:rPr>
          <w:rFonts w:ascii="Arial" w:cs="Arial" w:eastAsia="Arial" w:hAnsi="Arial"/>
          <w:sz w:val="15"/>
          <w:szCs w:val="15"/>
          <w:color w:val="auto"/>
        </w:rPr>
        <w:t>Lear Committees:</w:t>
      </w:r>
    </w:p>
    <w:p>
      <w:pPr>
        <w:spacing w:after="0" w:line="138" w:lineRule="exact"/>
        <w:rPr>
          <w:sz w:val="20"/>
          <w:szCs w:val="20"/>
          <w:color w:val="auto"/>
        </w:rPr>
      </w:pPr>
    </w:p>
    <w:p>
      <w:pPr>
        <w:ind w:left="3640" w:hanging="146"/>
        <w:spacing w:after="0"/>
        <w:tabs>
          <w:tab w:leader="none" w:pos="3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122" w:lineRule="exact"/>
        <w:rPr>
          <w:rFonts w:ascii="Arial" w:cs="Arial" w:eastAsia="Arial" w:hAnsi="Arial"/>
          <w:sz w:val="16"/>
          <w:szCs w:val="16"/>
          <w:color w:val="auto"/>
        </w:rPr>
      </w:pPr>
    </w:p>
    <w:p>
      <w:pPr>
        <w:ind w:left="3640" w:hanging="146"/>
        <w:spacing w:after="0"/>
        <w:tabs>
          <w:tab w:leader="none" w:pos="3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Nominating</w:t>
      </w:r>
    </w:p>
    <w:p>
      <w:pPr>
        <w:spacing w:after="0" w:line="222" w:lineRule="exact"/>
        <w:rPr>
          <w:sz w:val="20"/>
          <w:szCs w:val="20"/>
          <w:color w:val="auto"/>
        </w:rPr>
      </w:pPr>
    </w:p>
    <w:p>
      <w:pPr>
        <w:ind w:left="258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2" w:lineRule="exact"/>
        <w:rPr>
          <w:sz w:val="20"/>
          <w:szCs w:val="20"/>
          <w:color w:val="auto"/>
        </w:rPr>
      </w:pPr>
    </w:p>
    <w:p>
      <w:pPr>
        <w:ind w:left="2580"/>
        <w:spacing w:after="0" w:line="244" w:lineRule="auto"/>
        <w:rPr>
          <w:sz w:val="20"/>
          <w:szCs w:val="20"/>
          <w:color w:val="auto"/>
        </w:rPr>
      </w:pPr>
      <w:r>
        <w:rPr>
          <w:rFonts w:ascii="Arial" w:cs="Arial" w:eastAsia="Arial" w:hAnsi="Arial"/>
          <w:sz w:val="16"/>
          <w:szCs w:val="16"/>
          <w:color w:val="auto"/>
        </w:rPr>
        <w:t>Justice Mallett has been a director of the Company since August 2002. In August 2017, Justice Mallett was named Chief Executive Officer of Detroit Medical Center’s Sinai-Grace Hospital. Prior to that, he was Interim Chief Executive Officer of Detroit Medical Center, Huron Valley Sinai Hospital from March 2017 to August 2017 and also Executive Vice President and Chief Administrative Officer of Detroit Medical Center from January 2012 to August 2017. Previously, Justice Mallett served as the Chief Legal and Administrative Officer of the Detroit Medical Center beginning in March 2003, President and General Counsel of La-Van Hawkins Food Group LLC from April 2002 to March 2003 and Chief Operating Officer for the City of Detroit from January 2002 to April 2002. From August 1999 to April 2002, Justice Mallett was General Counsel and Chief Administrative Officer of the Detroit Medical Center. Justice Mallett was also a Partner in the law firm of Miller, Canfield, Paddock &amp; Stone from January 1999 to August 1999. Justice Mallett was a Justice of the Michigan Supreme Court from December 1990 to January 1999 and served a two-year term as Chief Justice beginning in 1997. Justice Mallett formerly served as a director of Kelly Services, Inc. He was recognized by Savoy Magazine as one of 2016 Most Influential Black Corporate Directors. Justice Mallett has a bachelor’s degree from the University of California, Los Angeles, a JD and a master of public administration degree from the University of Southern California and an MBA from Oakland University.</w:t>
      </w:r>
    </w:p>
    <w:p>
      <w:pPr>
        <w:spacing w:after="0" w:line="212" w:lineRule="exact"/>
        <w:rPr>
          <w:sz w:val="20"/>
          <w:szCs w:val="20"/>
          <w:color w:val="auto"/>
        </w:rPr>
      </w:pPr>
    </w:p>
    <w:p>
      <w:pPr>
        <w:ind w:left="258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2" w:lineRule="exact"/>
        <w:rPr>
          <w:sz w:val="20"/>
          <w:szCs w:val="20"/>
          <w:color w:val="auto"/>
        </w:rPr>
      </w:pPr>
    </w:p>
    <w:p>
      <w:pPr>
        <w:ind w:left="2740" w:hanging="169"/>
        <w:spacing w:after="0"/>
        <w:tabs>
          <w:tab w:leader="none" w:pos="2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Executive management and leadership experience</w:t>
      </w:r>
    </w:p>
    <w:p>
      <w:pPr>
        <w:spacing w:after="0" w:line="122" w:lineRule="exact"/>
        <w:rPr>
          <w:rFonts w:ascii="Arial" w:cs="Arial" w:eastAsia="Arial" w:hAnsi="Arial"/>
          <w:sz w:val="16"/>
          <w:szCs w:val="16"/>
          <w:color w:val="auto"/>
        </w:rPr>
      </w:pPr>
    </w:p>
    <w:p>
      <w:pPr>
        <w:ind w:left="2740" w:hanging="169"/>
        <w:spacing w:after="0"/>
        <w:tabs>
          <w:tab w:leader="none" w:pos="2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Leadership experience gained as Chief Justice of the Michigan Supreme Court</w:t>
      </w:r>
    </w:p>
    <w:p>
      <w:pPr>
        <w:spacing w:after="0" w:line="122" w:lineRule="exact"/>
        <w:rPr>
          <w:rFonts w:ascii="Arial" w:cs="Arial" w:eastAsia="Arial" w:hAnsi="Arial"/>
          <w:sz w:val="16"/>
          <w:szCs w:val="16"/>
          <w:color w:val="auto"/>
        </w:rPr>
      </w:pPr>
    </w:p>
    <w:p>
      <w:pPr>
        <w:ind w:left="2740" w:hanging="169"/>
        <w:spacing w:after="0"/>
        <w:tabs>
          <w:tab w:leader="none" w:pos="2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w:t>
      </w:r>
    </w:p>
    <w:p>
      <w:pPr>
        <w:spacing w:after="0" w:line="122" w:lineRule="exact"/>
        <w:rPr>
          <w:rFonts w:ascii="Arial" w:cs="Arial" w:eastAsia="Arial" w:hAnsi="Arial"/>
          <w:sz w:val="16"/>
          <w:szCs w:val="16"/>
          <w:color w:val="auto"/>
        </w:rPr>
      </w:pPr>
    </w:p>
    <w:p>
      <w:pPr>
        <w:ind w:left="2740" w:right="360" w:hanging="169"/>
        <w:spacing w:after="0" w:line="254" w:lineRule="auto"/>
        <w:tabs>
          <w:tab w:leader="none" w:pos="2748"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Extensive legal and governmental experience, including significant involvement in state, municipal and community governmental activities</w:t>
      </w:r>
    </w:p>
    <w:p>
      <w:pPr>
        <w:spacing w:after="0" w:line="103" w:lineRule="exact"/>
        <w:rPr>
          <w:rFonts w:ascii="Arial" w:cs="Arial" w:eastAsia="Arial" w:hAnsi="Arial"/>
          <w:sz w:val="16"/>
          <w:szCs w:val="16"/>
          <w:color w:val="auto"/>
        </w:rPr>
      </w:pPr>
    </w:p>
    <w:p>
      <w:pPr>
        <w:ind w:left="2740" w:hanging="169"/>
        <w:spacing w:after="0"/>
        <w:tabs>
          <w:tab w:leader="none" w:pos="2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38" w:lineRule="exact"/>
        <w:rPr>
          <w:sz w:val="20"/>
          <w:szCs w:val="20"/>
          <w:color w:val="auto"/>
        </w:rPr>
      </w:pPr>
    </w:p>
    <w:p>
      <w:pPr>
        <w:ind w:left="740" w:hanging="359"/>
        <w:spacing w:after="0"/>
        <w:tabs>
          <w:tab w:leader="none" w:pos="7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240" w:top="455"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381" w:lineRule="exact"/>
        <w:rPr>
          <w:sz w:val="20"/>
          <w:szCs w:val="20"/>
          <w:color w:val="auto"/>
        </w:rPr>
      </w:pPr>
    </w:p>
    <w:p>
      <w:pPr>
        <w:ind w:left="280"/>
        <w:spacing w:after="0"/>
        <w:tabs>
          <w:tab w:leader="none" w:pos="2560" w:val="left"/>
          <w:tab w:leader="none" w:pos="3500" w:val="left"/>
        </w:tabs>
        <w:rPr>
          <w:sz w:val="20"/>
          <w:szCs w:val="20"/>
          <w:color w:val="auto"/>
        </w:rPr>
      </w:pPr>
      <w:r>
        <w:rPr>
          <w:rFonts w:ascii="Arial" w:cs="Arial" w:eastAsia="Arial" w:hAnsi="Arial"/>
          <w:sz w:val="16"/>
          <w:szCs w:val="16"/>
          <w:i w:val="1"/>
          <w:iCs w:val="1"/>
          <w:color w:val="auto"/>
        </w:rPr>
        <w:t>Raymond E. Scott</w:t>
      </w:r>
      <w:r>
        <w:rPr>
          <w:sz w:val="20"/>
          <w:szCs w:val="20"/>
          <w:color w:val="auto"/>
        </w:rPr>
        <w:tab/>
      </w:r>
      <w:r>
        <w:rPr>
          <w:rFonts w:ascii="Arial" w:cs="Arial" w:eastAsia="Arial" w:hAnsi="Arial"/>
          <w:sz w:val="16"/>
          <w:szCs w:val="16"/>
          <w:color w:val="auto"/>
        </w:rPr>
        <w:t>Age: 53</w:t>
      </w:r>
      <w:r>
        <w:rPr>
          <w:sz w:val="20"/>
          <w:szCs w:val="20"/>
          <w:color w:val="auto"/>
        </w:rPr>
        <w:tab/>
      </w:r>
      <w:r>
        <w:rPr>
          <w:rFonts w:ascii="Arial" w:cs="Arial" w:eastAsia="Arial" w:hAnsi="Arial"/>
          <w:sz w:val="15"/>
          <w:szCs w:val="15"/>
          <w:color w:val="auto"/>
        </w:rPr>
        <w:t>President, Chief Executive Officer and Interim President, E-Systems</w:t>
      </w:r>
    </w:p>
    <w:p>
      <w:pPr>
        <w:spacing w:after="0" w:line="238" w:lineRule="exact"/>
        <w:rPr>
          <w:sz w:val="20"/>
          <w:szCs w:val="20"/>
          <w:color w:val="auto"/>
        </w:rPr>
      </w:pPr>
    </w:p>
    <w:p>
      <w:pPr>
        <w:ind w:left="258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2" w:lineRule="exact"/>
        <w:rPr>
          <w:sz w:val="20"/>
          <w:szCs w:val="20"/>
          <w:color w:val="auto"/>
        </w:rPr>
      </w:pPr>
    </w:p>
    <w:p>
      <w:pPr>
        <w:ind w:left="2580" w:right="100"/>
        <w:spacing w:after="0" w:line="244" w:lineRule="auto"/>
        <w:rPr>
          <w:sz w:val="20"/>
          <w:szCs w:val="20"/>
          <w:color w:val="auto"/>
        </w:rPr>
      </w:pPr>
      <w:r>
        <w:rPr>
          <w:rFonts w:ascii="Arial" w:cs="Arial" w:eastAsia="Arial" w:hAnsi="Arial"/>
          <w:sz w:val="16"/>
          <w:szCs w:val="16"/>
          <w:color w:val="auto"/>
        </w:rPr>
        <w:t>Mr. Scott was appointed as President and Chief Executive Officer of the Company on March 1, 2018. Additionally, Mr. Scott was appointed as Interim President, E-Systems, effective January 28, 2019. Prior to that, he served as the Company’s Executive Vice President and President, Seating, a position he had held since November 2011, and prior to that, as the Company’s Senior Vice President and President, E-Systems, a position he had held since February 2008. Previously, he served in other positions at the Company, including Senior Vice President and President, North American Seat Systems Group since August 2006, Senior Vice President and President, North American Customer Group since June 2005, President, European Customer Focused Division since June 2004 and President, General Motors Division since November 2000. Mr. Scott earned a Bachelor of Science degree in economics from the University of Michigan. He also earned a master of business administration degree from Michigan State University’s Advanced Management Program.</w:t>
      </w:r>
    </w:p>
    <w:p>
      <w:pPr>
        <w:spacing w:after="0" w:line="214" w:lineRule="exact"/>
        <w:rPr>
          <w:sz w:val="20"/>
          <w:szCs w:val="20"/>
          <w:color w:val="auto"/>
        </w:rPr>
      </w:pPr>
    </w:p>
    <w:p>
      <w:pPr>
        <w:ind w:left="258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2" w:lineRule="exact"/>
        <w:rPr>
          <w:sz w:val="20"/>
          <w:szCs w:val="20"/>
          <w:color w:val="auto"/>
        </w:rPr>
      </w:pPr>
    </w:p>
    <w:p>
      <w:pPr>
        <w:ind w:left="2740" w:right="340" w:hanging="169"/>
        <w:spacing w:after="0" w:line="254" w:lineRule="auto"/>
        <w:tabs>
          <w:tab w:leader="none" w:pos="2726"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Executive management and leadership experience with the Company, with extensive knowledge of the Company’s business, operations and global strategy</w:t>
      </w:r>
    </w:p>
    <w:p>
      <w:pPr>
        <w:spacing w:after="0" w:line="103" w:lineRule="exact"/>
        <w:rPr>
          <w:rFonts w:ascii="Arial" w:cs="Arial" w:eastAsia="Arial" w:hAnsi="Arial"/>
          <w:sz w:val="16"/>
          <w:szCs w:val="16"/>
          <w:color w:val="auto"/>
        </w:rPr>
      </w:pPr>
    </w:p>
    <w:p>
      <w:pPr>
        <w:ind w:left="2740" w:right="720" w:hanging="169"/>
        <w:spacing w:after="0" w:line="254" w:lineRule="auto"/>
        <w:tabs>
          <w:tab w:leader="none" w:pos="2723" w:val="left"/>
        </w:tabs>
        <w:numPr>
          <w:ilvl w:val="0"/>
          <w:numId w:val="34"/>
        </w:numPr>
        <w:rPr>
          <w:rFonts w:ascii="Arial" w:cs="Arial" w:eastAsia="Arial" w:hAnsi="Arial"/>
          <w:sz w:val="16"/>
          <w:szCs w:val="16"/>
          <w:color w:val="auto"/>
        </w:rPr>
      </w:pPr>
      <w:r>
        <w:rPr>
          <w:rFonts w:ascii="Arial" w:cs="Arial" w:eastAsia="Arial" w:hAnsi="Arial"/>
          <w:sz w:val="16"/>
          <w:szCs w:val="16"/>
          <w:color w:val="auto"/>
        </w:rPr>
        <w:t>Track record of leadership, achievement, innovation and execution in the Company’s Seating and E-Systems businesses</w:t>
      </w:r>
    </w:p>
    <w:p>
      <w:pPr>
        <w:spacing w:after="0" w:line="119"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13</w:t>
      </w:r>
    </w:p>
    <w:p>
      <w:pPr>
        <w:sectPr>
          <w:pgSz w:w="11900" w:h="16838" w:orient="portrait"/>
          <w:cols w:equalWidth="0" w:num="1">
            <w:col w:w="11140"/>
          </w:cols>
          <w:pgMar w:left="240" w:top="455"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381" w:lineRule="exact"/>
        <w:rPr>
          <w:sz w:val="20"/>
          <w:szCs w:val="20"/>
          <w:color w:val="auto"/>
        </w:rPr>
      </w:pPr>
    </w:p>
    <w:p>
      <w:pPr>
        <w:ind w:left="280"/>
        <w:spacing w:after="0"/>
        <w:tabs>
          <w:tab w:leader="none" w:pos="2560" w:val="left"/>
          <w:tab w:leader="none" w:pos="3500" w:val="left"/>
        </w:tabs>
        <w:rPr>
          <w:sz w:val="20"/>
          <w:szCs w:val="20"/>
          <w:color w:val="auto"/>
        </w:rPr>
      </w:pPr>
      <w:r>
        <w:rPr>
          <w:rFonts w:ascii="Arial" w:cs="Arial" w:eastAsia="Arial" w:hAnsi="Arial"/>
          <w:sz w:val="16"/>
          <w:szCs w:val="16"/>
          <w:i w:val="1"/>
          <w:iCs w:val="1"/>
          <w:color w:val="auto"/>
        </w:rPr>
        <w:t>Gregory C. Smith</w:t>
      </w:r>
      <w:r>
        <w:rPr>
          <w:sz w:val="20"/>
          <w:szCs w:val="20"/>
          <w:color w:val="auto"/>
        </w:rPr>
        <w:tab/>
      </w:r>
      <w:r>
        <w:rPr>
          <w:rFonts w:ascii="Arial" w:cs="Arial" w:eastAsia="Arial" w:hAnsi="Arial"/>
          <w:sz w:val="16"/>
          <w:szCs w:val="16"/>
          <w:color w:val="auto"/>
        </w:rPr>
        <w:t>Age: 67</w:t>
      </w:r>
      <w:r>
        <w:rPr>
          <w:sz w:val="20"/>
          <w:szCs w:val="20"/>
          <w:color w:val="auto"/>
        </w:rPr>
        <w:tab/>
      </w:r>
      <w:r>
        <w:rPr>
          <w:rFonts w:ascii="Arial" w:cs="Arial" w:eastAsia="Arial" w:hAnsi="Arial"/>
          <w:sz w:val="15"/>
          <w:szCs w:val="15"/>
          <w:color w:val="auto"/>
        </w:rPr>
        <w:t>Lear Committees:</w:t>
      </w:r>
    </w:p>
    <w:p>
      <w:pPr>
        <w:spacing w:after="0" w:line="138" w:lineRule="exact"/>
        <w:rPr>
          <w:sz w:val="20"/>
          <w:szCs w:val="20"/>
          <w:color w:val="auto"/>
        </w:rPr>
      </w:pPr>
    </w:p>
    <w:p>
      <w:pPr>
        <w:ind w:left="3640" w:hanging="146"/>
        <w:spacing w:after="0"/>
        <w:tabs>
          <w:tab w:leader="none" w:pos="3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Audit</w:t>
      </w:r>
    </w:p>
    <w:p>
      <w:pPr>
        <w:spacing w:after="0" w:line="122" w:lineRule="exact"/>
        <w:rPr>
          <w:rFonts w:ascii="Arial" w:cs="Arial" w:eastAsia="Arial" w:hAnsi="Arial"/>
          <w:sz w:val="16"/>
          <w:szCs w:val="16"/>
          <w:color w:val="auto"/>
        </w:rPr>
      </w:pPr>
    </w:p>
    <w:p>
      <w:pPr>
        <w:ind w:left="3640" w:hanging="146"/>
        <w:spacing w:after="0"/>
        <w:tabs>
          <w:tab w:leader="none" w:pos="3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Nominating</w:t>
      </w:r>
    </w:p>
    <w:p>
      <w:pPr>
        <w:spacing w:after="0" w:line="236" w:lineRule="exact"/>
        <w:rPr>
          <w:sz w:val="20"/>
          <w:szCs w:val="20"/>
          <w:color w:val="auto"/>
        </w:rPr>
      </w:pPr>
    </w:p>
    <w:p>
      <w:pPr>
        <w:ind w:left="258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2" w:lineRule="exact"/>
        <w:rPr>
          <w:sz w:val="20"/>
          <w:szCs w:val="20"/>
          <w:color w:val="auto"/>
        </w:rPr>
      </w:pPr>
    </w:p>
    <w:p>
      <w:pPr>
        <w:ind w:left="2580"/>
        <w:spacing w:after="0" w:line="243" w:lineRule="auto"/>
        <w:rPr>
          <w:sz w:val="20"/>
          <w:szCs w:val="20"/>
          <w:color w:val="auto"/>
        </w:rPr>
      </w:pPr>
      <w:r>
        <w:rPr>
          <w:rFonts w:ascii="Arial" w:cs="Arial" w:eastAsia="Arial" w:hAnsi="Arial"/>
          <w:sz w:val="16"/>
          <w:szCs w:val="16"/>
          <w:color w:val="auto"/>
        </w:rPr>
        <w:t>Mr. Smith has been a director of the Company since November 2009. Mr. Smith, a retired Vice Chairman of Ford Motor Company, currently serves as Principal of Greg C. Smith LLC, a private management consulting firm, a position he has held since 2007. Previously, Mr. Smith was employed by Ford Motor Company for over 30 years until 2006. Mr. Smith held various executive-level management positions at Ford Motor Company, most recently serving as Vice Chairman from 2005 until 2006, Executive Vice President and President — Americas from 2004 until 2005, Group Vice President — Ford Motor Company and Chairman and Chief Executive Officer — Ford Motor Credit Company from 2002 to 2004, Vice President — Ford Motor Company, and President and Chief Operating Officer — Ford Motor Credit Company from 2001 to 2002. As Vice Chairman, Mr. Smith was responsible for Ford’s Corporate Strategy and Staffs, including Human Resources and Labor Affairs, Information Technology, and Automotive Strategy. During his career at Ford, Mr. Smith ran several major business units and had extensive experience in Financial Services, Strategy, Marketing and Sales, Engineering and Product Development. Mr. Smith also was responsible for Hertz when Ford owned it, and, in 2005, Automotive Components Holdings, the portion of Visteon that Ford repurchased. Currently, Mr. Smith serves as a director of publicly traded Penske Automotive Group, where he serves as the chair of the Audit Committee and formerly served as a director of the Federal National Mortgage Association (Fannie Mae), Penske Corporation and Solutia Inc. Mr. Smith serves on the Risk Oversight Advisory Council of the National Association of Corporate Directors. Mr. Smith has a bachelor’s degree in Mechanical Engineering from Rose-Hulman Institute of Technology and an MBA from Eastern Michigan University.</w:t>
      </w:r>
    </w:p>
    <w:p>
      <w:pPr>
        <w:spacing w:after="0" w:line="223" w:lineRule="exact"/>
        <w:rPr>
          <w:sz w:val="20"/>
          <w:szCs w:val="20"/>
          <w:color w:val="auto"/>
        </w:rPr>
      </w:pPr>
    </w:p>
    <w:p>
      <w:pPr>
        <w:ind w:left="258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2" w:lineRule="exact"/>
        <w:rPr>
          <w:sz w:val="20"/>
          <w:szCs w:val="20"/>
          <w:color w:val="auto"/>
        </w:rPr>
      </w:pPr>
    </w:p>
    <w:p>
      <w:pPr>
        <w:ind w:left="2720" w:hanging="149"/>
        <w:spacing w:after="0"/>
        <w:tabs>
          <w:tab w:leader="none" w:pos="2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Executive management and leadership experience, including in the automotive industry</w:t>
      </w:r>
    </w:p>
    <w:p>
      <w:pPr>
        <w:spacing w:after="0" w:line="122" w:lineRule="exact"/>
        <w:rPr>
          <w:rFonts w:ascii="Arial" w:cs="Arial" w:eastAsia="Arial" w:hAnsi="Arial"/>
          <w:sz w:val="16"/>
          <w:szCs w:val="16"/>
          <w:color w:val="auto"/>
        </w:rPr>
      </w:pPr>
    </w:p>
    <w:p>
      <w:pPr>
        <w:ind w:left="2720" w:hanging="149"/>
        <w:spacing w:after="0"/>
        <w:tabs>
          <w:tab w:leader="none" w:pos="2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w:t>
      </w:r>
    </w:p>
    <w:p>
      <w:pPr>
        <w:spacing w:after="0" w:line="122" w:lineRule="exact"/>
        <w:rPr>
          <w:rFonts w:ascii="Arial" w:cs="Arial" w:eastAsia="Arial" w:hAnsi="Arial"/>
          <w:sz w:val="16"/>
          <w:szCs w:val="16"/>
          <w:color w:val="auto"/>
        </w:rPr>
      </w:pPr>
    </w:p>
    <w:p>
      <w:pPr>
        <w:ind w:left="2720" w:hanging="149"/>
        <w:spacing w:after="0"/>
        <w:tabs>
          <w:tab w:leader="none" w:pos="2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Served on audit committees of public and private companies</w:t>
      </w:r>
    </w:p>
    <w:p>
      <w:pPr>
        <w:spacing w:after="0" w:line="122" w:lineRule="exact"/>
        <w:rPr>
          <w:rFonts w:ascii="Arial" w:cs="Arial" w:eastAsia="Arial" w:hAnsi="Arial"/>
          <w:sz w:val="16"/>
          <w:szCs w:val="16"/>
          <w:color w:val="auto"/>
        </w:rPr>
      </w:pPr>
    </w:p>
    <w:p>
      <w:pPr>
        <w:ind w:left="2720" w:hanging="149"/>
        <w:spacing w:after="0"/>
        <w:tabs>
          <w:tab w:leader="none" w:pos="2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Experience actively overseeing finance departments and personnel</w:t>
      </w:r>
    </w:p>
    <w:p>
      <w:pPr>
        <w:spacing w:after="0" w:line="122" w:lineRule="exact"/>
        <w:rPr>
          <w:rFonts w:ascii="Arial" w:cs="Arial" w:eastAsia="Arial" w:hAnsi="Arial"/>
          <w:sz w:val="16"/>
          <w:szCs w:val="16"/>
          <w:color w:val="auto"/>
        </w:rPr>
      </w:pPr>
    </w:p>
    <w:p>
      <w:pPr>
        <w:ind w:left="2720" w:hanging="149"/>
        <w:spacing w:after="0"/>
        <w:tabs>
          <w:tab w:leader="none" w:pos="2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Extensive experience and knowledge of automotive industry</w:t>
      </w:r>
    </w:p>
    <w:p>
      <w:pPr>
        <w:spacing w:after="0" w:line="122" w:lineRule="exact"/>
        <w:rPr>
          <w:rFonts w:ascii="Arial" w:cs="Arial" w:eastAsia="Arial" w:hAnsi="Arial"/>
          <w:sz w:val="16"/>
          <w:szCs w:val="16"/>
          <w:color w:val="auto"/>
        </w:rPr>
      </w:pPr>
    </w:p>
    <w:p>
      <w:pPr>
        <w:ind w:left="2740" w:right="920" w:hanging="169"/>
        <w:spacing w:after="0" w:line="254" w:lineRule="auto"/>
        <w:tabs>
          <w:tab w:leader="none" w:pos="2726"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Experience and knowledge of automotive company operations and strategic issues, including engineering, manufacturing, marketing, human resources and finance</w:t>
      </w:r>
    </w:p>
    <w:p>
      <w:pPr>
        <w:spacing w:after="0" w:line="103" w:lineRule="exact"/>
        <w:rPr>
          <w:rFonts w:ascii="Arial" w:cs="Arial" w:eastAsia="Arial" w:hAnsi="Arial"/>
          <w:sz w:val="16"/>
          <w:szCs w:val="16"/>
          <w:color w:val="auto"/>
        </w:rPr>
      </w:pPr>
    </w:p>
    <w:p>
      <w:pPr>
        <w:ind w:left="2720" w:hanging="149"/>
        <w:spacing w:after="0"/>
        <w:tabs>
          <w:tab w:leader="none" w:pos="2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38" w:lineRule="exact"/>
        <w:rPr>
          <w:sz w:val="20"/>
          <w:szCs w:val="20"/>
          <w:color w:val="auto"/>
        </w:rPr>
      </w:pPr>
    </w:p>
    <w:p>
      <w:pPr>
        <w:ind w:left="740" w:hanging="359"/>
        <w:spacing w:after="0"/>
        <w:tabs>
          <w:tab w:leader="none" w:pos="7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240" w:top="455"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381" w:lineRule="exact"/>
        <w:rPr>
          <w:sz w:val="20"/>
          <w:szCs w:val="20"/>
          <w:color w:val="auto"/>
        </w:rPr>
      </w:pPr>
    </w:p>
    <w:p>
      <w:pPr>
        <w:ind w:left="280"/>
        <w:spacing w:after="0"/>
        <w:tabs>
          <w:tab w:leader="none" w:pos="2560" w:val="left"/>
        </w:tabs>
        <w:rPr>
          <w:sz w:val="20"/>
          <w:szCs w:val="20"/>
          <w:color w:val="auto"/>
        </w:rPr>
      </w:pPr>
      <w:r>
        <w:rPr>
          <w:rFonts w:ascii="Arial" w:cs="Arial" w:eastAsia="Arial" w:hAnsi="Arial"/>
          <w:sz w:val="16"/>
          <w:szCs w:val="16"/>
          <w:i w:val="1"/>
          <w:iCs w:val="1"/>
          <w:color w:val="auto"/>
        </w:rPr>
        <w:t>Henry D.G. Wallace</w:t>
      </w:r>
      <w:r>
        <w:rPr>
          <w:sz w:val="20"/>
          <w:szCs w:val="20"/>
          <w:color w:val="auto"/>
        </w:rPr>
        <w:tab/>
      </w:r>
      <w:r>
        <w:rPr>
          <w:rFonts w:ascii="Arial" w:cs="Arial" w:eastAsia="Arial" w:hAnsi="Arial"/>
          <w:sz w:val="15"/>
          <w:szCs w:val="15"/>
          <w:color w:val="auto"/>
        </w:rPr>
        <w:t>Age: 73</w:t>
      </w:r>
    </w:p>
    <w:p>
      <w:pPr>
        <w:spacing w:after="0" w:line="238" w:lineRule="exact"/>
        <w:rPr>
          <w:sz w:val="20"/>
          <w:szCs w:val="20"/>
          <w:color w:val="auto"/>
        </w:rPr>
      </w:pPr>
    </w:p>
    <w:p>
      <w:pPr>
        <w:ind w:left="258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2" w:lineRule="exact"/>
        <w:rPr>
          <w:sz w:val="20"/>
          <w:szCs w:val="20"/>
          <w:color w:val="auto"/>
        </w:rPr>
      </w:pPr>
    </w:p>
    <w:p>
      <w:pPr>
        <w:ind w:left="2580" w:right="60"/>
        <w:spacing w:after="0" w:line="245" w:lineRule="auto"/>
        <w:rPr>
          <w:sz w:val="20"/>
          <w:szCs w:val="20"/>
          <w:color w:val="auto"/>
        </w:rPr>
      </w:pPr>
      <w:r>
        <w:rPr>
          <w:rFonts w:ascii="Arial" w:cs="Arial" w:eastAsia="Arial" w:hAnsi="Arial"/>
          <w:sz w:val="16"/>
          <w:szCs w:val="16"/>
          <w:color w:val="auto"/>
        </w:rPr>
        <w:t>Mr. Wallace has served as the Company’s Non-Executive Chairman since August 2010 and has been a director of the Company since February 2005. Mr. Wallace worked for 30 years at Ford Motor Company until his retirement in 2001 and held several executive level operations and financial oversight positions. His most recent positions included Chief Financial Officer of Ford Motor Company and President and CEO of Mazda Motor Corporation. Mr. Wallace served as Non-Executive Chairman of Diebold Nixdorf, Inc. (NYSE: DBD) until December 2017. Mr. Wallace also formerly served as a director of Hayes Lemmerz International, Inc. and AMBAC Financial Group, Inc. Mr. Wallace earned a bachelor’s degree with Honours from the University of Leicester, England.</w:t>
      </w:r>
    </w:p>
    <w:p>
      <w:pPr>
        <w:spacing w:after="0" w:line="210" w:lineRule="exact"/>
        <w:rPr>
          <w:sz w:val="20"/>
          <w:szCs w:val="20"/>
          <w:color w:val="auto"/>
        </w:rPr>
      </w:pPr>
    </w:p>
    <w:p>
      <w:pPr>
        <w:ind w:left="258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2" w:lineRule="exact"/>
        <w:rPr>
          <w:sz w:val="20"/>
          <w:szCs w:val="20"/>
          <w:color w:val="auto"/>
        </w:rPr>
      </w:pPr>
    </w:p>
    <w:p>
      <w:pPr>
        <w:ind w:left="2740" w:hanging="169"/>
        <w:spacing w:after="0"/>
        <w:tabs>
          <w:tab w:leader="none" w:pos="27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Experience and leadership with a global manufacturing company</w:t>
      </w:r>
    </w:p>
    <w:p>
      <w:pPr>
        <w:spacing w:after="0" w:line="122" w:lineRule="exact"/>
        <w:rPr>
          <w:rFonts w:ascii="Arial" w:cs="Arial" w:eastAsia="Arial" w:hAnsi="Arial"/>
          <w:sz w:val="16"/>
          <w:szCs w:val="16"/>
          <w:color w:val="auto"/>
        </w:rPr>
      </w:pPr>
    </w:p>
    <w:p>
      <w:pPr>
        <w:ind w:left="2740" w:hanging="169"/>
        <w:spacing w:after="0"/>
        <w:tabs>
          <w:tab w:leader="none" w:pos="27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Leadership experience on boards of several public companies</w:t>
      </w:r>
    </w:p>
    <w:p>
      <w:pPr>
        <w:spacing w:after="0" w:line="122" w:lineRule="exact"/>
        <w:rPr>
          <w:rFonts w:ascii="Arial" w:cs="Arial" w:eastAsia="Arial" w:hAnsi="Arial"/>
          <w:sz w:val="16"/>
          <w:szCs w:val="16"/>
          <w:color w:val="auto"/>
        </w:rPr>
      </w:pPr>
    </w:p>
    <w:p>
      <w:pPr>
        <w:ind w:left="2740" w:hanging="169"/>
        <w:spacing w:after="0"/>
        <w:tabs>
          <w:tab w:leader="none" w:pos="27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Extensive international experience in Asia, Europe and Latin America</w:t>
      </w:r>
    </w:p>
    <w:p>
      <w:pPr>
        <w:spacing w:after="0" w:line="122" w:lineRule="exact"/>
        <w:rPr>
          <w:rFonts w:ascii="Arial" w:cs="Arial" w:eastAsia="Arial" w:hAnsi="Arial"/>
          <w:sz w:val="16"/>
          <w:szCs w:val="16"/>
          <w:color w:val="auto"/>
        </w:rPr>
      </w:pPr>
    </w:p>
    <w:p>
      <w:pPr>
        <w:ind w:left="2740" w:right="340" w:hanging="169"/>
        <w:spacing w:after="0" w:line="254" w:lineRule="auto"/>
        <w:tabs>
          <w:tab w:leader="none" w:pos="2748"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Experience in finance, financial statement preparation and accounting, financial reporting, compliance and internal controls, including as chief financial officer</w:t>
      </w:r>
    </w:p>
    <w:p>
      <w:pPr>
        <w:spacing w:after="0" w:line="103" w:lineRule="exact"/>
        <w:rPr>
          <w:rFonts w:ascii="Arial" w:cs="Arial" w:eastAsia="Arial" w:hAnsi="Arial"/>
          <w:sz w:val="16"/>
          <w:szCs w:val="16"/>
          <w:color w:val="auto"/>
        </w:rPr>
      </w:pPr>
    </w:p>
    <w:p>
      <w:pPr>
        <w:ind w:left="2740" w:hanging="169"/>
        <w:spacing w:after="0"/>
        <w:tabs>
          <w:tab w:leader="none" w:pos="27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Executive management experience, including in the automotive industry</w:t>
      </w:r>
    </w:p>
    <w:p>
      <w:pPr>
        <w:spacing w:after="0" w:line="122" w:lineRule="exact"/>
        <w:rPr>
          <w:rFonts w:ascii="Arial" w:cs="Arial" w:eastAsia="Arial" w:hAnsi="Arial"/>
          <w:sz w:val="16"/>
          <w:szCs w:val="16"/>
          <w:color w:val="auto"/>
        </w:rPr>
      </w:pPr>
    </w:p>
    <w:p>
      <w:pPr>
        <w:ind w:left="2740" w:hanging="169"/>
        <w:spacing w:after="0"/>
        <w:tabs>
          <w:tab w:leader="none" w:pos="27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38"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15</w:t>
      </w:r>
    </w:p>
    <w:p>
      <w:pPr>
        <w:sectPr>
          <w:pgSz w:w="11900" w:h="16838" w:orient="portrait"/>
          <w:cols w:equalWidth="0" w:num="1">
            <w:col w:w="11140"/>
          </w:cols>
          <w:pgMar w:left="240" w:top="455"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Criteria for Selection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00"/>
          </w:cols>
          <w:pgMar w:left="240" w:top="455" w:right="559" w:bottom="1440" w:gutter="0" w:footer="0" w:header="0"/>
        </w:sectPr>
      </w:pPr>
    </w:p>
    <w:p>
      <w:pPr>
        <w:spacing w:after="0" w:line="334"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The following are the general criteria for the selection of our directors that the Nominating Committee utilizes in evaluating candidates for Board membership. The Nominating Committee considers, without limitation, a director nominee’s independence, skills and other attributes, experience, perspective, background and diversity (which we define broadly to include differences in viewpoints, background, experience, skill, education, national origin, gender, race, age,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300"/>
        <w:spacing w:after="0" w:line="247" w:lineRule="auto"/>
        <w:rPr>
          <w:sz w:val="20"/>
          <w:szCs w:val="20"/>
          <w:color w:val="auto"/>
        </w:rPr>
      </w:pPr>
      <w:r>
        <w:rPr>
          <w:rFonts w:ascii="Arial" w:cs="Arial" w:eastAsia="Arial" w:hAnsi="Arial"/>
          <w:sz w:val="16"/>
          <w:szCs w:val="16"/>
          <w:color w:val="auto"/>
        </w:rPr>
        <w:t>culture and current affiliations that may offer the Company exposure to contemporary business issues and is considered in the context of the Board as a whole). These qualifications may vary from year to year, depending on the needs of the Company at the time.</w:t>
      </w:r>
    </w:p>
    <w:p>
      <w:pPr>
        <w:spacing w:after="0" w:line="95"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general criteria set forth below are not listed in any particular order of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284480</wp:posOffset>
            </wp:positionV>
            <wp:extent cx="5624830" cy="3484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24830" cy="3484880"/>
                    </a:xfrm>
                    <a:prstGeom prst="rect">
                      <a:avLst/>
                    </a:prstGeom>
                    <a:noFill/>
                  </pic:spPr>
                </pic:pic>
              </a:graphicData>
            </a:graphic>
          </wp:anchor>
        </w:drawing>
      </w:r>
    </w:p>
    <w:p>
      <w:pPr>
        <w:spacing w:after="0" w:line="272" w:lineRule="exact"/>
        <w:rPr>
          <w:sz w:val="20"/>
          <w:szCs w:val="20"/>
          <w:color w:val="auto"/>
        </w:rPr>
      </w:pPr>
    </w:p>
    <w:p>
      <w:pPr>
        <w:sectPr>
          <w:pgSz w:w="11900" w:h="16838" w:orient="portrait"/>
          <w:cols w:equalWidth="0" w:num="2">
            <w:col w:w="5500" w:space="320"/>
            <w:col w:w="5280"/>
          </w:cols>
          <w:pgMar w:left="240" w:top="455"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The above criteria should not be construed as minimum qualifications for director selection nor is it expected that director nominees will possess all of the criteria identified. Rather, they represent the range of complementary talents, backgrounds and experiences that the Nominating Committee believes would contribute to the effective functioning of our Board.</w:t>
      </w:r>
    </w:p>
    <w:p>
      <w:pPr>
        <w:spacing w:after="0" w:line="98" w:lineRule="exact"/>
        <w:rPr>
          <w:sz w:val="20"/>
          <w:szCs w:val="20"/>
          <w:color w:val="auto"/>
        </w:rPr>
      </w:pPr>
    </w:p>
    <w:p>
      <w:pPr>
        <w:ind w:left="280" w:right="80"/>
        <w:spacing w:after="0" w:line="245" w:lineRule="auto"/>
        <w:rPr>
          <w:sz w:val="20"/>
          <w:szCs w:val="20"/>
          <w:color w:val="auto"/>
        </w:rPr>
      </w:pPr>
      <w:r>
        <w:rPr>
          <w:rFonts w:ascii="Arial" w:cs="Arial" w:eastAsia="Arial" w:hAnsi="Arial"/>
          <w:sz w:val="16"/>
          <w:szCs w:val="16"/>
          <w:color w:val="auto"/>
        </w:rPr>
        <w:t>Our Corporate Governance Guidelines and Nominating Committee charter provide guidelines with respect to the consideration of director candidates. Under these guidelines, the Nominating Committee is responsible for, subject to approval by the Board, establishing and periodically reviewing the criteria for Board membership and selection of new directors, including independence standards. The Nominating</w:t>
      </w:r>
    </w:p>
    <w:p>
      <w:pPr>
        <w:spacing w:after="0" w:line="260" w:lineRule="exact"/>
        <w:rPr>
          <w:sz w:val="20"/>
          <w:szCs w:val="20"/>
          <w:color w:val="auto"/>
        </w:rPr>
      </w:pPr>
    </w:p>
    <w:p>
      <w:pPr>
        <w:ind w:left="740" w:hanging="359"/>
        <w:spacing w:after="0"/>
        <w:tabs>
          <w:tab w:leader="none" w:pos="7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Committee also may recommend to the Board changes to the portfolio of director skills, experience, perspective and background required for the effective functioning of the Board, considering our strategy and the regulatory, geographic and market environments. Any such changes to the director selection criteria must be approved by the Board.</w:t>
      </w:r>
    </w:p>
    <w:p>
      <w:pPr>
        <w:spacing w:after="0" w:line="96"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Nominating Committee screens candidates and recommends director nominees who are approved by the Board. The Nominating Committee considers candidates for Board membership suggested by its members and other Board members, as well as management and stockholders. The Nominating Committee also may retain a search firm (which may be paid a fee) to identify director candidates. Once a potential candidate has been identified, the Nominating</w:t>
      </w:r>
    </w:p>
    <w:p>
      <w:pPr>
        <w:sectPr>
          <w:pgSz w:w="11900" w:h="16838" w:orient="portrait"/>
          <w:cols w:equalWidth="0" w:num="2">
            <w:col w:w="5460" w:space="360"/>
            <w:col w:w="5280"/>
          </w:cols>
          <w:pgMar w:left="240" w:top="455" w:right="5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0"/>
        <w:spacing w:after="0" w:line="247" w:lineRule="auto"/>
        <w:rPr>
          <w:sz w:val="20"/>
          <w:szCs w:val="20"/>
          <w:color w:val="auto"/>
        </w:rPr>
      </w:pPr>
      <w:r>
        <w:rPr>
          <w:rFonts w:ascii="Arial" w:cs="Arial" w:eastAsia="Arial" w:hAnsi="Arial"/>
          <w:sz w:val="16"/>
          <w:szCs w:val="16"/>
          <w:color w:val="auto"/>
        </w:rPr>
        <w:t>Committee evaluates the potential candidate based on the Board’s criteria for selection of directors (described above) and the composition and needs of the Board at the time. All director candidates are evaluated on the same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1960"/>
        <w:spacing w:after="0"/>
        <w:rPr>
          <w:sz w:val="20"/>
          <w:szCs w:val="20"/>
          <w:color w:val="auto"/>
        </w:rPr>
      </w:pPr>
      <w:r>
        <w:rPr>
          <w:rFonts w:ascii="Arial" w:cs="Arial" w:eastAsia="Arial" w:hAnsi="Arial"/>
          <w:sz w:val="14"/>
          <w:szCs w:val="14"/>
          <w:b w:val="1"/>
          <w:bCs w:val="1"/>
          <w:u w:val="single" w:color="auto"/>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-621030</wp:posOffset>
            </wp:positionV>
            <wp:extent cx="729107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202"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Candidates also are evaluated in light of Board policies, such as those relating to director independence and service on other boards, as well as considerations relating to the size and structure of the Board.</w:t>
      </w:r>
    </w:p>
    <w:p>
      <w:pPr>
        <w:spacing w:after="0" w:line="387" w:lineRule="exact"/>
        <w:rPr>
          <w:sz w:val="20"/>
          <w:szCs w:val="20"/>
          <w:color w:val="auto"/>
        </w:rPr>
      </w:pPr>
    </w:p>
    <w:p>
      <w:pPr>
        <w:sectPr>
          <w:pgSz w:w="11900" w:h="16838" w:orient="portrait"/>
          <w:cols w:equalWidth="0" w:num="2">
            <w:col w:w="5400" w:space="420"/>
            <w:col w:w="5320"/>
          </w:cols>
          <w:pgMar w:left="240" w:top="455" w:right="519" w:bottom="1440" w:gutter="0" w:footer="0" w:header="0"/>
        </w:sectPr>
      </w:pPr>
    </w:p>
    <w:p>
      <w:pPr>
        <w:spacing w:after="0" w:line="149"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Recommendation of Directors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334" w:lineRule="exact"/>
        <w:rPr>
          <w:sz w:val="20"/>
          <w:szCs w:val="20"/>
          <w:color w:val="auto"/>
        </w:rPr>
      </w:pPr>
    </w:p>
    <w:p>
      <w:pPr>
        <w:ind w:left="280" w:right="20"/>
        <w:spacing w:after="0" w:line="244" w:lineRule="auto"/>
        <w:rPr>
          <w:sz w:val="20"/>
          <w:szCs w:val="20"/>
          <w:color w:val="auto"/>
        </w:rPr>
      </w:pPr>
      <w:r>
        <w:rPr>
          <w:rFonts w:ascii="Arial" w:cs="Arial" w:eastAsia="Arial" w:hAnsi="Arial"/>
          <w:sz w:val="16"/>
          <w:szCs w:val="16"/>
          <w:color w:val="auto"/>
        </w:rPr>
        <w:t>In accordance with its charter, the Nominating Committee will consider candidates for election as a director of the Company recommended by any Lear stockholder, provided that the recommending stockholder follows the procedures set forth in Section 1.13 of the Company’s Bylaws for nominations by stockholders of persons to serve as directors. The Nominating Committee evaluates such candidates in the same manner by which it evaluates other director candidates considered by the Nominating Committee, as described above.</w:t>
      </w:r>
    </w:p>
    <w:p>
      <w:pPr>
        <w:spacing w:after="0" w:line="102"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Pursuant to Section 1.13 of the Bylaws, nominations of persons for election to the Board at a meeting of stockholders may be made by any stockholder of the Company entitled to vote for the election of directors at the meeting who sends a timely notice in writing to our Corporate Secretary. To be timely, a stockholder’s notice must be delivered to, or mailed and received by, our Corporate Secretary at the Company’s principal executive offices not less than 90 nor more than 120 days prior to the first anniversary of the preceding year’s annual meeting; provided, however, that if the annual meeting is more than 30 days prior to the anniversary of the preceding year’s annual meeting or more than 70 days after such anniversary date, notice by the stockholder must be delivered not earlier than the close of business on the 120th day prior to such annual meeting and not later than the close of business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color w:val="auto"/>
        </w:rPr>
        <w:t>on the later of the 90th day prior to such annual meeting or the 10th day following the day on which “public announcement” of the date of such annual meeting is made by the Company. For purposes of the Bylaws, “public announcement” means disclosure in a press release reported by the Dow Jones News Service, Associated Press or a comparable national news service or in a document publicly filed by us with the SEC.</w:t>
      </w:r>
    </w:p>
    <w:p>
      <w:pPr>
        <w:spacing w:after="0" w:line="98"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or notices relating to director nominations should be sent to Lear Corporation, 21557 Telegraph Road, Southfield, Michigan 48033; Attention: Terrence B. Larkin, Executive Vice President, Business Development, General Counsel and Corporate Secretary.</w:t>
      </w:r>
    </w:p>
    <w:p>
      <w:pPr>
        <w:spacing w:after="0" w:line="101" w:lineRule="exact"/>
        <w:rPr>
          <w:sz w:val="20"/>
          <w:szCs w:val="20"/>
          <w:color w:val="auto"/>
        </w:rPr>
      </w:pPr>
    </w:p>
    <w:p>
      <w:pPr>
        <w:jc w:val="both"/>
        <w:ind w:right="380"/>
        <w:spacing w:after="0" w:line="287" w:lineRule="auto"/>
        <w:rPr>
          <w:sz w:val="20"/>
          <w:szCs w:val="20"/>
          <w:color w:val="auto"/>
        </w:rPr>
      </w:pPr>
      <w:r>
        <w:rPr>
          <w:rFonts w:ascii="Arial" w:cs="Arial" w:eastAsia="Arial" w:hAnsi="Arial"/>
          <w:sz w:val="15"/>
          <w:szCs w:val="15"/>
          <w:color w:val="auto"/>
        </w:rPr>
        <w:t>A copy of our Bylaws, as amended, has been filed as an exhibit to our Current Report on Form 8-K filed with the SEC on November 9, 2009.</w:t>
      </w:r>
    </w:p>
    <w:p>
      <w:pPr>
        <w:spacing w:after="0" w:line="620" w:lineRule="exact"/>
        <w:rPr>
          <w:sz w:val="20"/>
          <w:szCs w:val="20"/>
          <w:color w:val="auto"/>
        </w:rPr>
      </w:pPr>
    </w:p>
    <w:p>
      <w:pPr>
        <w:sectPr>
          <w:pgSz w:w="11900" w:h="16838" w:orient="portrait"/>
          <w:cols w:equalWidth="0" w:num="2">
            <w:col w:w="5460" w:space="360"/>
            <w:col w:w="5320"/>
          </w:cols>
          <w:pgMar w:left="240" w:top="455" w:right="519" w:bottom="1440" w:gutter="0" w:footer="0" w:header="0"/>
          <w:type w:val="continuous"/>
        </w:sectPr>
      </w:pPr>
    </w:p>
    <w:p>
      <w:pPr>
        <w:spacing w:after="0" w:line="153"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Independence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334"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The Company’s Corporate Governance Guidelines provide that a majority of the members of the Board, and each member of the Audit Committee, Compensation Committee and Nominating Committee, must meet the criteria for independence set forth under applicable law and the New York Stock Exchange (“NYSE”) listing standards. No director qualifies as independent unless the Board determines that the director has no direct or indirect material relationship with the Company. These independence guidelines are part of our Corporate Governance Guidelines, available on our website at www.lear.com. In addition to applying these director independence guidelines and the NYSE independence guidelines, the Board will consider all relevant facts and circumstances of which it is aware in making an independence determination with respect to any director.</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The Board has made director independence determinations with respect to each of our directors. Based on our director independence guidelines and the NYSE independence guidelines, the Board has affirmatively determined that (i) Messrs. Bott, Capo, Cheng and Foster, Dr. Jepsen, Ms. Ligocki and Messrs. Mallett, Smith and Wallace (A) have no relationships or only immaterial relationships with us, (B) meet our director independence guidelines and the NYSE independence guidelines with respect to any such relationships and (C) are independent; and</w:t>
      </w:r>
    </w:p>
    <w:p>
      <w:pPr>
        <w:spacing w:after="0" w:line="2" w:lineRule="exact"/>
        <w:rPr>
          <w:sz w:val="20"/>
          <w:szCs w:val="20"/>
          <w:color w:val="auto"/>
        </w:rPr>
      </w:pPr>
    </w:p>
    <w:p>
      <w:pPr>
        <w:ind w:right="40" w:firstLine="2"/>
        <w:spacing w:after="0" w:line="254" w:lineRule="auto"/>
        <w:tabs>
          <w:tab w:leader="none" w:pos="222"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Scott is not independent. Mr. Scott is our President, Chief Executive Officer and Interim President, E-Systems (the “CEO”).</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120"/>
        <w:spacing w:after="0"/>
        <w:tabs>
          <w:tab w:leader="none" w:pos="4800" w:val="left"/>
          <w:tab w:leader="none" w:pos="502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17</w:t>
      </w:r>
    </w:p>
    <w:p>
      <w:pPr>
        <w:sectPr>
          <w:pgSz w:w="11900" w:h="16838" w:orient="portrait"/>
          <w:cols w:equalWidth="0" w:num="2">
            <w:col w:w="5480" w:space="340"/>
            <w:col w:w="5320"/>
          </w:cols>
          <w:pgMar w:left="240" w:top="455" w:right="51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p>
      <w:pPr>
        <w:spacing w:after="0" w:line="334" w:lineRule="exact"/>
        <w:rPr>
          <w:sz w:val="20"/>
          <w:szCs w:val="20"/>
          <w:color w:val="auto"/>
        </w:rPr>
      </w:pPr>
    </w:p>
    <w:p>
      <w:pPr>
        <w:ind w:left="280"/>
        <w:spacing w:after="0" w:line="268" w:lineRule="auto"/>
        <w:rPr>
          <w:sz w:val="20"/>
          <w:szCs w:val="20"/>
          <w:color w:val="auto"/>
        </w:rPr>
      </w:pPr>
      <w:r>
        <w:rPr>
          <w:rFonts w:ascii="Arial" w:cs="Arial" w:eastAsia="Arial" w:hAnsi="Arial"/>
          <w:sz w:val="15"/>
          <w:szCs w:val="15"/>
          <w:color w:val="auto"/>
        </w:rPr>
        <w:t>The Company’s management continually monitors the material risks facing the Company. Our enterprise risk management process is designed to facilitate the identification, assessment and management of certain key risks the Company may encounter and which may impact our</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ability to achieve our strategic objectives. The enterprise risk management process supplements management’s ongoing responsibilities to monitor and address risks by working with risk owners to identify the key mitigating actions for certain risks, which then are discussed with senior management.</w:t>
      </w:r>
    </w:p>
    <w:p>
      <w:pPr>
        <w:spacing w:after="0" w:line="200" w:lineRule="exact"/>
        <w:rPr>
          <w:sz w:val="20"/>
          <w:szCs w:val="20"/>
          <w:color w:val="auto"/>
        </w:rPr>
      </w:pPr>
    </w:p>
    <w:p>
      <w:pPr>
        <w:sectPr>
          <w:pgSz w:w="11900" w:h="16838" w:orient="portrait"/>
          <w:cols w:equalWidth="0" w:num="2">
            <w:col w:w="5420" w:space="400"/>
            <w:col w:w="5340"/>
          </w:cols>
          <w:pgMar w:left="240" w:top="455" w:right="499" w:bottom="1440" w:gutter="0" w:footer="0" w:header="0"/>
          <w:type w:val="continuous"/>
        </w:sectPr>
      </w:pPr>
    </w:p>
    <w:p>
      <w:pPr>
        <w:spacing w:after="0" w:line="56" w:lineRule="exact"/>
        <w:rPr>
          <w:sz w:val="20"/>
          <w:szCs w:val="20"/>
          <w:color w:val="auto"/>
        </w:rPr>
      </w:pPr>
    </w:p>
    <w:p>
      <w:pPr>
        <w:ind w:left="280" w:right="40"/>
        <w:spacing w:after="0" w:line="248" w:lineRule="auto"/>
        <w:rPr>
          <w:sz w:val="20"/>
          <w:szCs w:val="20"/>
          <w:color w:val="auto"/>
        </w:rPr>
      </w:pPr>
      <w:r>
        <w:rPr>
          <w:rFonts w:ascii="Arial" w:cs="Arial" w:eastAsia="Arial" w:hAnsi="Arial"/>
          <w:sz w:val="16"/>
          <w:szCs w:val="16"/>
          <w:color w:val="auto"/>
        </w:rPr>
        <w:t>The Board, with the assistance of the Board committees, is responsible for overseeing such management actions to ensure that material risks affecting the Company are identified and managed appropriately. The Board and the Board committees oversee risks associated with their principal areas of focus, as summarized below:</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Board/Committee Areas of Risk Oversight and Actions</w:t>
      </w:r>
    </w:p>
    <w:p>
      <w:pPr>
        <w:spacing w:after="0" w:line="255" w:lineRule="exact"/>
        <w:rPr>
          <w:sz w:val="20"/>
          <w:szCs w:val="20"/>
          <w:color w:val="auto"/>
        </w:rPr>
      </w:pPr>
    </w:p>
    <w:tbl>
      <w:tblPr>
        <w:tblLayout w:type="fixed"/>
        <w:tblInd w:w="2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460" w:type="dxa"/>
            <w:vAlign w:val="bottom"/>
            <w:shd w:val="clear" w:color="auto" w:fill="FCE9E8"/>
          </w:tcPr>
          <w:p>
            <w:pPr>
              <w:spacing w:after="0"/>
              <w:rPr>
                <w:sz w:val="20"/>
                <w:szCs w:val="20"/>
                <w:color w:val="auto"/>
              </w:rPr>
            </w:pPr>
            <w:r>
              <w:rPr>
                <w:rFonts w:ascii="Arial" w:cs="Arial" w:eastAsia="Arial" w:hAnsi="Arial"/>
                <w:sz w:val="16"/>
                <w:szCs w:val="16"/>
                <w:b w:val="1"/>
                <w:bCs w:val="1"/>
                <w:color w:val="auto"/>
              </w:rPr>
              <w:t>Full Board</w:t>
            </w:r>
          </w:p>
        </w:tc>
        <w:tc>
          <w:tcPr>
            <w:tcW w:w="600" w:type="dxa"/>
            <w:vAlign w:val="bottom"/>
            <w:shd w:val="clear" w:color="auto" w:fill="FCE9E8"/>
          </w:tcPr>
          <w:p>
            <w:pPr>
              <w:ind w:left="480"/>
              <w:spacing w:after="0"/>
              <w:rPr>
                <w:sz w:val="20"/>
                <w:szCs w:val="20"/>
                <w:color w:val="auto"/>
              </w:rPr>
            </w:pPr>
            <w:r>
              <w:rPr>
                <w:rFonts w:ascii="Arial" w:cs="Arial" w:eastAsia="Arial" w:hAnsi="Arial"/>
                <w:sz w:val="16"/>
                <w:szCs w:val="16"/>
                <w:color w:val="auto"/>
              </w:rPr>
              <w:t>•</w:t>
            </w:r>
          </w:p>
        </w:tc>
        <w:tc>
          <w:tcPr>
            <w:tcW w:w="7800" w:type="dxa"/>
            <w:vAlign w:val="bottom"/>
            <w:shd w:val="clear" w:color="auto" w:fill="FCE9E8"/>
          </w:tcPr>
          <w:p>
            <w:pPr>
              <w:ind w:left="40"/>
              <w:spacing w:after="0"/>
              <w:rPr>
                <w:sz w:val="20"/>
                <w:szCs w:val="20"/>
                <w:color w:val="auto"/>
              </w:rPr>
            </w:pPr>
            <w:r>
              <w:rPr>
                <w:rFonts w:ascii="Arial" w:cs="Arial" w:eastAsia="Arial" w:hAnsi="Arial"/>
                <w:sz w:val="16"/>
                <w:szCs w:val="16"/>
                <w:color w:val="auto"/>
              </w:rPr>
              <w:t>Carefully evaluates the reports received from management and makes inquiries of management on areas of</w:t>
            </w:r>
          </w:p>
        </w:tc>
      </w:tr>
      <w:tr>
        <w:trPr>
          <w:trHeight w:val="193"/>
        </w:trPr>
        <w:tc>
          <w:tcPr>
            <w:tcW w:w="20" w:type="dxa"/>
            <w:vAlign w:val="bottom"/>
          </w:tcPr>
          <w:p>
            <w:pPr>
              <w:spacing w:after="0"/>
              <w:rPr>
                <w:sz w:val="16"/>
                <w:szCs w:val="16"/>
                <w:color w:val="auto"/>
              </w:rPr>
            </w:pPr>
          </w:p>
        </w:tc>
        <w:tc>
          <w:tcPr>
            <w:tcW w:w="2460" w:type="dxa"/>
            <w:vAlign w:val="bottom"/>
            <w:shd w:val="clear" w:color="auto" w:fill="FCE9E8"/>
          </w:tcPr>
          <w:p>
            <w:pPr>
              <w:spacing w:after="0"/>
              <w:rPr>
                <w:sz w:val="16"/>
                <w:szCs w:val="16"/>
                <w:color w:val="auto"/>
              </w:rPr>
            </w:pPr>
          </w:p>
        </w:tc>
        <w:tc>
          <w:tcPr>
            <w:tcW w:w="600" w:type="dxa"/>
            <w:vAlign w:val="bottom"/>
            <w:shd w:val="clear" w:color="auto" w:fill="FCE9E8"/>
          </w:tcPr>
          <w:p>
            <w:pPr>
              <w:spacing w:after="0"/>
              <w:rPr>
                <w:sz w:val="16"/>
                <w:szCs w:val="16"/>
                <w:color w:val="auto"/>
              </w:rPr>
            </w:pPr>
          </w:p>
        </w:tc>
        <w:tc>
          <w:tcPr>
            <w:tcW w:w="7800" w:type="dxa"/>
            <w:vAlign w:val="bottom"/>
            <w:shd w:val="clear" w:color="auto" w:fill="FCE9E8"/>
          </w:tcPr>
          <w:p>
            <w:pPr>
              <w:ind w:left="40"/>
              <w:spacing w:after="0"/>
              <w:rPr>
                <w:sz w:val="20"/>
                <w:szCs w:val="20"/>
                <w:color w:val="auto"/>
              </w:rPr>
            </w:pPr>
            <w:r>
              <w:rPr>
                <w:rFonts w:ascii="Arial" w:cs="Arial" w:eastAsia="Arial" w:hAnsi="Arial"/>
                <w:sz w:val="16"/>
                <w:szCs w:val="16"/>
                <w:color w:val="auto"/>
              </w:rPr>
              <w:t>particular interest to the Board</w:t>
            </w:r>
          </w:p>
        </w:tc>
      </w:tr>
      <w:tr>
        <w:trPr>
          <w:trHeight w:val="306"/>
        </w:trPr>
        <w:tc>
          <w:tcPr>
            <w:tcW w:w="20" w:type="dxa"/>
            <w:vAlign w:val="bottom"/>
          </w:tcPr>
          <w:p>
            <w:pPr>
              <w:spacing w:after="0"/>
              <w:rPr>
                <w:sz w:val="24"/>
                <w:szCs w:val="24"/>
                <w:color w:val="auto"/>
              </w:rPr>
            </w:pPr>
          </w:p>
        </w:tc>
        <w:tc>
          <w:tcPr>
            <w:tcW w:w="2460" w:type="dxa"/>
            <w:vAlign w:val="bottom"/>
            <w:shd w:val="clear" w:color="auto" w:fill="FCE9E8"/>
          </w:tcPr>
          <w:p>
            <w:pPr>
              <w:spacing w:after="0"/>
              <w:rPr>
                <w:sz w:val="24"/>
                <w:szCs w:val="24"/>
                <w:color w:val="auto"/>
              </w:rPr>
            </w:pPr>
          </w:p>
        </w:tc>
        <w:tc>
          <w:tcPr>
            <w:tcW w:w="600" w:type="dxa"/>
            <w:vAlign w:val="bottom"/>
            <w:shd w:val="clear" w:color="auto" w:fill="FCE9E8"/>
          </w:tcPr>
          <w:p>
            <w:pPr>
              <w:ind w:left="480"/>
              <w:spacing w:after="0"/>
              <w:rPr>
                <w:sz w:val="20"/>
                <w:szCs w:val="20"/>
                <w:color w:val="auto"/>
              </w:rPr>
            </w:pPr>
            <w:r>
              <w:rPr>
                <w:rFonts w:ascii="Arial" w:cs="Arial" w:eastAsia="Arial" w:hAnsi="Arial"/>
                <w:sz w:val="16"/>
                <w:szCs w:val="16"/>
                <w:color w:val="auto"/>
              </w:rPr>
              <w:t>•</w:t>
            </w:r>
          </w:p>
        </w:tc>
        <w:tc>
          <w:tcPr>
            <w:tcW w:w="7800" w:type="dxa"/>
            <w:vAlign w:val="bottom"/>
            <w:shd w:val="clear" w:color="auto" w:fill="FCE9E8"/>
          </w:tcPr>
          <w:p>
            <w:pPr>
              <w:ind w:left="40"/>
              <w:spacing w:after="0"/>
              <w:rPr>
                <w:sz w:val="20"/>
                <w:szCs w:val="20"/>
                <w:color w:val="auto"/>
              </w:rPr>
            </w:pPr>
            <w:r>
              <w:rPr>
                <w:rFonts w:ascii="Arial" w:cs="Arial" w:eastAsia="Arial" w:hAnsi="Arial"/>
                <w:sz w:val="16"/>
                <w:szCs w:val="16"/>
                <w:color w:val="auto"/>
              </w:rPr>
              <w:t>Reviews with management material strategic, operational, financial, compensation and compliance risks</w:t>
            </w:r>
          </w:p>
        </w:tc>
      </w:tr>
      <w:tr>
        <w:trPr>
          <w:trHeight w:val="306"/>
        </w:trPr>
        <w:tc>
          <w:tcPr>
            <w:tcW w:w="20" w:type="dxa"/>
            <w:vAlign w:val="bottom"/>
          </w:tcPr>
          <w:p>
            <w:pPr>
              <w:spacing w:after="0"/>
              <w:rPr>
                <w:sz w:val="24"/>
                <w:szCs w:val="24"/>
                <w:color w:val="auto"/>
              </w:rPr>
            </w:pPr>
          </w:p>
        </w:tc>
        <w:tc>
          <w:tcPr>
            <w:tcW w:w="2460" w:type="dxa"/>
            <w:vAlign w:val="bottom"/>
            <w:shd w:val="clear" w:color="auto" w:fill="FCE9E8"/>
          </w:tcPr>
          <w:p>
            <w:pPr>
              <w:spacing w:after="0"/>
              <w:rPr>
                <w:sz w:val="24"/>
                <w:szCs w:val="24"/>
                <w:color w:val="auto"/>
              </w:rPr>
            </w:pPr>
          </w:p>
        </w:tc>
        <w:tc>
          <w:tcPr>
            <w:tcW w:w="600" w:type="dxa"/>
            <w:vAlign w:val="bottom"/>
            <w:shd w:val="clear" w:color="auto" w:fill="FCE9E8"/>
          </w:tcPr>
          <w:p>
            <w:pPr>
              <w:ind w:left="480"/>
              <w:spacing w:after="0"/>
              <w:rPr>
                <w:sz w:val="20"/>
                <w:szCs w:val="20"/>
                <w:color w:val="auto"/>
              </w:rPr>
            </w:pPr>
            <w:r>
              <w:rPr>
                <w:rFonts w:ascii="Arial" w:cs="Arial" w:eastAsia="Arial" w:hAnsi="Arial"/>
                <w:sz w:val="16"/>
                <w:szCs w:val="16"/>
                <w:color w:val="auto"/>
              </w:rPr>
              <w:t>•</w:t>
            </w:r>
          </w:p>
        </w:tc>
        <w:tc>
          <w:tcPr>
            <w:tcW w:w="7800" w:type="dxa"/>
            <w:vAlign w:val="bottom"/>
            <w:shd w:val="clear" w:color="auto" w:fill="FCE9E8"/>
          </w:tcPr>
          <w:p>
            <w:pPr>
              <w:ind w:left="40"/>
              <w:spacing w:after="0"/>
              <w:rPr>
                <w:sz w:val="20"/>
                <w:szCs w:val="20"/>
                <w:color w:val="auto"/>
              </w:rPr>
            </w:pPr>
            <w:r>
              <w:rPr>
                <w:rFonts w:ascii="Arial" w:cs="Arial" w:eastAsia="Arial" w:hAnsi="Arial"/>
                <w:sz w:val="16"/>
                <w:szCs w:val="16"/>
                <w:color w:val="auto"/>
              </w:rPr>
              <w:t>Considers specific risk topics in connection with strategic planning and other matters</w:t>
            </w:r>
          </w:p>
        </w:tc>
      </w:tr>
      <w:tr>
        <w:trPr>
          <w:trHeight w:val="300"/>
        </w:trPr>
        <w:tc>
          <w:tcPr>
            <w:tcW w:w="20" w:type="dxa"/>
            <w:vAlign w:val="bottom"/>
          </w:tcPr>
          <w:p>
            <w:pPr>
              <w:spacing w:after="0"/>
              <w:rPr>
                <w:sz w:val="24"/>
                <w:szCs w:val="24"/>
                <w:color w:val="auto"/>
              </w:rPr>
            </w:pPr>
          </w:p>
        </w:tc>
        <w:tc>
          <w:tcPr>
            <w:tcW w:w="2460" w:type="dxa"/>
            <w:vAlign w:val="bottom"/>
            <w:shd w:val="clear" w:color="auto" w:fill="FCE9E8"/>
          </w:tcPr>
          <w:p>
            <w:pPr>
              <w:spacing w:after="0"/>
              <w:rPr>
                <w:sz w:val="24"/>
                <w:szCs w:val="24"/>
                <w:color w:val="auto"/>
              </w:rPr>
            </w:pPr>
          </w:p>
        </w:tc>
        <w:tc>
          <w:tcPr>
            <w:tcW w:w="600" w:type="dxa"/>
            <w:vAlign w:val="bottom"/>
            <w:shd w:val="clear" w:color="auto" w:fill="FCE9E8"/>
          </w:tcPr>
          <w:p>
            <w:pPr>
              <w:ind w:left="480"/>
              <w:spacing w:after="0"/>
              <w:rPr>
                <w:sz w:val="20"/>
                <w:szCs w:val="20"/>
                <w:color w:val="auto"/>
              </w:rPr>
            </w:pPr>
            <w:r>
              <w:rPr>
                <w:rFonts w:ascii="Arial" w:cs="Arial" w:eastAsia="Arial" w:hAnsi="Arial"/>
                <w:sz w:val="16"/>
                <w:szCs w:val="16"/>
                <w:color w:val="auto"/>
              </w:rPr>
              <w:t>•</w:t>
            </w:r>
          </w:p>
        </w:tc>
        <w:tc>
          <w:tcPr>
            <w:tcW w:w="7800" w:type="dxa"/>
            <w:vAlign w:val="bottom"/>
            <w:shd w:val="clear" w:color="auto" w:fill="FCE9E8"/>
          </w:tcPr>
          <w:p>
            <w:pPr>
              <w:ind w:left="40"/>
              <w:spacing w:after="0"/>
              <w:rPr>
                <w:sz w:val="20"/>
                <w:szCs w:val="20"/>
                <w:color w:val="auto"/>
              </w:rPr>
            </w:pPr>
            <w:r>
              <w:rPr>
                <w:rFonts w:ascii="Arial" w:cs="Arial" w:eastAsia="Arial" w:hAnsi="Arial"/>
                <w:sz w:val="16"/>
                <w:szCs w:val="16"/>
                <w:color w:val="auto"/>
              </w:rPr>
              <w:t>Oversees risk oversight and related activities conducted by the Board committees through reports of the</w:t>
            </w:r>
          </w:p>
        </w:tc>
      </w:tr>
      <w:tr>
        <w:trPr>
          <w:trHeight w:val="193"/>
        </w:trPr>
        <w:tc>
          <w:tcPr>
            <w:tcW w:w="20" w:type="dxa"/>
            <w:vAlign w:val="bottom"/>
          </w:tcPr>
          <w:p>
            <w:pPr>
              <w:spacing w:after="0"/>
              <w:rPr>
                <w:sz w:val="16"/>
                <w:szCs w:val="16"/>
                <w:color w:val="auto"/>
              </w:rPr>
            </w:pPr>
          </w:p>
        </w:tc>
        <w:tc>
          <w:tcPr>
            <w:tcW w:w="2460" w:type="dxa"/>
            <w:vAlign w:val="bottom"/>
            <w:shd w:val="clear" w:color="auto" w:fill="FCE9E8"/>
          </w:tcPr>
          <w:p>
            <w:pPr>
              <w:spacing w:after="0"/>
              <w:rPr>
                <w:sz w:val="16"/>
                <w:szCs w:val="16"/>
                <w:color w:val="auto"/>
              </w:rPr>
            </w:pPr>
          </w:p>
        </w:tc>
        <w:tc>
          <w:tcPr>
            <w:tcW w:w="600" w:type="dxa"/>
            <w:vAlign w:val="bottom"/>
            <w:shd w:val="clear" w:color="auto" w:fill="FCE9E8"/>
          </w:tcPr>
          <w:p>
            <w:pPr>
              <w:spacing w:after="0"/>
              <w:rPr>
                <w:sz w:val="16"/>
                <w:szCs w:val="16"/>
                <w:color w:val="auto"/>
              </w:rPr>
            </w:pPr>
          </w:p>
        </w:tc>
        <w:tc>
          <w:tcPr>
            <w:tcW w:w="7800" w:type="dxa"/>
            <w:vAlign w:val="bottom"/>
            <w:shd w:val="clear" w:color="auto" w:fill="FCE9E8"/>
          </w:tcPr>
          <w:p>
            <w:pPr>
              <w:ind w:left="40"/>
              <w:spacing w:after="0"/>
              <w:rPr>
                <w:sz w:val="20"/>
                <w:szCs w:val="20"/>
                <w:color w:val="auto"/>
              </w:rPr>
            </w:pPr>
            <w:r>
              <w:rPr>
                <w:rFonts w:ascii="Arial" w:cs="Arial" w:eastAsia="Arial" w:hAnsi="Arial"/>
                <w:sz w:val="16"/>
                <w:szCs w:val="16"/>
                <w:color w:val="auto"/>
              </w:rPr>
              <w:t>committee chairmen to the Board</w:t>
            </w:r>
          </w:p>
        </w:tc>
      </w:tr>
      <w:tr>
        <w:trPr>
          <w:trHeight w:val="125"/>
        </w:trPr>
        <w:tc>
          <w:tcPr>
            <w:tcW w:w="20" w:type="dxa"/>
            <w:vAlign w:val="bottom"/>
          </w:tcPr>
          <w:p>
            <w:pPr>
              <w:spacing w:after="0"/>
              <w:rPr>
                <w:sz w:val="10"/>
                <w:szCs w:val="10"/>
                <w:color w:val="auto"/>
              </w:rPr>
            </w:pPr>
          </w:p>
        </w:tc>
        <w:tc>
          <w:tcPr>
            <w:tcW w:w="2460" w:type="dxa"/>
            <w:vAlign w:val="bottom"/>
            <w:tcBorders>
              <w:bottom w:val="single" w:sz="8" w:color="auto"/>
            </w:tcBorders>
            <w:shd w:val="clear" w:color="auto" w:fill="FCE9E8"/>
          </w:tcPr>
          <w:p>
            <w:pPr>
              <w:spacing w:after="0"/>
              <w:rPr>
                <w:sz w:val="10"/>
                <w:szCs w:val="10"/>
                <w:color w:val="auto"/>
              </w:rPr>
            </w:pPr>
          </w:p>
        </w:tc>
        <w:tc>
          <w:tcPr>
            <w:tcW w:w="600" w:type="dxa"/>
            <w:vAlign w:val="bottom"/>
            <w:tcBorders>
              <w:bottom w:val="single" w:sz="8" w:color="auto"/>
            </w:tcBorders>
            <w:shd w:val="clear" w:color="auto" w:fill="FCE9E8"/>
          </w:tcPr>
          <w:p>
            <w:pPr>
              <w:spacing w:after="0"/>
              <w:rPr>
                <w:sz w:val="10"/>
                <w:szCs w:val="10"/>
                <w:color w:val="auto"/>
              </w:rPr>
            </w:pPr>
          </w:p>
        </w:tc>
        <w:tc>
          <w:tcPr>
            <w:tcW w:w="7800" w:type="dxa"/>
            <w:vAlign w:val="bottom"/>
            <w:tcBorders>
              <w:bottom w:val="single" w:sz="8" w:color="auto"/>
            </w:tcBorders>
            <w:shd w:val="clear" w:color="auto" w:fill="FCE9E8"/>
          </w:tcPr>
          <w:p>
            <w:pPr>
              <w:spacing w:after="0"/>
              <w:rPr>
                <w:sz w:val="10"/>
                <w:szCs w:val="10"/>
                <w:color w:val="auto"/>
              </w:rPr>
            </w:pPr>
          </w:p>
        </w:tc>
      </w:tr>
      <w:tr>
        <w:trPr>
          <w:trHeight w:val="182"/>
        </w:trPr>
        <w:tc>
          <w:tcPr>
            <w:tcW w:w="20" w:type="dxa"/>
            <w:vAlign w:val="bottom"/>
          </w:tcPr>
          <w:p>
            <w:pPr>
              <w:spacing w:after="0"/>
              <w:rPr>
                <w:sz w:val="15"/>
                <w:szCs w:val="15"/>
                <w:color w:val="auto"/>
              </w:rPr>
            </w:pPr>
          </w:p>
        </w:tc>
        <w:tc>
          <w:tcPr>
            <w:tcW w:w="2460" w:type="dxa"/>
            <w:vAlign w:val="bottom"/>
          </w:tcPr>
          <w:p>
            <w:pPr>
              <w:spacing w:after="0" w:line="181" w:lineRule="exact"/>
              <w:rPr>
                <w:sz w:val="20"/>
                <w:szCs w:val="20"/>
                <w:color w:val="auto"/>
              </w:rPr>
            </w:pPr>
            <w:r>
              <w:rPr>
                <w:rFonts w:ascii="Arial" w:cs="Arial" w:eastAsia="Arial" w:hAnsi="Arial"/>
                <w:sz w:val="16"/>
                <w:szCs w:val="16"/>
                <w:b w:val="1"/>
                <w:bCs w:val="1"/>
                <w:color w:val="auto"/>
              </w:rPr>
              <w:t>Audit Committee</w:t>
            </w:r>
          </w:p>
        </w:tc>
        <w:tc>
          <w:tcPr>
            <w:tcW w:w="600" w:type="dxa"/>
            <w:vAlign w:val="bottom"/>
          </w:tcPr>
          <w:p>
            <w:pPr>
              <w:ind w:left="480"/>
              <w:spacing w:after="0" w:line="181" w:lineRule="exact"/>
              <w:rPr>
                <w:sz w:val="20"/>
                <w:szCs w:val="20"/>
                <w:color w:val="auto"/>
              </w:rPr>
            </w:pPr>
            <w:r>
              <w:rPr>
                <w:rFonts w:ascii="Arial" w:cs="Arial" w:eastAsia="Arial" w:hAnsi="Arial"/>
                <w:sz w:val="16"/>
                <w:szCs w:val="16"/>
                <w:color w:val="auto"/>
              </w:rPr>
              <w:t>•</w:t>
            </w:r>
          </w:p>
        </w:tc>
        <w:tc>
          <w:tcPr>
            <w:tcW w:w="7800" w:type="dxa"/>
            <w:vAlign w:val="bottom"/>
          </w:tcPr>
          <w:p>
            <w:pPr>
              <w:ind w:left="40"/>
              <w:spacing w:after="0" w:line="181" w:lineRule="exact"/>
              <w:rPr>
                <w:sz w:val="20"/>
                <w:szCs w:val="20"/>
                <w:color w:val="auto"/>
              </w:rPr>
            </w:pPr>
            <w:r>
              <w:rPr>
                <w:rFonts w:ascii="Arial" w:cs="Arial" w:eastAsia="Arial" w:hAnsi="Arial"/>
                <w:sz w:val="16"/>
                <w:szCs w:val="16"/>
                <w:color w:val="auto"/>
              </w:rPr>
              <w:t>Responsible for ensuring that the Company has an internal audit function to provide management and the</w:t>
            </w:r>
          </w:p>
        </w:tc>
      </w:tr>
      <w:tr>
        <w:trPr>
          <w:trHeight w:val="186"/>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0" w:type="dxa"/>
            <w:vAlign w:val="bottom"/>
          </w:tcPr>
          <w:p>
            <w:pPr>
              <w:ind w:left="40"/>
              <w:spacing w:after="0"/>
              <w:rPr>
                <w:sz w:val="20"/>
                <w:szCs w:val="20"/>
                <w:color w:val="auto"/>
              </w:rPr>
            </w:pPr>
            <w:r>
              <w:rPr>
                <w:rFonts w:ascii="Arial" w:cs="Arial" w:eastAsia="Arial" w:hAnsi="Arial"/>
                <w:sz w:val="16"/>
                <w:szCs w:val="16"/>
                <w:color w:val="auto"/>
              </w:rPr>
              <w:t>Audit Committee with ongoing assessments of the Company’s risk management process and system of</w:t>
            </w:r>
          </w:p>
        </w:tc>
      </w:tr>
      <w:tr>
        <w:trPr>
          <w:trHeight w:val="193"/>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0" w:type="dxa"/>
            <w:vAlign w:val="bottom"/>
          </w:tcPr>
          <w:p>
            <w:pPr>
              <w:ind w:left="40"/>
              <w:spacing w:after="0"/>
              <w:rPr>
                <w:sz w:val="20"/>
                <w:szCs w:val="20"/>
                <w:color w:val="auto"/>
              </w:rPr>
            </w:pPr>
            <w:r>
              <w:rPr>
                <w:rFonts w:ascii="Arial" w:cs="Arial" w:eastAsia="Arial" w:hAnsi="Arial"/>
                <w:sz w:val="16"/>
                <w:szCs w:val="16"/>
                <w:color w:val="auto"/>
              </w:rPr>
              <w:t>internal controls</w:t>
            </w:r>
          </w:p>
        </w:tc>
      </w:tr>
      <w:tr>
        <w:trPr>
          <w:trHeight w:val="300"/>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0" w:type="dxa"/>
            <w:vAlign w:val="bottom"/>
          </w:tcPr>
          <w:p>
            <w:pPr>
              <w:ind w:left="480"/>
              <w:spacing w:after="0"/>
              <w:rPr>
                <w:sz w:val="20"/>
                <w:szCs w:val="20"/>
                <w:color w:val="auto"/>
              </w:rPr>
            </w:pPr>
            <w:r>
              <w:rPr>
                <w:rFonts w:ascii="Arial" w:cs="Arial" w:eastAsia="Arial" w:hAnsi="Arial"/>
                <w:sz w:val="16"/>
                <w:szCs w:val="16"/>
                <w:color w:val="auto"/>
              </w:rPr>
              <w:t>•</w:t>
            </w:r>
          </w:p>
        </w:tc>
        <w:tc>
          <w:tcPr>
            <w:tcW w:w="7800" w:type="dxa"/>
            <w:vAlign w:val="bottom"/>
          </w:tcPr>
          <w:p>
            <w:pPr>
              <w:ind w:left="40"/>
              <w:spacing w:after="0"/>
              <w:rPr>
                <w:sz w:val="20"/>
                <w:szCs w:val="20"/>
                <w:color w:val="auto"/>
              </w:rPr>
            </w:pPr>
            <w:r>
              <w:rPr>
                <w:rFonts w:ascii="Arial" w:cs="Arial" w:eastAsia="Arial" w:hAnsi="Arial"/>
                <w:sz w:val="16"/>
                <w:szCs w:val="16"/>
                <w:color w:val="auto"/>
              </w:rPr>
              <w:t>Discusses with management the Company’s process for assessing and managing risks, including the</w:t>
            </w:r>
          </w:p>
        </w:tc>
      </w:tr>
      <w:tr>
        <w:trPr>
          <w:trHeight w:val="186"/>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0" w:type="dxa"/>
            <w:vAlign w:val="bottom"/>
          </w:tcPr>
          <w:p>
            <w:pPr>
              <w:ind w:left="40"/>
              <w:spacing w:after="0"/>
              <w:rPr>
                <w:sz w:val="20"/>
                <w:szCs w:val="20"/>
                <w:color w:val="auto"/>
              </w:rPr>
            </w:pPr>
            <w:r>
              <w:rPr>
                <w:rFonts w:ascii="Arial" w:cs="Arial" w:eastAsia="Arial" w:hAnsi="Arial"/>
                <w:sz w:val="16"/>
                <w:szCs w:val="16"/>
                <w:color w:val="auto"/>
              </w:rPr>
              <w:t>Company’s major risk exposures related to tax matters, financial instruments, litigation and information</w:t>
            </w:r>
          </w:p>
        </w:tc>
      </w:tr>
      <w:tr>
        <w:trPr>
          <w:trHeight w:val="193"/>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0" w:type="dxa"/>
            <w:vAlign w:val="bottom"/>
          </w:tcPr>
          <w:p>
            <w:pPr>
              <w:ind w:left="40"/>
              <w:spacing w:after="0"/>
              <w:rPr>
                <w:sz w:val="20"/>
                <w:szCs w:val="20"/>
                <w:color w:val="auto"/>
              </w:rPr>
            </w:pPr>
            <w:r>
              <w:rPr>
                <w:rFonts w:ascii="Arial" w:cs="Arial" w:eastAsia="Arial" w:hAnsi="Arial"/>
                <w:sz w:val="16"/>
                <w:szCs w:val="16"/>
                <w:color w:val="auto"/>
              </w:rPr>
              <w:t>security (including cybersecurity) and the steps necessary to monitor and control such exposures</w:t>
            </w:r>
          </w:p>
        </w:tc>
      </w:tr>
      <w:tr>
        <w:trPr>
          <w:trHeight w:val="306"/>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0" w:type="dxa"/>
            <w:vAlign w:val="bottom"/>
          </w:tcPr>
          <w:p>
            <w:pPr>
              <w:ind w:left="480"/>
              <w:spacing w:after="0"/>
              <w:rPr>
                <w:sz w:val="20"/>
                <w:szCs w:val="20"/>
                <w:color w:val="auto"/>
              </w:rPr>
            </w:pPr>
            <w:r>
              <w:rPr>
                <w:rFonts w:ascii="Arial" w:cs="Arial" w:eastAsia="Arial" w:hAnsi="Arial"/>
                <w:sz w:val="16"/>
                <w:szCs w:val="16"/>
                <w:color w:val="auto"/>
              </w:rPr>
              <w:t>•</w:t>
            </w:r>
          </w:p>
        </w:tc>
        <w:tc>
          <w:tcPr>
            <w:tcW w:w="7800" w:type="dxa"/>
            <w:vAlign w:val="bottom"/>
          </w:tcPr>
          <w:p>
            <w:pPr>
              <w:ind w:left="40"/>
              <w:spacing w:after="0"/>
              <w:rPr>
                <w:sz w:val="20"/>
                <w:szCs w:val="20"/>
                <w:color w:val="auto"/>
              </w:rPr>
            </w:pPr>
            <w:r>
              <w:rPr>
                <w:rFonts w:ascii="Arial" w:cs="Arial" w:eastAsia="Arial" w:hAnsi="Arial"/>
                <w:sz w:val="16"/>
                <w:szCs w:val="16"/>
                <w:color w:val="auto"/>
              </w:rPr>
              <w:t>Central oversight of financial and compliance risks</w:t>
            </w:r>
          </w:p>
        </w:tc>
      </w:tr>
      <w:tr>
        <w:trPr>
          <w:trHeight w:val="300"/>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0" w:type="dxa"/>
            <w:vAlign w:val="bottom"/>
          </w:tcPr>
          <w:p>
            <w:pPr>
              <w:ind w:left="480"/>
              <w:spacing w:after="0"/>
              <w:rPr>
                <w:sz w:val="20"/>
                <w:szCs w:val="20"/>
                <w:color w:val="auto"/>
              </w:rPr>
            </w:pPr>
            <w:r>
              <w:rPr>
                <w:rFonts w:ascii="Arial" w:cs="Arial" w:eastAsia="Arial" w:hAnsi="Arial"/>
                <w:sz w:val="16"/>
                <w:szCs w:val="16"/>
                <w:color w:val="auto"/>
              </w:rPr>
              <w:t>•</w:t>
            </w:r>
          </w:p>
        </w:tc>
        <w:tc>
          <w:tcPr>
            <w:tcW w:w="7800" w:type="dxa"/>
            <w:vAlign w:val="bottom"/>
          </w:tcPr>
          <w:p>
            <w:pPr>
              <w:ind w:left="40"/>
              <w:spacing w:after="0"/>
              <w:rPr>
                <w:sz w:val="20"/>
                <w:szCs w:val="20"/>
                <w:color w:val="auto"/>
              </w:rPr>
            </w:pPr>
            <w:r>
              <w:rPr>
                <w:rFonts w:ascii="Arial" w:cs="Arial" w:eastAsia="Arial" w:hAnsi="Arial"/>
                <w:sz w:val="16"/>
                <w:szCs w:val="16"/>
                <w:color w:val="auto"/>
              </w:rPr>
              <w:t>Meets periodically with senior management, our vice president of internal audit, our chief compliance officer</w:t>
            </w:r>
          </w:p>
        </w:tc>
      </w:tr>
      <w:tr>
        <w:trPr>
          <w:trHeight w:val="186"/>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0" w:type="dxa"/>
            <w:vAlign w:val="bottom"/>
          </w:tcPr>
          <w:p>
            <w:pPr>
              <w:ind w:left="40"/>
              <w:spacing w:after="0"/>
              <w:rPr>
                <w:sz w:val="20"/>
                <w:szCs w:val="20"/>
                <w:color w:val="auto"/>
              </w:rPr>
            </w:pPr>
            <w:r>
              <w:rPr>
                <w:rFonts w:ascii="Arial" w:cs="Arial" w:eastAsia="Arial" w:hAnsi="Arial"/>
                <w:sz w:val="16"/>
                <w:szCs w:val="16"/>
                <w:color w:val="auto"/>
              </w:rPr>
              <w:t>and our independent auditor, Ernst &amp; Young LLP, and reports on its findings at each regularly scheduled</w:t>
            </w:r>
          </w:p>
        </w:tc>
      </w:tr>
      <w:tr>
        <w:trPr>
          <w:trHeight w:val="193"/>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0" w:type="dxa"/>
            <w:vAlign w:val="bottom"/>
          </w:tcPr>
          <w:p>
            <w:pPr>
              <w:ind w:left="40"/>
              <w:spacing w:after="0"/>
              <w:rPr>
                <w:sz w:val="20"/>
                <w:szCs w:val="20"/>
                <w:color w:val="auto"/>
              </w:rPr>
            </w:pPr>
            <w:r>
              <w:rPr>
                <w:rFonts w:ascii="Arial" w:cs="Arial" w:eastAsia="Arial" w:hAnsi="Arial"/>
                <w:sz w:val="16"/>
                <w:szCs w:val="16"/>
                <w:color w:val="auto"/>
              </w:rPr>
              <w:t>meeting of the Board</w:t>
            </w:r>
          </w:p>
        </w:tc>
      </w:tr>
      <w:tr>
        <w:trPr>
          <w:trHeight w:val="300"/>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0" w:type="dxa"/>
            <w:vAlign w:val="bottom"/>
          </w:tcPr>
          <w:p>
            <w:pPr>
              <w:ind w:left="480"/>
              <w:spacing w:after="0"/>
              <w:rPr>
                <w:sz w:val="20"/>
                <w:szCs w:val="20"/>
                <w:color w:val="auto"/>
              </w:rPr>
            </w:pPr>
            <w:r>
              <w:rPr>
                <w:rFonts w:ascii="Arial" w:cs="Arial" w:eastAsia="Arial" w:hAnsi="Arial"/>
                <w:sz w:val="16"/>
                <w:szCs w:val="16"/>
                <w:color w:val="auto"/>
              </w:rPr>
              <w:t>•</w:t>
            </w:r>
          </w:p>
        </w:tc>
        <w:tc>
          <w:tcPr>
            <w:tcW w:w="7800" w:type="dxa"/>
            <w:vAlign w:val="bottom"/>
          </w:tcPr>
          <w:p>
            <w:pPr>
              <w:ind w:left="40"/>
              <w:spacing w:after="0"/>
              <w:rPr>
                <w:sz w:val="20"/>
                <w:szCs w:val="20"/>
                <w:color w:val="auto"/>
              </w:rPr>
            </w:pPr>
            <w:r>
              <w:rPr>
                <w:rFonts w:ascii="Arial" w:cs="Arial" w:eastAsia="Arial" w:hAnsi="Arial"/>
                <w:sz w:val="16"/>
                <w:szCs w:val="16"/>
                <w:color w:val="auto"/>
              </w:rPr>
              <w:t>Periodically assesses reports provided by management on risks addressed in the enterprise risk</w:t>
            </w:r>
          </w:p>
        </w:tc>
      </w:tr>
      <w:tr>
        <w:trPr>
          <w:trHeight w:val="193"/>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0" w:type="dxa"/>
            <w:vAlign w:val="bottom"/>
          </w:tcPr>
          <w:p>
            <w:pPr>
              <w:ind w:left="40"/>
              <w:spacing w:after="0"/>
              <w:rPr>
                <w:sz w:val="20"/>
                <w:szCs w:val="20"/>
                <w:color w:val="auto"/>
              </w:rPr>
            </w:pPr>
            <w:r>
              <w:rPr>
                <w:rFonts w:ascii="Arial" w:cs="Arial" w:eastAsia="Arial" w:hAnsi="Arial"/>
                <w:sz w:val="16"/>
                <w:szCs w:val="16"/>
                <w:color w:val="auto"/>
              </w:rPr>
              <w:t>management process and other risks, and reports to the Board, as appropriate</w:t>
            </w:r>
          </w:p>
        </w:tc>
      </w:tr>
      <w:tr>
        <w:trPr>
          <w:trHeight w:val="125"/>
        </w:trPr>
        <w:tc>
          <w:tcPr>
            <w:tcW w:w="20" w:type="dxa"/>
            <w:vAlign w:val="bottom"/>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7800" w:type="dxa"/>
            <w:vAlign w:val="bottom"/>
            <w:tcBorders>
              <w:bottom w:val="single" w:sz="8" w:color="auto"/>
            </w:tcBorders>
          </w:tcPr>
          <w:p>
            <w:pPr>
              <w:spacing w:after="0"/>
              <w:rPr>
                <w:sz w:val="10"/>
                <w:szCs w:val="10"/>
                <w:color w:val="auto"/>
              </w:rPr>
            </w:pPr>
          </w:p>
        </w:tc>
      </w:tr>
      <w:tr>
        <w:trPr>
          <w:trHeight w:val="182"/>
        </w:trPr>
        <w:tc>
          <w:tcPr>
            <w:tcW w:w="20" w:type="dxa"/>
            <w:vAlign w:val="bottom"/>
          </w:tcPr>
          <w:p>
            <w:pPr>
              <w:spacing w:after="0"/>
              <w:rPr>
                <w:sz w:val="15"/>
                <w:szCs w:val="15"/>
                <w:color w:val="auto"/>
              </w:rPr>
            </w:pPr>
          </w:p>
        </w:tc>
        <w:tc>
          <w:tcPr>
            <w:tcW w:w="2460" w:type="dxa"/>
            <w:vAlign w:val="bottom"/>
            <w:shd w:val="clear" w:color="auto" w:fill="FCE9E8"/>
          </w:tcPr>
          <w:p>
            <w:pPr>
              <w:spacing w:after="0" w:line="181" w:lineRule="exact"/>
              <w:rPr>
                <w:sz w:val="20"/>
                <w:szCs w:val="20"/>
                <w:color w:val="auto"/>
              </w:rPr>
            </w:pPr>
            <w:r>
              <w:rPr>
                <w:rFonts w:ascii="Arial" w:cs="Arial" w:eastAsia="Arial" w:hAnsi="Arial"/>
                <w:sz w:val="16"/>
                <w:szCs w:val="16"/>
                <w:b w:val="1"/>
                <w:bCs w:val="1"/>
                <w:color w:val="auto"/>
              </w:rPr>
              <w:t>Compensation Committee</w:t>
            </w:r>
          </w:p>
        </w:tc>
        <w:tc>
          <w:tcPr>
            <w:tcW w:w="600" w:type="dxa"/>
            <w:vAlign w:val="bottom"/>
            <w:shd w:val="clear" w:color="auto" w:fill="FCE9E8"/>
          </w:tcPr>
          <w:p>
            <w:pPr>
              <w:ind w:left="480"/>
              <w:spacing w:after="0" w:line="181" w:lineRule="exact"/>
              <w:rPr>
                <w:sz w:val="20"/>
                <w:szCs w:val="20"/>
                <w:color w:val="auto"/>
              </w:rPr>
            </w:pPr>
            <w:r>
              <w:rPr>
                <w:rFonts w:ascii="Arial" w:cs="Arial" w:eastAsia="Arial" w:hAnsi="Arial"/>
                <w:sz w:val="16"/>
                <w:szCs w:val="16"/>
                <w:color w:val="auto"/>
              </w:rPr>
              <w:t>•</w:t>
            </w:r>
          </w:p>
        </w:tc>
        <w:tc>
          <w:tcPr>
            <w:tcW w:w="7800" w:type="dxa"/>
            <w:vAlign w:val="bottom"/>
            <w:shd w:val="clear" w:color="auto" w:fill="FCE9E8"/>
          </w:tcPr>
          <w:p>
            <w:pPr>
              <w:ind w:left="40"/>
              <w:spacing w:after="0" w:line="181" w:lineRule="exact"/>
              <w:rPr>
                <w:sz w:val="20"/>
                <w:szCs w:val="20"/>
                <w:color w:val="auto"/>
              </w:rPr>
            </w:pPr>
            <w:r>
              <w:rPr>
                <w:rFonts w:ascii="Arial" w:cs="Arial" w:eastAsia="Arial" w:hAnsi="Arial"/>
                <w:sz w:val="16"/>
                <w:szCs w:val="16"/>
                <w:color w:val="auto"/>
                <w:w w:val="99"/>
              </w:rPr>
              <w:t>Oversees the review and evaluation of the risks associated with our compensation policies and practices (see</w:t>
            </w:r>
          </w:p>
        </w:tc>
      </w:tr>
      <w:tr>
        <w:trPr>
          <w:trHeight w:val="193"/>
        </w:trPr>
        <w:tc>
          <w:tcPr>
            <w:tcW w:w="20" w:type="dxa"/>
            <w:vAlign w:val="bottom"/>
          </w:tcPr>
          <w:p>
            <w:pPr>
              <w:spacing w:after="0"/>
              <w:rPr>
                <w:sz w:val="16"/>
                <w:szCs w:val="16"/>
                <w:color w:val="auto"/>
              </w:rPr>
            </w:pPr>
          </w:p>
        </w:tc>
        <w:tc>
          <w:tcPr>
            <w:tcW w:w="2460" w:type="dxa"/>
            <w:vAlign w:val="bottom"/>
            <w:shd w:val="clear" w:color="auto" w:fill="FCE9E8"/>
          </w:tcPr>
          <w:p>
            <w:pPr>
              <w:spacing w:after="0"/>
              <w:rPr>
                <w:sz w:val="16"/>
                <w:szCs w:val="16"/>
                <w:color w:val="auto"/>
              </w:rPr>
            </w:pPr>
          </w:p>
        </w:tc>
        <w:tc>
          <w:tcPr>
            <w:tcW w:w="600" w:type="dxa"/>
            <w:vAlign w:val="bottom"/>
            <w:shd w:val="clear" w:color="auto" w:fill="FCE9E8"/>
          </w:tcPr>
          <w:p>
            <w:pPr>
              <w:spacing w:after="0"/>
              <w:rPr>
                <w:sz w:val="16"/>
                <w:szCs w:val="16"/>
                <w:color w:val="auto"/>
              </w:rPr>
            </w:pPr>
          </w:p>
        </w:tc>
        <w:tc>
          <w:tcPr>
            <w:tcW w:w="7800" w:type="dxa"/>
            <w:vAlign w:val="bottom"/>
            <w:shd w:val="clear" w:color="auto" w:fill="FCE9E8"/>
          </w:tcPr>
          <w:p>
            <w:pPr>
              <w:ind w:left="40"/>
              <w:spacing w:after="0"/>
              <w:rPr>
                <w:sz w:val="20"/>
                <w:szCs w:val="20"/>
                <w:color w:val="auto"/>
              </w:rPr>
            </w:pPr>
            <w:r>
              <w:rPr>
                <w:rFonts w:ascii="Arial" w:cs="Arial" w:eastAsia="Arial" w:hAnsi="Arial"/>
                <w:sz w:val="16"/>
                <w:szCs w:val="16"/>
                <w:color w:val="auto"/>
              </w:rPr>
              <w:t>also “Compensation and Risk”)</w:t>
            </w:r>
          </w:p>
        </w:tc>
      </w:tr>
      <w:tr>
        <w:trPr>
          <w:trHeight w:val="125"/>
        </w:trPr>
        <w:tc>
          <w:tcPr>
            <w:tcW w:w="20" w:type="dxa"/>
            <w:vAlign w:val="bottom"/>
          </w:tcPr>
          <w:p>
            <w:pPr>
              <w:spacing w:after="0"/>
              <w:rPr>
                <w:sz w:val="10"/>
                <w:szCs w:val="10"/>
                <w:color w:val="auto"/>
              </w:rPr>
            </w:pPr>
          </w:p>
        </w:tc>
        <w:tc>
          <w:tcPr>
            <w:tcW w:w="2460" w:type="dxa"/>
            <w:vAlign w:val="bottom"/>
            <w:tcBorders>
              <w:bottom w:val="single" w:sz="8" w:color="auto"/>
            </w:tcBorders>
            <w:shd w:val="clear" w:color="auto" w:fill="FCE9E8"/>
          </w:tcPr>
          <w:p>
            <w:pPr>
              <w:spacing w:after="0"/>
              <w:rPr>
                <w:sz w:val="10"/>
                <w:szCs w:val="10"/>
                <w:color w:val="auto"/>
              </w:rPr>
            </w:pPr>
          </w:p>
        </w:tc>
        <w:tc>
          <w:tcPr>
            <w:tcW w:w="600" w:type="dxa"/>
            <w:vAlign w:val="bottom"/>
            <w:tcBorders>
              <w:bottom w:val="single" w:sz="8" w:color="auto"/>
            </w:tcBorders>
            <w:shd w:val="clear" w:color="auto" w:fill="FCE9E8"/>
          </w:tcPr>
          <w:p>
            <w:pPr>
              <w:spacing w:after="0"/>
              <w:rPr>
                <w:sz w:val="10"/>
                <w:szCs w:val="10"/>
                <w:color w:val="auto"/>
              </w:rPr>
            </w:pPr>
          </w:p>
        </w:tc>
        <w:tc>
          <w:tcPr>
            <w:tcW w:w="7800" w:type="dxa"/>
            <w:vAlign w:val="bottom"/>
            <w:tcBorders>
              <w:bottom w:val="single" w:sz="8" w:color="auto"/>
            </w:tcBorders>
            <w:shd w:val="clear" w:color="auto" w:fill="FCE9E8"/>
          </w:tcPr>
          <w:p>
            <w:pPr>
              <w:spacing w:after="0"/>
              <w:rPr>
                <w:sz w:val="10"/>
                <w:szCs w:val="10"/>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6"/>
                <w:szCs w:val="16"/>
                <w:b w:val="1"/>
                <w:bCs w:val="1"/>
                <w:color w:val="auto"/>
              </w:rPr>
              <w:t>Nominating Committee</w:t>
            </w:r>
          </w:p>
        </w:tc>
        <w:tc>
          <w:tcPr>
            <w:tcW w:w="600" w:type="dxa"/>
            <w:vAlign w:val="bottom"/>
          </w:tcPr>
          <w:p>
            <w:pPr>
              <w:ind w:left="480"/>
              <w:spacing w:after="0"/>
              <w:rPr>
                <w:sz w:val="20"/>
                <w:szCs w:val="20"/>
                <w:color w:val="auto"/>
              </w:rPr>
            </w:pPr>
            <w:r>
              <w:rPr>
                <w:rFonts w:ascii="Arial" w:cs="Arial" w:eastAsia="Arial" w:hAnsi="Arial"/>
                <w:sz w:val="16"/>
                <w:szCs w:val="16"/>
                <w:color w:val="auto"/>
              </w:rPr>
              <w:t>•</w:t>
            </w:r>
          </w:p>
        </w:tc>
        <w:tc>
          <w:tcPr>
            <w:tcW w:w="7800" w:type="dxa"/>
            <w:vAlign w:val="bottom"/>
          </w:tcPr>
          <w:p>
            <w:pPr>
              <w:ind w:left="40"/>
              <w:spacing w:after="0"/>
              <w:rPr>
                <w:sz w:val="20"/>
                <w:szCs w:val="20"/>
                <w:color w:val="auto"/>
              </w:rPr>
            </w:pPr>
            <w:r>
              <w:rPr>
                <w:rFonts w:ascii="Arial" w:cs="Arial" w:eastAsia="Arial" w:hAnsi="Arial"/>
                <w:sz w:val="16"/>
                <w:szCs w:val="16"/>
                <w:color w:val="auto"/>
              </w:rPr>
              <w:t>Oversees risks associated with our governance structure and processes</w:t>
            </w:r>
          </w:p>
        </w:tc>
      </w:tr>
      <w:tr>
        <w:trPr>
          <w:trHeight w:val="282"/>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0" w:type="dxa"/>
            <w:vAlign w:val="bottom"/>
          </w:tcPr>
          <w:p>
            <w:pPr>
              <w:ind w:left="480"/>
              <w:spacing w:after="0"/>
              <w:rPr>
                <w:sz w:val="20"/>
                <w:szCs w:val="20"/>
                <w:color w:val="auto"/>
              </w:rPr>
            </w:pPr>
            <w:r>
              <w:rPr>
                <w:rFonts w:ascii="Arial" w:cs="Arial" w:eastAsia="Arial" w:hAnsi="Arial"/>
                <w:sz w:val="16"/>
                <w:szCs w:val="16"/>
                <w:color w:val="auto"/>
              </w:rPr>
              <w:t>•</w:t>
            </w:r>
          </w:p>
        </w:tc>
        <w:tc>
          <w:tcPr>
            <w:tcW w:w="7800" w:type="dxa"/>
            <w:vAlign w:val="bottom"/>
          </w:tcPr>
          <w:p>
            <w:pPr>
              <w:ind w:left="40"/>
              <w:spacing w:after="0"/>
              <w:rPr>
                <w:sz w:val="20"/>
                <w:szCs w:val="20"/>
                <w:color w:val="auto"/>
              </w:rPr>
            </w:pPr>
            <w:r>
              <w:rPr>
                <w:rFonts w:ascii="Arial" w:cs="Arial" w:eastAsia="Arial" w:hAnsi="Arial"/>
                <w:sz w:val="16"/>
                <w:szCs w:val="16"/>
                <w:color w:val="auto"/>
              </w:rPr>
              <w:t>Reviews our organizational documents, Code of Business Conduct and Ethics, Corporate Governance</w:t>
            </w:r>
          </w:p>
        </w:tc>
      </w:tr>
      <w:tr>
        <w:trPr>
          <w:trHeight w:val="193"/>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0" w:type="dxa"/>
            <w:vAlign w:val="bottom"/>
          </w:tcPr>
          <w:p>
            <w:pPr>
              <w:ind w:left="40"/>
              <w:spacing w:after="0"/>
              <w:rPr>
                <w:sz w:val="20"/>
                <w:szCs w:val="20"/>
                <w:color w:val="auto"/>
              </w:rPr>
            </w:pPr>
            <w:r>
              <w:rPr>
                <w:rFonts w:ascii="Arial" w:cs="Arial" w:eastAsia="Arial" w:hAnsi="Arial"/>
                <w:sz w:val="16"/>
                <w:szCs w:val="16"/>
                <w:color w:val="auto"/>
              </w:rPr>
              <w:t>Guidelines and other policies</w:t>
            </w:r>
          </w:p>
        </w:tc>
      </w:tr>
      <w:tr>
        <w:trPr>
          <w:trHeight w:val="300"/>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0" w:type="dxa"/>
            <w:vAlign w:val="bottom"/>
          </w:tcPr>
          <w:p>
            <w:pPr>
              <w:ind w:left="480"/>
              <w:spacing w:after="0"/>
              <w:rPr>
                <w:sz w:val="20"/>
                <w:szCs w:val="20"/>
                <w:color w:val="auto"/>
              </w:rPr>
            </w:pPr>
            <w:r>
              <w:rPr>
                <w:rFonts w:ascii="Arial" w:cs="Arial" w:eastAsia="Arial" w:hAnsi="Arial"/>
                <w:sz w:val="16"/>
                <w:szCs w:val="16"/>
                <w:color w:val="auto"/>
              </w:rPr>
              <w:t>•</w:t>
            </w:r>
          </w:p>
        </w:tc>
        <w:tc>
          <w:tcPr>
            <w:tcW w:w="7800" w:type="dxa"/>
            <w:vAlign w:val="bottom"/>
          </w:tcPr>
          <w:p>
            <w:pPr>
              <w:ind w:left="40"/>
              <w:spacing w:after="0"/>
              <w:rPr>
                <w:sz w:val="20"/>
                <w:szCs w:val="20"/>
                <w:color w:val="auto"/>
              </w:rPr>
            </w:pPr>
            <w:r>
              <w:rPr>
                <w:rFonts w:ascii="Arial" w:cs="Arial" w:eastAsia="Arial" w:hAnsi="Arial"/>
                <w:sz w:val="16"/>
                <w:szCs w:val="16"/>
                <w:color w:val="auto"/>
              </w:rPr>
              <w:t>Oversees sustainability issues, including as they pertain to environmental and corporate social responsibility</w:t>
            </w:r>
          </w:p>
        </w:tc>
      </w:tr>
      <w:tr>
        <w:trPr>
          <w:trHeight w:val="193"/>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0" w:type="dxa"/>
            <w:vAlign w:val="bottom"/>
          </w:tcPr>
          <w:p>
            <w:pPr>
              <w:ind w:left="40"/>
              <w:spacing w:after="0"/>
              <w:rPr>
                <w:sz w:val="20"/>
                <w:szCs w:val="20"/>
                <w:color w:val="auto"/>
              </w:rPr>
            </w:pPr>
            <w:r>
              <w:rPr>
                <w:rFonts w:ascii="Arial" w:cs="Arial" w:eastAsia="Arial" w:hAnsi="Arial"/>
                <w:sz w:val="16"/>
                <w:szCs w:val="16"/>
                <w:color w:val="auto"/>
              </w:rPr>
              <w:t>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104775</wp:posOffset>
            </wp:positionV>
            <wp:extent cx="69018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82" w:lineRule="exact"/>
        <w:rPr>
          <w:sz w:val="20"/>
          <w:szCs w:val="20"/>
          <w:color w:val="auto"/>
        </w:rPr>
      </w:pPr>
    </w:p>
    <w:p>
      <w:pPr>
        <w:ind w:left="740" w:hanging="359"/>
        <w:spacing w:after="0"/>
        <w:tabs>
          <w:tab w:leader="none" w:pos="7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60"/>
          </w:cols>
          <w:pgMar w:left="240" w:top="455" w:right="49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Corporate Social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sectPr>
      </w:pPr>
    </w:p>
    <w:p>
      <w:pPr>
        <w:spacing w:after="0" w:line="318" w:lineRule="exact"/>
        <w:rPr>
          <w:sz w:val="20"/>
          <w:szCs w:val="20"/>
          <w:color w:val="auto"/>
        </w:rPr>
      </w:pPr>
    </w:p>
    <w:p>
      <w:pPr>
        <w:ind w:left="280"/>
        <w:spacing w:after="0" w:line="247" w:lineRule="auto"/>
        <w:rPr>
          <w:sz w:val="20"/>
          <w:szCs w:val="20"/>
          <w:color w:val="auto"/>
        </w:rPr>
      </w:pPr>
      <w:r>
        <w:rPr>
          <w:rFonts w:ascii="Arial" w:cs="Arial" w:eastAsia="Arial" w:hAnsi="Arial"/>
          <w:sz w:val="16"/>
          <w:szCs w:val="16"/>
          <w:color w:val="auto"/>
        </w:rPr>
        <w:t xml:space="preserve">Consistent with Lear’s mantra, </w:t>
      </w:r>
      <w:r>
        <w:rPr>
          <w:rFonts w:ascii="Arial" w:cs="Arial" w:eastAsia="Arial" w:hAnsi="Arial"/>
          <w:sz w:val="16"/>
          <w:szCs w:val="16"/>
          <w:i w:val="1"/>
          <w:iCs w:val="1"/>
          <w:color w:val="auto"/>
        </w:rPr>
        <w:t>Where Passion Drives Possibilities</w:t>
      </w:r>
      <w:r>
        <w:rPr>
          <w:rFonts w:ascii="Arial" w:cs="Arial" w:eastAsia="Arial" w:hAnsi="Arial"/>
          <w:sz w:val="16"/>
          <w:szCs w:val="16"/>
          <w:color w:val="auto"/>
        </w:rPr>
        <w:t>, we work to ensure that our passion for our business is also channeled into creating possibilities for a better world. This means that as part of our corporate social responsibility (“CSR”) initiatives, we are committed to safety in our workplaces, sustainability in our operations and products and reduction of our natural resource consumption. Additionally, supporting the communities around the world in which we do business is one of our core values.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Our CSR commitment is realized through a strategy of talent management focused on leadership development and employee engagement and the continuous improvement of our environmental, health and safety management systems, programs and operations to enhance performance and teamwork.</w:t>
      </w:r>
    </w:p>
    <w:p>
      <w:pPr>
        <w:spacing w:after="0" w:line="755" w:lineRule="exact"/>
        <w:rPr>
          <w:sz w:val="20"/>
          <w:szCs w:val="20"/>
          <w:color w:val="auto"/>
        </w:rPr>
      </w:pPr>
    </w:p>
    <w:p>
      <w:pPr>
        <w:sectPr>
          <w:pgSz w:w="11900" w:h="16838" w:orient="portrait"/>
          <w:cols w:equalWidth="0" w:num="2">
            <w:col w:w="5400" w:space="420"/>
            <w:col w:w="5320"/>
          </w:cols>
          <w:pgMar w:left="240" w:top="455" w:right="519" w:bottom="1440" w:gutter="0" w:footer="0" w:header="0"/>
          <w:type w:val="continuous"/>
        </w:sectPr>
      </w:pPr>
    </w:p>
    <w:p>
      <w:pPr>
        <w:spacing w:after="0" w:line="155" w:lineRule="exact"/>
        <w:rPr>
          <w:sz w:val="20"/>
          <w:szCs w:val="20"/>
          <w:color w:val="auto"/>
        </w:rPr>
      </w:pPr>
    </w:p>
    <w:p>
      <w:pPr>
        <w:ind w:left="280"/>
        <w:spacing w:after="0"/>
        <w:tabs>
          <w:tab w:leader="none" w:pos="5860" w:val="left"/>
        </w:tabs>
        <w:rPr>
          <w:sz w:val="20"/>
          <w:szCs w:val="20"/>
          <w:color w:val="auto"/>
        </w:rPr>
      </w:pPr>
      <w:r>
        <w:rPr>
          <w:rFonts w:ascii="Arial" w:cs="Arial" w:eastAsia="Arial" w:hAnsi="Arial"/>
          <w:sz w:val="18"/>
          <w:szCs w:val="18"/>
          <w:b w:val="1"/>
          <w:bCs w:val="1"/>
          <w:i w:val="1"/>
          <w:iCs w:val="1"/>
          <w:color w:val="auto"/>
        </w:rPr>
        <w:t>Sustainability Strategy</w:t>
      </w:r>
      <w:r>
        <w:rPr>
          <w:sz w:val="20"/>
          <w:szCs w:val="20"/>
          <w:color w:val="auto"/>
        </w:rPr>
        <w:tab/>
      </w:r>
      <w:r>
        <w:rPr>
          <w:rFonts w:ascii="Arial" w:cs="Arial" w:eastAsia="Arial" w:hAnsi="Arial"/>
          <w:sz w:val="17"/>
          <w:szCs w:val="17"/>
          <w:b w:val="1"/>
          <w:bCs w:val="1"/>
          <w:i w:val="1"/>
          <w:iCs w:val="1"/>
          <w:color w:val="auto"/>
        </w:rPr>
        <w:t>Environmental, Health &amp; Safety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10160</wp:posOffset>
            </wp:positionV>
            <wp:extent cx="6901815" cy="23933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01815" cy="239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foundation for achieving our CSR commitment is based on:</w:t>
      </w:r>
    </w:p>
    <w:p>
      <w:pPr>
        <w:spacing w:after="0" w:line="122" w:lineRule="exact"/>
        <w:rPr>
          <w:sz w:val="20"/>
          <w:szCs w:val="20"/>
          <w:color w:val="auto"/>
        </w:rPr>
      </w:pPr>
    </w:p>
    <w:p>
      <w:pPr>
        <w:ind w:left="6040" w:right="420" w:hanging="159"/>
        <w:spacing w:after="0" w:line="254" w:lineRule="auto"/>
        <w:rPr>
          <w:sz w:val="20"/>
          <w:szCs w:val="20"/>
          <w:color w:val="auto"/>
        </w:rPr>
      </w:pPr>
      <w:r>
        <w:rPr>
          <w:rFonts w:ascii="Arial" w:cs="Arial" w:eastAsia="Arial" w:hAnsi="Arial"/>
          <w:sz w:val="16"/>
          <w:szCs w:val="16"/>
          <w:color w:val="auto"/>
        </w:rPr>
        <w:t>• Integrating EHS, as well as Sustainability, into our overall business strategy and supply chain management.</w:t>
      </w:r>
    </w:p>
    <w:p>
      <w:pPr>
        <w:spacing w:after="0" w:line="103" w:lineRule="exact"/>
        <w:rPr>
          <w:sz w:val="20"/>
          <w:szCs w:val="20"/>
          <w:color w:val="auto"/>
        </w:rPr>
      </w:pPr>
    </w:p>
    <w:p>
      <w:pPr>
        <w:ind w:left="6040" w:right="540" w:hanging="159"/>
        <w:spacing w:after="0" w:line="254" w:lineRule="auto"/>
        <w:rPr>
          <w:sz w:val="20"/>
          <w:szCs w:val="20"/>
          <w:color w:val="auto"/>
        </w:rPr>
      </w:pPr>
      <w:r>
        <w:rPr>
          <w:rFonts w:ascii="Arial" w:cs="Arial" w:eastAsia="Arial" w:hAnsi="Arial"/>
          <w:sz w:val="16"/>
          <w:szCs w:val="16"/>
          <w:color w:val="auto"/>
        </w:rPr>
        <w:t>• Reducing EHS risks by minimizing the environmental impact and eliminating health and safety hazards.</w:t>
      </w:r>
    </w:p>
    <w:p>
      <w:pPr>
        <w:spacing w:after="0" w:line="103" w:lineRule="exact"/>
        <w:rPr>
          <w:sz w:val="20"/>
          <w:szCs w:val="20"/>
          <w:color w:val="auto"/>
        </w:rPr>
      </w:pPr>
    </w:p>
    <w:p>
      <w:pPr>
        <w:ind w:left="6040" w:right="160" w:hanging="159"/>
        <w:spacing w:after="0" w:line="254" w:lineRule="auto"/>
        <w:rPr>
          <w:sz w:val="20"/>
          <w:szCs w:val="20"/>
          <w:color w:val="auto"/>
        </w:rPr>
      </w:pPr>
      <w:r>
        <w:rPr>
          <w:rFonts w:ascii="Arial" w:cs="Arial" w:eastAsia="Arial" w:hAnsi="Arial"/>
          <w:sz w:val="16"/>
          <w:szCs w:val="16"/>
          <w:color w:val="auto"/>
        </w:rPr>
        <w:t>• Developing and utilizing environmentally acceptable, safe, sustainable and efficient production methods and processes.</w:t>
      </w:r>
    </w:p>
    <w:p>
      <w:pPr>
        <w:spacing w:after="0" w:line="103" w:lineRule="exact"/>
        <w:rPr>
          <w:sz w:val="20"/>
          <w:szCs w:val="20"/>
          <w:color w:val="auto"/>
        </w:rPr>
      </w:pPr>
    </w:p>
    <w:p>
      <w:pPr>
        <w:ind w:left="6040" w:right="600" w:hanging="159"/>
        <w:spacing w:after="0" w:line="254" w:lineRule="auto"/>
        <w:rPr>
          <w:sz w:val="20"/>
          <w:szCs w:val="20"/>
          <w:color w:val="auto"/>
        </w:rPr>
      </w:pPr>
      <w:r>
        <w:rPr>
          <w:rFonts w:ascii="Arial" w:cs="Arial" w:eastAsia="Arial" w:hAnsi="Arial"/>
          <w:sz w:val="16"/>
          <w:szCs w:val="16"/>
          <w:color w:val="auto"/>
        </w:rPr>
        <w:t>• Implementing efficient uses of energy, reducing greenhouse gas emissions and supporting climate change initiatives.</w:t>
      </w:r>
    </w:p>
    <w:p>
      <w:pPr>
        <w:spacing w:after="0" w:line="103" w:lineRule="exact"/>
        <w:rPr>
          <w:sz w:val="20"/>
          <w:szCs w:val="20"/>
          <w:color w:val="auto"/>
        </w:rPr>
      </w:pPr>
    </w:p>
    <w:p>
      <w:pPr>
        <w:ind w:left="6040" w:right="180" w:hanging="159"/>
        <w:spacing w:after="0" w:line="254" w:lineRule="auto"/>
        <w:rPr>
          <w:sz w:val="20"/>
          <w:szCs w:val="20"/>
          <w:color w:val="auto"/>
        </w:rPr>
      </w:pPr>
      <w:r>
        <w:rPr>
          <w:rFonts w:ascii="Arial" w:cs="Arial" w:eastAsia="Arial" w:hAnsi="Arial"/>
          <w:sz w:val="16"/>
          <w:szCs w:val="16"/>
          <w:color w:val="auto"/>
        </w:rPr>
        <w:t>• Reducing our use of chemicals and raw materials, as well as reducing waste generation.</w:t>
      </w:r>
    </w:p>
    <w:p>
      <w:pPr>
        <w:spacing w:after="0" w:line="103" w:lineRule="exact"/>
        <w:rPr>
          <w:sz w:val="20"/>
          <w:szCs w:val="20"/>
          <w:color w:val="auto"/>
        </w:rPr>
      </w:pPr>
    </w:p>
    <w:p>
      <w:pPr>
        <w:ind w:left="6040" w:right="200" w:hanging="159"/>
        <w:spacing w:after="0" w:line="254" w:lineRule="auto"/>
        <w:rPr>
          <w:sz w:val="20"/>
          <w:szCs w:val="20"/>
          <w:color w:val="auto"/>
        </w:rPr>
      </w:pPr>
      <w:r>
        <w:rPr>
          <w:rFonts w:ascii="Arial" w:cs="Arial" w:eastAsia="Arial" w:hAnsi="Arial"/>
          <w:sz w:val="16"/>
          <w:szCs w:val="16"/>
          <w:color w:val="auto"/>
        </w:rPr>
        <w:t>• Communicating our policies and expectations to all of our employees, customers, suppliers, other stakeholders and the public.</w:t>
      </w:r>
    </w:p>
    <w:p>
      <w:pPr>
        <w:sectPr>
          <w:pgSz w:w="11900" w:h="16838" w:orient="portrait"/>
          <w:cols w:equalWidth="0" w:num="1">
            <w:col w:w="11140"/>
          </w:cols>
          <w:pgMar w:left="240" w:top="455" w:right="519" w:bottom="1440" w:gutter="0" w:footer="0" w:header="0"/>
          <w:type w:val="continuous"/>
        </w:sectPr>
      </w:pPr>
    </w:p>
    <w:p>
      <w:pPr>
        <w:spacing w:after="0" w:line="18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Social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10160</wp:posOffset>
            </wp:positionV>
            <wp:extent cx="34848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84880" cy="8255"/>
                    </a:xfrm>
                    <a:prstGeom prst="rect">
                      <a:avLst/>
                    </a:prstGeom>
                    <a:noFill/>
                  </pic:spPr>
                </pic:pic>
              </a:graphicData>
            </a:graphic>
          </wp:anchor>
        </w:drawing>
      </w:r>
    </w:p>
    <w:p>
      <w:pPr>
        <w:spacing w:after="0" w:line="157" w:lineRule="exact"/>
        <w:rPr>
          <w:sz w:val="20"/>
          <w:szCs w:val="20"/>
          <w:color w:val="auto"/>
        </w:rPr>
      </w:pPr>
    </w:p>
    <w:p>
      <w:pPr>
        <w:ind w:left="420" w:hanging="140"/>
        <w:spacing w:after="0"/>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actively support human and animal rights.</w:t>
      </w:r>
    </w:p>
    <w:p>
      <w:pPr>
        <w:spacing w:after="0" w:line="122" w:lineRule="exact"/>
        <w:rPr>
          <w:rFonts w:ascii="Arial" w:cs="Arial" w:eastAsia="Arial" w:hAnsi="Arial"/>
          <w:sz w:val="16"/>
          <w:szCs w:val="16"/>
          <w:color w:val="auto"/>
        </w:rPr>
      </w:pPr>
    </w:p>
    <w:p>
      <w:pPr>
        <w:ind w:left="440" w:hanging="160"/>
        <w:spacing w:after="0" w:line="254" w:lineRule="auto"/>
        <w:tabs>
          <w:tab w:leader="none" w:pos="42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have a global reporting channel for any ethical concerns or violations for our employees and our supply chain.</w:t>
      </w:r>
    </w:p>
    <w:p>
      <w:pPr>
        <w:spacing w:after="0" w:line="103" w:lineRule="exact"/>
        <w:rPr>
          <w:rFonts w:ascii="Arial" w:cs="Arial" w:eastAsia="Arial" w:hAnsi="Arial"/>
          <w:sz w:val="16"/>
          <w:szCs w:val="16"/>
          <w:color w:val="auto"/>
        </w:rPr>
      </w:pPr>
    </w:p>
    <w:p>
      <w:pPr>
        <w:jc w:val="both"/>
        <w:ind w:left="440" w:right="160" w:hanging="160"/>
        <w:spacing w:after="0" w:line="248" w:lineRule="auto"/>
        <w:tabs>
          <w:tab w:leader="none" w:pos="42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are committed to partnering with our industry and society in driving change through the implementation of the United Nations Sustainable Development Goals.</w:t>
      </w:r>
    </w:p>
    <w:p>
      <w:pPr>
        <w:spacing w:after="0" w:line="108" w:lineRule="exact"/>
        <w:rPr>
          <w:rFonts w:ascii="Arial" w:cs="Arial" w:eastAsia="Arial" w:hAnsi="Arial"/>
          <w:sz w:val="16"/>
          <w:szCs w:val="16"/>
          <w:color w:val="auto"/>
        </w:rPr>
      </w:pPr>
    </w:p>
    <w:p>
      <w:pPr>
        <w:ind w:left="420" w:hanging="140"/>
        <w:spacing w:after="0"/>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Community outreach and giving are engrained in our core values.</w:t>
      </w:r>
    </w:p>
    <w:p>
      <w:pPr>
        <w:spacing w:after="0" w:line="122" w:lineRule="exact"/>
        <w:rPr>
          <w:rFonts w:ascii="Arial" w:cs="Arial" w:eastAsia="Arial" w:hAnsi="Arial"/>
          <w:sz w:val="16"/>
          <w:szCs w:val="16"/>
          <w:color w:val="auto"/>
        </w:rPr>
      </w:pPr>
    </w:p>
    <w:p>
      <w:pPr>
        <w:ind w:left="420" w:hanging="140"/>
        <w:spacing w:after="0"/>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have developed a global distracted driving awareness initiative.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33496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49625" cy="8255"/>
                    </a:xfrm>
                    <a:prstGeom prst="rect">
                      <a:avLst/>
                    </a:prstGeom>
                    <a:noFill/>
                  </pic:spPr>
                </pic:pic>
              </a:graphicData>
            </a:graphic>
          </wp:anchor>
        </w:drawing>
      </w:r>
    </w:p>
    <w:p>
      <w:pPr>
        <w:spacing w:after="0" w:line="141" w:lineRule="exact"/>
        <w:rPr>
          <w:sz w:val="20"/>
          <w:szCs w:val="20"/>
          <w:color w:val="auto"/>
        </w:rPr>
      </w:pPr>
    </w:p>
    <w:p>
      <w:pPr>
        <w:ind w:left="166" w:right="20" w:hanging="166"/>
        <w:spacing w:after="0" w:line="253" w:lineRule="auto"/>
        <w:tabs>
          <w:tab w:leader="none" w:pos="152"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Together We Win </w:t>
      </w:r>
      <w:r>
        <w:rPr>
          <w:rFonts w:ascii="Arial" w:cs="Arial" w:eastAsia="Arial" w:hAnsi="Arial"/>
          <w:sz w:val="16"/>
          <w:szCs w:val="16"/>
          <w:color w:val="auto"/>
        </w:rPr>
        <w:t>is our global employee engagement initiative focused</w:t>
      </w:r>
      <w:r>
        <w:rPr>
          <w:rFonts w:ascii="Arial" w:cs="Arial" w:eastAsia="Arial" w:hAnsi="Arial"/>
          <w:sz w:val="16"/>
          <w:szCs w:val="16"/>
          <w:i w:val="1"/>
          <w:iCs w:val="1"/>
          <w:color w:val="auto"/>
        </w:rPr>
        <w:t xml:space="preserve"> </w:t>
      </w:r>
      <w:r>
        <w:rPr>
          <w:rFonts w:ascii="Arial" w:cs="Arial" w:eastAsia="Arial" w:hAnsi="Arial"/>
          <w:sz w:val="16"/>
          <w:szCs w:val="16"/>
          <w:color w:val="auto"/>
        </w:rPr>
        <w:t>on driving positive culture change in our operational environments using four key elements: Leadership, Work Environment, Employee Involvement and Teams.</w:t>
      </w:r>
    </w:p>
    <w:p>
      <w:pPr>
        <w:spacing w:after="0" w:line="105" w:lineRule="exact"/>
        <w:rPr>
          <w:rFonts w:ascii="Arial" w:cs="Arial" w:eastAsia="Arial" w:hAnsi="Arial"/>
          <w:sz w:val="16"/>
          <w:szCs w:val="16"/>
          <w:color w:val="auto"/>
        </w:rPr>
      </w:pPr>
    </w:p>
    <w:p>
      <w:pPr>
        <w:ind w:left="166" w:right="480" w:hanging="166"/>
        <w:spacing w:after="0" w:line="287" w:lineRule="auto"/>
        <w:tabs>
          <w:tab w:leader="none" w:pos="152" w:val="left"/>
        </w:tabs>
        <w:numPr>
          <w:ilvl w:val="0"/>
          <w:numId w:val="43"/>
        </w:numPr>
        <w:rPr>
          <w:rFonts w:ascii="Arial" w:cs="Arial" w:eastAsia="Arial" w:hAnsi="Arial"/>
          <w:sz w:val="15"/>
          <w:szCs w:val="15"/>
          <w:color w:val="auto"/>
        </w:rPr>
      </w:pPr>
      <w:r>
        <w:rPr>
          <w:rFonts w:ascii="Arial" w:cs="Arial" w:eastAsia="Arial" w:hAnsi="Arial"/>
          <w:sz w:val="15"/>
          <w:szCs w:val="15"/>
          <w:color w:val="auto"/>
        </w:rPr>
        <w:t>Diversity and inclusion is deeply integrated into our organizational framework and our hiring and promotional practices.</w:t>
      </w:r>
    </w:p>
    <w:p>
      <w:pPr>
        <w:spacing w:after="0" w:line="80" w:lineRule="exact"/>
        <w:rPr>
          <w:rFonts w:ascii="Arial" w:cs="Arial" w:eastAsia="Arial" w:hAnsi="Arial"/>
          <w:sz w:val="15"/>
          <w:szCs w:val="15"/>
          <w:color w:val="auto"/>
        </w:rPr>
      </w:pPr>
    </w:p>
    <w:p>
      <w:pPr>
        <w:ind w:left="166" w:right="220" w:hanging="166"/>
        <w:spacing w:after="0" w:line="247" w:lineRule="auto"/>
        <w:tabs>
          <w:tab w:leader="none" w:pos="1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Developing talent is a priority across all levels of the organization and includes a CEO Academy, Leadership Model and Assessments, Emerging Leaders Development Program and One Lear Mindset training.</w:t>
      </w:r>
    </w:p>
    <w:p>
      <w:pPr>
        <w:spacing w:after="0" w:line="108" w:lineRule="exact"/>
        <w:rPr>
          <w:sz w:val="20"/>
          <w:szCs w:val="20"/>
          <w:color w:val="auto"/>
        </w:rPr>
      </w:pPr>
    </w:p>
    <w:p>
      <w:pPr>
        <w:sectPr>
          <w:pgSz w:w="11900" w:h="16838" w:orient="portrait"/>
          <w:cols w:equalWidth="0" w:num="2">
            <w:col w:w="5560" w:space="314"/>
            <w:col w:w="5266"/>
          </w:cols>
          <w:pgMar w:left="240" w:top="455" w:right="519" w:bottom="1440" w:gutter="0" w:footer="0" w:header="0"/>
          <w:type w:val="continuous"/>
        </w:sectPr>
      </w:pPr>
    </w:p>
    <w:p>
      <w:pPr>
        <w:ind w:left="280" w:right="200"/>
        <w:spacing w:after="0" w:line="248" w:lineRule="auto"/>
        <w:rPr>
          <w:sz w:val="20"/>
          <w:szCs w:val="20"/>
          <w:color w:val="auto"/>
        </w:rPr>
      </w:pPr>
      <w:r>
        <w:rPr>
          <w:rFonts w:ascii="Arial" w:cs="Arial" w:eastAsia="Arial" w:hAnsi="Arial"/>
          <w:sz w:val="16"/>
          <w:szCs w:val="16"/>
          <w:color w:val="auto"/>
        </w:rPr>
        <w:t>For additional information on our corporate social responsibility initiatives, including our 2017 Sustainability Report and our 2018 Corporate Social Responsibility Supplement, please visit our website at www.lear.com/site/CSR. The information on our website is not part of this proxy statement and is not deemed to be incorporated by reference herein.</w:t>
      </w:r>
    </w:p>
    <w:p>
      <w:pPr>
        <w:spacing w:after="0" w:line="111" w:lineRule="exact"/>
        <w:rPr>
          <w:sz w:val="20"/>
          <w:szCs w:val="20"/>
          <w:color w:val="auto"/>
        </w:rPr>
      </w:pPr>
    </w:p>
    <w:p>
      <w:pPr>
        <w:jc w:val="right"/>
        <w:ind w:right="100"/>
        <w:spacing w:after="0"/>
        <w:tabs>
          <w:tab w:leader="none" w:pos="380" w:val="left"/>
          <w:tab w:leader="none" w:pos="16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19</w:t>
      </w:r>
    </w:p>
    <w:p>
      <w:pPr>
        <w:sectPr>
          <w:pgSz w:w="11900" w:h="16838" w:orient="portrait"/>
          <w:cols w:equalWidth="0" w:num="1">
            <w:col w:w="11140"/>
          </w:cols>
          <w:pgMar w:left="240" w:top="455" w:right="51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p>
      <w:pPr>
        <w:spacing w:after="0" w:line="334"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The Board has approved Corporate Governance Guidelines and a Code of Business Conduct and Ethics. Our corporate governance documents, including the Corporate Governance Guidelines, the Code of Business Conduct and Ethics and committee charters, are available on our website at www.lear.com or in printed form upon request by contacting Lear Corporation at 21557 Telegraph Road, Southfield,</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Michigan 48033, Attention: Investor Relations. The Board regularly reviews corporate governance developments and modifies these documents as warranted. Any modifications will be reflected on our website. The information on our website is not part of this proxy statement and is not deemed to be incorporated by reference herein.</w:t>
      </w:r>
    </w:p>
    <w:p>
      <w:pPr>
        <w:spacing w:after="0" w:line="383" w:lineRule="exact"/>
        <w:rPr>
          <w:sz w:val="20"/>
          <w:szCs w:val="20"/>
          <w:color w:val="auto"/>
        </w:rPr>
      </w:pPr>
    </w:p>
    <w:p>
      <w:pPr>
        <w:sectPr>
          <w:pgSz w:w="11900" w:h="16838" w:orient="portrait"/>
          <w:cols w:equalWidth="0" w:num="2">
            <w:col w:w="5460" w:space="360"/>
            <w:col w:w="5340"/>
          </w:cols>
          <w:pgMar w:left="240" w:top="455" w:right="499" w:bottom="1440" w:gutter="0" w:footer="0" w:header="0"/>
          <w:type w:val="continuous"/>
        </w:sectPr>
      </w:pPr>
    </w:p>
    <w:p>
      <w:pPr>
        <w:spacing w:after="0" w:line="153"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Other Board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type w:val="continuous"/>
        </w:sectPr>
      </w:pPr>
    </w:p>
    <w:p>
      <w:pPr>
        <w:spacing w:after="0" w:line="20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191"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Henry D.G. Wallace is our Non-Executive Chairman of the Board and has served in that role since August 2010. Our Board has decided to maintain separate Chairman and CEO roles to allow our CEO to focus on the execution of our business strategy, growth and development, while allowing the Non-Executive Chairman to lead the Board in its fundamental role of providing advice to, and independent oversight of, management. The Board recognizes the time, effort and</w:t>
      </w:r>
    </w:p>
    <w:p>
      <w:pPr>
        <w:spacing w:after="0" w:line="35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Board Meetings</w:t>
      </w:r>
    </w:p>
    <w:p>
      <w:pPr>
        <w:spacing w:after="0" w:line="191" w:lineRule="exact"/>
        <w:rPr>
          <w:sz w:val="20"/>
          <w:szCs w:val="20"/>
          <w:color w:val="auto"/>
        </w:rPr>
      </w:pPr>
    </w:p>
    <w:p>
      <w:pPr>
        <w:ind w:left="280" w:right="80"/>
        <w:spacing w:after="0" w:line="246" w:lineRule="auto"/>
        <w:rPr>
          <w:sz w:val="20"/>
          <w:szCs w:val="20"/>
          <w:color w:val="auto"/>
        </w:rPr>
      </w:pPr>
      <w:r>
        <w:rPr>
          <w:rFonts w:ascii="Arial" w:cs="Arial" w:eastAsia="Arial" w:hAnsi="Arial"/>
          <w:sz w:val="16"/>
          <w:szCs w:val="16"/>
          <w:color w:val="auto"/>
        </w:rPr>
        <w:t>In 2018, our Board held 6 meetings. In addition to our Board meetings, our directors attend meetings of committees established by our Board. Each of Lear’s director nominees attended at least 75% of the meetings of our Board and the committees on which he or she served during 2018 that were</w:t>
      </w:r>
    </w:p>
    <w:p>
      <w:pPr>
        <w:spacing w:after="0" w:line="200" w:lineRule="exact"/>
        <w:rPr>
          <w:sz w:val="20"/>
          <w:szCs w:val="20"/>
          <w:color w:val="auto"/>
        </w:rPr>
      </w:pPr>
    </w:p>
    <w:p>
      <w:pPr>
        <w:spacing w:after="0" w:line="27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Meetings of Non-Employee Directors</w:t>
      </w:r>
    </w:p>
    <w:p>
      <w:pPr>
        <w:spacing w:after="0" w:line="191" w:lineRule="exact"/>
        <w:rPr>
          <w:sz w:val="20"/>
          <w:szCs w:val="20"/>
          <w:color w:val="auto"/>
        </w:rPr>
      </w:pPr>
    </w:p>
    <w:p>
      <w:pPr>
        <w:ind w:left="280" w:right="100"/>
        <w:spacing w:after="0" w:line="248" w:lineRule="auto"/>
        <w:rPr>
          <w:sz w:val="20"/>
          <w:szCs w:val="20"/>
          <w:color w:val="auto"/>
        </w:rPr>
      </w:pPr>
      <w:r>
        <w:rPr>
          <w:rFonts w:ascii="Arial" w:cs="Arial" w:eastAsia="Arial" w:hAnsi="Arial"/>
          <w:sz w:val="16"/>
          <w:szCs w:val="16"/>
          <w:color w:val="auto"/>
        </w:rPr>
        <w:t>In accordance with our Corporate Governance Guidelines and the listing standards of the NYSE, our non-employee directors meet regularly in executive sessions of the Board without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energy that the CEO is required to devote to his position in the current business environment, as well as the commitment required to serve as our Chairman. While our Bylaws and Corporate Governance Guidelines do not require that our Chairman and CEO positions be separate, the Board believes that having separate positions and having an independent director serve as Non-Executive Chairman is the appropriate leadership structure for the Company at this time.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held when he or she was a director. Our directors are encouraged to attend all annual and special meetings of our stockholders. In 2018, our annual meeting of stockholders was held on May 17, 2018, and all directors attended.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management present. Mr. Wallace, our Non-Executive Chairman, presides over these executive sessions.</w:t>
      </w:r>
    </w:p>
    <w:p>
      <w:pPr>
        <w:spacing w:after="0" w:line="380" w:lineRule="exact"/>
        <w:rPr>
          <w:sz w:val="20"/>
          <w:szCs w:val="20"/>
          <w:color w:val="auto"/>
        </w:rPr>
      </w:pPr>
    </w:p>
    <w:p>
      <w:pPr>
        <w:sectPr>
          <w:pgSz w:w="11900" w:h="16838" w:orient="portrait"/>
          <w:cols w:equalWidth="0" w:num="2">
            <w:col w:w="5480" w:space="340"/>
            <w:col w:w="5340"/>
          </w:cols>
          <w:pgMar w:left="240" w:top="455" w:right="499" w:bottom="1440" w:gutter="0" w:footer="0" w:header="0"/>
          <w:type w:val="continuous"/>
        </w:sectPr>
      </w:pPr>
    </w:p>
    <w:p>
      <w:pPr>
        <w:spacing w:after="0" w:line="13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124" w:lineRule="exact"/>
        <w:rPr>
          <w:sz w:val="20"/>
          <w:szCs w:val="20"/>
          <w:color w:val="auto"/>
        </w:rPr>
      </w:pPr>
    </w:p>
    <w:p>
      <w:pPr>
        <w:ind w:left="280" w:right="160"/>
        <w:spacing w:after="0" w:line="254" w:lineRule="auto"/>
        <w:rPr>
          <w:sz w:val="20"/>
          <w:szCs w:val="20"/>
          <w:color w:val="auto"/>
        </w:rPr>
      </w:pPr>
      <w:r>
        <w:rPr>
          <w:rFonts w:ascii="Arial" w:cs="Arial" w:eastAsia="Arial" w:hAnsi="Arial"/>
          <w:sz w:val="16"/>
          <w:szCs w:val="16"/>
          <w:color w:val="auto"/>
        </w:rPr>
        <w:t>The Board has three standing committees: the Audit Committee, the Compensation Committee and the Nominating Committee. The following chart sets forth the directors who currently serve as members of each of the Board committees.</w:t>
      </w:r>
    </w:p>
    <w:p>
      <w:pPr>
        <w:spacing w:after="0" w:line="207"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320" w:type="dxa"/>
            <w:vAlign w:val="bottom"/>
          </w:tcPr>
          <w:p>
            <w:pPr>
              <w:jc w:val="right"/>
              <w:ind w:right="643"/>
              <w:spacing w:after="0"/>
              <w:rPr>
                <w:sz w:val="20"/>
                <w:szCs w:val="20"/>
                <w:color w:val="auto"/>
              </w:rPr>
            </w:pPr>
            <w:r>
              <w:rPr>
                <w:rFonts w:ascii="Arial" w:cs="Arial" w:eastAsia="Arial" w:hAnsi="Arial"/>
                <w:sz w:val="14"/>
                <w:szCs w:val="14"/>
                <w:b w:val="1"/>
                <w:bCs w:val="1"/>
                <w:color w:val="E2231A"/>
              </w:rPr>
              <w:t>Audit</w:t>
            </w:r>
          </w:p>
        </w:tc>
        <w:tc>
          <w:tcPr>
            <w:tcW w:w="2020" w:type="dxa"/>
            <w:vAlign w:val="bottom"/>
          </w:tcPr>
          <w:p>
            <w:pPr>
              <w:jc w:val="right"/>
              <w:ind w:right="442"/>
              <w:spacing w:after="0"/>
              <w:rPr>
                <w:sz w:val="20"/>
                <w:szCs w:val="20"/>
                <w:color w:val="auto"/>
              </w:rPr>
            </w:pPr>
            <w:r>
              <w:rPr>
                <w:rFonts w:ascii="Arial" w:cs="Arial" w:eastAsia="Arial" w:hAnsi="Arial"/>
                <w:sz w:val="14"/>
                <w:szCs w:val="14"/>
                <w:b w:val="1"/>
                <w:bCs w:val="1"/>
                <w:color w:val="E2231A"/>
              </w:rPr>
              <w:t>Compensation</w:t>
            </w:r>
          </w:p>
        </w:tc>
        <w:tc>
          <w:tcPr>
            <w:tcW w:w="2000" w:type="dxa"/>
            <w:vAlign w:val="bottom"/>
          </w:tcPr>
          <w:p>
            <w:pPr>
              <w:jc w:val="right"/>
              <w:ind w:right="622"/>
              <w:spacing w:after="0"/>
              <w:rPr>
                <w:sz w:val="20"/>
                <w:szCs w:val="20"/>
                <w:color w:val="auto"/>
              </w:rPr>
            </w:pPr>
            <w:r>
              <w:rPr>
                <w:rFonts w:ascii="Arial" w:cs="Arial" w:eastAsia="Arial" w:hAnsi="Arial"/>
                <w:sz w:val="14"/>
                <w:szCs w:val="14"/>
                <w:b w:val="1"/>
                <w:bCs w:val="1"/>
                <w:color w:val="E2231A"/>
              </w:rPr>
              <w:t>Nominating</w:t>
            </w:r>
          </w:p>
        </w:tc>
      </w:tr>
      <w:tr>
        <w:trPr>
          <w:trHeight w:val="186"/>
        </w:trPr>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Directors</w:t>
            </w:r>
          </w:p>
        </w:tc>
        <w:tc>
          <w:tcPr>
            <w:tcW w:w="33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E2231A"/>
              </w:rPr>
              <w:t>Committee</w:t>
            </w:r>
          </w:p>
        </w:tc>
        <w:tc>
          <w:tcPr>
            <w:tcW w:w="20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E2231A"/>
              </w:rPr>
              <w:t>Committee</w:t>
            </w:r>
          </w:p>
        </w:tc>
        <w:tc>
          <w:tcPr>
            <w:tcW w:w="200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E2231A"/>
              </w:rPr>
              <w:t>Committee</w:t>
            </w:r>
          </w:p>
        </w:tc>
      </w:tr>
      <w:tr>
        <w:trPr>
          <w:trHeight w:val="180"/>
        </w:trPr>
        <w:tc>
          <w:tcPr>
            <w:tcW w:w="3540" w:type="dxa"/>
            <w:vAlign w:val="bottom"/>
            <w:shd w:val="clear" w:color="auto" w:fill="FCE9E8"/>
          </w:tcPr>
          <w:p>
            <w:pPr>
              <w:spacing w:after="0" w:line="180" w:lineRule="exact"/>
              <w:rPr>
                <w:sz w:val="20"/>
                <w:szCs w:val="20"/>
                <w:color w:val="auto"/>
              </w:rPr>
            </w:pPr>
            <w:r>
              <w:rPr>
                <w:rFonts w:ascii="Arial" w:cs="Arial" w:eastAsia="Arial" w:hAnsi="Arial"/>
                <w:sz w:val="16"/>
                <w:szCs w:val="16"/>
                <w:color w:val="auto"/>
              </w:rPr>
              <w:t>Richard H. Bott</w:t>
            </w:r>
          </w:p>
        </w:tc>
        <w:tc>
          <w:tcPr>
            <w:tcW w:w="3320" w:type="dxa"/>
            <w:vAlign w:val="bottom"/>
            <w:shd w:val="clear" w:color="auto" w:fill="FCE9E8"/>
          </w:tcPr>
          <w:p>
            <w:pPr>
              <w:jc w:val="right"/>
              <w:ind w:right="443"/>
              <w:spacing w:after="0" w:line="180" w:lineRule="exact"/>
              <w:rPr>
                <w:sz w:val="20"/>
                <w:szCs w:val="20"/>
                <w:color w:val="auto"/>
              </w:rPr>
            </w:pPr>
            <w:r>
              <w:rPr>
                <w:rFonts w:ascii="Arial" w:cs="Arial" w:eastAsia="Arial" w:hAnsi="Arial"/>
                <w:sz w:val="16"/>
                <w:szCs w:val="16"/>
                <w:color w:val="auto"/>
              </w:rPr>
              <w:t>X</w:t>
            </w:r>
          </w:p>
        </w:tc>
        <w:tc>
          <w:tcPr>
            <w:tcW w:w="2020" w:type="dxa"/>
            <w:vAlign w:val="bottom"/>
            <w:shd w:val="clear" w:color="auto" w:fill="FCE9E8"/>
          </w:tcPr>
          <w:p>
            <w:pPr>
              <w:jc w:val="right"/>
              <w:ind w:right="442"/>
              <w:spacing w:after="0" w:line="180" w:lineRule="exact"/>
              <w:rPr>
                <w:sz w:val="20"/>
                <w:szCs w:val="20"/>
                <w:color w:val="auto"/>
              </w:rPr>
            </w:pPr>
            <w:r>
              <w:rPr>
                <w:rFonts w:ascii="Arial" w:cs="Arial" w:eastAsia="Arial" w:hAnsi="Arial"/>
                <w:sz w:val="16"/>
                <w:szCs w:val="16"/>
                <w:color w:val="auto"/>
              </w:rPr>
              <w:t>X</w:t>
            </w:r>
          </w:p>
        </w:tc>
        <w:tc>
          <w:tcPr>
            <w:tcW w:w="2000" w:type="dxa"/>
            <w:vAlign w:val="bottom"/>
            <w:shd w:val="clear" w:color="auto" w:fill="FCE9E8"/>
          </w:tcPr>
          <w:p>
            <w:pPr>
              <w:spacing w:after="0"/>
              <w:rPr>
                <w:sz w:val="15"/>
                <w:szCs w:val="15"/>
                <w:color w:val="auto"/>
              </w:rPr>
            </w:pPr>
          </w:p>
        </w:tc>
      </w:tr>
      <w:tr>
        <w:trPr>
          <w:trHeight w:val="186"/>
        </w:trPr>
        <w:tc>
          <w:tcPr>
            <w:tcW w:w="3540" w:type="dxa"/>
            <w:vAlign w:val="bottom"/>
          </w:tcPr>
          <w:p>
            <w:pPr>
              <w:spacing w:after="0"/>
              <w:rPr>
                <w:sz w:val="20"/>
                <w:szCs w:val="20"/>
                <w:color w:val="auto"/>
              </w:rPr>
            </w:pPr>
            <w:r>
              <w:rPr>
                <w:rFonts w:ascii="Arial" w:cs="Arial" w:eastAsia="Arial" w:hAnsi="Arial"/>
                <w:sz w:val="16"/>
                <w:szCs w:val="16"/>
                <w:color w:val="auto"/>
              </w:rPr>
              <w:t>Thomas P. Capo</w:t>
            </w:r>
          </w:p>
        </w:tc>
        <w:tc>
          <w:tcPr>
            <w:tcW w:w="3320" w:type="dxa"/>
            <w:vAlign w:val="bottom"/>
          </w:tcPr>
          <w:p>
            <w:pPr>
              <w:jc w:val="right"/>
              <w:ind w:right="443"/>
              <w:spacing w:after="0"/>
              <w:rPr>
                <w:sz w:val="20"/>
                <w:szCs w:val="20"/>
                <w:color w:val="auto"/>
              </w:rPr>
            </w:pPr>
            <w:r>
              <w:rPr>
                <w:rFonts w:ascii="Arial" w:cs="Arial" w:eastAsia="Arial" w:hAnsi="Arial"/>
                <w:sz w:val="16"/>
                <w:szCs w:val="16"/>
                <w:color w:val="auto"/>
              </w:rPr>
              <w:t>X</w:t>
            </w:r>
          </w:p>
        </w:tc>
        <w:tc>
          <w:tcPr>
            <w:tcW w:w="2020" w:type="dxa"/>
            <w:vAlign w:val="bottom"/>
          </w:tcPr>
          <w:p>
            <w:pPr>
              <w:jc w:val="right"/>
              <w:ind w:right="442"/>
              <w:spacing w:after="0"/>
              <w:rPr>
                <w:sz w:val="20"/>
                <w:szCs w:val="20"/>
                <w:color w:val="auto"/>
              </w:rPr>
            </w:pPr>
            <w:r>
              <w:rPr>
                <w:rFonts w:ascii="Arial" w:cs="Arial" w:eastAsia="Arial" w:hAnsi="Arial"/>
                <w:sz w:val="16"/>
                <w:szCs w:val="16"/>
                <w:color w:val="auto"/>
              </w:rPr>
              <w:t>C</w:t>
            </w:r>
          </w:p>
        </w:tc>
        <w:tc>
          <w:tcPr>
            <w:tcW w:w="2000" w:type="dxa"/>
            <w:vAlign w:val="bottom"/>
          </w:tcPr>
          <w:p>
            <w:pPr>
              <w:spacing w:after="0"/>
              <w:rPr>
                <w:sz w:val="16"/>
                <w:szCs w:val="16"/>
                <w:color w:val="auto"/>
              </w:rPr>
            </w:pPr>
          </w:p>
        </w:tc>
      </w:tr>
      <w:tr>
        <w:trPr>
          <w:trHeight w:val="186"/>
        </w:trPr>
        <w:tc>
          <w:tcPr>
            <w:tcW w:w="3540" w:type="dxa"/>
            <w:vAlign w:val="bottom"/>
            <w:shd w:val="clear" w:color="auto" w:fill="FCE9E8"/>
          </w:tcPr>
          <w:p>
            <w:pPr>
              <w:spacing w:after="0"/>
              <w:rPr>
                <w:sz w:val="20"/>
                <w:szCs w:val="20"/>
                <w:color w:val="auto"/>
              </w:rPr>
            </w:pPr>
            <w:r>
              <w:rPr>
                <w:rFonts w:ascii="Arial" w:cs="Arial" w:eastAsia="Arial" w:hAnsi="Arial"/>
                <w:sz w:val="16"/>
                <w:szCs w:val="16"/>
                <w:color w:val="auto"/>
              </w:rPr>
              <w:t>Mei-Wei Cheng</w:t>
            </w:r>
          </w:p>
        </w:tc>
        <w:tc>
          <w:tcPr>
            <w:tcW w:w="3320" w:type="dxa"/>
            <w:vAlign w:val="bottom"/>
            <w:shd w:val="clear" w:color="auto" w:fill="FCE9E8"/>
          </w:tcPr>
          <w:p>
            <w:pPr>
              <w:spacing w:after="0"/>
              <w:rPr>
                <w:sz w:val="16"/>
                <w:szCs w:val="16"/>
                <w:color w:val="auto"/>
              </w:rPr>
            </w:pPr>
          </w:p>
        </w:tc>
        <w:tc>
          <w:tcPr>
            <w:tcW w:w="2020" w:type="dxa"/>
            <w:vAlign w:val="bottom"/>
            <w:shd w:val="clear" w:color="auto" w:fill="FCE9E8"/>
          </w:tcPr>
          <w:p>
            <w:pPr>
              <w:spacing w:after="0"/>
              <w:rPr>
                <w:sz w:val="16"/>
                <w:szCs w:val="16"/>
                <w:color w:val="auto"/>
              </w:rPr>
            </w:pPr>
          </w:p>
        </w:tc>
        <w:tc>
          <w:tcPr>
            <w:tcW w:w="2000" w:type="dxa"/>
            <w:vAlign w:val="bottom"/>
            <w:shd w:val="clear" w:color="auto" w:fill="FCE9E8"/>
          </w:tcPr>
          <w:p>
            <w:pPr>
              <w:spacing w:after="0"/>
              <w:rPr>
                <w:sz w:val="16"/>
                <w:szCs w:val="16"/>
                <w:color w:val="auto"/>
              </w:rPr>
            </w:pPr>
          </w:p>
        </w:tc>
      </w:tr>
      <w:tr>
        <w:trPr>
          <w:trHeight w:val="186"/>
        </w:trPr>
        <w:tc>
          <w:tcPr>
            <w:tcW w:w="3540" w:type="dxa"/>
            <w:vAlign w:val="bottom"/>
          </w:tcPr>
          <w:p>
            <w:pPr>
              <w:spacing w:after="0"/>
              <w:rPr>
                <w:sz w:val="20"/>
                <w:szCs w:val="20"/>
                <w:color w:val="auto"/>
              </w:rPr>
            </w:pPr>
            <w:r>
              <w:rPr>
                <w:rFonts w:ascii="Arial" w:cs="Arial" w:eastAsia="Arial" w:hAnsi="Arial"/>
                <w:sz w:val="16"/>
                <w:szCs w:val="16"/>
                <w:color w:val="auto"/>
              </w:rPr>
              <w:t>Jonathan F. Foster</w:t>
            </w:r>
          </w:p>
        </w:tc>
        <w:tc>
          <w:tcPr>
            <w:tcW w:w="3320" w:type="dxa"/>
            <w:vAlign w:val="bottom"/>
          </w:tcPr>
          <w:p>
            <w:pPr>
              <w:jc w:val="right"/>
              <w:ind w:right="443"/>
              <w:spacing w:after="0"/>
              <w:rPr>
                <w:sz w:val="20"/>
                <w:szCs w:val="20"/>
                <w:color w:val="auto"/>
              </w:rPr>
            </w:pPr>
            <w:r>
              <w:rPr>
                <w:rFonts w:ascii="Arial" w:cs="Arial" w:eastAsia="Arial" w:hAnsi="Arial"/>
                <w:sz w:val="16"/>
                <w:szCs w:val="16"/>
                <w:color w:val="auto"/>
              </w:rPr>
              <w:t>C</w:t>
            </w:r>
          </w:p>
        </w:tc>
        <w:tc>
          <w:tcPr>
            <w:tcW w:w="2020" w:type="dxa"/>
            <w:vAlign w:val="bottom"/>
          </w:tcPr>
          <w:p>
            <w:pPr>
              <w:spacing w:after="0"/>
              <w:rPr>
                <w:sz w:val="16"/>
                <w:szCs w:val="16"/>
                <w:color w:val="auto"/>
              </w:rPr>
            </w:pPr>
          </w:p>
        </w:tc>
        <w:tc>
          <w:tcPr>
            <w:tcW w:w="2000" w:type="dxa"/>
            <w:vAlign w:val="bottom"/>
          </w:tcPr>
          <w:p>
            <w:pPr>
              <w:jc w:val="right"/>
              <w:ind w:right="622"/>
              <w:spacing w:after="0"/>
              <w:rPr>
                <w:sz w:val="20"/>
                <w:szCs w:val="20"/>
                <w:color w:val="auto"/>
              </w:rPr>
            </w:pPr>
            <w:r>
              <w:rPr>
                <w:rFonts w:ascii="Arial" w:cs="Arial" w:eastAsia="Arial" w:hAnsi="Arial"/>
                <w:sz w:val="16"/>
                <w:szCs w:val="16"/>
                <w:color w:val="auto"/>
              </w:rPr>
              <w:t>X</w:t>
            </w:r>
          </w:p>
        </w:tc>
      </w:tr>
      <w:tr>
        <w:trPr>
          <w:trHeight w:val="186"/>
        </w:trPr>
        <w:tc>
          <w:tcPr>
            <w:tcW w:w="3540" w:type="dxa"/>
            <w:vAlign w:val="bottom"/>
            <w:shd w:val="clear" w:color="auto" w:fill="FCE9E8"/>
          </w:tcPr>
          <w:p>
            <w:pPr>
              <w:spacing w:after="0"/>
              <w:rPr>
                <w:sz w:val="20"/>
                <w:szCs w:val="20"/>
                <w:color w:val="auto"/>
              </w:rPr>
            </w:pPr>
            <w:r>
              <w:rPr>
                <w:rFonts w:ascii="Arial" w:cs="Arial" w:eastAsia="Arial" w:hAnsi="Arial"/>
                <w:sz w:val="16"/>
                <w:szCs w:val="16"/>
                <w:color w:val="auto"/>
              </w:rPr>
              <w:t>Mary Lou Jepsen</w:t>
            </w:r>
          </w:p>
        </w:tc>
        <w:tc>
          <w:tcPr>
            <w:tcW w:w="3320" w:type="dxa"/>
            <w:vAlign w:val="bottom"/>
            <w:shd w:val="clear" w:color="auto" w:fill="FCE9E8"/>
          </w:tcPr>
          <w:p>
            <w:pPr>
              <w:spacing w:after="0"/>
              <w:rPr>
                <w:sz w:val="16"/>
                <w:szCs w:val="16"/>
                <w:color w:val="auto"/>
              </w:rPr>
            </w:pPr>
          </w:p>
        </w:tc>
        <w:tc>
          <w:tcPr>
            <w:tcW w:w="2020" w:type="dxa"/>
            <w:vAlign w:val="bottom"/>
            <w:shd w:val="clear" w:color="auto" w:fill="FCE9E8"/>
          </w:tcPr>
          <w:p>
            <w:pPr>
              <w:jc w:val="right"/>
              <w:ind w:right="442"/>
              <w:spacing w:after="0"/>
              <w:rPr>
                <w:sz w:val="20"/>
                <w:szCs w:val="20"/>
                <w:color w:val="auto"/>
              </w:rPr>
            </w:pPr>
            <w:r>
              <w:rPr>
                <w:rFonts w:ascii="Arial" w:cs="Arial" w:eastAsia="Arial" w:hAnsi="Arial"/>
                <w:sz w:val="16"/>
                <w:szCs w:val="16"/>
                <w:color w:val="auto"/>
              </w:rPr>
              <w:t>X</w:t>
            </w:r>
          </w:p>
        </w:tc>
        <w:tc>
          <w:tcPr>
            <w:tcW w:w="2000" w:type="dxa"/>
            <w:vAlign w:val="bottom"/>
            <w:shd w:val="clear" w:color="auto" w:fill="FCE9E8"/>
          </w:tcPr>
          <w:p>
            <w:pPr>
              <w:jc w:val="right"/>
              <w:ind w:right="622"/>
              <w:spacing w:after="0"/>
              <w:rPr>
                <w:sz w:val="20"/>
                <w:szCs w:val="20"/>
                <w:color w:val="auto"/>
              </w:rPr>
            </w:pPr>
            <w:r>
              <w:rPr>
                <w:rFonts w:ascii="Arial" w:cs="Arial" w:eastAsia="Arial" w:hAnsi="Arial"/>
                <w:sz w:val="16"/>
                <w:szCs w:val="16"/>
                <w:color w:val="auto"/>
              </w:rPr>
              <w:t>X</w:t>
            </w:r>
          </w:p>
        </w:tc>
      </w:tr>
      <w:tr>
        <w:trPr>
          <w:trHeight w:val="186"/>
        </w:trPr>
        <w:tc>
          <w:tcPr>
            <w:tcW w:w="3540" w:type="dxa"/>
            <w:vAlign w:val="bottom"/>
          </w:tcPr>
          <w:p>
            <w:pPr>
              <w:spacing w:after="0"/>
              <w:rPr>
                <w:sz w:val="20"/>
                <w:szCs w:val="20"/>
                <w:color w:val="auto"/>
              </w:rPr>
            </w:pPr>
            <w:r>
              <w:rPr>
                <w:rFonts w:ascii="Arial" w:cs="Arial" w:eastAsia="Arial" w:hAnsi="Arial"/>
                <w:sz w:val="16"/>
                <w:szCs w:val="16"/>
                <w:color w:val="auto"/>
              </w:rPr>
              <w:t>Kathleen A. Ligocki</w:t>
            </w:r>
          </w:p>
        </w:tc>
        <w:tc>
          <w:tcPr>
            <w:tcW w:w="3320" w:type="dxa"/>
            <w:vAlign w:val="bottom"/>
          </w:tcPr>
          <w:p>
            <w:pPr>
              <w:spacing w:after="0"/>
              <w:rPr>
                <w:sz w:val="16"/>
                <w:szCs w:val="16"/>
                <w:color w:val="auto"/>
              </w:rPr>
            </w:pPr>
          </w:p>
        </w:tc>
        <w:tc>
          <w:tcPr>
            <w:tcW w:w="2020" w:type="dxa"/>
            <w:vAlign w:val="bottom"/>
          </w:tcPr>
          <w:p>
            <w:pPr>
              <w:jc w:val="right"/>
              <w:ind w:right="442"/>
              <w:spacing w:after="0"/>
              <w:rPr>
                <w:sz w:val="20"/>
                <w:szCs w:val="20"/>
                <w:color w:val="auto"/>
              </w:rPr>
            </w:pPr>
            <w:r>
              <w:rPr>
                <w:rFonts w:ascii="Arial" w:cs="Arial" w:eastAsia="Arial" w:hAnsi="Arial"/>
                <w:sz w:val="16"/>
                <w:szCs w:val="16"/>
                <w:color w:val="auto"/>
              </w:rPr>
              <w:t>X</w:t>
            </w:r>
          </w:p>
        </w:tc>
        <w:tc>
          <w:tcPr>
            <w:tcW w:w="2000" w:type="dxa"/>
            <w:vAlign w:val="bottom"/>
          </w:tcPr>
          <w:p>
            <w:pPr>
              <w:jc w:val="right"/>
              <w:ind w:right="622"/>
              <w:spacing w:after="0"/>
              <w:rPr>
                <w:sz w:val="20"/>
                <w:szCs w:val="20"/>
                <w:color w:val="auto"/>
              </w:rPr>
            </w:pPr>
            <w:r>
              <w:rPr>
                <w:rFonts w:ascii="Arial" w:cs="Arial" w:eastAsia="Arial" w:hAnsi="Arial"/>
                <w:sz w:val="16"/>
                <w:szCs w:val="16"/>
                <w:color w:val="auto"/>
              </w:rPr>
              <w:t>C</w:t>
            </w:r>
          </w:p>
        </w:tc>
      </w:tr>
      <w:tr>
        <w:trPr>
          <w:trHeight w:val="186"/>
        </w:trPr>
        <w:tc>
          <w:tcPr>
            <w:tcW w:w="3540" w:type="dxa"/>
            <w:vAlign w:val="bottom"/>
            <w:shd w:val="clear" w:color="auto" w:fill="FCE9E8"/>
          </w:tcPr>
          <w:p>
            <w:pPr>
              <w:spacing w:after="0"/>
              <w:rPr>
                <w:sz w:val="20"/>
                <w:szCs w:val="20"/>
                <w:color w:val="auto"/>
              </w:rPr>
            </w:pPr>
            <w:r>
              <w:rPr>
                <w:rFonts w:ascii="Arial" w:cs="Arial" w:eastAsia="Arial" w:hAnsi="Arial"/>
                <w:sz w:val="16"/>
                <w:szCs w:val="16"/>
                <w:color w:val="auto"/>
              </w:rPr>
              <w:t>Conrad L. Mallett, Jr.</w:t>
            </w:r>
          </w:p>
        </w:tc>
        <w:tc>
          <w:tcPr>
            <w:tcW w:w="3320" w:type="dxa"/>
            <w:vAlign w:val="bottom"/>
            <w:shd w:val="clear" w:color="auto" w:fill="FCE9E8"/>
          </w:tcPr>
          <w:p>
            <w:pPr>
              <w:spacing w:after="0"/>
              <w:rPr>
                <w:sz w:val="16"/>
                <w:szCs w:val="16"/>
                <w:color w:val="auto"/>
              </w:rPr>
            </w:pPr>
          </w:p>
        </w:tc>
        <w:tc>
          <w:tcPr>
            <w:tcW w:w="2020" w:type="dxa"/>
            <w:vAlign w:val="bottom"/>
            <w:shd w:val="clear" w:color="auto" w:fill="FCE9E8"/>
          </w:tcPr>
          <w:p>
            <w:pPr>
              <w:jc w:val="right"/>
              <w:ind w:right="442"/>
              <w:spacing w:after="0"/>
              <w:rPr>
                <w:sz w:val="20"/>
                <w:szCs w:val="20"/>
                <w:color w:val="auto"/>
              </w:rPr>
            </w:pPr>
            <w:r>
              <w:rPr>
                <w:rFonts w:ascii="Arial" w:cs="Arial" w:eastAsia="Arial" w:hAnsi="Arial"/>
                <w:sz w:val="16"/>
                <w:szCs w:val="16"/>
                <w:color w:val="auto"/>
              </w:rPr>
              <w:t>X</w:t>
            </w:r>
          </w:p>
        </w:tc>
        <w:tc>
          <w:tcPr>
            <w:tcW w:w="2000" w:type="dxa"/>
            <w:vAlign w:val="bottom"/>
            <w:shd w:val="clear" w:color="auto" w:fill="FCE9E8"/>
          </w:tcPr>
          <w:p>
            <w:pPr>
              <w:jc w:val="right"/>
              <w:ind w:right="622"/>
              <w:spacing w:after="0"/>
              <w:rPr>
                <w:sz w:val="20"/>
                <w:szCs w:val="20"/>
                <w:color w:val="auto"/>
              </w:rPr>
            </w:pPr>
            <w:r>
              <w:rPr>
                <w:rFonts w:ascii="Arial" w:cs="Arial" w:eastAsia="Arial" w:hAnsi="Arial"/>
                <w:sz w:val="16"/>
                <w:szCs w:val="16"/>
                <w:color w:val="auto"/>
              </w:rPr>
              <w:t>X</w:t>
            </w:r>
          </w:p>
        </w:tc>
      </w:tr>
      <w:tr>
        <w:trPr>
          <w:trHeight w:val="186"/>
        </w:trPr>
        <w:tc>
          <w:tcPr>
            <w:tcW w:w="3540" w:type="dxa"/>
            <w:vAlign w:val="bottom"/>
          </w:tcPr>
          <w:p>
            <w:pPr>
              <w:spacing w:after="0"/>
              <w:rPr>
                <w:sz w:val="20"/>
                <w:szCs w:val="20"/>
                <w:color w:val="auto"/>
              </w:rPr>
            </w:pPr>
            <w:r>
              <w:rPr>
                <w:rFonts w:ascii="Arial" w:cs="Arial" w:eastAsia="Arial" w:hAnsi="Arial"/>
                <w:sz w:val="16"/>
                <w:szCs w:val="16"/>
                <w:color w:val="auto"/>
              </w:rPr>
              <w:t>Raymond E. Scott</w:t>
            </w:r>
          </w:p>
        </w:tc>
        <w:tc>
          <w:tcPr>
            <w:tcW w:w="33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6"/>
        </w:trPr>
        <w:tc>
          <w:tcPr>
            <w:tcW w:w="3540" w:type="dxa"/>
            <w:vAlign w:val="bottom"/>
            <w:shd w:val="clear" w:color="auto" w:fill="FCE9E8"/>
          </w:tcPr>
          <w:p>
            <w:pPr>
              <w:spacing w:after="0"/>
              <w:rPr>
                <w:sz w:val="20"/>
                <w:szCs w:val="20"/>
                <w:color w:val="auto"/>
              </w:rPr>
            </w:pPr>
            <w:r>
              <w:rPr>
                <w:rFonts w:ascii="Arial" w:cs="Arial" w:eastAsia="Arial" w:hAnsi="Arial"/>
                <w:sz w:val="16"/>
                <w:szCs w:val="16"/>
                <w:color w:val="auto"/>
              </w:rPr>
              <w:t>Gregory C. Smith</w:t>
            </w:r>
          </w:p>
        </w:tc>
        <w:tc>
          <w:tcPr>
            <w:tcW w:w="3320" w:type="dxa"/>
            <w:vAlign w:val="bottom"/>
            <w:shd w:val="clear" w:color="auto" w:fill="FCE9E8"/>
          </w:tcPr>
          <w:p>
            <w:pPr>
              <w:jc w:val="right"/>
              <w:ind w:right="443"/>
              <w:spacing w:after="0"/>
              <w:rPr>
                <w:sz w:val="20"/>
                <w:szCs w:val="20"/>
                <w:color w:val="auto"/>
              </w:rPr>
            </w:pPr>
            <w:r>
              <w:rPr>
                <w:rFonts w:ascii="Arial" w:cs="Arial" w:eastAsia="Arial" w:hAnsi="Arial"/>
                <w:sz w:val="16"/>
                <w:szCs w:val="16"/>
                <w:color w:val="auto"/>
              </w:rPr>
              <w:t>X</w:t>
            </w:r>
          </w:p>
        </w:tc>
        <w:tc>
          <w:tcPr>
            <w:tcW w:w="2020" w:type="dxa"/>
            <w:vAlign w:val="bottom"/>
            <w:shd w:val="clear" w:color="auto" w:fill="FCE9E8"/>
          </w:tcPr>
          <w:p>
            <w:pPr>
              <w:spacing w:after="0"/>
              <w:rPr>
                <w:sz w:val="16"/>
                <w:szCs w:val="16"/>
                <w:color w:val="auto"/>
              </w:rPr>
            </w:pPr>
          </w:p>
        </w:tc>
        <w:tc>
          <w:tcPr>
            <w:tcW w:w="2000" w:type="dxa"/>
            <w:vAlign w:val="bottom"/>
            <w:shd w:val="clear" w:color="auto" w:fill="FCE9E8"/>
          </w:tcPr>
          <w:p>
            <w:pPr>
              <w:jc w:val="right"/>
              <w:ind w:right="622"/>
              <w:spacing w:after="0"/>
              <w:rPr>
                <w:sz w:val="20"/>
                <w:szCs w:val="20"/>
                <w:color w:val="auto"/>
              </w:rPr>
            </w:pPr>
            <w:r>
              <w:rPr>
                <w:rFonts w:ascii="Arial" w:cs="Arial" w:eastAsia="Arial" w:hAnsi="Arial"/>
                <w:sz w:val="16"/>
                <w:szCs w:val="16"/>
                <w:color w:val="auto"/>
              </w:rPr>
              <w:t>X</w:t>
            </w:r>
          </w:p>
        </w:tc>
      </w:tr>
      <w:tr>
        <w:trPr>
          <w:trHeight w:val="186"/>
        </w:trPr>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Henry D.G. Wallace*</w:t>
            </w:r>
          </w:p>
        </w:tc>
        <w:tc>
          <w:tcPr>
            <w:tcW w:w="332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color w:val="auto"/>
              </w:rPr>
              <w:t>E</w:t>
            </w:r>
          </w:p>
        </w:tc>
        <w:tc>
          <w:tcPr>
            <w:tcW w:w="202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E</w:t>
            </w:r>
          </w:p>
        </w:tc>
        <w:tc>
          <w:tcPr>
            <w:tcW w:w="200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color w:val="auto"/>
              </w:rPr>
              <w:t>E</w:t>
            </w:r>
          </w:p>
        </w:tc>
      </w:tr>
    </w:tbl>
    <w:p>
      <w:pPr>
        <w:spacing w:after="0" w:line="124" w:lineRule="exact"/>
        <w:rPr>
          <w:sz w:val="20"/>
          <w:szCs w:val="20"/>
          <w:color w:val="auto"/>
        </w:rPr>
      </w:pPr>
    </w:p>
    <w:p>
      <w:pPr>
        <w:ind w:left="740" w:hanging="359"/>
        <w:spacing w:after="0"/>
        <w:tabs>
          <w:tab w:leader="none" w:pos="7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60"/>
          </w:cols>
          <w:pgMar w:left="240" w:top="455" w:right="4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0" w:hanging="320"/>
        <w:spacing w:after="0"/>
        <w:tabs>
          <w:tab w:leader="none" w:pos="6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Non-Executive Chairman of the Board</w:t>
      </w:r>
    </w:p>
    <w:p>
      <w:pPr>
        <w:spacing w:after="0" w:line="79"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4"/>
          <w:szCs w:val="14"/>
          <w:color w:val="auto"/>
        </w:rPr>
        <w:t>“C”</w:t>
        <w:tab/>
        <w:t>Denotes member and chairman of committee</w:t>
      </w:r>
    </w:p>
    <w:p>
      <w:pPr>
        <w:spacing w:after="0" w:line="119"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4"/>
          <w:szCs w:val="14"/>
          <w:color w:val="auto"/>
        </w:rPr>
        <w:t>“X”</w:t>
        <w:tab/>
        <w:t>Denotes member</w:t>
      </w:r>
    </w:p>
    <w:p>
      <w:pPr>
        <w:spacing w:after="0" w:line="79"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4"/>
          <w:szCs w:val="14"/>
          <w:color w:val="auto"/>
        </w:rPr>
        <w:t>“E”</w:t>
        <w:tab/>
        <w:t>Denotes Ex Officio member</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Audit Committee</w:t>
      </w:r>
    </w:p>
    <w:p>
      <w:pPr>
        <w:spacing w:after="0" w:line="187" w:lineRule="exact"/>
        <w:rPr>
          <w:sz w:val="20"/>
          <w:szCs w:val="20"/>
          <w:color w:val="auto"/>
        </w:rPr>
      </w:pPr>
    </w:p>
    <w:p>
      <w:pPr>
        <w:ind w:left="280"/>
        <w:spacing w:after="0" w:line="247" w:lineRule="auto"/>
        <w:rPr>
          <w:sz w:val="20"/>
          <w:szCs w:val="20"/>
          <w:color w:val="auto"/>
        </w:rPr>
      </w:pPr>
      <w:r>
        <w:rPr>
          <w:rFonts w:ascii="Arial" w:cs="Arial" w:eastAsia="Arial" w:hAnsi="Arial"/>
          <w:sz w:val="16"/>
          <w:szCs w:val="16"/>
          <w:color w:val="auto"/>
        </w:rPr>
        <w:t>In 2018, the Audit Committee held 9 meetings. Each of the members of the Audit Committee is a non-employee director. In addition, the Board has determined that all of the members of the Audit Committee are independent, financially literate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-628015</wp:posOffset>
            </wp:positionV>
            <wp:extent cx="729107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and financial experts, as further discussed under “Audit Committee Report.” For a description of the Audit Committee’s responsibilities and findings and additional information about the Audit Committee, see “Audit Committee Report.”</w:t>
      </w:r>
    </w:p>
    <w:p>
      <w:pPr>
        <w:spacing w:after="0" w:line="200" w:lineRule="exact"/>
        <w:rPr>
          <w:sz w:val="20"/>
          <w:szCs w:val="20"/>
          <w:color w:val="auto"/>
        </w:rPr>
      </w:pPr>
    </w:p>
    <w:p>
      <w:pPr>
        <w:sectPr>
          <w:pgSz w:w="11900" w:h="16838" w:orient="portrait"/>
          <w:cols w:equalWidth="0" w:num="2">
            <w:col w:w="5300" w:space="520"/>
            <w:col w:w="5320"/>
          </w:cols>
          <w:pgMar w:left="240" w:top="455" w:right="519" w:bottom="1440" w:gutter="0" w:footer="0" w:header="0"/>
        </w:sectPr>
      </w:pP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Compensation Committee</w:t>
      </w:r>
    </w:p>
    <w:p>
      <w:pPr>
        <w:spacing w:after="0" w:line="187" w:lineRule="exact"/>
        <w:rPr>
          <w:sz w:val="20"/>
          <w:szCs w:val="20"/>
          <w:color w:val="auto"/>
        </w:rPr>
      </w:pPr>
    </w:p>
    <w:p>
      <w:pPr>
        <w:ind w:left="280" w:right="20"/>
        <w:spacing w:after="0" w:line="244" w:lineRule="auto"/>
        <w:rPr>
          <w:sz w:val="20"/>
          <w:szCs w:val="20"/>
          <w:color w:val="auto"/>
        </w:rPr>
      </w:pPr>
      <w:r>
        <w:rPr>
          <w:rFonts w:ascii="Arial" w:cs="Arial" w:eastAsia="Arial" w:hAnsi="Arial"/>
          <w:sz w:val="16"/>
          <w:szCs w:val="16"/>
          <w:color w:val="auto"/>
        </w:rPr>
        <w:t>In 2018, the Compensation Committee held 4 meetings. Each of the members of the Compensation Committee is a non-employee director. In addition, the Board has determined that all of the members of the Compensation Committee are independent as defined in the listing standards of the NYSE, including the independence standards applicable to compensation committees. The Compensation Committee has overall responsibility for approving and evaluating director and officer compensation plans, policies and programs of the Company and reviewing the disclosure of such plans, policies and programs to our stockholders in the annual proxy statement. The Compensation Committee utilizes an independent compensation consultant to assist it in its duties. The Compensation Committee operates under a written charter setting forth its functions and responsibilities. A copy of the current charter is available on our website at www.lear.com or in printed form upon request.</w:t>
      </w:r>
    </w:p>
    <w:p>
      <w:pPr>
        <w:spacing w:after="0" w:line="98" w:lineRule="exact"/>
        <w:rPr>
          <w:sz w:val="20"/>
          <w:szCs w:val="20"/>
          <w:color w:val="auto"/>
        </w:rPr>
      </w:pPr>
    </w:p>
    <w:p>
      <w:pPr>
        <w:ind w:left="280"/>
        <w:spacing w:after="0" w:line="243" w:lineRule="auto"/>
        <w:rPr>
          <w:sz w:val="20"/>
          <w:szCs w:val="20"/>
          <w:color w:val="auto"/>
        </w:rPr>
      </w:pPr>
      <w:r>
        <w:rPr>
          <w:rFonts w:ascii="Arial" w:cs="Arial" w:eastAsia="Arial" w:hAnsi="Arial"/>
          <w:sz w:val="16"/>
          <w:szCs w:val="16"/>
          <w:color w:val="auto"/>
        </w:rPr>
        <w:t>In consultation with the Company’s management, the Compensation Committee establishes the general policies relating to senior management compensation and oversees the development and administration of such compensation programs. Our human resources executives and staff support the Compensation Committee in its work. These members of management work with compensation consultants whose engagements have been approved by the Compensation Committee, accountants and legal counsel, as necessary, to implement the Compensation Committee’s decisions, to monitor evolving competitive practices and to make compensation recommendations to the Compensation Committee. Our human resources management develops specific compensation recommendations for senior executives, which are first reviewed by senior management and then presented to the Compensation Committee and its independent compensation consultant. The Compensation Committee has final authority to approve, modify or reject the recommendations and to make its decisions in executive session. The Compensation Committee approves all compensation of our executive officers, including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awards. Under our equity award policy, an aggregate equity award pool to non-executive officers may be approved by the Compensation Committee and allocated to individuals by the Company’s CEO. The policy also allows the Compensation Committee to delegate to the CEO the ability to grant equity awards to non-executive officer employees who are newly hired or promoted or deemed to be deserving of special retention or recognition awards.</w:t>
      </w:r>
    </w:p>
    <w:p>
      <w:pPr>
        <w:spacing w:after="0" w:line="97"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The Compensation Committee utilizes Pay Governance LLC (“Pay Governance”) as its independent compensation consultant. The consultant reports directly to the Compensation Committee, including with respect to management’s recommendations of compensation programs and awards. The Compensation Committee has the sole authority to approve the scope and terms of the engagement of such compensation consultant and to terminate such engagement. The mandate of the consultant is to serve the Company and work with the Compensation Committee in its review of executive and director compensation practices, including the competitiveness of pay levels, program design, market trends and technical considerations. Pay Governance has assisted the Compensation Committee with the development of competitive market data and a related assessment of the Company’s executive and director compensation levels, evaluation of annual and long-term incentive compensation strategy and compilation and review of total compensation data and tally sheets (including data for certain termination and change in control scenarios) for the Company’s Named Executive Officers (as defined in “Compensation Discussion and Analysis”). As part of this process, the Compensation Committee also reviewed a comprehensive analysis of peer group companies provided by Pay Governance. See, “Compensation Discussion and Analysis — Benchmarking.” Other than with respect to consulting on executive and director compensation matters, Pay Governance has performed no other services for the Compensation Committee or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120"/>
        <w:spacing w:after="0"/>
        <w:tabs>
          <w:tab w:leader="none" w:pos="4800" w:val="left"/>
          <w:tab w:leader="none" w:pos="502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21</w:t>
      </w:r>
    </w:p>
    <w:p>
      <w:pPr>
        <w:sectPr>
          <w:pgSz w:w="11900" w:h="16838" w:orient="portrait"/>
          <w:cols w:equalWidth="0" w:num="2">
            <w:col w:w="5500" w:space="320"/>
            <w:col w:w="5320"/>
          </w:cols>
          <w:pgMar w:left="240" w:top="455" w:right="51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330" w:lineRule="exact"/>
        <w:rPr>
          <w:sz w:val="20"/>
          <w:szCs w:val="20"/>
          <w:color w:val="auto"/>
        </w:rPr>
      </w:pPr>
    </w:p>
    <w:p>
      <w:pPr>
        <w:ind w:left="280"/>
        <w:spacing w:after="0" w:line="246" w:lineRule="auto"/>
        <w:rPr>
          <w:sz w:val="20"/>
          <w:szCs w:val="20"/>
          <w:color w:val="auto"/>
        </w:rPr>
      </w:pPr>
      <w:r>
        <w:rPr>
          <w:rFonts w:ascii="Arial" w:cs="Arial" w:eastAsia="Arial" w:hAnsi="Arial"/>
          <w:sz w:val="16"/>
          <w:szCs w:val="16"/>
          <w:color w:val="auto"/>
        </w:rPr>
        <w:t>The Compensation Committee has reviewed the independence of Pay Governance in light of SEC rules and NYSE listing standards regarding compensation consultants and has concluded that Pay Governance’s work for the Compensation Committee does not raise any conflict of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0"/>
        <w:spacing w:after="0" w:line="245" w:lineRule="auto"/>
        <w:rPr>
          <w:sz w:val="20"/>
          <w:szCs w:val="20"/>
          <w:color w:val="auto"/>
        </w:rPr>
      </w:pPr>
      <w:r>
        <w:rPr>
          <w:rFonts w:ascii="Arial" w:cs="Arial" w:eastAsia="Arial" w:hAnsi="Arial"/>
          <w:sz w:val="16"/>
          <w:szCs w:val="16"/>
          <w:color w:val="auto"/>
        </w:rPr>
        <w:t>In 2018, the Company’s management retained Frederic W. Cook &amp; Co., Inc. to assist in the review of various executive compensation programs. The Company and the Compensation Committee reviewed the engagement of the management consultant under the SEC disclosure rules and found that no conflicts of interest existed with respect to such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-1553210</wp:posOffset>
            </wp:positionV>
            <wp:extent cx="729107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20"/>
            <w:col w:w="5300"/>
          </w:cols>
          <w:pgMar w:left="240" w:top="455" w:right="539" w:bottom="1440" w:gutter="0" w:footer="0" w:header="0"/>
        </w:sectPr>
      </w:pPr>
    </w:p>
    <w:p>
      <w:pPr>
        <w:spacing w:after="0" w:line="15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Nominating Committee</w:t>
      </w:r>
    </w:p>
    <w:p>
      <w:pPr>
        <w:spacing w:after="0" w:line="187" w:lineRule="exact"/>
        <w:rPr>
          <w:sz w:val="20"/>
          <w:szCs w:val="20"/>
          <w:color w:val="auto"/>
        </w:rPr>
      </w:pPr>
    </w:p>
    <w:p>
      <w:pPr>
        <w:ind w:left="280" w:right="260"/>
        <w:spacing w:after="0" w:line="246" w:lineRule="auto"/>
        <w:rPr>
          <w:sz w:val="20"/>
          <w:szCs w:val="20"/>
          <w:color w:val="auto"/>
        </w:rPr>
      </w:pPr>
      <w:r>
        <w:rPr>
          <w:rFonts w:ascii="Arial" w:cs="Arial" w:eastAsia="Arial" w:hAnsi="Arial"/>
          <w:sz w:val="16"/>
          <w:szCs w:val="16"/>
          <w:color w:val="auto"/>
        </w:rPr>
        <w:t>In 2018, the Nominating Committee held 4 meetings. Each of the members of the Nominating Committee is a non-employee director. In addition, the Board has determined that all of the members of the Nominating Committee are independent as defined in the listing standards of the NYSE.</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Nominating Committee is responsible for, among other things:</w:t>
      </w:r>
    </w:p>
    <w:p>
      <w:pPr>
        <w:spacing w:after="0" w:line="2" w:lineRule="exact"/>
        <w:rPr>
          <w:sz w:val="20"/>
          <w:szCs w:val="20"/>
          <w:color w:val="auto"/>
        </w:rPr>
      </w:pPr>
    </w:p>
    <w:p>
      <w:pPr>
        <w:ind w:left="280"/>
        <w:spacing w:after="0" w:line="266" w:lineRule="auto"/>
        <w:tabs>
          <w:tab w:leader="none" w:pos="466" w:val="left"/>
        </w:tabs>
        <w:numPr>
          <w:ilvl w:val="0"/>
          <w:numId w:val="46"/>
        </w:numPr>
        <w:rPr>
          <w:rFonts w:ascii="Arial" w:cs="Arial" w:eastAsia="Arial" w:hAnsi="Arial"/>
          <w:sz w:val="15"/>
          <w:szCs w:val="15"/>
          <w:color w:val="auto"/>
        </w:rPr>
      </w:pPr>
      <w:r>
        <w:rPr>
          <w:rFonts w:ascii="Arial" w:cs="Arial" w:eastAsia="Arial" w:hAnsi="Arial"/>
          <w:sz w:val="15"/>
          <w:szCs w:val="15"/>
          <w:color w:val="auto"/>
        </w:rPr>
        <w:t>identifying individuals qualified to become members of the Board, consistent with criteria approved by the Board; (ii) recommending director nominees to the Board for election at the next annual meeting of the stockholders of the Company; (iii) in the event of a vacancy on or an increase in the size of the Board, recommending director nominees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Board to fill such vacancy or newly established Board seat;</w:t>
      </w:r>
    </w:p>
    <w:p>
      <w:pPr>
        <w:spacing w:after="0" w:line="2" w:lineRule="exact"/>
        <w:rPr>
          <w:sz w:val="20"/>
          <w:szCs w:val="20"/>
          <w:color w:val="auto"/>
        </w:rPr>
      </w:pPr>
    </w:p>
    <w:p>
      <w:pPr>
        <w:ind w:right="40" w:firstLine="2"/>
        <w:spacing w:after="0" w:line="244" w:lineRule="auto"/>
        <w:tabs>
          <w:tab w:leader="none" w:pos="266"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recommending directors to the Board for membership on each committee of the Board; (v) establishing and reviewing annually our Corporate Governance Guidelines and Code of Business Conduct and Ethics; (vi) reviewing potential conflicts of interest involving our executive officers; and (vii) overseeing sustainability issues, including as they pertain to environmental and corporate social responsibility matters. The Nominating Committee operates under a written charter setting forth its functions and responsibilities. A copy of the current charter is available on our website at www.lear.com or in printed form upon request.</w:t>
      </w:r>
    </w:p>
    <w:p>
      <w:pPr>
        <w:spacing w:after="0" w:line="511" w:lineRule="exact"/>
        <w:rPr>
          <w:sz w:val="20"/>
          <w:szCs w:val="20"/>
          <w:color w:val="auto"/>
        </w:rPr>
      </w:pPr>
    </w:p>
    <w:p>
      <w:pPr>
        <w:sectPr>
          <w:pgSz w:w="11900" w:h="16838" w:orient="portrait"/>
          <w:cols w:equalWidth="0" w:num="2">
            <w:col w:w="5460" w:space="360"/>
            <w:col w:w="5300"/>
          </w:cols>
          <w:pgMar w:left="240" w:top="455" w:right="539" w:bottom="1440" w:gutter="0" w:footer="0" w:header="0"/>
          <w:type w:val="continuous"/>
        </w:sectPr>
      </w:pPr>
    </w:p>
    <w:p>
      <w:pPr>
        <w:spacing w:after="0" w:line="13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Communications to the Board</w:t>
      </w:r>
    </w:p>
    <w:p>
      <w:pPr>
        <w:spacing w:after="0" w:line="191" w:lineRule="exact"/>
        <w:rPr>
          <w:sz w:val="20"/>
          <w:szCs w:val="20"/>
          <w:color w:val="auto"/>
        </w:rPr>
      </w:pPr>
    </w:p>
    <w:p>
      <w:pPr>
        <w:ind w:left="280"/>
        <w:spacing w:after="0" w:line="243" w:lineRule="auto"/>
        <w:rPr>
          <w:sz w:val="20"/>
          <w:szCs w:val="20"/>
          <w:color w:val="auto"/>
        </w:rPr>
      </w:pPr>
      <w:r>
        <w:rPr>
          <w:rFonts w:ascii="Arial" w:cs="Arial" w:eastAsia="Arial" w:hAnsi="Arial"/>
          <w:sz w:val="16"/>
          <w:szCs w:val="16"/>
          <w:color w:val="auto"/>
        </w:rPr>
        <w:t>Stockholders and interested parties can contact the Board (including the Non-Executive Chairman and non-employee directors) through written communication sent to Lear Corporation, 21557 Telegraph Road, Southfield, Michigan 48033, Attention: Terrence B. Larkin, Executive Vice President, Business Development, General Counsel and Corporate Secretary. Our General Counsel reviews all written communications and forwards to the Board a summary and/or copies of any such correspondence that is directed to the Board or that, in the opinion of the General Counsel, deals with the functions of the Board or Board committees or that he otherwise determines requires the Board’s or any Board committee’s attention. Concerns relating to accounting, internal accounting controls or auditing matters are immediately brought to the attention of our internal audit department and handled in accordance with procedures established by the Audit Committee with respect to such matters. From time to time, the Board may change the process by which stockholders may communicate with the Board. Any such changes will be reflected in our Corporate Governance Guidelines, which are posted on our website at www.lear.com.</w:t>
      </w:r>
    </w:p>
    <w:p>
      <w:pPr>
        <w:spacing w:after="0" w:line="35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191" w:lineRule="exact"/>
        <w:rPr>
          <w:sz w:val="20"/>
          <w:szCs w:val="20"/>
          <w:color w:val="auto"/>
        </w:rPr>
      </w:pPr>
    </w:p>
    <w:p>
      <w:pPr>
        <w:ind w:left="280" w:right="280"/>
        <w:spacing w:after="0" w:line="254" w:lineRule="auto"/>
        <w:rPr>
          <w:sz w:val="20"/>
          <w:szCs w:val="20"/>
          <w:color w:val="auto"/>
        </w:rPr>
      </w:pPr>
      <w:r>
        <w:rPr>
          <w:rFonts w:ascii="Arial" w:cs="Arial" w:eastAsia="Arial" w:hAnsi="Arial"/>
          <w:sz w:val="16"/>
          <w:szCs w:val="16"/>
          <w:color w:val="auto"/>
        </w:rPr>
        <w:t>In 2009, the Company filed for reorganization under chapter 11 of the Bankruptcy Code. At such time, Mr. Scott was</w:t>
      </w:r>
    </w:p>
    <w:p>
      <w:pPr>
        <w:spacing w:after="0" w:line="252" w:lineRule="exact"/>
        <w:rPr>
          <w:sz w:val="20"/>
          <w:szCs w:val="20"/>
          <w:color w:val="auto"/>
        </w:rPr>
      </w:pPr>
    </w:p>
    <w:p>
      <w:pPr>
        <w:ind w:left="740" w:hanging="359"/>
        <w:spacing w:after="0"/>
        <w:tabs>
          <w:tab w:leader="none" w:pos="7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Communications of a confidential nature can be made directly to our non-employee directors or the Chairman of the Audit Committee regarding any matter, including any accounting, internal accounting control or auditing matter, by submitting such concerns to the Audit Committee or the Non-Executive Chairman. Any submissions to the Audit Committee or the Non-Executive Chairman should be marked confidential and addressed to the Chairman of the Audit Committee or the Non-Executive Chairman, as the case may be, c/o Lear Corporation, P.O. Box 604, Southfield, Michigan 48037. In addition, confidential communications may be submitted in accordance with other procedures set forth from time to time in our Corporate Governance Guidelines, which are posted on our website at www.lear.com. Any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Non-Executive Chairman in the investigation of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serving as our Senior Vice President and President, E-Systems.</w:t>
      </w:r>
    </w:p>
    <w:p>
      <w:pPr>
        <w:sectPr>
          <w:pgSz w:w="11900" w:h="16838" w:orient="portrait"/>
          <w:cols w:equalWidth="0" w:num="2">
            <w:col w:w="5460" w:space="360"/>
            <w:col w:w="5300"/>
          </w:cols>
          <w:pgMar w:left="240" w:top="455" w:right="5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78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21" w:lineRule="exact"/>
        <w:rPr>
          <w:sz w:val="20"/>
          <w:szCs w:val="20"/>
          <w:color w:val="auto"/>
        </w:rPr>
      </w:pPr>
    </w:p>
    <w:p>
      <w:pPr>
        <w:ind w:left="280" w:right="100"/>
        <w:spacing w:after="0" w:line="254" w:lineRule="auto"/>
        <w:rPr>
          <w:sz w:val="20"/>
          <w:szCs w:val="20"/>
          <w:color w:val="auto"/>
        </w:rPr>
      </w:pPr>
      <w:r>
        <w:rPr>
          <w:rFonts w:ascii="Arial" w:cs="Arial" w:eastAsia="Arial" w:hAnsi="Arial"/>
          <w:sz w:val="16"/>
          <w:szCs w:val="16"/>
          <w:color w:val="auto"/>
        </w:rPr>
        <w:t>The following table summarizes the annual compensation for our non-employee directors during 2018. A summary of the director compensation program and elements is presented after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140335</wp:posOffset>
            </wp:positionV>
            <wp:extent cx="6901815" cy="152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01815" cy="152400"/>
                    </a:xfrm>
                    <a:prstGeom prst="rect">
                      <a:avLst/>
                    </a:prstGeom>
                    <a:noFill/>
                  </pic:spPr>
                </pic:pic>
              </a:graphicData>
            </a:graphic>
          </wp:anchor>
        </w:drawing>
      </w:r>
    </w:p>
    <w:p>
      <w:pPr>
        <w:spacing w:after="0" w:line="229" w:lineRule="exact"/>
        <w:rPr>
          <w:sz w:val="20"/>
          <w:szCs w:val="20"/>
          <w:color w:val="auto"/>
        </w:rPr>
      </w:pPr>
    </w:p>
    <w:p>
      <w:pPr>
        <w:jc w:val="center"/>
        <w:ind w:right="240"/>
        <w:spacing w:after="0"/>
        <w:rPr>
          <w:sz w:val="20"/>
          <w:szCs w:val="20"/>
          <w:color w:val="auto"/>
        </w:rPr>
      </w:pPr>
      <w:r>
        <w:rPr>
          <w:rFonts w:ascii="Arial" w:cs="Arial" w:eastAsia="Arial" w:hAnsi="Arial"/>
          <w:sz w:val="17"/>
          <w:szCs w:val="17"/>
          <w:b w:val="1"/>
          <w:bCs w:val="1"/>
          <w:color w:val="FFFFFF"/>
        </w:rPr>
        <w:t>2018 Director Compensation</w:t>
      </w:r>
    </w:p>
    <w:tbl>
      <w:tblPr>
        <w:tblLayout w:type="fixed"/>
        <w:tblInd w:w="280" w:type="dxa"/>
        <w:tblCellMar>
          <w:top w:w="0" w:type="dxa"/>
          <w:left w:w="0" w:type="dxa"/>
          <w:bottom w:w="0" w:type="dxa"/>
          <w:right w:w="0" w:type="dxa"/>
        </w:tblCellMar>
      </w:tblPr>
      <w:tr>
        <w:trPr>
          <w:trHeight w:val="160"/>
        </w:trPr>
        <w:tc>
          <w:tcPr>
            <w:tcW w:w="2560" w:type="dxa"/>
            <w:vAlign w:val="bottom"/>
          </w:tcPr>
          <w:p>
            <w:pPr>
              <w:spacing w:after="0"/>
              <w:rPr>
                <w:sz w:val="13"/>
                <w:szCs w:val="13"/>
                <w:color w:val="auto"/>
              </w:rPr>
            </w:pPr>
          </w:p>
        </w:tc>
        <w:tc>
          <w:tcPr>
            <w:tcW w:w="2860" w:type="dxa"/>
            <w:vAlign w:val="bottom"/>
            <w:gridSpan w:val="2"/>
          </w:tcPr>
          <w:p>
            <w:pPr>
              <w:ind w:left="1100"/>
              <w:spacing w:after="0"/>
              <w:rPr>
                <w:sz w:val="20"/>
                <w:szCs w:val="20"/>
                <w:color w:val="auto"/>
              </w:rPr>
            </w:pPr>
            <w:r>
              <w:rPr>
                <w:rFonts w:ascii="Arial" w:cs="Arial" w:eastAsia="Arial" w:hAnsi="Arial"/>
                <w:sz w:val="14"/>
                <w:szCs w:val="14"/>
                <w:b w:val="1"/>
                <w:bCs w:val="1"/>
                <w:color w:val="E2231A"/>
              </w:rPr>
              <w:t>Fees Earned or Paid</w:t>
            </w: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60" w:type="dxa"/>
            <w:vAlign w:val="bottom"/>
          </w:tcPr>
          <w:p>
            <w:pPr>
              <w:jc w:val="right"/>
              <w:ind w:right="601"/>
              <w:spacing w:after="0"/>
              <w:rPr>
                <w:sz w:val="20"/>
                <w:szCs w:val="20"/>
                <w:color w:val="auto"/>
              </w:rPr>
            </w:pPr>
            <w:r>
              <w:rPr>
                <w:rFonts w:ascii="Arial" w:cs="Arial" w:eastAsia="Arial" w:hAnsi="Arial"/>
                <w:sz w:val="14"/>
                <w:szCs w:val="14"/>
                <w:b w:val="1"/>
                <w:bCs w:val="1"/>
                <w:color w:val="E2231A"/>
              </w:rPr>
              <w:t>All Other</w:t>
            </w: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6"/>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Name</w:t>
            </w:r>
          </w:p>
        </w:tc>
        <w:tc>
          <w:tcPr>
            <w:tcW w:w="1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583"/>
              <w:spacing w:after="0" w:line="177" w:lineRule="exact"/>
              <w:rPr>
                <w:sz w:val="20"/>
                <w:szCs w:val="20"/>
                <w:color w:val="auto"/>
              </w:rPr>
            </w:pPr>
            <w:r>
              <w:rPr>
                <w:rFonts w:ascii="Arial" w:cs="Arial" w:eastAsia="Arial" w:hAnsi="Arial"/>
                <w:sz w:val="20"/>
                <w:szCs w:val="20"/>
                <w:b w:val="1"/>
                <w:bCs w:val="1"/>
                <w:color w:val="E2231A"/>
                <w:vertAlign w:val="subscript"/>
              </w:rPr>
              <w:t>in Cash</w:t>
            </w:r>
            <w:r>
              <w:rPr>
                <w:rFonts w:ascii="Arial" w:cs="Arial" w:eastAsia="Arial" w:hAnsi="Arial"/>
                <w:sz w:val="10"/>
                <w:szCs w:val="10"/>
                <w:b w:val="1"/>
                <w:bCs w:val="1"/>
                <w:color w:val="E2231A"/>
              </w:rPr>
              <w:t>(1)(2)</w:t>
            </w:r>
          </w:p>
        </w:tc>
        <w:tc>
          <w:tcPr>
            <w:tcW w:w="1900" w:type="dxa"/>
            <w:vAlign w:val="bottom"/>
            <w:tcBorders>
              <w:bottom w:val="single" w:sz="8" w:color="auto"/>
            </w:tcBorders>
            <w:gridSpan w:val="2"/>
          </w:tcPr>
          <w:p>
            <w:pPr>
              <w:ind w:left="380"/>
              <w:spacing w:after="0" w:line="177" w:lineRule="exact"/>
              <w:rPr>
                <w:sz w:val="20"/>
                <w:szCs w:val="20"/>
                <w:color w:val="auto"/>
              </w:rPr>
            </w:pPr>
            <w:r>
              <w:rPr>
                <w:rFonts w:ascii="Arial" w:cs="Arial" w:eastAsia="Arial" w:hAnsi="Arial"/>
                <w:sz w:val="12"/>
                <w:szCs w:val="12"/>
                <w:b w:val="1"/>
                <w:bCs w:val="1"/>
                <w:color w:val="E2231A"/>
              </w:rPr>
              <w:t>Stock Awards</w:t>
            </w:r>
            <w:r>
              <w:rPr>
                <w:rFonts w:ascii="Arial" w:cs="Arial" w:eastAsia="Arial" w:hAnsi="Arial"/>
                <w:sz w:val="20"/>
                <w:szCs w:val="20"/>
                <w:b w:val="1"/>
                <w:bCs w:val="1"/>
                <w:color w:val="E2231A"/>
                <w:vertAlign w:val="superscript"/>
              </w:rPr>
              <w:t>(3)</w:t>
            </w:r>
          </w:p>
        </w:tc>
        <w:tc>
          <w:tcPr>
            <w:tcW w:w="1980" w:type="dxa"/>
            <w:vAlign w:val="bottom"/>
            <w:tcBorders>
              <w:bottom w:val="single" w:sz="8" w:color="auto"/>
            </w:tcBorders>
            <w:gridSpan w:val="2"/>
          </w:tcPr>
          <w:p>
            <w:pPr>
              <w:ind w:left="440"/>
              <w:spacing w:after="0" w:line="177" w:lineRule="exact"/>
              <w:rPr>
                <w:sz w:val="20"/>
                <w:szCs w:val="20"/>
                <w:color w:val="auto"/>
              </w:rPr>
            </w:pPr>
            <w:r>
              <w:rPr>
                <w:rFonts w:ascii="Arial" w:cs="Arial" w:eastAsia="Arial" w:hAnsi="Arial"/>
                <w:sz w:val="12"/>
                <w:szCs w:val="12"/>
                <w:b w:val="1"/>
                <w:bCs w:val="1"/>
                <w:color w:val="E2231A"/>
              </w:rPr>
              <w:t>Compensation</w:t>
            </w:r>
            <w:r>
              <w:rPr>
                <w:rFonts w:ascii="Arial" w:cs="Arial" w:eastAsia="Arial" w:hAnsi="Arial"/>
                <w:sz w:val="20"/>
                <w:szCs w:val="20"/>
                <w:b w:val="1"/>
                <w:bCs w:val="1"/>
                <w:color w:val="E2231A"/>
                <w:vertAlign w:val="superscript"/>
              </w:rPr>
              <w:t>(4)</w:t>
            </w: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E2231A"/>
              </w:rPr>
              <w:t>Total</w:t>
            </w:r>
          </w:p>
        </w:tc>
      </w:tr>
      <w:tr>
        <w:trPr>
          <w:trHeight w:val="180"/>
        </w:trPr>
        <w:tc>
          <w:tcPr>
            <w:tcW w:w="2560" w:type="dxa"/>
            <w:vAlign w:val="bottom"/>
            <w:shd w:val="clear" w:color="auto" w:fill="FCE9E8"/>
          </w:tcPr>
          <w:p>
            <w:pPr>
              <w:spacing w:after="0" w:line="180" w:lineRule="exact"/>
              <w:rPr>
                <w:sz w:val="20"/>
                <w:szCs w:val="20"/>
                <w:color w:val="auto"/>
              </w:rPr>
            </w:pPr>
            <w:r>
              <w:rPr>
                <w:rFonts w:ascii="Arial" w:cs="Arial" w:eastAsia="Arial" w:hAnsi="Arial"/>
                <w:sz w:val="16"/>
                <w:szCs w:val="16"/>
                <w:color w:val="auto"/>
              </w:rPr>
              <w:t>Richard H. Bott</w:t>
            </w:r>
          </w:p>
        </w:tc>
        <w:tc>
          <w:tcPr>
            <w:tcW w:w="1280" w:type="dxa"/>
            <w:vAlign w:val="bottom"/>
            <w:shd w:val="clear" w:color="auto" w:fill="FCE9E8"/>
          </w:tcPr>
          <w:p>
            <w:pPr>
              <w:ind w:left="1100"/>
              <w:spacing w:after="0" w:line="180" w:lineRule="exact"/>
              <w:rPr>
                <w:sz w:val="20"/>
                <w:szCs w:val="20"/>
                <w:color w:val="auto"/>
              </w:rPr>
            </w:pPr>
            <w:r>
              <w:rPr>
                <w:rFonts w:ascii="Arial" w:cs="Arial" w:eastAsia="Arial" w:hAnsi="Arial"/>
                <w:sz w:val="16"/>
                <w:szCs w:val="16"/>
                <w:color w:val="auto"/>
              </w:rPr>
              <w:t>$</w:t>
            </w:r>
          </w:p>
        </w:tc>
        <w:tc>
          <w:tcPr>
            <w:tcW w:w="1580" w:type="dxa"/>
            <w:vAlign w:val="bottom"/>
            <w:shd w:val="clear" w:color="auto" w:fill="FCE9E8"/>
          </w:tcPr>
          <w:p>
            <w:pPr>
              <w:jc w:val="right"/>
              <w:ind w:right="303"/>
              <w:spacing w:after="0" w:line="180" w:lineRule="exact"/>
              <w:rPr>
                <w:sz w:val="20"/>
                <w:szCs w:val="20"/>
                <w:color w:val="auto"/>
              </w:rPr>
            </w:pPr>
            <w:r>
              <w:rPr>
                <w:rFonts w:ascii="Arial" w:cs="Arial" w:eastAsia="Arial" w:hAnsi="Arial"/>
                <w:sz w:val="16"/>
                <w:szCs w:val="16"/>
                <w:color w:val="auto"/>
              </w:rPr>
              <w:t>115,000</w:t>
            </w:r>
          </w:p>
        </w:tc>
        <w:tc>
          <w:tcPr>
            <w:tcW w:w="680" w:type="dxa"/>
            <w:vAlign w:val="bottom"/>
            <w:shd w:val="clear" w:color="auto" w:fill="FCE9E8"/>
          </w:tcPr>
          <w:p>
            <w:pPr>
              <w:ind w:left="380"/>
              <w:spacing w:after="0" w:line="180" w:lineRule="exact"/>
              <w:rPr>
                <w:sz w:val="20"/>
                <w:szCs w:val="20"/>
                <w:color w:val="auto"/>
              </w:rPr>
            </w:pPr>
            <w:r>
              <w:rPr>
                <w:rFonts w:ascii="Arial" w:cs="Arial" w:eastAsia="Arial" w:hAnsi="Arial"/>
                <w:sz w:val="16"/>
                <w:szCs w:val="16"/>
                <w:color w:val="auto"/>
              </w:rPr>
              <w:t>$</w:t>
            </w:r>
          </w:p>
        </w:tc>
        <w:tc>
          <w:tcPr>
            <w:tcW w:w="1220" w:type="dxa"/>
            <w:vAlign w:val="bottom"/>
            <w:shd w:val="clear" w:color="auto" w:fill="FCE9E8"/>
          </w:tcPr>
          <w:p>
            <w:pPr>
              <w:jc w:val="right"/>
              <w:ind w:right="360"/>
              <w:spacing w:after="0" w:line="180" w:lineRule="exact"/>
              <w:rPr>
                <w:sz w:val="20"/>
                <w:szCs w:val="20"/>
                <w:color w:val="auto"/>
              </w:rPr>
            </w:pPr>
            <w:r>
              <w:rPr>
                <w:rFonts w:ascii="Arial" w:cs="Arial" w:eastAsia="Arial" w:hAnsi="Arial"/>
                <w:sz w:val="16"/>
                <w:szCs w:val="16"/>
                <w:color w:val="auto"/>
              </w:rPr>
              <w:t>159,974</w:t>
            </w:r>
          </w:p>
        </w:tc>
        <w:tc>
          <w:tcPr>
            <w:tcW w:w="620" w:type="dxa"/>
            <w:vAlign w:val="bottom"/>
            <w:shd w:val="clear" w:color="auto" w:fill="FCE9E8"/>
          </w:tcPr>
          <w:p>
            <w:pPr>
              <w:ind w:left="440"/>
              <w:spacing w:after="0" w:line="180" w:lineRule="exact"/>
              <w:rPr>
                <w:sz w:val="20"/>
                <w:szCs w:val="20"/>
                <w:color w:val="auto"/>
              </w:rPr>
            </w:pPr>
            <w:r>
              <w:rPr>
                <w:rFonts w:ascii="Arial" w:cs="Arial" w:eastAsia="Arial" w:hAnsi="Arial"/>
                <w:sz w:val="16"/>
                <w:szCs w:val="16"/>
                <w:color w:val="auto"/>
              </w:rPr>
              <w:t>$</w:t>
            </w:r>
          </w:p>
        </w:tc>
        <w:tc>
          <w:tcPr>
            <w:tcW w:w="1360" w:type="dxa"/>
            <w:vAlign w:val="bottom"/>
            <w:shd w:val="clear" w:color="auto" w:fill="FCE9E8"/>
          </w:tcPr>
          <w:p>
            <w:pPr>
              <w:jc w:val="right"/>
              <w:ind w:right="321"/>
              <w:spacing w:after="0" w:line="180" w:lineRule="exact"/>
              <w:rPr>
                <w:sz w:val="20"/>
                <w:szCs w:val="20"/>
                <w:color w:val="auto"/>
              </w:rPr>
            </w:pPr>
            <w:r>
              <w:rPr>
                <w:rFonts w:ascii="Arial" w:cs="Arial" w:eastAsia="Arial" w:hAnsi="Arial"/>
                <w:sz w:val="16"/>
                <w:szCs w:val="16"/>
                <w:color w:val="auto"/>
              </w:rPr>
              <w:t>—</w:t>
            </w:r>
          </w:p>
        </w:tc>
        <w:tc>
          <w:tcPr>
            <w:tcW w:w="480" w:type="dxa"/>
            <w:vAlign w:val="bottom"/>
            <w:shd w:val="clear" w:color="auto" w:fill="FCE9E8"/>
          </w:tcPr>
          <w:p>
            <w:pPr>
              <w:jc w:val="right"/>
              <w:spacing w:after="0" w:line="180" w:lineRule="exact"/>
              <w:rPr>
                <w:sz w:val="20"/>
                <w:szCs w:val="20"/>
                <w:color w:val="auto"/>
              </w:rPr>
            </w:pPr>
            <w:r>
              <w:rPr>
                <w:rFonts w:ascii="Arial" w:cs="Arial" w:eastAsia="Arial" w:hAnsi="Arial"/>
                <w:sz w:val="16"/>
                <w:szCs w:val="16"/>
                <w:color w:val="auto"/>
              </w:rPr>
              <w:t>$</w:t>
            </w:r>
          </w:p>
        </w:tc>
        <w:tc>
          <w:tcPr>
            <w:tcW w:w="1100" w:type="dxa"/>
            <w:vAlign w:val="bottom"/>
            <w:shd w:val="clear" w:color="auto" w:fill="FCE9E8"/>
          </w:tcPr>
          <w:p>
            <w:pPr>
              <w:jc w:val="right"/>
              <w:ind w:right="441"/>
              <w:spacing w:after="0" w:line="180" w:lineRule="exact"/>
              <w:rPr>
                <w:sz w:val="20"/>
                <w:szCs w:val="20"/>
                <w:color w:val="auto"/>
              </w:rPr>
            </w:pPr>
            <w:r>
              <w:rPr>
                <w:rFonts w:ascii="Arial" w:cs="Arial" w:eastAsia="Arial" w:hAnsi="Arial"/>
                <w:sz w:val="16"/>
                <w:szCs w:val="16"/>
                <w:color w:val="auto"/>
                <w:w w:val="96"/>
              </w:rPr>
              <w:t>274,974</w:t>
            </w:r>
          </w:p>
        </w:tc>
      </w:tr>
      <w:tr>
        <w:trPr>
          <w:trHeight w:val="186"/>
        </w:trPr>
        <w:tc>
          <w:tcPr>
            <w:tcW w:w="2560" w:type="dxa"/>
            <w:vAlign w:val="bottom"/>
          </w:tcPr>
          <w:p>
            <w:pPr>
              <w:spacing w:after="0"/>
              <w:rPr>
                <w:sz w:val="20"/>
                <w:szCs w:val="20"/>
                <w:color w:val="auto"/>
              </w:rPr>
            </w:pPr>
            <w:r>
              <w:rPr>
                <w:rFonts w:ascii="Arial" w:cs="Arial" w:eastAsia="Arial" w:hAnsi="Arial"/>
                <w:sz w:val="16"/>
                <w:szCs w:val="16"/>
                <w:color w:val="auto"/>
              </w:rPr>
              <w:t>Thomas P. Capo</w:t>
            </w:r>
          </w:p>
        </w:tc>
        <w:tc>
          <w:tcPr>
            <w:tcW w:w="1280" w:type="dxa"/>
            <w:vAlign w:val="bottom"/>
          </w:tcPr>
          <w:p>
            <w:pPr>
              <w:ind w:left="110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03"/>
              <w:spacing w:after="0"/>
              <w:rPr>
                <w:sz w:val="20"/>
                <w:szCs w:val="20"/>
                <w:color w:val="auto"/>
              </w:rPr>
            </w:pPr>
            <w:r>
              <w:rPr>
                <w:rFonts w:ascii="Arial" w:cs="Arial" w:eastAsia="Arial" w:hAnsi="Arial"/>
                <w:sz w:val="16"/>
                <w:szCs w:val="16"/>
                <w:color w:val="auto"/>
              </w:rPr>
              <w:t>135,000</w:t>
            </w:r>
          </w:p>
        </w:tc>
        <w:tc>
          <w:tcPr>
            <w:tcW w:w="680" w:type="dxa"/>
            <w:vAlign w:val="bottom"/>
          </w:tcPr>
          <w:p>
            <w:pPr>
              <w:ind w:left="3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159,974</w:t>
            </w:r>
          </w:p>
        </w:tc>
        <w:tc>
          <w:tcPr>
            <w:tcW w:w="620" w:type="dxa"/>
            <w:vAlign w:val="bottom"/>
          </w:tcPr>
          <w:p>
            <w:pPr>
              <w:ind w:left="4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41"/>
              <w:spacing w:after="0"/>
              <w:rPr>
                <w:sz w:val="20"/>
                <w:szCs w:val="20"/>
                <w:color w:val="auto"/>
              </w:rPr>
            </w:pPr>
            <w:r>
              <w:rPr>
                <w:rFonts w:ascii="Arial" w:cs="Arial" w:eastAsia="Arial" w:hAnsi="Arial"/>
                <w:sz w:val="16"/>
                <w:szCs w:val="16"/>
                <w:color w:val="auto"/>
                <w:w w:val="96"/>
              </w:rPr>
              <w:t>294,974</w:t>
            </w:r>
          </w:p>
        </w:tc>
      </w:tr>
      <w:tr>
        <w:trPr>
          <w:trHeight w:val="186"/>
        </w:trPr>
        <w:tc>
          <w:tcPr>
            <w:tcW w:w="2560" w:type="dxa"/>
            <w:vAlign w:val="bottom"/>
            <w:shd w:val="clear" w:color="auto" w:fill="FCE9E8"/>
          </w:tcPr>
          <w:p>
            <w:pPr>
              <w:spacing w:after="0"/>
              <w:rPr>
                <w:sz w:val="20"/>
                <w:szCs w:val="20"/>
                <w:color w:val="auto"/>
              </w:rPr>
            </w:pPr>
            <w:r>
              <w:rPr>
                <w:rFonts w:ascii="Arial" w:cs="Arial" w:eastAsia="Arial" w:hAnsi="Arial"/>
                <w:sz w:val="16"/>
                <w:szCs w:val="16"/>
                <w:color w:val="auto"/>
              </w:rPr>
              <w:t>Jonathan F. Foster</w:t>
            </w:r>
          </w:p>
        </w:tc>
        <w:tc>
          <w:tcPr>
            <w:tcW w:w="1280" w:type="dxa"/>
            <w:vAlign w:val="bottom"/>
            <w:shd w:val="clear" w:color="auto" w:fill="FCE9E8"/>
          </w:tcPr>
          <w:p>
            <w:pPr>
              <w:ind w:left="1100"/>
              <w:spacing w:after="0"/>
              <w:rPr>
                <w:sz w:val="20"/>
                <w:szCs w:val="20"/>
                <w:color w:val="auto"/>
              </w:rPr>
            </w:pPr>
            <w:r>
              <w:rPr>
                <w:rFonts w:ascii="Arial" w:cs="Arial" w:eastAsia="Arial" w:hAnsi="Arial"/>
                <w:sz w:val="16"/>
                <w:szCs w:val="16"/>
                <w:color w:val="auto"/>
              </w:rPr>
              <w:t>$</w:t>
            </w:r>
          </w:p>
        </w:tc>
        <w:tc>
          <w:tcPr>
            <w:tcW w:w="1580" w:type="dxa"/>
            <w:vAlign w:val="bottom"/>
            <w:shd w:val="clear" w:color="auto" w:fill="FCE9E8"/>
          </w:tcPr>
          <w:p>
            <w:pPr>
              <w:jc w:val="right"/>
              <w:ind w:right="303"/>
              <w:spacing w:after="0"/>
              <w:rPr>
                <w:sz w:val="20"/>
                <w:szCs w:val="20"/>
                <w:color w:val="auto"/>
              </w:rPr>
            </w:pPr>
            <w:r>
              <w:rPr>
                <w:rFonts w:ascii="Arial" w:cs="Arial" w:eastAsia="Arial" w:hAnsi="Arial"/>
                <w:sz w:val="16"/>
                <w:szCs w:val="16"/>
                <w:color w:val="auto"/>
              </w:rPr>
              <w:t>135,000</w:t>
            </w:r>
          </w:p>
        </w:tc>
        <w:tc>
          <w:tcPr>
            <w:tcW w:w="680" w:type="dxa"/>
            <w:vAlign w:val="bottom"/>
            <w:shd w:val="clear" w:color="auto" w:fill="FCE9E8"/>
          </w:tcPr>
          <w:p>
            <w:pPr>
              <w:ind w:left="3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FCE9E8"/>
          </w:tcPr>
          <w:p>
            <w:pPr>
              <w:jc w:val="right"/>
              <w:ind w:right="360"/>
              <w:spacing w:after="0"/>
              <w:rPr>
                <w:sz w:val="20"/>
                <w:szCs w:val="20"/>
                <w:color w:val="auto"/>
              </w:rPr>
            </w:pPr>
            <w:r>
              <w:rPr>
                <w:rFonts w:ascii="Arial" w:cs="Arial" w:eastAsia="Arial" w:hAnsi="Arial"/>
                <w:sz w:val="16"/>
                <w:szCs w:val="16"/>
                <w:color w:val="auto"/>
              </w:rPr>
              <w:t>159,974</w:t>
            </w:r>
          </w:p>
        </w:tc>
        <w:tc>
          <w:tcPr>
            <w:tcW w:w="620" w:type="dxa"/>
            <w:vAlign w:val="bottom"/>
            <w:shd w:val="clear" w:color="auto" w:fill="FCE9E8"/>
          </w:tcPr>
          <w:p>
            <w:pPr>
              <w:ind w:left="4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FCE9E8"/>
          </w:tcPr>
          <w:p>
            <w:pPr>
              <w:jc w:val="right"/>
              <w:ind w:right="321"/>
              <w:spacing w:after="0"/>
              <w:rPr>
                <w:sz w:val="20"/>
                <w:szCs w:val="20"/>
                <w:color w:val="auto"/>
              </w:rPr>
            </w:pPr>
            <w:r>
              <w:rPr>
                <w:rFonts w:ascii="Arial" w:cs="Arial" w:eastAsia="Arial" w:hAnsi="Arial"/>
                <w:sz w:val="16"/>
                <w:szCs w:val="16"/>
                <w:color w:val="auto"/>
              </w:rPr>
              <w:t>360,518</w:t>
            </w:r>
          </w:p>
        </w:tc>
        <w:tc>
          <w:tcPr>
            <w:tcW w:w="4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FCE9E8"/>
          </w:tcPr>
          <w:p>
            <w:pPr>
              <w:jc w:val="right"/>
              <w:ind w:right="441"/>
              <w:spacing w:after="0"/>
              <w:rPr>
                <w:sz w:val="20"/>
                <w:szCs w:val="20"/>
                <w:color w:val="auto"/>
              </w:rPr>
            </w:pPr>
            <w:r>
              <w:rPr>
                <w:rFonts w:ascii="Arial" w:cs="Arial" w:eastAsia="Arial" w:hAnsi="Arial"/>
                <w:sz w:val="16"/>
                <w:szCs w:val="16"/>
                <w:color w:val="auto"/>
                <w:w w:val="96"/>
              </w:rPr>
              <w:t>655,492</w:t>
            </w:r>
          </w:p>
        </w:tc>
      </w:tr>
      <w:tr>
        <w:trPr>
          <w:trHeight w:val="186"/>
        </w:trPr>
        <w:tc>
          <w:tcPr>
            <w:tcW w:w="2560" w:type="dxa"/>
            <w:vAlign w:val="bottom"/>
          </w:tcPr>
          <w:p>
            <w:pPr>
              <w:spacing w:after="0"/>
              <w:rPr>
                <w:sz w:val="20"/>
                <w:szCs w:val="20"/>
                <w:color w:val="auto"/>
              </w:rPr>
            </w:pPr>
            <w:r>
              <w:rPr>
                <w:rFonts w:ascii="Arial" w:cs="Arial" w:eastAsia="Arial" w:hAnsi="Arial"/>
                <w:sz w:val="16"/>
                <w:szCs w:val="16"/>
                <w:color w:val="auto"/>
              </w:rPr>
              <w:t>Mary Lou Jepsen</w:t>
            </w:r>
          </w:p>
        </w:tc>
        <w:tc>
          <w:tcPr>
            <w:tcW w:w="1280" w:type="dxa"/>
            <w:vAlign w:val="bottom"/>
          </w:tcPr>
          <w:p>
            <w:pPr>
              <w:ind w:left="110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03"/>
              <w:spacing w:after="0"/>
              <w:rPr>
                <w:sz w:val="20"/>
                <w:szCs w:val="20"/>
                <w:color w:val="auto"/>
              </w:rPr>
            </w:pPr>
            <w:r>
              <w:rPr>
                <w:rFonts w:ascii="Arial" w:cs="Arial" w:eastAsia="Arial" w:hAnsi="Arial"/>
                <w:sz w:val="16"/>
                <w:szCs w:val="16"/>
                <w:color w:val="auto"/>
              </w:rPr>
              <w:t>115,000</w:t>
            </w:r>
          </w:p>
        </w:tc>
        <w:tc>
          <w:tcPr>
            <w:tcW w:w="680" w:type="dxa"/>
            <w:vAlign w:val="bottom"/>
          </w:tcPr>
          <w:p>
            <w:pPr>
              <w:ind w:left="3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159,974</w:t>
            </w:r>
          </w:p>
        </w:tc>
        <w:tc>
          <w:tcPr>
            <w:tcW w:w="620" w:type="dxa"/>
            <w:vAlign w:val="bottom"/>
          </w:tcPr>
          <w:p>
            <w:pPr>
              <w:ind w:left="4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41"/>
              <w:spacing w:after="0"/>
              <w:rPr>
                <w:sz w:val="20"/>
                <w:szCs w:val="20"/>
                <w:color w:val="auto"/>
              </w:rPr>
            </w:pPr>
            <w:r>
              <w:rPr>
                <w:rFonts w:ascii="Arial" w:cs="Arial" w:eastAsia="Arial" w:hAnsi="Arial"/>
                <w:sz w:val="16"/>
                <w:szCs w:val="16"/>
                <w:color w:val="auto"/>
                <w:w w:val="96"/>
              </w:rPr>
              <w:t>274,974</w:t>
            </w:r>
          </w:p>
        </w:tc>
      </w:tr>
      <w:tr>
        <w:trPr>
          <w:trHeight w:val="186"/>
        </w:trPr>
        <w:tc>
          <w:tcPr>
            <w:tcW w:w="2560" w:type="dxa"/>
            <w:vAlign w:val="bottom"/>
            <w:shd w:val="clear" w:color="auto" w:fill="FCE9E8"/>
          </w:tcPr>
          <w:p>
            <w:pPr>
              <w:spacing w:after="0"/>
              <w:rPr>
                <w:sz w:val="20"/>
                <w:szCs w:val="20"/>
                <w:color w:val="auto"/>
              </w:rPr>
            </w:pPr>
            <w:r>
              <w:rPr>
                <w:rFonts w:ascii="Arial" w:cs="Arial" w:eastAsia="Arial" w:hAnsi="Arial"/>
                <w:sz w:val="16"/>
                <w:szCs w:val="16"/>
                <w:color w:val="auto"/>
              </w:rPr>
              <w:t>Kathleen A. Ligocki</w:t>
            </w:r>
          </w:p>
        </w:tc>
        <w:tc>
          <w:tcPr>
            <w:tcW w:w="1280" w:type="dxa"/>
            <w:vAlign w:val="bottom"/>
            <w:shd w:val="clear" w:color="auto" w:fill="FCE9E8"/>
          </w:tcPr>
          <w:p>
            <w:pPr>
              <w:ind w:left="1100"/>
              <w:spacing w:after="0"/>
              <w:rPr>
                <w:sz w:val="20"/>
                <w:szCs w:val="20"/>
                <w:color w:val="auto"/>
              </w:rPr>
            </w:pPr>
            <w:r>
              <w:rPr>
                <w:rFonts w:ascii="Arial" w:cs="Arial" w:eastAsia="Arial" w:hAnsi="Arial"/>
                <w:sz w:val="16"/>
                <w:szCs w:val="16"/>
                <w:color w:val="auto"/>
              </w:rPr>
              <w:t>$</w:t>
            </w:r>
          </w:p>
        </w:tc>
        <w:tc>
          <w:tcPr>
            <w:tcW w:w="1580" w:type="dxa"/>
            <w:vAlign w:val="bottom"/>
            <w:shd w:val="clear" w:color="auto" w:fill="FCE9E8"/>
          </w:tcPr>
          <w:p>
            <w:pPr>
              <w:jc w:val="right"/>
              <w:ind w:right="303"/>
              <w:spacing w:after="0"/>
              <w:rPr>
                <w:sz w:val="20"/>
                <w:szCs w:val="20"/>
                <w:color w:val="auto"/>
              </w:rPr>
            </w:pPr>
            <w:r>
              <w:rPr>
                <w:rFonts w:ascii="Arial" w:cs="Arial" w:eastAsia="Arial" w:hAnsi="Arial"/>
                <w:sz w:val="16"/>
                <w:szCs w:val="16"/>
                <w:color w:val="auto"/>
              </w:rPr>
              <w:t>130,000</w:t>
            </w:r>
          </w:p>
        </w:tc>
        <w:tc>
          <w:tcPr>
            <w:tcW w:w="680" w:type="dxa"/>
            <w:vAlign w:val="bottom"/>
            <w:shd w:val="clear" w:color="auto" w:fill="FCE9E8"/>
          </w:tcPr>
          <w:p>
            <w:pPr>
              <w:ind w:left="3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FCE9E8"/>
          </w:tcPr>
          <w:p>
            <w:pPr>
              <w:jc w:val="right"/>
              <w:ind w:right="360"/>
              <w:spacing w:after="0"/>
              <w:rPr>
                <w:sz w:val="20"/>
                <w:szCs w:val="20"/>
                <w:color w:val="auto"/>
              </w:rPr>
            </w:pPr>
            <w:r>
              <w:rPr>
                <w:rFonts w:ascii="Arial" w:cs="Arial" w:eastAsia="Arial" w:hAnsi="Arial"/>
                <w:sz w:val="16"/>
                <w:szCs w:val="16"/>
                <w:color w:val="auto"/>
              </w:rPr>
              <w:t>159,974</w:t>
            </w:r>
          </w:p>
        </w:tc>
        <w:tc>
          <w:tcPr>
            <w:tcW w:w="620" w:type="dxa"/>
            <w:vAlign w:val="bottom"/>
            <w:shd w:val="clear" w:color="auto" w:fill="FCE9E8"/>
          </w:tcPr>
          <w:p>
            <w:pPr>
              <w:ind w:left="4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FCE9E8"/>
          </w:tcPr>
          <w:p>
            <w:pPr>
              <w:jc w:val="right"/>
              <w:ind w:right="321"/>
              <w:spacing w:after="0"/>
              <w:rPr>
                <w:sz w:val="20"/>
                <w:szCs w:val="20"/>
                <w:color w:val="auto"/>
              </w:rPr>
            </w:pPr>
            <w:r>
              <w:rPr>
                <w:rFonts w:ascii="Arial" w:cs="Arial" w:eastAsia="Arial" w:hAnsi="Arial"/>
                <w:sz w:val="16"/>
                <w:szCs w:val="16"/>
                <w:color w:val="auto"/>
              </w:rPr>
              <w:t>—</w:t>
            </w:r>
          </w:p>
        </w:tc>
        <w:tc>
          <w:tcPr>
            <w:tcW w:w="4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FCE9E8"/>
          </w:tcPr>
          <w:p>
            <w:pPr>
              <w:jc w:val="right"/>
              <w:ind w:right="441"/>
              <w:spacing w:after="0"/>
              <w:rPr>
                <w:sz w:val="20"/>
                <w:szCs w:val="20"/>
                <w:color w:val="auto"/>
              </w:rPr>
            </w:pPr>
            <w:r>
              <w:rPr>
                <w:rFonts w:ascii="Arial" w:cs="Arial" w:eastAsia="Arial" w:hAnsi="Arial"/>
                <w:sz w:val="16"/>
                <w:szCs w:val="16"/>
                <w:color w:val="auto"/>
                <w:w w:val="96"/>
              </w:rPr>
              <w:t>289,974</w:t>
            </w:r>
          </w:p>
        </w:tc>
      </w:tr>
      <w:tr>
        <w:trPr>
          <w:trHeight w:val="186"/>
        </w:trPr>
        <w:tc>
          <w:tcPr>
            <w:tcW w:w="2560" w:type="dxa"/>
            <w:vAlign w:val="bottom"/>
          </w:tcPr>
          <w:p>
            <w:pPr>
              <w:spacing w:after="0"/>
              <w:rPr>
                <w:sz w:val="20"/>
                <w:szCs w:val="20"/>
                <w:color w:val="auto"/>
              </w:rPr>
            </w:pPr>
            <w:r>
              <w:rPr>
                <w:rFonts w:ascii="Arial" w:cs="Arial" w:eastAsia="Arial" w:hAnsi="Arial"/>
                <w:sz w:val="16"/>
                <w:szCs w:val="16"/>
                <w:color w:val="auto"/>
              </w:rPr>
              <w:t>Conrad L. Mallett, Jr.</w:t>
            </w:r>
          </w:p>
        </w:tc>
        <w:tc>
          <w:tcPr>
            <w:tcW w:w="1280" w:type="dxa"/>
            <w:vAlign w:val="bottom"/>
          </w:tcPr>
          <w:p>
            <w:pPr>
              <w:ind w:left="110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03"/>
              <w:spacing w:after="0"/>
              <w:rPr>
                <w:sz w:val="20"/>
                <w:szCs w:val="20"/>
                <w:color w:val="auto"/>
              </w:rPr>
            </w:pPr>
            <w:r>
              <w:rPr>
                <w:rFonts w:ascii="Arial" w:cs="Arial" w:eastAsia="Arial" w:hAnsi="Arial"/>
                <w:sz w:val="16"/>
                <w:szCs w:val="16"/>
                <w:color w:val="auto"/>
              </w:rPr>
              <w:t>115,000</w:t>
            </w:r>
          </w:p>
        </w:tc>
        <w:tc>
          <w:tcPr>
            <w:tcW w:w="680" w:type="dxa"/>
            <w:vAlign w:val="bottom"/>
          </w:tcPr>
          <w:p>
            <w:pPr>
              <w:ind w:left="3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159,974</w:t>
            </w:r>
          </w:p>
        </w:tc>
        <w:tc>
          <w:tcPr>
            <w:tcW w:w="620" w:type="dxa"/>
            <w:vAlign w:val="bottom"/>
          </w:tcPr>
          <w:p>
            <w:pPr>
              <w:ind w:left="4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41"/>
              <w:spacing w:after="0"/>
              <w:rPr>
                <w:sz w:val="20"/>
                <w:szCs w:val="20"/>
                <w:color w:val="auto"/>
              </w:rPr>
            </w:pPr>
            <w:r>
              <w:rPr>
                <w:rFonts w:ascii="Arial" w:cs="Arial" w:eastAsia="Arial" w:hAnsi="Arial"/>
                <w:sz w:val="16"/>
                <w:szCs w:val="16"/>
                <w:color w:val="auto"/>
                <w:w w:val="96"/>
              </w:rPr>
              <w:t>274,974</w:t>
            </w:r>
          </w:p>
        </w:tc>
      </w:tr>
      <w:tr>
        <w:trPr>
          <w:trHeight w:val="186"/>
        </w:trPr>
        <w:tc>
          <w:tcPr>
            <w:tcW w:w="2560" w:type="dxa"/>
            <w:vAlign w:val="bottom"/>
            <w:shd w:val="clear" w:color="auto" w:fill="FCE9E8"/>
          </w:tcPr>
          <w:p>
            <w:pPr>
              <w:spacing w:after="0" w:line="187" w:lineRule="exact"/>
              <w:rPr>
                <w:sz w:val="20"/>
                <w:szCs w:val="20"/>
                <w:color w:val="auto"/>
              </w:rPr>
            </w:pPr>
            <w:r>
              <w:rPr>
                <w:rFonts w:ascii="Arial" w:cs="Arial" w:eastAsia="Arial" w:hAnsi="Arial"/>
                <w:sz w:val="13"/>
                <w:szCs w:val="13"/>
                <w:color w:val="auto"/>
              </w:rPr>
              <w:t>Donald L. Runkle</w:t>
            </w:r>
            <w:r>
              <w:rPr>
                <w:rFonts w:ascii="Arial" w:cs="Arial" w:eastAsia="Arial" w:hAnsi="Arial"/>
                <w:sz w:val="21"/>
                <w:szCs w:val="21"/>
                <w:color w:val="auto"/>
                <w:vertAlign w:val="superscript"/>
              </w:rPr>
              <w:t>(5)</w:t>
            </w:r>
          </w:p>
        </w:tc>
        <w:tc>
          <w:tcPr>
            <w:tcW w:w="1280" w:type="dxa"/>
            <w:vAlign w:val="bottom"/>
            <w:shd w:val="clear" w:color="auto" w:fill="FCE9E8"/>
          </w:tcPr>
          <w:p>
            <w:pPr>
              <w:ind w:left="1100"/>
              <w:spacing w:after="0"/>
              <w:rPr>
                <w:sz w:val="20"/>
                <w:szCs w:val="20"/>
                <w:color w:val="auto"/>
              </w:rPr>
            </w:pPr>
            <w:r>
              <w:rPr>
                <w:rFonts w:ascii="Arial" w:cs="Arial" w:eastAsia="Arial" w:hAnsi="Arial"/>
                <w:sz w:val="16"/>
                <w:szCs w:val="16"/>
                <w:color w:val="auto"/>
              </w:rPr>
              <w:t>$</w:t>
            </w:r>
          </w:p>
        </w:tc>
        <w:tc>
          <w:tcPr>
            <w:tcW w:w="1580" w:type="dxa"/>
            <w:vAlign w:val="bottom"/>
            <w:shd w:val="clear" w:color="auto" w:fill="FCE9E8"/>
          </w:tcPr>
          <w:p>
            <w:pPr>
              <w:jc w:val="right"/>
              <w:ind w:right="303"/>
              <w:spacing w:after="0"/>
              <w:rPr>
                <w:sz w:val="20"/>
                <w:szCs w:val="20"/>
                <w:color w:val="auto"/>
              </w:rPr>
            </w:pPr>
            <w:r>
              <w:rPr>
                <w:rFonts w:ascii="Arial" w:cs="Arial" w:eastAsia="Arial" w:hAnsi="Arial"/>
                <w:sz w:val="16"/>
                <w:szCs w:val="16"/>
                <w:color w:val="auto"/>
              </w:rPr>
              <w:t>47,917</w:t>
            </w:r>
          </w:p>
        </w:tc>
        <w:tc>
          <w:tcPr>
            <w:tcW w:w="680" w:type="dxa"/>
            <w:vAlign w:val="bottom"/>
            <w:shd w:val="clear" w:color="auto" w:fill="FCE9E8"/>
          </w:tcPr>
          <w:p>
            <w:pPr>
              <w:ind w:left="3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FCE9E8"/>
          </w:tcPr>
          <w:p>
            <w:pPr>
              <w:jc w:val="right"/>
              <w:ind w:right="360"/>
              <w:spacing w:after="0"/>
              <w:rPr>
                <w:sz w:val="20"/>
                <w:szCs w:val="20"/>
                <w:color w:val="auto"/>
              </w:rPr>
            </w:pPr>
            <w:r>
              <w:rPr>
                <w:rFonts w:ascii="Arial" w:cs="Arial" w:eastAsia="Arial" w:hAnsi="Arial"/>
                <w:sz w:val="16"/>
                <w:szCs w:val="16"/>
                <w:color w:val="auto"/>
              </w:rPr>
              <w:t>—</w:t>
            </w:r>
          </w:p>
        </w:tc>
        <w:tc>
          <w:tcPr>
            <w:tcW w:w="620" w:type="dxa"/>
            <w:vAlign w:val="bottom"/>
            <w:shd w:val="clear" w:color="auto" w:fill="FCE9E8"/>
          </w:tcPr>
          <w:p>
            <w:pPr>
              <w:ind w:left="4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FCE9E8"/>
          </w:tcPr>
          <w:p>
            <w:pPr>
              <w:jc w:val="right"/>
              <w:ind w:right="321"/>
              <w:spacing w:after="0"/>
              <w:rPr>
                <w:sz w:val="20"/>
                <w:szCs w:val="20"/>
                <w:color w:val="auto"/>
              </w:rPr>
            </w:pPr>
            <w:r>
              <w:rPr>
                <w:rFonts w:ascii="Arial" w:cs="Arial" w:eastAsia="Arial" w:hAnsi="Arial"/>
                <w:sz w:val="16"/>
                <w:szCs w:val="16"/>
                <w:color w:val="auto"/>
              </w:rPr>
              <w:t>—</w:t>
            </w:r>
          </w:p>
        </w:tc>
        <w:tc>
          <w:tcPr>
            <w:tcW w:w="4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FCE9E8"/>
          </w:tcPr>
          <w:p>
            <w:pPr>
              <w:jc w:val="right"/>
              <w:ind w:right="441"/>
              <w:spacing w:after="0"/>
              <w:rPr>
                <w:sz w:val="20"/>
                <w:szCs w:val="20"/>
                <w:color w:val="auto"/>
              </w:rPr>
            </w:pPr>
            <w:r>
              <w:rPr>
                <w:rFonts w:ascii="Arial" w:cs="Arial" w:eastAsia="Arial" w:hAnsi="Arial"/>
                <w:sz w:val="16"/>
                <w:szCs w:val="16"/>
                <w:color w:val="auto"/>
              </w:rPr>
              <w:t>47,917</w:t>
            </w:r>
          </w:p>
        </w:tc>
      </w:tr>
      <w:tr>
        <w:trPr>
          <w:trHeight w:val="186"/>
        </w:trPr>
        <w:tc>
          <w:tcPr>
            <w:tcW w:w="2560" w:type="dxa"/>
            <w:vAlign w:val="bottom"/>
          </w:tcPr>
          <w:p>
            <w:pPr>
              <w:spacing w:after="0"/>
              <w:rPr>
                <w:sz w:val="20"/>
                <w:szCs w:val="20"/>
                <w:color w:val="auto"/>
              </w:rPr>
            </w:pPr>
            <w:r>
              <w:rPr>
                <w:rFonts w:ascii="Arial" w:cs="Arial" w:eastAsia="Arial" w:hAnsi="Arial"/>
                <w:sz w:val="16"/>
                <w:szCs w:val="16"/>
                <w:color w:val="auto"/>
              </w:rPr>
              <w:t>Gregory C. Smith</w:t>
            </w:r>
          </w:p>
        </w:tc>
        <w:tc>
          <w:tcPr>
            <w:tcW w:w="1280" w:type="dxa"/>
            <w:vAlign w:val="bottom"/>
          </w:tcPr>
          <w:p>
            <w:pPr>
              <w:ind w:left="110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03"/>
              <w:spacing w:after="0"/>
              <w:rPr>
                <w:sz w:val="20"/>
                <w:szCs w:val="20"/>
                <w:color w:val="auto"/>
              </w:rPr>
            </w:pPr>
            <w:r>
              <w:rPr>
                <w:rFonts w:ascii="Arial" w:cs="Arial" w:eastAsia="Arial" w:hAnsi="Arial"/>
                <w:sz w:val="16"/>
                <w:szCs w:val="16"/>
                <w:color w:val="auto"/>
              </w:rPr>
              <w:t>115,000</w:t>
            </w:r>
          </w:p>
        </w:tc>
        <w:tc>
          <w:tcPr>
            <w:tcW w:w="680" w:type="dxa"/>
            <w:vAlign w:val="bottom"/>
          </w:tcPr>
          <w:p>
            <w:pPr>
              <w:ind w:left="3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159,974</w:t>
            </w:r>
          </w:p>
        </w:tc>
        <w:tc>
          <w:tcPr>
            <w:tcW w:w="620" w:type="dxa"/>
            <w:vAlign w:val="bottom"/>
          </w:tcPr>
          <w:p>
            <w:pPr>
              <w:ind w:left="4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41"/>
              <w:spacing w:after="0"/>
              <w:rPr>
                <w:sz w:val="20"/>
                <w:szCs w:val="20"/>
                <w:color w:val="auto"/>
              </w:rPr>
            </w:pPr>
            <w:r>
              <w:rPr>
                <w:rFonts w:ascii="Arial" w:cs="Arial" w:eastAsia="Arial" w:hAnsi="Arial"/>
                <w:sz w:val="16"/>
                <w:szCs w:val="16"/>
                <w:color w:val="auto"/>
                <w:w w:val="96"/>
              </w:rPr>
              <w:t>274,974</w:t>
            </w:r>
          </w:p>
        </w:tc>
      </w:tr>
      <w:tr>
        <w:trPr>
          <w:trHeight w:val="186"/>
        </w:trPr>
        <w:tc>
          <w:tcPr>
            <w:tcW w:w="2560" w:type="dxa"/>
            <w:vAlign w:val="bottom"/>
            <w:tcBorders>
              <w:bottom w:val="single" w:sz="8" w:color="auto"/>
            </w:tcBorders>
            <w:shd w:val="clear" w:color="auto" w:fill="FCE9E8"/>
          </w:tcPr>
          <w:p>
            <w:pPr>
              <w:spacing w:after="0"/>
              <w:rPr>
                <w:sz w:val="20"/>
                <w:szCs w:val="20"/>
                <w:color w:val="auto"/>
              </w:rPr>
            </w:pPr>
            <w:r>
              <w:rPr>
                <w:rFonts w:ascii="Arial" w:cs="Arial" w:eastAsia="Arial" w:hAnsi="Arial"/>
                <w:sz w:val="16"/>
                <w:szCs w:val="16"/>
                <w:color w:val="auto"/>
              </w:rPr>
              <w:t>Henry D.G. Wallace</w:t>
            </w:r>
          </w:p>
        </w:tc>
        <w:tc>
          <w:tcPr>
            <w:tcW w:w="1280" w:type="dxa"/>
            <w:vAlign w:val="bottom"/>
            <w:tcBorders>
              <w:bottom w:val="single" w:sz="8" w:color="auto"/>
            </w:tcBorders>
            <w:shd w:val="clear" w:color="auto" w:fill="FCE9E8"/>
          </w:tcPr>
          <w:p>
            <w:pPr>
              <w:ind w:left="110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FCE9E8"/>
          </w:tcPr>
          <w:p>
            <w:pPr>
              <w:jc w:val="right"/>
              <w:ind w:right="303"/>
              <w:spacing w:after="0"/>
              <w:rPr>
                <w:sz w:val="20"/>
                <w:szCs w:val="20"/>
                <w:color w:val="auto"/>
              </w:rPr>
            </w:pPr>
            <w:r>
              <w:rPr>
                <w:rFonts w:ascii="Arial" w:cs="Arial" w:eastAsia="Arial" w:hAnsi="Arial"/>
                <w:sz w:val="16"/>
                <w:szCs w:val="16"/>
                <w:color w:val="auto"/>
              </w:rPr>
              <w:t>195,000</w:t>
            </w:r>
          </w:p>
        </w:tc>
        <w:tc>
          <w:tcPr>
            <w:tcW w:w="680" w:type="dxa"/>
            <w:vAlign w:val="bottom"/>
            <w:tcBorders>
              <w:bottom w:val="single" w:sz="8" w:color="auto"/>
            </w:tcBorders>
            <w:shd w:val="clear" w:color="auto" w:fill="FCE9E8"/>
          </w:tcPr>
          <w:p>
            <w:pPr>
              <w:ind w:left="3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FCE9E8"/>
          </w:tcPr>
          <w:p>
            <w:pPr>
              <w:jc w:val="right"/>
              <w:ind w:right="360"/>
              <w:spacing w:after="0"/>
              <w:rPr>
                <w:sz w:val="20"/>
                <w:szCs w:val="20"/>
                <w:color w:val="auto"/>
              </w:rPr>
            </w:pPr>
            <w:r>
              <w:rPr>
                <w:rFonts w:ascii="Arial" w:cs="Arial" w:eastAsia="Arial" w:hAnsi="Arial"/>
                <w:sz w:val="16"/>
                <w:szCs w:val="16"/>
                <w:color w:val="auto"/>
              </w:rPr>
              <w:t>279,802</w:t>
            </w:r>
          </w:p>
        </w:tc>
        <w:tc>
          <w:tcPr>
            <w:tcW w:w="620" w:type="dxa"/>
            <w:vAlign w:val="bottom"/>
            <w:tcBorders>
              <w:bottom w:val="single" w:sz="8" w:color="auto"/>
            </w:tcBorders>
            <w:shd w:val="clear" w:color="auto" w:fill="FCE9E8"/>
          </w:tcPr>
          <w:p>
            <w:pPr>
              <w:ind w:left="4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FCE9E8"/>
          </w:tcPr>
          <w:p>
            <w:pPr>
              <w:jc w:val="right"/>
              <w:ind w:right="32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FCE9E8"/>
          </w:tcPr>
          <w:p>
            <w:pPr>
              <w:jc w:val="right"/>
              <w:ind w:right="441"/>
              <w:spacing w:after="0"/>
              <w:rPr>
                <w:sz w:val="20"/>
                <w:szCs w:val="20"/>
                <w:color w:val="auto"/>
              </w:rPr>
            </w:pPr>
            <w:r>
              <w:rPr>
                <w:rFonts w:ascii="Arial" w:cs="Arial" w:eastAsia="Arial" w:hAnsi="Arial"/>
                <w:sz w:val="16"/>
                <w:szCs w:val="16"/>
                <w:color w:val="auto"/>
                <w:w w:val="96"/>
              </w:rPr>
              <w:t>474,802</w:t>
            </w:r>
          </w:p>
        </w:tc>
      </w:tr>
    </w:tbl>
    <w:p>
      <w:pPr>
        <w:spacing w:after="0" w:line="85" w:lineRule="exact"/>
        <w:rPr>
          <w:sz w:val="20"/>
          <w:szCs w:val="20"/>
          <w:color w:val="auto"/>
        </w:rPr>
      </w:pPr>
    </w:p>
    <w:p>
      <w:pPr>
        <w:ind w:left="600" w:right="100" w:hanging="320"/>
        <w:spacing w:after="0" w:line="181" w:lineRule="auto"/>
        <w:tabs>
          <w:tab w:leader="none" w:pos="60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Includes cash retainer and other fees earned for service as directors in 2018. The base annual cash retainer is $115,000 and as described below, there is an additional cash retainer for the Non-Executive Chairman and the Chairman of each of the Audit Committee, Compensation Committee and Nominating Committee.</w:t>
      </w:r>
    </w:p>
    <w:p>
      <w:pPr>
        <w:ind w:left="600" w:hanging="320"/>
        <w:spacing w:after="0" w:line="208" w:lineRule="auto"/>
        <w:tabs>
          <w:tab w:leader="none" w:pos="60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Two of our directors deferred the following amounts from their 2018 retainer fees: Ms. Ligocki – $130,000; and Mr. Wallace – $195,000.</w:t>
      </w:r>
    </w:p>
    <w:p>
      <w:pPr>
        <w:spacing w:after="0" w:line="69" w:lineRule="exact"/>
        <w:rPr>
          <w:rFonts w:ascii="Arial" w:cs="Arial" w:eastAsia="Arial" w:hAnsi="Arial"/>
          <w:sz w:val="24"/>
          <w:szCs w:val="24"/>
          <w:color w:val="auto"/>
          <w:vertAlign w:val="superscript"/>
        </w:rPr>
      </w:pPr>
    </w:p>
    <w:p>
      <w:pPr>
        <w:ind w:left="600" w:right="360" w:hanging="320"/>
        <w:spacing w:after="0" w:line="196" w:lineRule="auto"/>
        <w:tabs>
          <w:tab w:leader="none" w:pos="60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For the annual grant of stock, the amounts reported in this column for each director reflect the aggregate grant date fair value determined in accordance with FASB Accounting Standards Codification™ (“ASC”) 718, “Compensation-Stock Compensation.” Messrs. Capo and Wallace and Ms. Ligocki deferred 100% of their 2018 annual stock grants into deferred stock units; Mr. Mallett deferred 90% of his 2018 annual stock grant into deferred stock units.</w:t>
      </w:r>
    </w:p>
    <w:p>
      <w:pPr>
        <w:spacing w:after="0" w:line="71" w:lineRule="exact"/>
        <w:rPr>
          <w:rFonts w:ascii="Arial" w:cs="Arial" w:eastAsia="Arial" w:hAnsi="Arial"/>
          <w:sz w:val="24"/>
          <w:szCs w:val="24"/>
          <w:color w:val="auto"/>
          <w:vertAlign w:val="superscript"/>
        </w:rPr>
      </w:pPr>
    </w:p>
    <w:p>
      <w:pPr>
        <w:ind w:left="600" w:right="60" w:hanging="320"/>
        <w:spacing w:after="0" w:line="205" w:lineRule="auto"/>
        <w:tabs>
          <w:tab w:leader="none" w:pos="60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The amount in this column for Mr. Foster represents a reimbursement by the Company in 2018 for taxes owed by him pursuant to Section 409A of the Internal Revenue Code (“Code Section 409A”). This reimbursement was intended to make Mr. Foster whole for the tax effects under Code Section 409A caused by an inadvertent administrative error that resulted in the Company’s late distribution of shares of the Company’s common stock previously deferred by Mr. Foster under the Outside Directors Compensation Plan.</w:t>
      </w:r>
    </w:p>
    <w:p>
      <w:pPr>
        <w:spacing w:after="0" w:line="1" w:lineRule="exact"/>
        <w:rPr>
          <w:rFonts w:ascii="Arial" w:cs="Arial" w:eastAsia="Arial" w:hAnsi="Arial"/>
          <w:sz w:val="24"/>
          <w:szCs w:val="24"/>
          <w:color w:val="auto"/>
          <w:vertAlign w:val="superscript"/>
        </w:rPr>
      </w:pPr>
    </w:p>
    <w:p>
      <w:pPr>
        <w:ind w:left="600" w:hanging="320"/>
        <w:spacing w:after="0" w:line="208" w:lineRule="auto"/>
        <w:tabs>
          <w:tab w:leader="none" w:pos="60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Mr. Runkle’s term as a director expired at the May 2018 annual meeting of stockholders.</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Summary of 2018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p>
      <w:pPr>
        <w:spacing w:after="0" w:line="20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Overview</w:t>
      </w:r>
    </w:p>
    <w:p>
      <w:pPr>
        <w:spacing w:after="0" w:line="191" w:lineRule="exact"/>
        <w:rPr>
          <w:sz w:val="20"/>
          <w:szCs w:val="20"/>
          <w:color w:val="auto"/>
        </w:rPr>
      </w:pPr>
    </w:p>
    <w:p>
      <w:pPr>
        <w:ind w:left="280" w:right="20"/>
        <w:spacing w:after="0" w:line="259" w:lineRule="auto"/>
        <w:rPr>
          <w:sz w:val="20"/>
          <w:szCs w:val="20"/>
          <w:color w:val="auto"/>
        </w:rPr>
      </w:pPr>
      <w:r>
        <w:rPr>
          <w:rFonts w:ascii="Arial" w:cs="Arial" w:eastAsia="Arial" w:hAnsi="Arial"/>
          <w:sz w:val="15"/>
          <w:szCs w:val="15"/>
          <w:color w:val="auto"/>
        </w:rPr>
        <w:t>In order to attract and retain highly qualified directors to represent stockholders, our philosophy is to set compensation to be within a competitive range of non-employee director pay at comparable companies. At least every two years, the independent compensation consultant presents an analysis of director pay levels among our Comparator Group (described in “Compensation Discussion and Analysis</w:t>
      </w:r>
    </w:p>
    <w:p>
      <w:pPr>
        <w:spacing w:after="0" w:line="2" w:lineRule="exact"/>
        <w:rPr>
          <w:sz w:val="20"/>
          <w:szCs w:val="20"/>
          <w:color w:val="auto"/>
        </w:rPr>
      </w:pPr>
    </w:p>
    <w:p>
      <w:pPr>
        <w:ind w:left="280"/>
        <w:spacing w:after="0" w:line="287" w:lineRule="auto"/>
        <w:rPr>
          <w:sz w:val="20"/>
          <w:szCs w:val="20"/>
          <w:color w:val="auto"/>
        </w:rPr>
      </w:pPr>
      <w:r>
        <w:rPr>
          <w:rFonts w:ascii="Arial" w:cs="Arial" w:eastAsia="Arial" w:hAnsi="Arial"/>
          <w:sz w:val="15"/>
          <w:szCs w:val="15"/>
          <w:color w:val="auto"/>
        </w:rPr>
        <w:t>— Benchmarking” below) and a broader set of large companies. The most recent competitive pay study was completed in September 2017. As</w:t>
      </w:r>
    </w:p>
    <w:p>
      <w:pPr>
        <w:spacing w:after="0" w:line="32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Annual Cash Retainer</w:t>
      </w:r>
    </w:p>
    <w:p>
      <w:pPr>
        <w:spacing w:after="0" w:line="191" w:lineRule="exact"/>
        <w:rPr>
          <w:sz w:val="20"/>
          <w:szCs w:val="20"/>
          <w:color w:val="auto"/>
        </w:rPr>
      </w:pPr>
    </w:p>
    <w:p>
      <w:pPr>
        <w:ind w:left="280" w:right="60"/>
        <w:spacing w:after="0" w:line="248" w:lineRule="auto"/>
        <w:rPr>
          <w:sz w:val="20"/>
          <w:szCs w:val="20"/>
          <w:color w:val="auto"/>
        </w:rPr>
      </w:pPr>
      <w:r>
        <w:rPr>
          <w:rFonts w:ascii="Arial" w:cs="Arial" w:eastAsia="Arial" w:hAnsi="Arial"/>
          <w:sz w:val="16"/>
          <w:szCs w:val="16"/>
          <w:color w:val="auto"/>
        </w:rPr>
        <w:t>The base annual cash retainer for each non-employee director under the Outside Directors Compensation Plan is $115,000 (increased from $110,000 prior to 2018). The additional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noted below and as previously disclosed, changes, effective for 2018, were made to the director pay program based on consideration of the pay philosophy, results of the recent market pay analysis, recognition that the last time pay was changed was effective for 2016 and other factors. Based on the most recent benchmarking analysis, the director compensation is near the market median level within the Comparator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440"/>
        <w:spacing w:after="0" w:line="248" w:lineRule="auto"/>
        <w:rPr>
          <w:sz w:val="20"/>
          <w:szCs w:val="20"/>
          <w:color w:val="auto"/>
        </w:rPr>
      </w:pPr>
      <w:r>
        <w:rPr>
          <w:rFonts w:ascii="Arial" w:cs="Arial" w:eastAsia="Arial" w:hAnsi="Arial"/>
          <w:sz w:val="16"/>
          <w:szCs w:val="16"/>
          <w:color w:val="auto"/>
        </w:rPr>
        <w:t>retainer for the chairs of the Compensation Committee and the Audit Committee is $20,000, the additional cash retainer for the chair of the Nominating Committee is $15,000 and the</w:t>
      </w:r>
    </w:p>
    <w:p>
      <w:pPr>
        <w:spacing w:after="0" w:line="200" w:lineRule="exact"/>
        <w:rPr>
          <w:sz w:val="20"/>
          <w:szCs w:val="20"/>
          <w:color w:val="auto"/>
        </w:rPr>
      </w:pPr>
    </w:p>
    <w:p>
      <w:pPr>
        <w:sectPr>
          <w:pgSz w:w="11900" w:h="16838" w:orient="portrait"/>
          <w:cols w:equalWidth="0" w:num="2">
            <w:col w:w="5480" w:space="340"/>
            <w:col w:w="5340"/>
          </w:cols>
          <w:pgMar w:left="240" w:top="455" w:right="499" w:bottom="1440" w:gutter="0" w:footer="0" w:header="0"/>
          <w:type w:val="continuous"/>
        </w:sectPr>
      </w:pPr>
    </w:p>
    <w:p>
      <w:pPr>
        <w:spacing w:after="0" w:line="44"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23</w:t>
      </w:r>
    </w:p>
    <w:p>
      <w:pPr>
        <w:sectPr>
          <w:pgSz w:w="11900" w:h="16838" w:orient="portrait"/>
          <w:cols w:equalWidth="0" w:num="1">
            <w:col w:w="11160"/>
          </w:cols>
          <w:pgMar w:left="240" w:top="455" w:right="49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210" w:lineRule="exact"/>
        <w:rPr>
          <w:sz w:val="20"/>
          <w:szCs w:val="20"/>
          <w:color w:val="auto"/>
        </w:rPr>
      </w:pPr>
    </w:p>
    <w:p>
      <w:pPr>
        <w:ind w:left="280"/>
        <w:spacing w:after="0" w:line="246" w:lineRule="auto"/>
        <w:rPr>
          <w:sz w:val="20"/>
          <w:szCs w:val="20"/>
          <w:color w:val="auto"/>
        </w:rPr>
      </w:pPr>
      <w:r>
        <w:rPr>
          <w:rFonts w:ascii="Arial" w:cs="Arial" w:eastAsia="Arial" w:hAnsi="Arial"/>
          <w:sz w:val="16"/>
          <w:szCs w:val="16"/>
          <w:color w:val="auto"/>
        </w:rPr>
        <w:t>additional cash retainer for the Presiding Director, if any, is $10,000. The annual cash retainer for each non-employee director is paid in advance in equal installments on the last business day of the month. Because the Company has an independent Non-Executive Chairman, there currently is no Presiding Director.</w:t>
      </w:r>
    </w:p>
    <w:p>
      <w:pPr>
        <w:spacing w:after="0" w:line="96" w:lineRule="exact"/>
        <w:rPr>
          <w:sz w:val="20"/>
          <w:szCs w:val="20"/>
          <w:color w:val="auto"/>
        </w:rPr>
      </w:pPr>
    </w:p>
    <w:p>
      <w:pPr>
        <w:ind w:left="280" w:right="460"/>
        <w:spacing w:after="0" w:line="254" w:lineRule="auto"/>
        <w:rPr>
          <w:sz w:val="20"/>
          <w:szCs w:val="20"/>
          <w:color w:val="auto"/>
        </w:rPr>
      </w:pPr>
      <w:r>
        <w:rPr>
          <w:rFonts w:ascii="Arial" w:cs="Arial" w:eastAsia="Arial" w:hAnsi="Arial"/>
          <w:sz w:val="16"/>
          <w:szCs w:val="16"/>
          <w:color w:val="auto"/>
        </w:rPr>
        <w:t>Non-employee directors generally do not receive Board or standing committee meeting fees; however,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non-employee director is eligible to receive $1,500 for each Board meeting in excess of twelve that he/she attends in a calendar year. Meeting fees for a special committee of the Board are set by the Board at the time of the formation of the special committee and usually are set at the rate of $1,000 per meeting. Meeting fees, if any, are paid on the last business day of the month (for that month’s meeting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-1477645</wp:posOffset>
            </wp:positionV>
            <wp:extent cx="729107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501" w:lineRule="exact"/>
        <w:rPr>
          <w:sz w:val="20"/>
          <w:szCs w:val="20"/>
          <w:color w:val="auto"/>
        </w:rPr>
      </w:pPr>
    </w:p>
    <w:p>
      <w:pPr>
        <w:sectPr>
          <w:pgSz w:w="11900" w:h="16838" w:orient="portrait"/>
          <w:cols w:equalWidth="0" w:num="2">
            <w:col w:w="5480" w:space="340"/>
            <w:col w:w="5300"/>
          </w:cols>
          <w:pgMar w:left="240" w:top="455" w:right="539" w:bottom="1440" w:gutter="0" w:footer="0" w:header="0"/>
        </w:sectPr>
      </w:pPr>
    </w:p>
    <w:p>
      <w:pPr>
        <w:spacing w:after="0" w:line="26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91" w:lineRule="exact"/>
        <w:rPr>
          <w:sz w:val="20"/>
          <w:szCs w:val="20"/>
          <w:color w:val="auto"/>
        </w:rPr>
      </w:pPr>
    </w:p>
    <w:p>
      <w:pPr>
        <w:ind w:left="280"/>
        <w:spacing w:after="0" w:line="247" w:lineRule="auto"/>
        <w:rPr>
          <w:sz w:val="20"/>
          <w:szCs w:val="20"/>
          <w:color w:val="auto"/>
        </w:rPr>
      </w:pPr>
      <w:r>
        <w:rPr>
          <w:rFonts w:ascii="Arial" w:cs="Arial" w:eastAsia="Arial" w:hAnsi="Arial"/>
          <w:sz w:val="16"/>
          <w:szCs w:val="16"/>
          <w:color w:val="auto"/>
        </w:rPr>
        <w:t>Pursuant to the Outside Directors Compensation Plan, each non-employee director receives a base annual unrestricted grant of Lear common stock approximately equal in value to $160,000 (increased from $150,000 prior to 2018) and 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to the stock ownership guidelines described below. Stock grants are made on the date of the annual meeting of stockholders at which a director is elected or re-elected to serve on the Board.</w:t>
      </w:r>
    </w:p>
    <w:p>
      <w:pPr>
        <w:spacing w:after="0" w:line="387" w:lineRule="exact"/>
        <w:rPr>
          <w:sz w:val="20"/>
          <w:szCs w:val="20"/>
          <w:color w:val="auto"/>
        </w:rPr>
      </w:pPr>
    </w:p>
    <w:p>
      <w:pPr>
        <w:sectPr>
          <w:pgSz w:w="11900" w:h="16838" w:orient="portrait"/>
          <w:cols w:equalWidth="0" w:num="2">
            <w:col w:w="5420" w:space="400"/>
            <w:col w:w="5300"/>
          </w:cols>
          <w:pgMar w:left="240" w:top="455" w:right="539" w:bottom="1440" w:gutter="0" w:footer="0" w:header="0"/>
          <w:type w:val="continuous"/>
        </w:sectPr>
      </w:pPr>
    </w:p>
    <w:p>
      <w:pPr>
        <w:spacing w:after="0" w:line="15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Non-Executive Chairman Compensation</w:t>
      </w:r>
    </w:p>
    <w:p>
      <w:pPr>
        <w:spacing w:after="0" w:line="191" w:lineRule="exact"/>
        <w:rPr>
          <w:sz w:val="20"/>
          <w:szCs w:val="20"/>
          <w:color w:val="auto"/>
        </w:rPr>
      </w:pPr>
    </w:p>
    <w:p>
      <w:pPr>
        <w:ind w:left="280" w:right="80"/>
        <w:spacing w:after="0" w:line="247" w:lineRule="auto"/>
        <w:rPr>
          <w:sz w:val="20"/>
          <w:szCs w:val="20"/>
          <w:color w:val="auto"/>
        </w:rPr>
      </w:pPr>
      <w:r>
        <w:rPr>
          <w:rFonts w:ascii="Arial" w:cs="Arial" w:eastAsia="Arial" w:hAnsi="Arial"/>
          <w:sz w:val="16"/>
          <w:szCs w:val="16"/>
          <w:color w:val="auto"/>
        </w:rPr>
        <w:t>The additional compensation for our Non-Executive Chairman, currently Mr. Wallace, in 2018 was an additional annual cash retainer in the amount of $80,000 and an additional annual grant of Lear common stock equal in value to $120,000</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Deferrals</w:t>
      </w:r>
    </w:p>
    <w:p>
      <w:pPr>
        <w:spacing w:after="0" w:line="191"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A non-employee director may elect to defer receipt of all or a portion of his or her annual retainer and any meeting fees pursuant to a valid deferral election. To the extent that any such cash payments are deferred, they are credited to a notional account and bear interest at an annual rate equal to the prime rate (as defined in the Outside Directors Compensation Plan). Non-employee directors may also elect to defer all or a portion of their annual stock retainer into deferred stock units.</w:t>
      </w:r>
    </w:p>
    <w:p>
      <w:pPr>
        <w:spacing w:after="0" w:line="97" w:lineRule="exact"/>
        <w:rPr>
          <w:sz w:val="20"/>
          <w:szCs w:val="20"/>
          <w:color w:val="auto"/>
        </w:rPr>
      </w:pPr>
    </w:p>
    <w:p>
      <w:pPr>
        <w:ind w:left="280" w:right="200"/>
        <w:spacing w:after="0" w:line="254" w:lineRule="auto"/>
        <w:rPr>
          <w:sz w:val="20"/>
          <w:szCs w:val="20"/>
          <w:color w:val="auto"/>
        </w:rPr>
      </w:pPr>
      <w:r>
        <w:rPr>
          <w:rFonts w:ascii="Arial" w:cs="Arial" w:eastAsia="Arial" w:hAnsi="Arial"/>
          <w:sz w:val="16"/>
          <w:szCs w:val="16"/>
          <w:color w:val="auto"/>
        </w:rPr>
        <w:t>In general, amounts deferred are paid to a non-employee director as of the earliest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(increased from $75,000 and $110,000, respectively, prior to 2018). The payment schedule for this additional annual compensation is the same as that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hanging="198"/>
        <w:spacing w:after="0"/>
        <w:tabs>
          <w:tab w:leader="none" w:pos="2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date elected by such director;</w:t>
      </w:r>
    </w:p>
    <w:p>
      <w:pPr>
        <w:spacing w:after="0" w:line="122" w:lineRule="exact"/>
        <w:rPr>
          <w:rFonts w:ascii="Arial" w:cs="Arial" w:eastAsia="Arial" w:hAnsi="Arial"/>
          <w:sz w:val="16"/>
          <w:szCs w:val="16"/>
          <w:color w:val="auto"/>
        </w:rPr>
      </w:pPr>
    </w:p>
    <w:p>
      <w:pPr>
        <w:ind w:left="200" w:hanging="198"/>
        <w:spacing w:after="0"/>
        <w:tabs>
          <w:tab w:leader="none" w:pos="2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date the director ceases to be a director; or</w:t>
      </w:r>
    </w:p>
    <w:p>
      <w:pPr>
        <w:spacing w:after="0" w:line="122" w:lineRule="exact"/>
        <w:rPr>
          <w:rFonts w:ascii="Arial" w:cs="Arial" w:eastAsia="Arial" w:hAnsi="Arial"/>
          <w:sz w:val="16"/>
          <w:szCs w:val="16"/>
          <w:color w:val="auto"/>
        </w:rPr>
      </w:pPr>
    </w:p>
    <w:p>
      <w:pPr>
        <w:ind w:left="200" w:right="560" w:hanging="198"/>
        <w:spacing w:after="0" w:line="254" w:lineRule="auto"/>
        <w:tabs>
          <w:tab w:leader="none" w:pos="2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date a change of control (as defined in the Outside Directors Compensation Plan) occurs.</w:t>
      </w:r>
    </w:p>
    <w:p>
      <w:pPr>
        <w:spacing w:after="0" w:line="197"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Retainer, meeting fees and restricted cash amounts that are deferred are paid in cash in a single sum payment or, at the director’s election, in installments. Amounts of the stock grant that are deferred are paid in the form of shares of common stock in a lump sum or installments in accordance with the director’s election.</w:t>
      </w:r>
    </w:p>
    <w:p>
      <w:pPr>
        <w:spacing w:after="0" w:line="200" w:lineRule="exact"/>
        <w:rPr>
          <w:sz w:val="20"/>
          <w:szCs w:val="20"/>
          <w:color w:val="auto"/>
        </w:rPr>
      </w:pPr>
    </w:p>
    <w:p>
      <w:pPr>
        <w:sectPr>
          <w:pgSz w:w="11900" w:h="16838" w:orient="portrait"/>
          <w:cols w:equalWidth="0" w:num="2">
            <w:col w:w="5500" w:space="320"/>
            <w:col w:w="5300"/>
          </w:cols>
          <w:pgMar w:left="240" w:top="455" w:right="539" w:bottom="1440" w:gutter="0" w:footer="0" w:header="0"/>
          <w:type w:val="continuous"/>
        </w:sectPr>
      </w:pPr>
    </w:p>
    <w:p>
      <w:pPr>
        <w:spacing w:after="0" w:line="15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91" w:lineRule="exact"/>
        <w:rPr>
          <w:sz w:val="20"/>
          <w:szCs w:val="20"/>
          <w:color w:val="auto"/>
        </w:rPr>
      </w:pPr>
    </w:p>
    <w:p>
      <w:pPr>
        <w:ind w:left="280"/>
        <w:spacing w:after="0" w:line="246" w:lineRule="auto"/>
        <w:rPr>
          <w:sz w:val="20"/>
          <w:szCs w:val="20"/>
          <w:color w:val="auto"/>
        </w:rPr>
      </w:pPr>
      <w:r>
        <w:rPr>
          <w:rFonts w:ascii="Arial" w:cs="Arial" w:eastAsia="Arial" w:hAnsi="Arial"/>
          <w:sz w:val="16"/>
          <w:szCs w:val="16"/>
          <w:color w:val="auto"/>
        </w:rPr>
        <w:t>The Company has a long-standing practice of having stock ownership guidelines for non-employee directors. Each non-employee director must achieve a stock ownership level of a number of shares with a value equal to five times the base annual cash retainer and, beginning in 2014, must hold 50% of the net shares from their annual stock grants received</w:t>
      </w:r>
    </w:p>
    <w:p>
      <w:pPr>
        <w:spacing w:after="0" w:line="35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General</w:t>
      </w:r>
    </w:p>
    <w:p>
      <w:pPr>
        <w:spacing w:after="0" w:line="191" w:lineRule="exact"/>
        <w:rPr>
          <w:sz w:val="20"/>
          <w:szCs w:val="20"/>
          <w:color w:val="auto"/>
        </w:rPr>
      </w:pPr>
    </w:p>
    <w:p>
      <w:pPr>
        <w:ind w:left="280" w:right="100"/>
        <w:spacing w:after="0" w:line="254" w:lineRule="auto"/>
        <w:rPr>
          <w:sz w:val="20"/>
          <w:szCs w:val="20"/>
          <w:color w:val="auto"/>
        </w:rPr>
      </w:pPr>
      <w:r>
        <w:rPr>
          <w:rFonts w:ascii="Arial" w:cs="Arial" w:eastAsia="Arial" w:hAnsi="Arial"/>
          <w:sz w:val="16"/>
          <w:szCs w:val="16"/>
          <w:color w:val="auto"/>
        </w:rPr>
        <w:t>Directors who are also our employees receive no compensation for their services as directors except</w:t>
      </w:r>
    </w:p>
    <w:p>
      <w:pPr>
        <w:spacing w:after="0" w:line="239" w:lineRule="exact"/>
        <w:rPr>
          <w:sz w:val="20"/>
          <w:szCs w:val="20"/>
          <w:color w:val="auto"/>
        </w:rPr>
      </w:pPr>
    </w:p>
    <w:p>
      <w:pPr>
        <w:ind w:left="740" w:hanging="359"/>
        <w:spacing w:after="0"/>
        <w:tabs>
          <w:tab w:leader="none" w:pos="7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until they are in compliance with these guidelines. As of our latest measurement date (December 31, 2018), all of our non-employee directors who were directors on the measurement date (other than Dr. Jepsen, who joined the Board in March 2016 and is in compliance with the 50% hold requirement) met the required ownership guideline level.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reimbursement of expenses incurred in attending meetings of our Board or Board committees.</w:t>
      </w:r>
    </w:p>
    <w:p>
      <w:pPr>
        <w:sectPr>
          <w:pgSz w:w="11900" w:h="16838" w:orient="portrait"/>
          <w:cols w:equalWidth="0" w:num="2">
            <w:col w:w="5460" w:space="360"/>
            <w:col w:w="5300"/>
          </w:cols>
          <w:pgMar w:left="240" w:top="455" w:right="5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78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Security Ownership of Certain Beneficial Owners, Directors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21" w:lineRule="exact"/>
        <w:rPr>
          <w:sz w:val="20"/>
          <w:szCs w:val="20"/>
          <w:color w:val="auto"/>
        </w:rPr>
      </w:pPr>
    </w:p>
    <w:p>
      <w:pPr>
        <w:ind w:left="280" w:right="20"/>
        <w:spacing w:after="0" w:line="246" w:lineRule="auto"/>
        <w:rPr>
          <w:sz w:val="20"/>
          <w:szCs w:val="20"/>
          <w:color w:val="auto"/>
        </w:rPr>
      </w:pPr>
      <w:r>
        <w:rPr>
          <w:rFonts w:ascii="Arial" w:cs="Arial" w:eastAsia="Arial" w:hAnsi="Arial"/>
          <w:sz w:val="16"/>
          <w:szCs w:val="16"/>
          <w:color w:val="auto"/>
        </w:rPr>
        <w:t>The following table sets forth, as of March 21, 2019 (except as indicated below), beneficial ownership, as defined by SEC rules, of our common stock and ownership of RSUs by the persons or groups specified. Each of the persons listed below has sole voting and investment power with respect to the beneficially owned shares listed unless otherwise indicated. The percentage calculations set forth in the table are based on 62,415,363 shares of common stock outstanding on March 21, 2019, rather than based on the percentages set forth in stockholders’ Schedules 13G or 13D, as applicable, filed with the SEC.</w:t>
      </w:r>
    </w:p>
    <w:p>
      <w:pPr>
        <w:spacing w:after="0" w:line="213"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60" w:type="dxa"/>
            <w:vAlign w:val="bottom"/>
          </w:tcPr>
          <w:p>
            <w:pPr>
              <w:jc w:val="center"/>
              <w:ind w:left="302"/>
              <w:spacing w:after="0"/>
              <w:rPr>
                <w:sz w:val="20"/>
                <w:szCs w:val="20"/>
                <w:color w:val="auto"/>
              </w:rPr>
            </w:pPr>
            <w:r>
              <w:rPr>
                <w:rFonts w:ascii="Arial" w:cs="Arial" w:eastAsia="Arial" w:hAnsi="Arial"/>
                <w:sz w:val="14"/>
                <w:szCs w:val="14"/>
                <w:b w:val="1"/>
                <w:bCs w:val="1"/>
                <w:color w:val="E2231A"/>
              </w:rPr>
              <w:t>Number of</w:t>
            </w:r>
          </w:p>
        </w:tc>
        <w:tc>
          <w:tcPr>
            <w:tcW w:w="18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0"/>
        </w:trPr>
        <w:tc>
          <w:tcPr>
            <w:tcW w:w="5440" w:type="dxa"/>
            <w:vAlign w:val="bottom"/>
          </w:tcPr>
          <w:p>
            <w:pPr>
              <w:spacing w:after="0"/>
              <w:rPr>
                <w:sz w:val="13"/>
                <w:szCs w:val="13"/>
                <w:color w:val="auto"/>
              </w:rPr>
            </w:pPr>
          </w:p>
        </w:tc>
        <w:tc>
          <w:tcPr>
            <w:tcW w:w="2060" w:type="dxa"/>
            <w:vAlign w:val="bottom"/>
          </w:tcPr>
          <w:p>
            <w:pPr>
              <w:jc w:val="center"/>
              <w:ind w:left="302"/>
              <w:spacing w:after="0" w:line="160" w:lineRule="exact"/>
              <w:rPr>
                <w:sz w:val="20"/>
                <w:szCs w:val="20"/>
                <w:color w:val="auto"/>
              </w:rPr>
            </w:pPr>
            <w:r>
              <w:rPr>
                <w:rFonts w:ascii="Arial" w:cs="Arial" w:eastAsia="Arial" w:hAnsi="Arial"/>
                <w:sz w:val="14"/>
                <w:szCs w:val="14"/>
                <w:b w:val="1"/>
                <w:bCs w:val="1"/>
                <w:color w:val="E2231A"/>
              </w:rPr>
              <w:t>Shares of</w:t>
            </w:r>
          </w:p>
        </w:tc>
        <w:tc>
          <w:tcPr>
            <w:tcW w:w="186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Percentage of</w:t>
            </w:r>
          </w:p>
        </w:tc>
        <w:tc>
          <w:tcPr>
            <w:tcW w:w="1520" w:type="dxa"/>
            <w:vAlign w:val="bottom"/>
          </w:tcPr>
          <w:p>
            <w:pPr>
              <w:spacing w:after="0"/>
              <w:rPr>
                <w:sz w:val="13"/>
                <w:szCs w:val="13"/>
                <w:color w:val="auto"/>
              </w:rPr>
            </w:pPr>
          </w:p>
        </w:tc>
      </w:tr>
      <w:tr>
        <w:trPr>
          <w:trHeight w:val="160"/>
        </w:trPr>
        <w:tc>
          <w:tcPr>
            <w:tcW w:w="5440" w:type="dxa"/>
            <w:vAlign w:val="bottom"/>
          </w:tcPr>
          <w:p>
            <w:pPr>
              <w:spacing w:after="0"/>
              <w:rPr>
                <w:sz w:val="13"/>
                <w:szCs w:val="13"/>
                <w:color w:val="auto"/>
              </w:rPr>
            </w:pPr>
          </w:p>
        </w:tc>
        <w:tc>
          <w:tcPr>
            <w:tcW w:w="2060" w:type="dxa"/>
            <w:vAlign w:val="bottom"/>
          </w:tcPr>
          <w:p>
            <w:pPr>
              <w:jc w:val="center"/>
              <w:ind w:left="302"/>
              <w:spacing w:after="0" w:line="160" w:lineRule="exact"/>
              <w:rPr>
                <w:sz w:val="20"/>
                <w:szCs w:val="20"/>
                <w:color w:val="auto"/>
              </w:rPr>
            </w:pPr>
            <w:r>
              <w:rPr>
                <w:rFonts w:ascii="Arial" w:cs="Arial" w:eastAsia="Arial" w:hAnsi="Arial"/>
                <w:sz w:val="14"/>
                <w:szCs w:val="14"/>
                <w:b w:val="1"/>
                <w:bCs w:val="1"/>
                <w:color w:val="E2231A"/>
                <w:w w:val="98"/>
              </w:rPr>
              <w:t>Common</w:t>
            </w:r>
          </w:p>
        </w:tc>
        <w:tc>
          <w:tcPr>
            <w:tcW w:w="186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Common</w:t>
            </w:r>
          </w:p>
        </w:tc>
        <w:tc>
          <w:tcPr>
            <w:tcW w:w="1520" w:type="dxa"/>
            <w:vAlign w:val="bottom"/>
          </w:tcPr>
          <w:p>
            <w:pPr>
              <w:jc w:val="center"/>
              <w:ind w:right="62"/>
              <w:spacing w:after="0" w:line="160" w:lineRule="exact"/>
              <w:rPr>
                <w:sz w:val="20"/>
                <w:szCs w:val="20"/>
                <w:color w:val="auto"/>
              </w:rPr>
            </w:pPr>
            <w:r>
              <w:rPr>
                <w:rFonts w:ascii="Arial" w:cs="Arial" w:eastAsia="Arial" w:hAnsi="Arial"/>
                <w:sz w:val="14"/>
                <w:szCs w:val="14"/>
                <w:b w:val="1"/>
                <w:bCs w:val="1"/>
                <w:color w:val="E2231A"/>
              </w:rPr>
              <w:t>Number</w:t>
            </w:r>
          </w:p>
        </w:tc>
      </w:tr>
      <w:tr>
        <w:trPr>
          <w:trHeight w:val="160"/>
        </w:trPr>
        <w:tc>
          <w:tcPr>
            <w:tcW w:w="5440" w:type="dxa"/>
            <w:vAlign w:val="bottom"/>
          </w:tcPr>
          <w:p>
            <w:pPr>
              <w:spacing w:after="0"/>
              <w:rPr>
                <w:sz w:val="13"/>
                <w:szCs w:val="13"/>
                <w:color w:val="auto"/>
              </w:rPr>
            </w:pPr>
          </w:p>
        </w:tc>
        <w:tc>
          <w:tcPr>
            <w:tcW w:w="2060" w:type="dxa"/>
            <w:vAlign w:val="bottom"/>
          </w:tcPr>
          <w:p>
            <w:pPr>
              <w:jc w:val="center"/>
              <w:ind w:left="302"/>
              <w:spacing w:after="0" w:line="160" w:lineRule="exact"/>
              <w:rPr>
                <w:sz w:val="20"/>
                <w:szCs w:val="20"/>
                <w:color w:val="auto"/>
              </w:rPr>
            </w:pPr>
            <w:r>
              <w:rPr>
                <w:rFonts w:ascii="Arial" w:cs="Arial" w:eastAsia="Arial" w:hAnsi="Arial"/>
                <w:sz w:val="14"/>
                <w:szCs w:val="14"/>
                <w:b w:val="1"/>
                <w:bCs w:val="1"/>
                <w:color w:val="E2231A"/>
              </w:rPr>
              <w:t>Stock</w:t>
            </w:r>
          </w:p>
        </w:tc>
        <w:tc>
          <w:tcPr>
            <w:tcW w:w="186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w w:val="99"/>
              </w:rPr>
              <w:t>Stock</w:t>
            </w:r>
          </w:p>
        </w:tc>
        <w:tc>
          <w:tcPr>
            <w:tcW w:w="1520" w:type="dxa"/>
            <w:vAlign w:val="bottom"/>
          </w:tcPr>
          <w:p>
            <w:pPr>
              <w:jc w:val="center"/>
              <w:ind w:right="82"/>
              <w:spacing w:after="0" w:line="160" w:lineRule="exact"/>
              <w:rPr>
                <w:sz w:val="20"/>
                <w:szCs w:val="20"/>
                <w:color w:val="auto"/>
              </w:rPr>
            </w:pPr>
            <w:r>
              <w:rPr>
                <w:rFonts w:ascii="Arial" w:cs="Arial" w:eastAsia="Arial" w:hAnsi="Arial"/>
                <w:sz w:val="14"/>
                <w:szCs w:val="14"/>
                <w:b w:val="1"/>
                <w:bCs w:val="1"/>
                <w:color w:val="E2231A"/>
                <w:w w:val="90"/>
              </w:rPr>
              <w:t>of</w:t>
            </w:r>
          </w:p>
        </w:tc>
      </w:tr>
      <w:tr>
        <w:trPr>
          <w:trHeight w:val="156"/>
        </w:trPr>
        <w:tc>
          <w:tcPr>
            <w:tcW w:w="5440" w:type="dxa"/>
            <w:vAlign w:val="bottom"/>
          </w:tcPr>
          <w:p>
            <w:pPr>
              <w:spacing w:after="0"/>
              <w:rPr>
                <w:sz w:val="13"/>
                <w:szCs w:val="13"/>
                <w:color w:val="auto"/>
              </w:rPr>
            </w:pPr>
          </w:p>
        </w:tc>
        <w:tc>
          <w:tcPr>
            <w:tcW w:w="2060" w:type="dxa"/>
            <w:vAlign w:val="bottom"/>
          </w:tcPr>
          <w:p>
            <w:pPr>
              <w:jc w:val="center"/>
              <w:ind w:left="302"/>
              <w:spacing w:after="0" w:line="157" w:lineRule="exact"/>
              <w:rPr>
                <w:sz w:val="20"/>
                <w:szCs w:val="20"/>
                <w:color w:val="auto"/>
              </w:rPr>
            </w:pPr>
            <w:r>
              <w:rPr>
                <w:rFonts w:ascii="Arial" w:cs="Arial" w:eastAsia="Arial" w:hAnsi="Arial"/>
                <w:sz w:val="14"/>
                <w:szCs w:val="14"/>
                <w:b w:val="1"/>
                <w:bCs w:val="1"/>
                <w:color w:val="E2231A"/>
              </w:rPr>
              <w:t>Owned</w:t>
            </w:r>
          </w:p>
        </w:tc>
        <w:tc>
          <w:tcPr>
            <w:tcW w:w="1860" w:type="dxa"/>
            <w:vAlign w:val="bottom"/>
          </w:tcPr>
          <w:p>
            <w:pPr>
              <w:jc w:val="center"/>
              <w:spacing w:after="0" w:line="157" w:lineRule="exact"/>
              <w:rPr>
                <w:sz w:val="20"/>
                <w:szCs w:val="20"/>
                <w:color w:val="auto"/>
              </w:rPr>
            </w:pPr>
            <w:r>
              <w:rPr>
                <w:rFonts w:ascii="Arial" w:cs="Arial" w:eastAsia="Arial" w:hAnsi="Arial"/>
                <w:sz w:val="14"/>
                <w:szCs w:val="14"/>
                <w:b w:val="1"/>
                <w:bCs w:val="1"/>
                <w:color w:val="E2231A"/>
                <w:w w:val="98"/>
              </w:rPr>
              <w:t>Owned</w:t>
            </w:r>
          </w:p>
        </w:tc>
        <w:tc>
          <w:tcPr>
            <w:tcW w:w="1520" w:type="dxa"/>
            <w:vAlign w:val="bottom"/>
          </w:tcPr>
          <w:p>
            <w:pPr>
              <w:jc w:val="center"/>
              <w:ind w:right="62"/>
              <w:spacing w:after="0" w:line="157" w:lineRule="exact"/>
              <w:rPr>
                <w:sz w:val="20"/>
                <w:szCs w:val="20"/>
                <w:color w:val="auto"/>
              </w:rPr>
            </w:pPr>
            <w:r>
              <w:rPr>
                <w:rFonts w:ascii="Arial" w:cs="Arial" w:eastAsia="Arial" w:hAnsi="Arial"/>
                <w:sz w:val="14"/>
                <w:szCs w:val="14"/>
                <w:b w:val="1"/>
                <w:bCs w:val="1"/>
                <w:color w:val="E2231A"/>
              </w:rPr>
              <w:t>RSUs</w:t>
            </w:r>
          </w:p>
        </w:tc>
      </w:tr>
      <w:tr>
        <w:trPr>
          <w:trHeight w:val="176"/>
        </w:trPr>
        <w:tc>
          <w:tcPr>
            <w:tcW w:w="54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E2231A"/>
              </w:rPr>
              <w:t>Beneficially</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Beneficially</w:t>
            </w:r>
          </w:p>
        </w:tc>
        <w:tc>
          <w:tcPr>
            <w:tcW w:w="1520" w:type="dxa"/>
            <w:vAlign w:val="bottom"/>
            <w:tcBorders>
              <w:bottom w:val="single" w:sz="8" w:color="auto"/>
            </w:tcBorders>
          </w:tcPr>
          <w:p>
            <w:pPr>
              <w:jc w:val="center"/>
              <w:ind w:right="82"/>
              <w:spacing w:after="0" w:line="177" w:lineRule="exact"/>
              <w:rPr>
                <w:sz w:val="20"/>
                <w:szCs w:val="20"/>
                <w:color w:val="auto"/>
              </w:rPr>
            </w:pPr>
            <w:r>
              <w:rPr>
                <w:rFonts w:ascii="Arial" w:cs="Arial" w:eastAsia="Arial" w:hAnsi="Arial"/>
                <w:sz w:val="12"/>
                <w:szCs w:val="12"/>
                <w:b w:val="1"/>
                <w:bCs w:val="1"/>
                <w:color w:val="E2231A"/>
              </w:rPr>
              <w:t>Owned</w:t>
            </w:r>
            <w:r>
              <w:rPr>
                <w:rFonts w:ascii="Arial" w:cs="Arial" w:eastAsia="Arial" w:hAnsi="Arial"/>
                <w:sz w:val="20"/>
                <w:szCs w:val="20"/>
                <w:b w:val="1"/>
                <w:bCs w:val="1"/>
                <w:color w:val="E2231A"/>
                <w:vertAlign w:val="superscript"/>
              </w:rPr>
              <w:t>(18)</w:t>
            </w:r>
          </w:p>
        </w:tc>
      </w:tr>
      <w:tr>
        <w:trPr>
          <w:trHeight w:val="180"/>
        </w:trPr>
        <w:tc>
          <w:tcPr>
            <w:tcW w:w="5440" w:type="dxa"/>
            <w:vAlign w:val="bottom"/>
            <w:shd w:val="clear" w:color="auto" w:fill="FCE9E8"/>
          </w:tcPr>
          <w:p>
            <w:pPr>
              <w:spacing w:after="0" w:line="180" w:lineRule="exact"/>
              <w:rPr>
                <w:sz w:val="20"/>
                <w:szCs w:val="20"/>
                <w:color w:val="auto"/>
              </w:rPr>
            </w:pPr>
            <w:r>
              <w:rPr>
                <w:rFonts w:ascii="Arial" w:cs="Arial" w:eastAsia="Arial" w:hAnsi="Arial"/>
                <w:sz w:val="16"/>
                <w:szCs w:val="16"/>
                <w:b w:val="1"/>
                <w:bCs w:val="1"/>
                <w:color w:val="auto"/>
              </w:rPr>
              <w:t>5% Beneficial Owners:</w:t>
            </w:r>
          </w:p>
        </w:tc>
        <w:tc>
          <w:tcPr>
            <w:tcW w:w="2060" w:type="dxa"/>
            <w:vAlign w:val="bottom"/>
            <w:shd w:val="clear" w:color="auto" w:fill="FCE9E8"/>
          </w:tcPr>
          <w:p>
            <w:pPr>
              <w:spacing w:after="0"/>
              <w:rPr>
                <w:sz w:val="15"/>
                <w:szCs w:val="15"/>
                <w:color w:val="auto"/>
              </w:rPr>
            </w:pPr>
          </w:p>
        </w:tc>
        <w:tc>
          <w:tcPr>
            <w:tcW w:w="1860" w:type="dxa"/>
            <w:vAlign w:val="bottom"/>
            <w:shd w:val="clear" w:color="auto" w:fill="FCE9E8"/>
          </w:tcPr>
          <w:p>
            <w:pPr>
              <w:spacing w:after="0"/>
              <w:rPr>
                <w:sz w:val="15"/>
                <w:szCs w:val="15"/>
                <w:color w:val="auto"/>
              </w:rPr>
            </w:pPr>
          </w:p>
        </w:tc>
        <w:tc>
          <w:tcPr>
            <w:tcW w:w="1520" w:type="dxa"/>
            <w:vAlign w:val="bottom"/>
            <w:shd w:val="clear" w:color="auto" w:fill="FCE9E8"/>
          </w:tcPr>
          <w:p>
            <w:pPr>
              <w:spacing w:after="0"/>
              <w:rPr>
                <w:sz w:val="15"/>
                <w:szCs w:val="15"/>
                <w:color w:val="auto"/>
              </w:rPr>
            </w:pPr>
          </w:p>
        </w:tc>
      </w:tr>
      <w:tr>
        <w:trPr>
          <w:trHeight w:val="186"/>
        </w:trPr>
        <w:tc>
          <w:tcPr>
            <w:tcW w:w="5440" w:type="dxa"/>
            <w:vAlign w:val="bottom"/>
          </w:tcPr>
          <w:p>
            <w:pPr>
              <w:spacing w:after="0" w:line="187" w:lineRule="exact"/>
              <w:rPr>
                <w:sz w:val="20"/>
                <w:szCs w:val="20"/>
                <w:color w:val="auto"/>
              </w:rPr>
            </w:pPr>
            <w:r>
              <w:rPr>
                <w:rFonts w:ascii="Arial" w:cs="Arial" w:eastAsia="Arial" w:hAnsi="Arial"/>
                <w:sz w:val="13"/>
                <w:szCs w:val="13"/>
                <w:color w:val="auto"/>
              </w:rPr>
              <w:t>The Vanguard Group</w:t>
            </w:r>
            <w:r>
              <w:rPr>
                <w:rFonts w:ascii="Arial" w:cs="Arial" w:eastAsia="Arial" w:hAnsi="Arial"/>
                <w:sz w:val="21"/>
                <w:szCs w:val="21"/>
                <w:color w:val="auto"/>
                <w:vertAlign w:val="superscript"/>
              </w:rPr>
              <w:t>(1)</w:t>
            </w:r>
          </w:p>
        </w:tc>
        <w:tc>
          <w:tcPr>
            <w:tcW w:w="2060" w:type="dxa"/>
            <w:vAlign w:val="bottom"/>
          </w:tcPr>
          <w:p>
            <w:pPr>
              <w:jc w:val="right"/>
              <w:ind w:right="362"/>
              <w:spacing w:after="0"/>
              <w:rPr>
                <w:sz w:val="20"/>
                <w:szCs w:val="20"/>
                <w:color w:val="auto"/>
              </w:rPr>
            </w:pPr>
            <w:r>
              <w:rPr>
                <w:rFonts w:ascii="Arial" w:cs="Arial" w:eastAsia="Arial" w:hAnsi="Arial"/>
                <w:sz w:val="16"/>
                <w:szCs w:val="16"/>
                <w:color w:val="auto"/>
              </w:rPr>
              <w:t>6,278,124</w:t>
            </w:r>
          </w:p>
        </w:tc>
        <w:tc>
          <w:tcPr>
            <w:tcW w:w="1860" w:type="dxa"/>
            <w:vAlign w:val="bottom"/>
          </w:tcPr>
          <w:p>
            <w:pPr>
              <w:jc w:val="right"/>
              <w:ind w:right="262"/>
              <w:spacing w:after="0"/>
              <w:rPr>
                <w:sz w:val="20"/>
                <w:szCs w:val="20"/>
                <w:color w:val="auto"/>
              </w:rPr>
            </w:pPr>
            <w:r>
              <w:rPr>
                <w:rFonts w:ascii="Arial" w:cs="Arial" w:eastAsia="Arial" w:hAnsi="Arial"/>
                <w:sz w:val="16"/>
                <w:szCs w:val="16"/>
                <w:color w:val="auto"/>
              </w:rPr>
              <w:t>10.0%</w:t>
            </w:r>
          </w:p>
        </w:tc>
        <w:tc>
          <w:tcPr>
            <w:tcW w:w="1520" w:type="dxa"/>
            <w:vAlign w:val="bottom"/>
          </w:tcPr>
          <w:p>
            <w:pPr>
              <w:jc w:val="right"/>
              <w:ind w:right="422"/>
              <w:spacing w:after="0"/>
              <w:rPr>
                <w:sz w:val="20"/>
                <w:szCs w:val="20"/>
                <w:color w:val="auto"/>
              </w:rPr>
            </w:pPr>
            <w:r>
              <w:rPr>
                <w:rFonts w:ascii="Arial" w:cs="Arial" w:eastAsia="Arial" w:hAnsi="Arial"/>
                <w:sz w:val="16"/>
                <w:szCs w:val="16"/>
                <w:color w:val="auto"/>
              </w:rPr>
              <w:t>—</w:t>
            </w:r>
          </w:p>
        </w:tc>
      </w:tr>
      <w:tr>
        <w:trPr>
          <w:trHeight w:val="186"/>
        </w:trPr>
        <w:tc>
          <w:tcPr>
            <w:tcW w:w="5440" w:type="dxa"/>
            <w:vAlign w:val="bottom"/>
            <w:shd w:val="clear" w:color="auto" w:fill="FCE9E8"/>
          </w:tcPr>
          <w:p>
            <w:pPr>
              <w:spacing w:after="0" w:line="187" w:lineRule="exact"/>
              <w:rPr>
                <w:sz w:val="20"/>
                <w:szCs w:val="20"/>
                <w:color w:val="auto"/>
              </w:rPr>
            </w:pPr>
            <w:r>
              <w:rPr>
                <w:rFonts w:ascii="Arial" w:cs="Arial" w:eastAsia="Arial" w:hAnsi="Arial"/>
                <w:sz w:val="13"/>
                <w:szCs w:val="13"/>
                <w:color w:val="auto"/>
              </w:rPr>
              <w:t>Norges Bank</w:t>
            </w:r>
            <w:r>
              <w:rPr>
                <w:rFonts w:ascii="Arial" w:cs="Arial" w:eastAsia="Arial" w:hAnsi="Arial"/>
                <w:sz w:val="21"/>
                <w:szCs w:val="21"/>
                <w:color w:val="auto"/>
                <w:vertAlign w:val="superscript"/>
              </w:rPr>
              <w:t>(2)</w:t>
            </w:r>
          </w:p>
        </w:tc>
        <w:tc>
          <w:tcPr>
            <w:tcW w:w="2060" w:type="dxa"/>
            <w:vAlign w:val="bottom"/>
            <w:shd w:val="clear" w:color="auto" w:fill="FCE9E8"/>
          </w:tcPr>
          <w:p>
            <w:pPr>
              <w:jc w:val="right"/>
              <w:ind w:right="362"/>
              <w:spacing w:after="0"/>
              <w:rPr>
                <w:sz w:val="20"/>
                <w:szCs w:val="20"/>
                <w:color w:val="auto"/>
              </w:rPr>
            </w:pPr>
            <w:r>
              <w:rPr>
                <w:rFonts w:ascii="Arial" w:cs="Arial" w:eastAsia="Arial" w:hAnsi="Arial"/>
                <w:sz w:val="16"/>
                <w:szCs w:val="16"/>
                <w:color w:val="auto"/>
              </w:rPr>
              <w:t>5,315,199</w:t>
            </w:r>
          </w:p>
        </w:tc>
        <w:tc>
          <w:tcPr>
            <w:tcW w:w="1860" w:type="dxa"/>
            <w:vAlign w:val="bottom"/>
            <w:shd w:val="clear" w:color="auto" w:fill="FCE9E8"/>
          </w:tcPr>
          <w:p>
            <w:pPr>
              <w:jc w:val="right"/>
              <w:ind w:right="262"/>
              <w:spacing w:after="0"/>
              <w:rPr>
                <w:sz w:val="20"/>
                <w:szCs w:val="20"/>
                <w:color w:val="auto"/>
              </w:rPr>
            </w:pPr>
            <w:r>
              <w:rPr>
                <w:rFonts w:ascii="Arial" w:cs="Arial" w:eastAsia="Arial" w:hAnsi="Arial"/>
                <w:sz w:val="16"/>
                <w:szCs w:val="16"/>
                <w:color w:val="auto"/>
              </w:rPr>
              <w:t>8.5%</w:t>
            </w:r>
          </w:p>
        </w:tc>
        <w:tc>
          <w:tcPr>
            <w:tcW w:w="1520" w:type="dxa"/>
            <w:vAlign w:val="bottom"/>
            <w:shd w:val="clear" w:color="auto" w:fill="FCE9E8"/>
          </w:tcPr>
          <w:p>
            <w:pPr>
              <w:jc w:val="right"/>
              <w:ind w:right="422"/>
              <w:spacing w:after="0"/>
              <w:rPr>
                <w:sz w:val="20"/>
                <w:szCs w:val="20"/>
                <w:color w:val="auto"/>
              </w:rPr>
            </w:pPr>
            <w:r>
              <w:rPr>
                <w:rFonts w:ascii="Arial" w:cs="Arial" w:eastAsia="Arial" w:hAnsi="Arial"/>
                <w:sz w:val="16"/>
                <w:szCs w:val="16"/>
                <w:color w:val="auto"/>
              </w:rPr>
              <w:t>—</w:t>
            </w:r>
          </w:p>
        </w:tc>
      </w:tr>
      <w:tr>
        <w:trPr>
          <w:trHeight w:val="186"/>
        </w:trPr>
        <w:tc>
          <w:tcPr>
            <w:tcW w:w="5440" w:type="dxa"/>
            <w:vAlign w:val="bottom"/>
          </w:tcPr>
          <w:p>
            <w:pPr>
              <w:spacing w:after="0" w:line="187" w:lineRule="exact"/>
              <w:rPr>
                <w:sz w:val="20"/>
                <w:szCs w:val="20"/>
                <w:color w:val="auto"/>
              </w:rPr>
            </w:pPr>
            <w:r>
              <w:rPr>
                <w:rFonts w:ascii="Arial" w:cs="Arial" w:eastAsia="Arial" w:hAnsi="Arial"/>
                <w:sz w:val="13"/>
                <w:szCs w:val="13"/>
                <w:color w:val="auto"/>
              </w:rPr>
              <w:t>BlackRock, Inc.</w:t>
            </w:r>
            <w:r>
              <w:rPr>
                <w:rFonts w:ascii="Arial" w:cs="Arial" w:eastAsia="Arial" w:hAnsi="Arial"/>
                <w:sz w:val="21"/>
                <w:szCs w:val="21"/>
                <w:color w:val="auto"/>
                <w:vertAlign w:val="superscript"/>
              </w:rPr>
              <w:t>(3)</w:t>
            </w:r>
          </w:p>
        </w:tc>
        <w:tc>
          <w:tcPr>
            <w:tcW w:w="2060" w:type="dxa"/>
            <w:vAlign w:val="bottom"/>
          </w:tcPr>
          <w:p>
            <w:pPr>
              <w:jc w:val="right"/>
              <w:ind w:right="362"/>
              <w:spacing w:after="0"/>
              <w:rPr>
                <w:sz w:val="20"/>
                <w:szCs w:val="20"/>
                <w:color w:val="auto"/>
              </w:rPr>
            </w:pPr>
            <w:r>
              <w:rPr>
                <w:rFonts w:ascii="Arial" w:cs="Arial" w:eastAsia="Arial" w:hAnsi="Arial"/>
                <w:sz w:val="16"/>
                <w:szCs w:val="16"/>
                <w:color w:val="auto"/>
              </w:rPr>
              <w:t>4,046,228</w:t>
            </w:r>
          </w:p>
        </w:tc>
        <w:tc>
          <w:tcPr>
            <w:tcW w:w="1860" w:type="dxa"/>
            <w:vAlign w:val="bottom"/>
          </w:tcPr>
          <w:p>
            <w:pPr>
              <w:jc w:val="right"/>
              <w:ind w:right="262"/>
              <w:spacing w:after="0"/>
              <w:rPr>
                <w:sz w:val="20"/>
                <w:szCs w:val="20"/>
                <w:color w:val="auto"/>
              </w:rPr>
            </w:pPr>
            <w:r>
              <w:rPr>
                <w:rFonts w:ascii="Arial" w:cs="Arial" w:eastAsia="Arial" w:hAnsi="Arial"/>
                <w:sz w:val="16"/>
                <w:szCs w:val="16"/>
                <w:color w:val="auto"/>
              </w:rPr>
              <w:t>6.5%</w:t>
            </w:r>
          </w:p>
        </w:tc>
        <w:tc>
          <w:tcPr>
            <w:tcW w:w="1520" w:type="dxa"/>
            <w:vAlign w:val="bottom"/>
          </w:tcPr>
          <w:p>
            <w:pPr>
              <w:jc w:val="right"/>
              <w:ind w:right="422"/>
              <w:spacing w:after="0"/>
              <w:rPr>
                <w:sz w:val="20"/>
                <w:szCs w:val="20"/>
                <w:color w:val="auto"/>
              </w:rPr>
            </w:pPr>
            <w:r>
              <w:rPr>
                <w:rFonts w:ascii="Arial" w:cs="Arial" w:eastAsia="Arial" w:hAnsi="Arial"/>
                <w:sz w:val="16"/>
                <w:szCs w:val="16"/>
                <w:color w:val="auto"/>
              </w:rPr>
              <w:t>—</w:t>
            </w:r>
          </w:p>
        </w:tc>
      </w:tr>
      <w:tr>
        <w:trPr>
          <w:trHeight w:val="186"/>
        </w:trPr>
        <w:tc>
          <w:tcPr>
            <w:tcW w:w="5440" w:type="dxa"/>
            <w:vAlign w:val="bottom"/>
            <w:shd w:val="clear" w:color="auto" w:fill="FCE9E8"/>
          </w:tcPr>
          <w:p>
            <w:pPr>
              <w:spacing w:after="0" w:line="187" w:lineRule="exact"/>
              <w:rPr>
                <w:sz w:val="20"/>
                <w:szCs w:val="20"/>
                <w:color w:val="auto"/>
              </w:rPr>
            </w:pPr>
            <w:r>
              <w:rPr>
                <w:rFonts w:ascii="Arial" w:cs="Arial" w:eastAsia="Arial" w:hAnsi="Arial"/>
                <w:sz w:val="13"/>
                <w:szCs w:val="13"/>
                <w:color w:val="auto"/>
              </w:rPr>
              <w:t>Harris Associates L.P.</w:t>
            </w:r>
            <w:r>
              <w:rPr>
                <w:rFonts w:ascii="Arial" w:cs="Arial" w:eastAsia="Arial" w:hAnsi="Arial"/>
                <w:sz w:val="21"/>
                <w:szCs w:val="21"/>
                <w:color w:val="auto"/>
                <w:vertAlign w:val="superscript"/>
              </w:rPr>
              <w:t>(4)</w:t>
            </w:r>
          </w:p>
        </w:tc>
        <w:tc>
          <w:tcPr>
            <w:tcW w:w="2060" w:type="dxa"/>
            <w:vAlign w:val="bottom"/>
            <w:shd w:val="clear" w:color="auto" w:fill="FCE9E8"/>
          </w:tcPr>
          <w:p>
            <w:pPr>
              <w:jc w:val="right"/>
              <w:ind w:right="362"/>
              <w:spacing w:after="0"/>
              <w:rPr>
                <w:sz w:val="20"/>
                <w:szCs w:val="20"/>
                <w:color w:val="auto"/>
              </w:rPr>
            </w:pPr>
            <w:r>
              <w:rPr>
                <w:rFonts w:ascii="Arial" w:cs="Arial" w:eastAsia="Arial" w:hAnsi="Arial"/>
                <w:sz w:val="16"/>
                <w:szCs w:val="16"/>
                <w:color w:val="auto"/>
              </w:rPr>
              <w:t>3,424,807</w:t>
            </w:r>
          </w:p>
        </w:tc>
        <w:tc>
          <w:tcPr>
            <w:tcW w:w="1860" w:type="dxa"/>
            <w:vAlign w:val="bottom"/>
            <w:shd w:val="clear" w:color="auto" w:fill="FCE9E8"/>
          </w:tcPr>
          <w:p>
            <w:pPr>
              <w:jc w:val="right"/>
              <w:ind w:right="262"/>
              <w:spacing w:after="0"/>
              <w:rPr>
                <w:sz w:val="20"/>
                <w:szCs w:val="20"/>
                <w:color w:val="auto"/>
              </w:rPr>
            </w:pPr>
            <w:r>
              <w:rPr>
                <w:rFonts w:ascii="Arial" w:cs="Arial" w:eastAsia="Arial" w:hAnsi="Arial"/>
                <w:sz w:val="16"/>
                <w:szCs w:val="16"/>
                <w:color w:val="auto"/>
              </w:rPr>
              <w:t>5.5%</w:t>
            </w:r>
          </w:p>
        </w:tc>
        <w:tc>
          <w:tcPr>
            <w:tcW w:w="1520" w:type="dxa"/>
            <w:vAlign w:val="bottom"/>
            <w:shd w:val="clear" w:color="auto" w:fill="FCE9E8"/>
          </w:tcPr>
          <w:p>
            <w:pPr>
              <w:jc w:val="right"/>
              <w:ind w:right="422"/>
              <w:spacing w:after="0"/>
              <w:rPr>
                <w:sz w:val="20"/>
                <w:szCs w:val="20"/>
                <w:color w:val="auto"/>
              </w:rPr>
            </w:pPr>
            <w:r>
              <w:rPr>
                <w:rFonts w:ascii="Arial" w:cs="Arial" w:eastAsia="Arial" w:hAnsi="Arial"/>
                <w:sz w:val="16"/>
                <w:szCs w:val="16"/>
                <w:color w:val="auto"/>
              </w:rPr>
              <w:t>—</w:t>
            </w:r>
          </w:p>
        </w:tc>
      </w:tr>
      <w:tr>
        <w:trPr>
          <w:trHeight w:val="186"/>
        </w:trPr>
        <w:tc>
          <w:tcPr>
            <w:tcW w:w="5440" w:type="dxa"/>
            <w:vAlign w:val="bottom"/>
          </w:tcPr>
          <w:p>
            <w:pPr>
              <w:spacing w:after="0"/>
              <w:rPr>
                <w:sz w:val="20"/>
                <w:szCs w:val="20"/>
                <w:color w:val="auto"/>
              </w:rPr>
            </w:pPr>
            <w:r>
              <w:rPr>
                <w:rFonts w:ascii="Arial" w:cs="Arial" w:eastAsia="Arial" w:hAnsi="Arial"/>
                <w:sz w:val="16"/>
                <w:szCs w:val="16"/>
                <w:b w:val="1"/>
                <w:bCs w:val="1"/>
                <w:color w:val="auto"/>
              </w:rPr>
              <w:t>Named Executive Officers and Directors:</w:t>
            </w:r>
          </w:p>
        </w:tc>
        <w:tc>
          <w:tcPr>
            <w:tcW w:w="2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6"/>
        </w:trPr>
        <w:tc>
          <w:tcPr>
            <w:tcW w:w="5440" w:type="dxa"/>
            <w:vAlign w:val="bottom"/>
            <w:shd w:val="clear" w:color="auto" w:fill="FCE9E8"/>
          </w:tcPr>
          <w:p>
            <w:pPr>
              <w:spacing w:after="0" w:line="187" w:lineRule="exact"/>
              <w:rPr>
                <w:sz w:val="20"/>
                <w:szCs w:val="20"/>
                <w:color w:val="auto"/>
              </w:rPr>
            </w:pPr>
            <w:r>
              <w:rPr>
                <w:rFonts w:ascii="Arial" w:cs="Arial" w:eastAsia="Arial" w:hAnsi="Arial"/>
                <w:sz w:val="13"/>
                <w:szCs w:val="13"/>
                <w:color w:val="auto"/>
              </w:rPr>
              <w:t>Raymond E. Scott</w:t>
            </w:r>
            <w:r>
              <w:rPr>
                <w:rFonts w:ascii="Arial" w:cs="Arial" w:eastAsia="Arial" w:hAnsi="Arial"/>
                <w:sz w:val="21"/>
                <w:szCs w:val="21"/>
                <w:color w:val="auto"/>
                <w:vertAlign w:val="superscript"/>
              </w:rPr>
              <w:t>(5)(6)(7)</w:t>
            </w:r>
          </w:p>
        </w:tc>
        <w:tc>
          <w:tcPr>
            <w:tcW w:w="2060" w:type="dxa"/>
            <w:vAlign w:val="bottom"/>
            <w:shd w:val="clear" w:color="auto" w:fill="FCE9E8"/>
          </w:tcPr>
          <w:p>
            <w:pPr>
              <w:jc w:val="right"/>
              <w:ind w:right="362"/>
              <w:spacing w:after="0"/>
              <w:rPr>
                <w:sz w:val="20"/>
                <w:szCs w:val="20"/>
                <w:color w:val="auto"/>
              </w:rPr>
            </w:pPr>
            <w:r>
              <w:rPr>
                <w:rFonts w:ascii="Arial" w:cs="Arial" w:eastAsia="Arial" w:hAnsi="Arial"/>
                <w:sz w:val="16"/>
                <w:szCs w:val="16"/>
                <w:color w:val="auto"/>
              </w:rPr>
              <w:t>27,033</w:t>
            </w:r>
          </w:p>
        </w:tc>
        <w:tc>
          <w:tcPr>
            <w:tcW w:w="1860" w:type="dxa"/>
            <w:vAlign w:val="bottom"/>
            <w:shd w:val="clear" w:color="auto" w:fill="FCE9E8"/>
          </w:tcPr>
          <w:p>
            <w:pPr>
              <w:jc w:val="right"/>
              <w:ind w:right="402"/>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422"/>
              <w:spacing w:after="0"/>
              <w:rPr>
                <w:sz w:val="20"/>
                <w:szCs w:val="20"/>
                <w:color w:val="auto"/>
              </w:rPr>
            </w:pPr>
            <w:r>
              <w:rPr>
                <w:rFonts w:ascii="Arial" w:cs="Arial" w:eastAsia="Arial" w:hAnsi="Arial"/>
                <w:sz w:val="16"/>
                <w:szCs w:val="16"/>
                <w:color w:val="auto"/>
              </w:rPr>
              <w:t>49,204</w:t>
            </w:r>
          </w:p>
        </w:tc>
      </w:tr>
      <w:tr>
        <w:trPr>
          <w:trHeight w:val="186"/>
        </w:trPr>
        <w:tc>
          <w:tcPr>
            <w:tcW w:w="5440" w:type="dxa"/>
            <w:vAlign w:val="bottom"/>
          </w:tcPr>
          <w:p>
            <w:pPr>
              <w:spacing w:after="0" w:line="187" w:lineRule="exact"/>
              <w:rPr>
                <w:sz w:val="20"/>
                <w:szCs w:val="20"/>
                <w:color w:val="auto"/>
              </w:rPr>
            </w:pPr>
            <w:r>
              <w:rPr>
                <w:rFonts w:ascii="Arial" w:cs="Arial" w:eastAsia="Arial" w:hAnsi="Arial"/>
                <w:sz w:val="13"/>
                <w:szCs w:val="13"/>
                <w:color w:val="auto"/>
              </w:rPr>
              <w:t>Jeffrey H. Vanneste</w:t>
            </w:r>
            <w:r>
              <w:rPr>
                <w:rFonts w:ascii="Arial" w:cs="Arial" w:eastAsia="Arial" w:hAnsi="Arial"/>
                <w:sz w:val="21"/>
                <w:szCs w:val="21"/>
                <w:color w:val="auto"/>
                <w:vertAlign w:val="superscript"/>
              </w:rPr>
              <w:t>(5)(8)</w:t>
            </w:r>
          </w:p>
        </w:tc>
        <w:tc>
          <w:tcPr>
            <w:tcW w:w="2060" w:type="dxa"/>
            <w:vAlign w:val="bottom"/>
          </w:tcPr>
          <w:p>
            <w:pPr>
              <w:jc w:val="right"/>
              <w:ind w:right="362"/>
              <w:spacing w:after="0"/>
              <w:rPr>
                <w:sz w:val="20"/>
                <w:szCs w:val="20"/>
                <w:color w:val="auto"/>
              </w:rPr>
            </w:pPr>
            <w:r>
              <w:rPr>
                <w:rFonts w:ascii="Arial" w:cs="Arial" w:eastAsia="Arial" w:hAnsi="Arial"/>
                <w:sz w:val="16"/>
                <w:szCs w:val="16"/>
                <w:color w:val="auto"/>
              </w:rPr>
              <w:t>42,878</w:t>
            </w:r>
          </w:p>
        </w:tc>
        <w:tc>
          <w:tcPr>
            <w:tcW w:w="186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22"/>
              <w:spacing w:after="0"/>
              <w:rPr>
                <w:sz w:val="20"/>
                <w:szCs w:val="20"/>
                <w:color w:val="auto"/>
              </w:rPr>
            </w:pPr>
            <w:r>
              <w:rPr>
                <w:rFonts w:ascii="Arial" w:cs="Arial" w:eastAsia="Arial" w:hAnsi="Arial"/>
                <w:sz w:val="16"/>
                <w:szCs w:val="16"/>
                <w:color w:val="auto"/>
              </w:rPr>
              <w:t>6,924</w:t>
            </w:r>
          </w:p>
        </w:tc>
      </w:tr>
      <w:tr>
        <w:trPr>
          <w:trHeight w:val="186"/>
        </w:trPr>
        <w:tc>
          <w:tcPr>
            <w:tcW w:w="5440" w:type="dxa"/>
            <w:vAlign w:val="bottom"/>
            <w:shd w:val="clear" w:color="auto" w:fill="FCE9E8"/>
          </w:tcPr>
          <w:p>
            <w:pPr>
              <w:spacing w:after="0" w:line="187" w:lineRule="exact"/>
              <w:rPr>
                <w:sz w:val="20"/>
                <w:szCs w:val="20"/>
                <w:color w:val="auto"/>
              </w:rPr>
            </w:pPr>
            <w:r>
              <w:rPr>
                <w:rFonts w:ascii="Arial" w:cs="Arial" w:eastAsia="Arial" w:hAnsi="Arial"/>
                <w:sz w:val="13"/>
                <w:szCs w:val="13"/>
                <w:color w:val="auto"/>
              </w:rPr>
              <w:t>Terrence B. Larkin</w:t>
            </w:r>
            <w:r>
              <w:rPr>
                <w:rFonts w:ascii="Arial" w:cs="Arial" w:eastAsia="Arial" w:hAnsi="Arial"/>
                <w:sz w:val="21"/>
                <w:szCs w:val="21"/>
                <w:color w:val="auto"/>
                <w:vertAlign w:val="superscript"/>
              </w:rPr>
              <w:t>(5)(9)</w:t>
            </w:r>
          </w:p>
        </w:tc>
        <w:tc>
          <w:tcPr>
            <w:tcW w:w="2060" w:type="dxa"/>
            <w:vAlign w:val="bottom"/>
            <w:shd w:val="clear" w:color="auto" w:fill="FCE9E8"/>
          </w:tcPr>
          <w:p>
            <w:pPr>
              <w:jc w:val="right"/>
              <w:ind w:right="362"/>
              <w:spacing w:after="0"/>
              <w:rPr>
                <w:sz w:val="20"/>
                <w:szCs w:val="20"/>
                <w:color w:val="auto"/>
              </w:rPr>
            </w:pPr>
            <w:r>
              <w:rPr>
                <w:rFonts w:ascii="Arial" w:cs="Arial" w:eastAsia="Arial" w:hAnsi="Arial"/>
                <w:sz w:val="16"/>
                <w:szCs w:val="16"/>
                <w:color w:val="auto"/>
              </w:rPr>
              <w:t>14,297</w:t>
            </w:r>
          </w:p>
        </w:tc>
        <w:tc>
          <w:tcPr>
            <w:tcW w:w="1860" w:type="dxa"/>
            <w:vAlign w:val="bottom"/>
            <w:shd w:val="clear" w:color="auto" w:fill="FCE9E8"/>
          </w:tcPr>
          <w:p>
            <w:pPr>
              <w:jc w:val="right"/>
              <w:ind w:right="402"/>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422"/>
              <w:spacing w:after="0"/>
              <w:rPr>
                <w:sz w:val="20"/>
                <w:szCs w:val="20"/>
                <w:color w:val="auto"/>
              </w:rPr>
            </w:pPr>
            <w:r>
              <w:rPr>
                <w:rFonts w:ascii="Arial" w:cs="Arial" w:eastAsia="Arial" w:hAnsi="Arial"/>
                <w:sz w:val="16"/>
                <w:szCs w:val="16"/>
                <w:color w:val="auto"/>
              </w:rPr>
              <w:t>4,914</w:t>
            </w:r>
          </w:p>
        </w:tc>
      </w:tr>
      <w:tr>
        <w:trPr>
          <w:trHeight w:val="186"/>
        </w:trPr>
        <w:tc>
          <w:tcPr>
            <w:tcW w:w="5440" w:type="dxa"/>
            <w:vAlign w:val="bottom"/>
          </w:tcPr>
          <w:p>
            <w:pPr>
              <w:spacing w:after="0" w:line="187" w:lineRule="exact"/>
              <w:rPr>
                <w:sz w:val="20"/>
                <w:szCs w:val="20"/>
                <w:color w:val="auto"/>
              </w:rPr>
            </w:pPr>
            <w:r>
              <w:rPr>
                <w:rFonts w:ascii="Arial" w:cs="Arial" w:eastAsia="Arial" w:hAnsi="Arial"/>
                <w:sz w:val="13"/>
                <w:szCs w:val="13"/>
                <w:color w:val="auto"/>
              </w:rPr>
              <w:t>Frank Orsini</w:t>
            </w:r>
            <w:r>
              <w:rPr>
                <w:rFonts w:ascii="Arial" w:cs="Arial" w:eastAsia="Arial" w:hAnsi="Arial"/>
                <w:sz w:val="21"/>
                <w:szCs w:val="21"/>
                <w:color w:val="auto"/>
                <w:vertAlign w:val="superscript"/>
              </w:rPr>
              <w:t>(5)(6)</w:t>
            </w:r>
          </w:p>
        </w:tc>
        <w:tc>
          <w:tcPr>
            <w:tcW w:w="2060" w:type="dxa"/>
            <w:vAlign w:val="bottom"/>
          </w:tcPr>
          <w:p>
            <w:pPr>
              <w:jc w:val="right"/>
              <w:ind w:right="362"/>
              <w:spacing w:after="0"/>
              <w:rPr>
                <w:sz w:val="20"/>
                <w:szCs w:val="20"/>
                <w:color w:val="auto"/>
              </w:rPr>
            </w:pPr>
            <w:r>
              <w:rPr>
                <w:rFonts w:ascii="Arial" w:cs="Arial" w:eastAsia="Arial" w:hAnsi="Arial"/>
                <w:sz w:val="16"/>
                <w:szCs w:val="16"/>
                <w:color w:val="auto"/>
              </w:rPr>
              <w:t>23,804</w:t>
            </w:r>
          </w:p>
        </w:tc>
        <w:tc>
          <w:tcPr>
            <w:tcW w:w="186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22"/>
              <w:spacing w:after="0"/>
              <w:rPr>
                <w:sz w:val="20"/>
                <w:szCs w:val="20"/>
                <w:color w:val="auto"/>
              </w:rPr>
            </w:pPr>
            <w:r>
              <w:rPr>
                <w:rFonts w:ascii="Arial" w:cs="Arial" w:eastAsia="Arial" w:hAnsi="Arial"/>
                <w:sz w:val="16"/>
                <w:szCs w:val="16"/>
                <w:color w:val="auto"/>
              </w:rPr>
              <w:t>22,810</w:t>
            </w:r>
          </w:p>
        </w:tc>
      </w:tr>
      <w:tr>
        <w:trPr>
          <w:trHeight w:val="186"/>
        </w:trPr>
        <w:tc>
          <w:tcPr>
            <w:tcW w:w="5440" w:type="dxa"/>
            <w:vAlign w:val="bottom"/>
            <w:shd w:val="clear" w:color="auto" w:fill="FCE9E8"/>
          </w:tcPr>
          <w:p>
            <w:pPr>
              <w:spacing w:after="0" w:line="187" w:lineRule="exact"/>
              <w:rPr>
                <w:sz w:val="20"/>
                <w:szCs w:val="20"/>
                <w:color w:val="auto"/>
              </w:rPr>
            </w:pPr>
            <w:r>
              <w:rPr>
                <w:rFonts w:ascii="Arial" w:cs="Arial" w:eastAsia="Arial" w:hAnsi="Arial"/>
                <w:sz w:val="13"/>
                <w:szCs w:val="13"/>
                <w:color w:val="auto"/>
              </w:rPr>
              <w:t>Thomas A. DiDonato</w:t>
            </w:r>
            <w:r>
              <w:rPr>
                <w:rFonts w:ascii="Arial" w:cs="Arial" w:eastAsia="Arial" w:hAnsi="Arial"/>
                <w:sz w:val="21"/>
                <w:szCs w:val="21"/>
                <w:color w:val="auto"/>
                <w:vertAlign w:val="superscript"/>
              </w:rPr>
              <w:t>(5)(10)</w:t>
            </w:r>
          </w:p>
        </w:tc>
        <w:tc>
          <w:tcPr>
            <w:tcW w:w="2060" w:type="dxa"/>
            <w:vAlign w:val="bottom"/>
            <w:shd w:val="clear" w:color="auto" w:fill="FCE9E8"/>
          </w:tcPr>
          <w:p>
            <w:pPr>
              <w:jc w:val="right"/>
              <w:ind w:right="362"/>
              <w:spacing w:after="0"/>
              <w:rPr>
                <w:sz w:val="20"/>
                <w:szCs w:val="20"/>
                <w:color w:val="auto"/>
              </w:rPr>
            </w:pPr>
            <w:r>
              <w:rPr>
                <w:rFonts w:ascii="Arial" w:cs="Arial" w:eastAsia="Arial" w:hAnsi="Arial"/>
                <w:sz w:val="16"/>
                <w:szCs w:val="16"/>
                <w:color w:val="auto"/>
              </w:rPr>
              <w:t>35,933</w:t>
            </w:r>
          </w:p>
        </w:tc>
        <w:tc>
          <w:tcPr>
            <w:tcW w:w="1860" w:type="dxa"/>
            <w:vAlign w:val="bottom"/>
            <w:shd w:val="clear" w:color="auto" w:fill="FCE9E8"/>
          </w:tcPr>
          <w:p>
            <w:pPr>
              <w:jc w:val="right"/>
              <w:ind w:right="402"/>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422"/>
              <w:spacing w:after="0"/>
              <w:rPr>
                <w:sz w:val="20"/>
                <w:szCs w:val="20"/>
                <w:color w:val="auto"/>
              </w:rPr>
            </w:pPr>
            <w:r>
              <w:rPr>
                <w:rFonts w:ascii="Arial" w:cs="Arial" w:eastAsia="Arial" w:hAnsi="Arial"/>
                <w:sz w:val="16"/>
                <w:szCs w:val="16"/>
                <w:color w:val="auto"/>
              </w:rPr>
              <w:t>6,190</w:t>
            </w:r>
          </w:p>
        </w:tc>
      </w:tr>
      <w:tr>
        <w:trPr>
          <w:trHeight w:val="186"/>
        </w:trPr>
        <w:tc>
          <w:tcPr>
            <w:tcW w:w="5440" w:type="dxa"/>
            <w:vAlign w:val="bottom"/>
          </w:tcPr>
          <w:p>
            <w:pPr>
              <w:spacing w:after="0" w:line="187" w:lineRule="exact"/>
              <w:rPr>
                <w:sz w:val="20"/>
                <w:szCs w:val="20"/>
                <w:color w:val="auto"/>
              </w:rPr>
            </w:pPr>
            <w:r>
              <w:rPr>
                <w:rFonts w:ascii="Arial" w:cs="Arial" w:eastAsia="Arial" w:hAnsi="Arial"/>
                <w:sz w:val="13"/>
                <w:szCs w:val="13"/>
                <w:color w:val="auto"/>
              </w:rPr>
              <w:t>Matthew J. Simoncini</w:t>
            </w:r>
            <w:r>
              <w:rPr>
                <w:rFonts w:ascii="Arial" w:cs="Arial" w:eastAsia="Arial" w:hAnsi="Arial"/>
                <w:sz w:val="21"/>
                <w:szCs w:val="21"/>
                <w:color w:val="auto"/>
                <w:vertAlign w:val="superscript"/>
              </w:rPr>
              <w:t>(5)(11)</w:t>
            </w:r>
          </w:p>
        </w:tc>
        <w:tc>
          <w:tcPr>
            <w:tcW w:w="206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22"/>
              <w:spacing w:after="0"/>
              <w:rPr>
                <w:sz w:val="20"/>
                <w:szCs w:val="20"/>
                <w:color w:val="auto"/>
              </w:rPr>
            </w:pPr>
            <w:r>
              <w:rPr>
                <w:rFonts w:ascii="Arial" w:cs="Arial" w:eastAsia="Arial" w:hAnsi="Arial"/>
                <w:sz w:val="16"/>
                <w:szCs w:val="16"/>
                <w:color w:val="auto"/>
              </w:rPr>
              <w:t>—</w:t>
            </w:r>
          </w:p>
        </w:tc>
      </w:tr>
      <w:tr>
        <w:trPr>
          <w:trHeight w:val="186"/>
        </w:trPr>
        <w:tc>
          <w:tcPr>
            <w:tcW w:w="5440" w:type="dxa"/>
            <w:vAlign w:val="bottom"/>
            <w:shd w:val="clear" w:color="auto" w:fill="FCE9E8"/>
          </w:tcPr>
          <w:p>
            <w:pPr>
              <w:spacing w:after="0" w:line="187" w:lineRule="exact"/>
              <w:rPr>
                <w:sz w:val="20"/>
                <w:szCs w:val="20"/>
                <w:color w:val="auto"/>
              </w:rPr>
            </w:pPr>
            <w:r>
              <w:rPr>
                <w:rFonts w:ascii="Arial" w:cs="Arial" w:eastAsia="Arial" w:hAnsi="Arial"/>
                <w:sz w:val="13"/>
                <w:szCs w:val="13"/>
                <w:color w:val="auto"/>
              </w:rPr>
              <w:t>Richard H. Bott</w:t>
            </w:r>
            <w:r>
              <w:rPr>
                <w:rFonts w:ascii="Arial" w:cs="Arial" w:eastAsia="Arial" w:hAnsi="Arial"/>
                <w:sz w:val="21"/>
                <w:szCs w:val="21"/>
                <w:color w:val="auto"/>
                <w:vertAlign w:val="superscript"/>
              </w:rPr>
              <w:t>(7)(12)</w:t>
            </w:r>
          </w:p>
        </w:tc>
        <w:tc>
          <w:tcPr>
            <w:tcW w:w="2060" w:type="dxa"/>
            <w:vAlign w:val="bottom"/>
            <w:shd w:val="clear" w:color="auto" w:fill="FCE9E8"/>
          </w:tcPr>
          <w:p>
            <w:pPr>
              <w:jc w:val="right"/>
              <w:ind w:right="362"/>
              <w:spacing w:after="0"/>
              <w:rPr>
                <w:sz w:val="20"/>
                <w:szCs w:val="20"/>
                <w:color w:val="auto"/>
              </w:rPr>
            </w:pPr>
            <w:r>
              <w:rPr>
                <w:rFonts w:ascii="Arial" w:cs="Arial" w:eastAsia="Arial" w:hAnsi="Arial"/>
                <w:sz w:val="16"/>
                <w:szCs w:val="16"/>
                <w:color w:val="auto"/>
              </w:rPr>
              <w:t>5,394</w:t>
            </w:r>
          </w:p>
        </w:tc>
        <w:tc>
          <w:tcPr>
            <w:tcW w:w="1860" w:type="dxa"/>
            <w:vAlign w:val="bottom"/>
            <w:shd w:val="clear" w:color="auto" w:fill="FCE9E8"/>
          </w:tcPr>
          <w:p>
            <w:pPr>
              <w:jc w:val="right"/>
              <w:ind w:right="402"/>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422"/>
              <w:spacing w:after="0"/>
              <w:rPr>
                <w:sz w:val="20"/>
                <w:szCs w:val="20"/>
                <w:color w:val="auto"/>
              </w:rPr>
            </w:pPr>
            <w:r>
              <w:rPr>
                <w:rFonts w:ascii="Arial" w:cs="Arial" w:eastAsia="Arial" w:hAnsi="Arial"/>
                <w:sz w:val="16"/>
                <w:szCs w:val="16"/>
                <w:color w:val="auto"/>
              </w:rPr>
              <w:t>—</w:t>
            </w:r>
          </w:p>
        </w:tc>
      </w:tr>
      <w:tr>
        <w:trPr>
          <w:trHeight w:val="186"/>
        </w:trPr>
        <w:tc>
          <w:tcPr>
            <w:tcW w:w="5440" w:type="dxa"/>
            <w:vAlign w:val="bottom"/>
          </w:tcPr>
          <w:p>
            <w:pPr>
              <w:spacing w:after="0" w:line="187" w:lineRule="exact"/>
              <w:rPr>
                <w:sz w:val="20"/>
                <w:szCs w:val="20"/>
                <w:color w:val="auto"/>
              </w:rPr>
            </w:pPr>
            <w:r>
              <w:rPr>
                <w:rFonts w:ascii="Arial" w:cs="Arial" w:eastAsia="Arial" w:hAnsi="Arial"/>
                <w:sz w:val="13"/>
                <w:szCs w:val="13"/>
                <w:color w:val="auto"/>
              </w:rPr>
              <w:t>Thomas P. Capo</w:t>
            </w:r>
            <w:r>
              <w:rPr>
                <w:rFonts w:ascii="Arial" w:cs="Arial" w:eastAsia="Arial" w:hAnsi="Arial"/>
                <w:sz w:val="21"/>
                <w:szCs w:val="21"/>
                <w:color w:val="auto"/>
                <w:vertAlign w:val="superscript"/>
              </w:rPr>
              <w:t>(7)(13)</w:t>
            </w:r>
          </w:p>
        </w:tc>
        <w:tc>
          <w:tcPr>
            <w:tcW w:w="2060" w:type="dxa"/>
            <w:vAlign w:val="bottom"/>
          </w:tcPr>
          <w:p>
            <w:pPr>
              <w:jc w:val="right"/>
              <w:ind w:right="362"/>
              <w:spacing w:after="0"/>
              <w:rPr>
                <w:sz w:val="20"/>
                <w:szCs w:val="20"/>
                <w:color w:val="auto"/>
              </w:rPr>
            </w:pPr>
            <w:r>
              <w:rPr>
                <w:rFonts w:ascii="Arial" w:cs="Arial" w:eastAsia="Arial" w:hAnsi="Arial"/>
                <w:sz w:val="16"/>
                <w:szCs w:val="16"/>
                <w:color w:val="auto"/>
              </w:rPr>
              <w:t>11,562</w:t>
            </w:r>
          </w:p>
        </w:tc>
        <w:tc>
          <w:tcPr>
            <w:tcW w:w="186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22"/>
              <w:spacing w:after="0"/>
              <w:rPr>
                <w:sz w:val="20"/>
                <w:szCs w:val="20"/>
                <w:color w:val="auto"/>
              </w:rPr>
            </w:pPr>
            <w:r>
              <w:rPr>
                <w:rFonts w:ascii="Arial" w:cs="Arial" w:eastAsia="Arial" w:hAnsi="Arial"/>
                <w:sz w:val="16"/>
                <w:szCs w:val="16"/>
                <w:color w:val="auto"/>
              </w:rPr>
              <w:t>—</w:t>
            </w:r>
          </w:p>
        </w:tc>
      </w:tr>
      <w:tr>
        <w:trPr>
          <w:trHeight w:val="186"/>
        </w:trPr>
        <w:tc>
          <w:tcPr>
            <w:tcW w:w="5440" w:type="dxa"/>
            <w:vAlign w:val="bottom"/>
            <w:shd w:val="clear" w:color="auto" w:fill="FCE9E8"/>
          </w:tcPr>
          <w:p>
            <w:pPr>
              <w:spacing w:after="0" w:line="187" w:lineRule="exact"/>
              <w:rPr>
                <w:sz w:val="20"/>
                <w:szCs w:val="20"/>
                <w:color w:val="auto"/>
              </w:rPr>
            </w:pPr>
            <w:r>
              <w:rPr>
                <w:rFonts w:ascii="Arial" w:cs="Arial" w:eastAsia="Arial" w:hAnsi="Arial"/>
                <w:sz w:val="13"/>
                <w:szCs w:val="13"/>
                <w:color w:val="auto"/>
              </w:rPr>
              <w:t>Mei-Wei Cheng</w:t>
            </w:r>
            <w:r>
              <w:rPr>
                <w:rFonts w:ascii="Arial" w:cs="Arial" w:eastAsia="Arial" w:hAnsi="Arial"/>
                <w:sz w:val="21"/>
                <w:szCs w:val="21"/>
                <w:color w:val="auto"/>
                <w:vertAlign w:val="superscript"/>
              </w:rPr>
              <w:t>(7)</w:t>
            </w:r>
          </w:p>
        </w:tc>
        <w:tc>
          <w:tcPr>
            <w:tcW w:w="2060" w:type="dxa"/>
            <w:vAlign w:val="bottom"/>
            <w:shd w:val="clear" w:color="auto" w:fill="FCE9E8"/>
          </w:tcPr>
          <w:p>
            <w:pPr>
              <w:jc w:val="right"/>
              <w:ind w:right="362"/>
              <w:spacing w:after="0"/>
              <w:rPr>
                <w:sz w:val="20"/>
                <w:szCs w:val="20"/>
                <w:color w:val="auto"/>
              </w:rPr>
            </w:pPr>
            <w:r>
              <w:rPr>
                <w:rFonts w:ascii="Arial" w:cs="Arial" w:eastAsia="Arial" w:hAnsi="Arial"/>
                <w:sz w:val="16"/>
                <w:szCs w:val="16"/>
                <w:color w:val="auto"/>
              </w:rPr>
              <w:t>363</w:t>
            </w:r>
          </w:p>
        </w:tc>
        <w:tc>
          <w:tcPr>
            <w:tcW w:w="1860" w:type="dxa"/>
            <w:vAlign w:val="bottom"/>
            <w:shd w:val="clear" w:color="auto" w:fill="FCE9E8"/>
          </w:tcPr>
          <w:p>
            <w:pPr>
              <w:jc w:val="right"/>
              <w:ind w:right="402"/>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422"/>
              <w:spacing w:after="0"/>
              <w:rPr>
                <w:sz w:val="20"/>
                <w:szCs w:val="20"/>
                <w:color w:val="auto"/>
              </w:rPr>
            </w:pPr>
            <w:r>
              <w:rPr>
                <w:rFonts w:ascii="Arial" w:cs="Arial" w:eastAsia="Arial" w:hAnsi="Arial"/>
                <w:sz w:val="16"/>
                <w:szCs w:val="16"/>
                <w:color w:val="auto"/>
              </w:rPr>
              <w:t>—</w:t>
            </w:r>
          </w:p>
        </w:tc>
      </w:tr>
      <w:tr>
        <w:trPr>
          <w:trHeight w:val="186"/>
        </w:trPr>
        <w:tc>
          <w:tcPr>
            <w:tcW w:w="5440" w:type="dxa"/>
            <w:vAlign w:val="bottom"/>
          </w:tcPr>
          <w:p>
            <w:pPr>
              <w:spacing w:after="0" w:line="187" w:lineRule="exact"/>
              <w:rPr>
                <w:sz w:val="20"/>
                <w:szCs w:val="20"/>
                <w:color w:val="auto"/>
              </w:rPr>
            </w:pPr>
            <w:r>
              <w:rPr>
                <w:rFonts w:ascii="Arial" w:cs="Arial" w:eastAsia="Arial" w:hAnsi="Arial"/>
                <w:sz w:val="13"/>
                <w:szCs w:val="13"/>
                <w:color w:val="auto"/>
              </w:rPr>
              <w:t>Jonathan F. Foster</w:t>
            </w:r>
            <w:r>
              <w:rPr>
                <w:rFonts w:ascii="Arial" w:cs="Arial" w:eastAsia="Arial" w:hAnsi="Arial"/>
                <w:sz w:val="21"/>
                <w:szCs w:val="21"/>
                <w:color w:val="auto"/>
                <w:vertAlign w:val="superscript"/>
              </w:rPr>
              <w:t>(7)</w:t>
            </w:r>
          </w:p>
        </w:tc>
        <w:tc>
          <w:tcPr>
            <w:tcW w:w="2060" w:type="dxa"/>
            <w:vAlign w:val="bottom"/>
          </w:tcPr>
          <w:p>
            <w:pPr>
              <w:jc w:val="right"/>
              <w:ind w:right="362"/>
              <w:spacing w:after="0"/>
              <w:rPr>
                <w:sz w:val="20"/>
                <w:szCs w:val="20"/>
                <w:color w:val="auto"/>
              </w:rPr>
            </w:pPr>
            <w:r>
              <w:rPr>
                <w:rFonts w:ascii="Arial" w:cs="Arial" w:eastAsia="Arial" w:hAnsi="Arial"/>
                <w:sz w:val="16"/>
                <w:szCs w:val="16"/>
                <w:color w:val="auto"/>
              </w:rPr>
              <w:t>8,444</w:t>
            </w:r>
          </w:p>
        </w:tc>
        <w:tc>
          <w:tcPr>
            <w:tcW w:w="186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22"/>
              <w:spacing w:after="0"/>
              <w:rPr>
                <w:sz w:val="20"/>
                <w:szCs w:val="20"/>
                <w:color w:val="auto"/>
              </w:rPr>
            </w:pPr>
            <w:r>
              <w:rPr>
                <w:rFonts w:ascii="Arial" w:cs="Arial" w:eastAsia="Arial" w:hAnsi="Arial"/>
                <w:sz w:val="16"/>
                <w:szCs w:val="16"/>
                <w:color w:val="auto"/>
              </w:rPr>
              <w:t>—</w:t>
            </w:r>
          </w:p>
        </w:tc>
      </w:tr>
      <w:tr>
        <w:trPr>
          <w:trHeight w:val="186"/>
        </w:trPr>
        <w:tc>
          <w:tcPr>
            <w:tcW w:w="5440" w:type="dxa"/>
            <w:vAlign w:val="bottom"/>
            <w:shd w:val="clear" w:color="auto" w:fill="FCE9E8"/>
          </w:tcPr>
          <w:p>
            <w:pPr>
              <w:spacing w:after="0" w:line="187" w:lineRule="exact"/>
              <w:rPr>
                <w:sz w:val="20"/>
                <w:szCs w:val="20"/>
                <w:color w:val="auto"/>
              </w:rPr>
            </w:pPr>
            <w:r>
              <w:rPr>
                <w:rFonts w:ascii="Arial" w:cs="Arial" w:eastAsia="Arial" w:hAnsi="Arial"/>
                <w:sz w:val="13"/>
                <w:szCs w:val="13"/>
                <w:color w:val="auto"/>
              </w:rPr>
              <w:t>Mary Lou Jepsen</w:t>
            </w:r>
            <w:r>
              <w:rPr>
                <w:rFonts w:ascii="Arial" w:cs="Arial" w:eastAsia="Arial" w:hAnsi="Arial"/>
                <w:sz w:val="21"/>
                <w:szCs w:val="21"/>
                <w:color w:val="auto"/>
                <w:vertAlign w:val="superscript"/>
              </w:rPr>
              <w:t>(7)(14)</w:t>
            </w:r>
          </w:p>
        </w:tc>
        <w:tc>
          <w:tcPr>
            <w:tcW w:w="2060" w:type="dxa"/>
            <w:vAlign w:val="bottom"/>
            <w:shd w:val="clear" w:color="auto" w:fill="FCE9E8"/>
          </w:tcPr>
          <w:p>
            <w:pPr>
              <w:jc w:val="right"/>
              <w:ind w:right="362"/>
              <w:spacing w:after="0"/>
              <w:rPr>
                <w:sz w:val="20"/>
                <w:szCs w:val="20"/>
                <w:color w:val="auto"/>
              </w:rPr>
            </w:pPr>
            <w:r>
              <w:rPr>
                <w:rFonts w:ascii="Arial" w:cs="Arial" w:eastAsia="Arial" w:hAnsi="Arial"/>
                <w:sz w:val="16"/>
                <w:szCs w:val="16"/>
                <w:color w:val="auto"/>
              </w:rPr>
              <w:t>3,396</w:t>
            </w:r>
          </w:p>
        </w:tc>
        <w:tc>
          <w:tcPr>
            <w:tcW w:w="1860" w:type="dxa"/>
            <w:vAlign w:val="bottom"/>
            <w:shd w:val="clear" w:color="auto" w:fill="FCE9E8"/>
          </w:tcPr>
          <w:p>
            <w:pPr>
              <w:jc w:val="right"/>
              <w:ind w:right="402"/>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422"/>
              <w:spacing w:after="0"/>
              <w:rPr>
                <w:sz w:val="20"/>
                <w:szCs w:val="20"/>
                <w:color w:val="auto"/>
              </w:rPr>
            </w:pPr>
            <w:r>
              <w:rPr>
                <w:rFonts w:ascii="Arial" w:cs="Arial" w:eastAsia="Arial" w:hAnsi="Arial"/>
                <w:sz w:val="16"/>
                <w:szCs w:val="16"/>
                <w:color w:val="auto"/>
              </w:rPr>
              <w:t>—</w:t>
            </w:r>
          </w:p>
        </w:tc>
      </w:tr>
      <w:tr>
        <w:trPr>
          <w:trHeight w:val="186"/>
        </w:trPr>
        <w:tc>
          <w:tcPr>
            <w:tcW w:w="5440" w:type="dxa"/>
            <w:vAlign w:val="bottom"/>
          </w:tcPr>
          <w:p>
            <w:pPr>
              <w:spacing w:after="0" w:line="187" w:lineRule="exact"/>
              <w:rPr>
                <w:sz w:val="20"/>
                <w:szCs w:val="20"/>
                <w:color w:val="auto"/>
              </w:rPr>
            </w:pPr>
            <w:r>
              <w:rPr>
                <w:rFonts w:ascii="Arial" w:cs="Arial" w:eastAsia="Arial" w:hAnsi="Arial"/>
                <w:sz w:val="13"/>
                <w:szCs w:val="13"/>
                <w:color w:val="auto"/>
              </w:rPr>
              <w:t>Kathleen A. Ligocki</w:t>
            </w:r>
            <w:r>
              <w:rPr>
                <w:rFonts w:ascii="Arial" w:cs="Arial" w:eastAsia="Arial" w:hAnsi="Arial"/>
                <w:sz w:val="21"/>
                <w:szCs w:val="21"/>
                <w:color w:val="auto"/>
                <w:vertAlign w:val="superscript"/>
              </w:rPr>
              <w:t>(7)(15)</w:t>
            </w:r>
          </w:p>
        </w:tc>
        <w:tc>
          <w:tcPr>
            <w:tcW w:w="2060" w:type="dxa"/>
            <w:vAlign w:val="bottom"/>
          </w:tcPr>
          <w:p>
            <w:pPr>
              <w:jc w:val="right"/>
              <w:ind w:right="362"/>
              <w:spacing w:after="0"/>
              <w:rPr>
                <w:sz w:val="20"/>
                <w:szCs w:val="20"/>
                <w:color w:val="auto"/>
              </w:rPr>
            </w:pPr>
            <w:r>
              <w:rPr>
                <w:rFonts w:ascii="Arial" w:cs="Arial" w:eastAsia="Arial" w:hAnsi="Arial"/>
                <w:sz w:val="16"/>
                <w:szCs w:val="16"/>
                <w:color w:val="auto"/>
              </w:rPr>
              <w:t>12,856</w:t>
            </w:r>
          </w:p>
        </w:tc>
        <w:tc>
          <w:tcPr>
            <w:tcW w:w="186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22"/>
              <w:spacing w:after="0"/>
              <w:rPr>
                <w:sz w:val="20"/>
                <w:szCs w:val="20"/>
                <w:color w:val="auto"/>
              </w:rPr>
            </w:pPr>
            <w:r>
              <w:rPr>
                <w:rFonts w:ascii="Arial" w:cs="Arial" w:eastAsia="Arial" w:hAnsi="Arial"/>
                <w:sz w:val="16"/>
                <w:szCs w:val="16"/>
                <w:color w:val="auto"/>
              </w:rPr>
              <w:t>—</w:t>
            </w:r>
          </w:p>
        </w:tc>
      </w:tr>
      <w:tr>
        <w:trPr>
          <w:trHeight w:val="186"/>
        </w:trPr>
        <w:tc>
          <w:tcPr>
            <w:tcW w:w="5440" w:type="dxa"/>
            <w:vAlign w:val="bottom"/>
            <w:shd w:val="clear" w:color="auto" w:fill="FCE9E8"/>
          </w:tcPr>
          <w:p>
            <w:pPr>
              <w:spacing w:after="0" w:line="187" w:lineRule="exact"/>
              <w:rPr>
                <w:sz w:val="20"/>
                <w:szCs w:val="20"/>
                <w:color w:val="auto"/>
              </w:rPr>
            </w:pPr>
            <w:r>
              <w:rPr>
                <w:rFonts w:ascii="Arial" w:cs="Arial" w:eastAsia="Arial" w:hAnsi="Arial"/>
                <w:sz w:val="13"/>
                <w:szCs w:val="13"/>
                <w:color w:val="auto"/>
              </w:rPr>
              <w:t>Conrad L. Mallett, Jr.</w:t>
            </w:r>
            <w:r>
              <w:rPr>
                <w:rFonts w:ascii="Arial" w:cs="Arial" w:eastAsia="Arial" w:hAnsi="Arial"/>
                <w:sz w:val="21"/>
                <w:szCs w:val="21"/>
                <w:color w:val="auto"/>
                <w:vertAlign w:val="superscript"/>
              </w:rPr>
              <w:t>(7)(16)</w:t>
            </w:r>
          </w:p>
        </w:tc>
        <w:tc>
          <w:tcPr>
            <w:tcW w:w="2060" w:type="dxa"/>
            <w:vAlign w:val="bottom"/>
            <w:shd w:val="clear" w:color="auto" w:fill="FCE9E8"/>
          </w:tcPr>
          <w:p>
            <w:pPr>
              <w:jc w:val="right"/>
              <w:ind w:right="362"/>
              <w:spacing w:after="0"/>
              <w:rPr>
                <w:sz w:val="20"/>
                <w:szCs w:val="20"/>
                <w:color w:val="auto"/>
              </w:rPr>
            </w:pPr>
            <w:r>
              <w:rPr>
                <w:rFonts w:ascii="Arial" w:cs="Arial" w:eastAsia="Arial" w:hAnsi="Arial"/>
                <w:sz w:val="16"/>
                <w:szCs w:val="16"/>
                <w:color w:val="auto"/>
              </w:rPr>
              <w:t>7,838</w:t>
            </w:r>
          </w:p>
        </w:tc>
        <w:tc>
          <w:tcPr>
            <w:tcW w:w="1860" w:type="dxa"/>
            <w:vAlign w:val="bottom"/>
            <w:shd w:val="clear" w:color="auto" w:fill="FCE9E8"/>
          </w:tcPr>
          <w:p>
            <w:pPr>
              <w:jc w:val="right"/>
              <w:ind w:right="402"/>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422"/>
              <w:spacing w:after="0"/>
              <w:rPr>
                <w:sz w:val="20"/>
                <w:szCs w:val="20"/>
                <w:color w:val="auto"/>
              </w:rPr>
            </w:pPr>
            <w:r>
              <w:rPr>
                <w:rFonts w:ascii="Arial" w:cs="Arial" w:eastAsia="Arial" w:hAnsi="Arial"/>
                <w:sz w:val="16"/>
                <w:szCs w:val="16"/>
                <w:color w:val="auto"/>
              </w:rPr>
              <w:t>—</w:t>
            </w:r>
          </w:p>
        </w:tc>
      </w:tr>
      <w:tr>
        <w:trPr>
          <w:trHeight w:val="186"/>
        </w:trPr>
        <w:tc>
          <w:tcPr>
            <w:tcW w:w="5440" w:type="dxa"/>
            <w:vAlign w:val="bottom"/>
          </w:tcPr>
          <w:p>
            <w:pPr>
              <w:spacing w:after="0" w:line="187" w:lineRule="exact"/>
              <w:rPr>
                <w:sz w:val="20"/>
                <w:szCs w:val="20"/>
                <w:color w:val="auto"/>
              </w:rPr>
            </w:pPr>
            <w:r>
              <w:rPr>
                <w:rFonts w:ascii="Arial" w:cs="Arial" w:eastAsia="Arial" w:hAnsi="Arial"/>
                <w:sz w:val="13"/>
                <w:szCs w:val="13"/>
                <w:color w:val="auto"/>
              </w:rPr>
              <w:t>Gregory C. Smith</w:t>
            </w:r>
            <w:r>
              <w:rPr>
                <w:rFonts w:ascii="Arial" w:cs="Arial" w:eastAsia="Arial" w:hAnsi="Arial"/>
                <w:sz w:val="21"/>
                <w:szCs w:val="21"/>
                <w:color w:val="auto"/>
                <w:vertAlign w:val="superscript"/>
              </w:rPr>
              <w:t>(7)</w:t>
            </w:r>
          </w:p>
        </w:tc>
        <w:tc>
          <w:tcPr>
            <w:tcW w:w="2060" w:type="dxa"/>
            <w:vAlign w:val="bottom"/>
          </w:tcPr>
          <w:p>
            <w:pPr>
              <w:jc w:val="right"/>
              <w:ind w:right="362"/>
              <w:spacing w:after="0"/>
              <w:rPr>
                <w:sz w:val="20"/>
                <w:szCs w:val="20"/>
                <w:color w:val="auto"/>
              </w:rPr>
            </w:pPr>
            <w:r>
              <w:rPr>
                <w:rFonts w:ascii="Arial" w:cs="Arial" w:eastAsia="Arial" w:hAnsi="Arial"/>
                <w:sz w:val="16"/>
                <w:szCs w:val="16"/>
                <w:color w:val="auto"/>
              </w:rPr>
              <w:t>10,349</w:t>
            </w:r>
          </w:p>
        </w:tc>
        <w:tc>
          <w:tcPr>
            <w:tcW w:w="186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22"/>
              <w:spacing w:after="0"/>
              <w:rPr>
                <w:sz w:val="20"/>
                <w:szCs w:val="20"/>
                <w:color w:val="auto"/>
              </w:rPr>
            </w:pPr>
            <w:r>
              <w:rPr>
                <w:rFonts w:ascii="Arial" w:cs="Arial" w:eastAsia="Arial" w:hAnsi="Arial"/>
                <w:sz w:val="16"/>
                <w:szCs w:val="16"/>
                <w:color w:val="auto"/>
              </w:rPr>
              <w:t>—</w:t>
            </w:r>
          </w:p>
        </w:tc>
      </w:tr>
      <w:tr>
        <w:trPr>
          <w:trHeight w:val="186"/>
        </w:trPr>
        <w:tc>
          <w:tcPr>
            <w:tcW w:w="5440" w:type="dxa"/>
            <w:vAlign w:val="bottom"/>
            <w:shd w:val="clear" w:color="auto" w:fill="FCE9E8"/>
          </w:tcPr>
          <w:p>
            <w:pPr>
              <w:spacing w:after="0" w:line="187" w:lineRule="exact"/>
              <w:rPr>
                <w:sz w:val="20"/>
                <w:szCs w:val="20"/>
                <w:color w:val="auto"/>
              </w:rPr>
            </w:pPr>
            <w:r>
              <w:rPr>
                <w:rFonts w:ascii="Arial" w:cs="Arial" w:eastAsia="Arial" w:hAnsi="Arial"/>
                <w:sz w:val="13"/>
                <w:szCs w:val="13"/>
                <w:color w:val="auto"/>
              </w:rPr>
              <w:t>Henry D.G. Wallace</w:t>
            </w:r>
            <w:r>
              <w:rPr>
                <w:rFonts w:ascii="Arial" w:cs="Arial" w:eastAsia="Arial" w:hAnsi="Arial"/>
                <w:sz w:val="21"/>
                <w:szCs w:val="21"/>
                <w:color w:val="auto"/>
                <w:vertAlign w:val="superscript"/>
              </w:rPr>
              <w:t>(7)(17)</w:t>
            </w:r>
          </w:p>
        </w:tc>
        <w:tc>
          <w:tcPr>
            <w:tcW w:w="2060" w:type="dxa"/>
            <w:vAlign w:val="bottom"/>
            <w:shd w:val="clear" w:color="auto" w:fill="FCE9E8"/>
          </w:tcPr>
          <w:p>
            <w:pPr>
              <w:jc w:val="right"/>
              <w:ind w:right="362"/>
              <w:spacing w:after="0"/>
              <w:rPr>
                <w:sz w:val="20"/>
                <w:szCs w:val="20"/>
                <w:color w:val="auto"/>
              </w:rPr>
            </w:pPr>
            <w:r>
              <w:rPr>
                <w:rFonts w:ascii="Arial" w:cs="Arial" w:eastAsia="Arial" w:hAnsi="Arial"/>
                <w:sz w:val="16"/>
                <w:szCs w:val="16"/>
                <w:color w:val="auto"/>
              </w:rPr>
              <w:t>19,228</w:t>
            </w:r>
          </w:p>
        </w:tc>
        <w:tc>
          <w:tcPr>
            <w:tcW w:w="1860" w:type="dxa"/>
            <w:vAlign w:val="bottom"/>
            <w:shd w:val="clear" w:color="auto" w:fill="FCE9E8"/>
          </w:tcPr>
          <w:p>
            <w:pPr>
              <w:jc w:val="right"/>
              <w:ind w:right="402"/>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422"/>
              <w:spacing w:after="0"/>
              <w:rPr>
                <w:sz w:val="20"/>
                <w:szCs w:val="20"/>
                <w:color w:val="auto"/>
              </w:rPr>
            </w:pPr>
            <w:r>
              <w:rPr>
                <w:rFonts w:ascii="Arial" w:cs="Arial" w:eastAsia="Arial" w:hAnsi="Arial"/>
                <w:sz w:val="16"/>
                <w:szCs w:val="16"/>
                <w:color w:val="auto"/>
              </w:rPr>
              <w:t>—</w:t>
            </w:r>
          </w:p>
        </w:tc>
      </w:tr>
      <w:tr>
        <w:trPr>
          <w:trHeight w:val="186"/>
        </w:trPr>
        <w:tc>
          <w:tcPr>
            <w:tcW w:w="5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Executive Officers and Directors as a Group (16 individuals)</w:t>
            </w:r>
          </w:p>
        </w:tc>
        <w:tc>
          <w:tcPr>
            <w:tcW w:w="20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231,439</w:t>
            </w:r>
          </w:p>
        </w:tc>
        <w:tc>
          <w:tcPr>
            <w:tcW w:w="18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92,867</w:t>
            </w:r>
          </w:p>
        </w:tc>
      </w:tr>
    </w:tbl>
    <w:p>
      <w:pPr>
        <w:spacing w:after="0" w:line="85" w:lineRule="exact"/>
        <w:rPr>
          <w:sz w:val="20"/>
          <w:szCs w:val="20"/>
          <w:color w:val="auto"/>
        </w:rPr>
      </w:pPr>
    </w:p>
    <w:p>
      <w:pPr>
        <w:ind w:left="600" w:hanging="320"/>
        <w:spacing w:after="0"/>
        <w:tabs>
          <w:tab w:leader="none" w:pos="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79" w:lineRule="exact"/>
        <w:rPr>
          <w:sz w:val="20"/>
          <w:szCs w:val="20"/>
          <w:color w:val="auto"/>
        </w:rPr>
      </w:pPr>
    </w:p>
    <w:p>
      <w:pPr>
        <w:ind w:left="600" w:right="100" w:hanging="320"/>
        <w:spacing w:after="0" w:line="205" w:lineRule="auto"/>
        <w:tabs>
          <w:tab w:leader="none" w:pos="60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March 11, 2019 by The Vanguard Group (“Vanguard”). Vanguard is the beneficial owner of 6,278,124 shares, with sole voting power as to 45,775 such shares, sole dispositive power as to 6,224,090 such shares, shared voting power as to 13,078 such shares and shared dispositive power as to 54,034 such shares. Vanguard’s principal place of business is 100 Vanguard Blvd., Malvern, PA 19355.</w:t>
      </w:r>
    </w:p>
    <w:p>
      <w:pPr>
        <w:spacing w:after="0" w:line="70" w:lineRule="exact"/>
        <w:rPr>
          <w:rFonts w:ascii="Arial" w:cs="Arial" w:eastAsia="Arial" w:hAnsi="Arial"/>
          <w:sz w:val="24"/>
          <w:szCs w:val="24"/>
          <w:color w:val="auto"/>
          <w:vertAlign w:val="superscript"/>
        </w:rPr>
      </w:pPr>
    </w:p>
    <w:p>
      <w:pPr>
        <w:ind w:left="600" w:right="20" w:hanging="320"/>
        <w:spacing w:after="0" w:line="196" w:lineRule="auto"/>
        <w:tabs>
          <w:tab w:leader="none" w:pos="60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January 24, 2019 by Norges Bank (“Norges”). Norges is the beneficial owner of 5,315,199 shares, with sole dispositive and sole voting power as to all such shares. Norges’ principal place of business is Bankplassen 2, PO Box 1179 Sentrum, NO 0107 Oslo, Norway.</w:t>
      </w:r>
    </w:p>
    <w:p>
      <w:pPr>
        <w:spacing w:after="0" w:line="71" w:lineRule="exact"/>
        <w:rPr>
          <w:rFonts w:ascii="Arial" w:cs="Arial" w:eastAsia="Arial" w:hAnsi="Arial"/>
          <w:sz w:val="24"/>
          <w:szCs w:val="24"/>
          <w:color w:val="auto"/>
          <w:vertAlign w:val="superscript"/>
        </w:rPr>
      </w:pPr>
    </w:p>
    <w:p>
      <w:pPr>
        <w:ind w:left="600" w:right="180" w:hanging="320"/>
        <w:spacing w:after="0" w:line="211" w:lineRule="auto"/>
        <w:tabs>
          <w:tab w:leader="none" w:pos="60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February 6, 2019 by BlackRock, Inc. (“BlackRock”). BlackRock is the beneficial owner of 4,046,228 shares, with sole dispositive power as to all such shares and sole voting power as to 3,571,842 shares. Various persons have the right to receive or the power to direct the receipt of dividends from, or the proceeds from, the sale of the Company’s common stock. No one person’s interest in the Company’s common stock is more than five percent of the total outstanding common stock. BlackRock’s principal place of business is 55 East 52nd Street, New York, New York 10055.</w:t>
      </w:r>
    </w:p>
    <w:p>
      <w:pPr>
        <w:spacing w:after="0" w:line="109"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25</w:t>
      </w:r>
    </w:p>
    <w:p>
      <w:pPr>
        <w:sectPr>
          <w:pgSz w:w="11900" w:h="16838" w:orient="portrait"/>
          <w:cols w:equalWidth="0" w:num="1">
            <w:col w:w="11160"/>
          </w:cols>
          <w:pgMar w:left="240" w:top="455"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240" w:lineRule="exact"/>
        <w:rPr>
          <w:sz w:val="20"/>
          <w:szCs w:val="20"/>
          <w:color w:val="auto"/>
        </w:rPr>
      </w:pPr>
    </w:p>
    <w:p>
      <w:pPr>
        <w:ind w:left="600" w:right="20" w:hanging="320"/>
        <w:spacing w:after="0" w:line="205" w:lineRule="auto"/>
        <w:tabs>
          <w:tab w:leader="none" w:pos="6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 filed with the SEC on February 14, 2019 by Harris Associates L.P. and Harris Associates Inc. (collectively, “Harris”). By reason of advisory and other relationships with the person who owns the shares, Harris may be deemed to be the beneficial owner of 3,424,807 shares, with sole voting power as to 3,057,099 shares and sole dispositive power over all such shares. Harris’ principal place of business is 111 S. Wacker Drive, Suite 4600, Chicago IL 60606.</w:t>
      </w:r>
    </w:p>
    <w:p>
      <w:pPr>
        <w:spacing w:after="0" w:line="1" w:lineRule="exact"/>
        <w:rPr>
          <w:rFonts w:ascii="Arial" w:cs="Arial" w:eastAsia="Arial" w:hAnsi="Arial"/>
          <w:sz w:val="24"/>
          <w:szCs w:val="24"/>
          <w:color w:val="auto"/>
          <w:vertAlign w:val="superscript"/>
        </w:rPr>
      </w:pPr>
    </w:p>
    <w:p>
      <w:pPr>
        <w:ind w:left="600" w:hanging="320"/>
        <w:spacing w:after="0" w:line="208" w:lineRule="auto"/>
        <w:tabs>
          <w:tab w:leader="none" w:pos="6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The individual is a Named Executive Officer.</w:t>
      </w:r>
    </w:p>
    <w:p>
      <w:pPr>
        <w:spacing w:after="0" w:line="69" w:lineRule="exact"/>
        <w:rPr>
          <w:rFonts w:ascii="Arial" w:cs="Arial" w:eastAsia="Arial" w:hAnsi="Arial"/>
          <w:sz w:val="24"/>
          <w:szCs w:val="24"/>
          <w:color w:val="auto"/>
          <w:vertAlign w:val="superscript"/>
        </w:rPr>
      </w:pPr>
    </w:p>
    <w:p>
      <w:pPr>
        <w:ind w:left="600" w:right="580" w:hanging="320"/>
        <w:spacing w:after="0" w:line="181" w:lineRule="auto"/>
        <w:tabs>
          <w:tab w:leader="none" w:pos="6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Messrs. Scott and Orsini are not yet retirement-eligible, and thus, their share ownership does not include any unvested Career Shares or RSUs. If they remain employed by the Company, Messrs. Scott and Orsini will become retirement-eligible on August 2, 2020 and April 2, 2027, respectively.</w:t>
      </w:r>
    </w:p>
    <w:p>
      <w:pPr>
        <w:ind w:left="600" w:hanging="320"/>
        <w:spacing w:after="0" w:line="208" w:lineRule="auto"/>
        <w:tabs>
          <w:tab w:leader="none" w:pos="6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The individual is a director.</w:t>
      </w:r>
    </w:p>
    <w:p>
      <w:pPr>
        <w:spacing w:after="0" w:line="69" w:lineRule="exact"/>
        <w:rPr>
          <w:rFonts w:ascii="Arial" w:cs="Arial" w:eastAsia="Arial" w:hAnsi="Arial"/>
          <w:sz w:val="24"/>
          <w:szCs w:val="24"/>
          <w:color w:val="auto"/>
          <w:vertAlign w:val="superscript"/>
        </w:rPr>
      </w:pPr>
    </w:p>
    <w:p>
      <w:pPr>
        <w:ind w:left="600" w:right="100" w:hanging="320"/>
        <w:spacing w:after="0" w:line="205" w:lineRule="auto"/>
        <w:tabs>
          <w:tab w:leader="none" w:pos="6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Mr. Vanneste is retirement-eligible and therefore qualifies for accelerated vesting of all of his Career Shares and RSUs that would have vested if the date of retirement had been 24 months later than it actually occurred. As a result, Mr. Vanneste’s share ownership includes 14,437 Career Shares and 7,034 unvested RSUs (all RSUs awarded more than one year prior to the record date). Such Career Shares and unvested RSUs would be forfeited only if Mr. Vanneste were terminated for “cause” pursuant to the terms of his employment agreement.</w:t>
      </w:r>
    </w:p>
    <w:p>
      <w:pPr>
        <w:spacing w:after="0" w:line="70" w:lineRule="exact"/>
        <w:rPr>
          <w:rFonts w:ascii="Arial" w:cs="Arial" w:eastAsia="Arial" w:hAnsi="Arial"/>
          <w:sz w:val="24"/>
          <w:szCs w:val="24"/>
          <w:color w:val="auto"/>
          <w:vertAlign w:val="superscript"/>
        </w:rPr>
      </w:pPr>
    </w:p>
    <w:p>
      <w:pPr>
        <w:ind w:left="600" w:right="20" w:hanging="320"/>
        <w:spacing w:after="0" w:line="205" w:lineRule="auto"/>
        <w:tabs>
          <w:tab w:leader="none" w:pos="6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Mr. Larkin is retirement-eligible and therefore qualifies for accelerated vesting of all of his Career Shares and RSUs that would have vested if the date of retirement had been 24 months later than it actually occurred. As a result, Mr. Larkin’s share ownership includes 3,875 Career Shares and 7,670 unvested RSUs (all RSUs awarded more than one year prior to the record date). Such Career Shares and unvested RSUs would be forfeited only if Mr. Larkin were terminated for “cause” pursuant to the terms of his employment agreement.</w:t>
      </w:r>
    </w:p>
    <w:p>
      <w:pPr>
        <w:spacing w:after="0" w:line="70" w:lineRule="exact"/>
        <w:rPr>
          <w:rFonts w:ascii="Arial" w:cs="Arial" w:eastAsia="Arial" w:hAnsi="Arial"/>
          <w:sz w:val="24"/>
          <w:szCs w:val="24"/>
          <w:color w:val="auto"/>
          <w:vertAlign w:val="superscript"/>
        </w:rPr>
      </w:pPr>
    </w:p>
    <w:p>
      <w:pPr>
        <w:ind w:left="600" w:right="100" w:hanging="320"/>
        <w:spacing w:after="0" w:line="205" w:lineRule="auto"/>
        <w:tabs>
          <w:tab w:leader="none" w:pos="6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Mr. DiDonato is retirement-eligible and therefore qualifies for accelerated vesting of all of his Career Shares and RSUs that would have vested if the date of retirement had been 24 months later than it actually occurred. As a result, Mr. DiDonato’s share ownership includes 13,974 Career Shares and 5,709 unvested RSUs (all RSUs awarded more than one year prior to the record date). Such Career Shares and unvested RSUs would be forfeited only if Mr. DiDonato were terminated for “cause” pursuant to the terms of his employment agreement.</w:t>
      </w:r>
    </w:p>
    <w:p>
      <w:pPr>
        <w:spacing w:after="0" w:line="1" w:lineRule="exact"/>
        <w:rPr>
          <w:rFonts w:ascii="Arial" w:cs="Arial" w:eastAsia="Arial" w:hAnsi="Arial"/>
          <w:sz w:val="24"/>
          <w:szCs w:val="24"/>
          <w:color w:val="auto"/>
          <w:vertAlign w:val="superscript"/>
        </w:rPr>
      </w:pPr>
    </w:p>
    <w:p>
      <w:pPr>
        <w:ind w:left="600" w:hanging="320"/>
        <w:spacing w:after="0" w:line="199" w:lineRule="auto"/>
        <w:tabs>
          <w:tab w:leader="none" w:pos="6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Mr. Simoncini resigned as President and Chief Executive Officer and as a member of the Board effective February 28, 2018, and retired from the Company on</w:t>
      </w:r>
    </w:p>
    <w:p>
      <w:pPr>
        <w:ind w:left="600"/>
        <w:spacing w:after="0" w:line="252" w:lineRule="auto"/>
        <w:rPr>
          <w:rFonts w:ascii="Arial" w:cs="Arial" w:eastAsia="Arial" w:hAnsi="Arial"/>
          <w:sz w:val="24"/>
          <w:szCs w:val="24"/>
          <w:color w:val="auto"/>
          <w:vertAlign w:val="superscript"/>
        </w:rPr>
      </w:pPr>
      <w:r>
        <w:rPr>
          <w:rFonts w:ascii="Arial" w:cs="Arial" w:eastAsia="Arial" w:hAnsi="Arial"/>
          <w:sz w:val="14"/>
          <w:szCs w:val="14"/>
          <w:color w:val="auto"/>
        </w:rPr>
        <w:t>January 4, 2019. The information regarding Mr. Simoncini’s beneficial ownership is based solely on his Section 16 filings through his Form 4 filed on February 22, 2018, and does not include any Performance Shares, RSUs or Career Shares that may have vested in connection with, or following, such Form 4 filing.</w:t>
      </w:r>
    </w:p>
    <w:p>
      <w:pPr>
        <w:spacing w:after="0" w:line="61" w:lineRule="exact"/>
        <w:rPr>
          <w:rFonts w:ascii="Arial" w:cs="Arial" w:eastAsia="Arial" w:hAnsi="Arial"/>
          <w:sz w:val="24"/>
          <w:szCs w:val="24"/>
          <w:color w:val="auto"/>
          <w:vertAlign w:val="superscript"/>
        </w:rPr>
      </w:pPr>
    </w:p>
    <w:p>
      <w:pPr>
        <w:ind w:left="600" w:right="20" w:hanging="320"/>
        <w:spacing w:after="0" w:line="181" w:lineRule="auto"/>
        <w:tabs>
          <w:tab w:leader="none" w:pos="6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Includes 5,394 deferred stock units, which are fully vested and convert into shares of common stock on a 1-for-1 basis upon the earliest of the director’s departure from the Board, a change in control or the pre-established date elected by the director.</w:t>
      </w:r>
    </w:p>
    <w:p>
      <w:pPr>
        <w:spacing w:after="0" w:line="70" w:lineRule="exact"/>
        <w:rPr>
          <w:rFonts w:ascii="Arial" w:cs="Arial" w:eastAsia="Arial" w:hAnsi="Arial"/>
          <w:sz w:val="24"/>
          <w:szCs w:val="24"/>
          <w:color w:val="auto"/>
          <w:vertAlign w:val="superscript"/>
        </w:rPr>
      </w:pPr>
    </w:p>
    <w:p>
      <w:pPr>
        <w:ind w:left="600" w:right="260" w:hanging="320"/>
        <w:spacing w:after="0" w:line="181" w:lineRule="auto"/>
        <w:tabs>
          <w:tab w:leader="none" w:pos="6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Includes 11,422 deferred stock units, which are fully vested and convert into shares of common stock on a 1-for-1 basis upon the earliest of the director’s departure from the Board, a change in control or the pre-established date elected by the director.</w:t>
      </w:r>
    </w:p>
    <w:p>
      <w:pPr>
        <w:spacing w:after="0" w:line="70" w:lineRule="exact"/>
        <w:rPr>
          <w:rFonts w:ascii="Arial" w:cs="Arial" w:eastAsia="Arial" w:hAnsi="Arial"/>
          <w:sz w:val="24"/>
          <w:szCs w:val="24"/>
          <w:color w:val="auto"/>
          <w:vertAlign w:val="superscript"/>
        </w:rPr>
      </w:pPr>
    </w:p>
    <w:p>
      <w:pPr>
        <w:ind w:left="600" w:right="20" w:hanging="320"/>
        <w:spacing w:after="0" w:line="181" w:lineRule="auto"/>
        <w:tabs>
          <w:tab w:leader="none" w:pos="6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Includes 1,063 deferred stock units, which are fully vested and convert into shares of common stock on a 1-for-1 basis upon the earliest of the director’s departure from the Board, a change in control or the pre-established date elected by the director.</w:t>
      </w:r>
    </w:p>
    <w:p>
      <w:pPr>
        <w:spacing w:after="0" w:line="70" w:lineRule="exact"/>
        <w:rPr>
          <w:rFonts w:ascii="Arial" w:cs="Arial" w:eastAsia="Arial" w:hAnsi="Arial"/>
          <w:sz w:val="24"/>
          <w:szCs w:val="24"/>
          <w:color w:val="auto"/>
          <w:vertAlign w:val="superscript"/>
        </w:rPr>
      </w:pPr>
    </w:p>
    <w:p>
      <w:pPr>
        <w:ind w:left="600" w:right="260" w:hanging="320"/>
        <w:spacing w:after="0" w:line="181" w:lineRule="auto"/>
        <w:tabs>
          <w:tab w:leader="none" w:pos="6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Includes 10,356 deferred stock units, which are fully vested and convert into shares of common stock on a 1-for-1 basis upon the earliest of the director’s departure from the Board, a change in control or the pre-established date elected by the director.</w:t>
      </w:r>
    </w:p>
    <w:p>
      <w:pPr>
        <w:spacing w:after="0" w:line="70" w:lineRule="exact"/>
        <w:rPr>
          <w:rFonts w:ascii="Arial" w:cs="Arial" w:eastAsia="Arial" w:hAnsi="Arial"/>
          <w:sz w:val="24"/>
          <w:szCs w:val="24"/>
          <w:color w:val="auto"/>
          <w:vertAlign w:val="superscript"/>
        </w:rPr>
      </w:pPr>
    </w:p>
    <w:p>
      <w:pPr>
        <w:ind w:left="600" w:right="20" w:hanging="320"/>
        <w:spacing w:after="0" w:line="181" w:lineRule="auto"/>
        <w:tabs>
          <w:tab w:leader="none" w:pos="6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Includes 7,838 deferred stock units, which are fully vested and convert into shares of common stock on a 1-for-1 basis upon the earliest of the director’s departure from the Board, a change in control or the pre-established date elected by the director.</w:t>
      </w:r>
    </w:p>
    <w:p>
      <w:pPr>
        <w:spacing w:after="0" w:line="70" w:lineRule="exact"/>
        <w:rPr>
          <w:rFonts w:ascii="Arial" w:cs="Arial" w:eastAsia="Arial" w:hAnsi="Arial"/>
          <w:sz w:val="24"/>
          <w:szCs w:val="24"/>
          <w:color w:val="auto"/>
          <w:vertAlign w:val="superscript"/>
        </w:rPr>
      </w:pPr>
    </w:p>
    <w:p>
      <w:pPr>
        <w:ind w:left="600" w:right="260" w:hanging="320"/>
        <w:spacing w:after="0" w:line="181" w:lineRule="auto"/>
        <w:tabs>
          <w:tab w:leader="none" w:pos="6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Includes 19,228 deferred stock units, which are fully vested and convert into shares of common stock on a 1-for-1 basis upon the earliest of the director’s departure from the Board, a change in control or the pre-established date elected by the director.</w:t>
      </w:r>
    </w:p>
    <w:p>
      <w:pPr>
        <w:spacing w:after="0" w:line="70" w:lineRule="exact"/>
        <w:rPr>
          <w:rFonts w:ascii="Arial" w:cs="Arial" w:eastAsia="Arial" w:hAnsi="Arial"/>
          <w:sz w:val="24"/>
          <w:szCs w:val="24"/>
          <w:color w:val="auto"/>
          <w:vertAlign w:val="superscript"/>
        </w:rPr>
      </w:pPr>
    </w:p>
    <w:p>
      <w:pPr>
        <w:jc w:val="both"/>
        <w:ind w:left="600" w:right="20" w:hanging="320"/>
        <w:spacing w:after="0" w:line="196" w:lineRule="auto"/>
        <w:tabs>
          <w:tab w:leader="none" w:pos="6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Includes, as of March 21, 2019, (i) Career Shares and unvested RSUs owned by our retirement-eligible executive officers that have been outstanding for less than one year, and (ii) Career Shares and unvested RSUs owned by our non-retirement-eligible executive officers. These Career Shares and unvested RSUs are subject to all of the economic risks of stock ownership but may not be voted or sold and are subject to vesting provisions as set forth in the respective grant agreements.</w:t>
      </w:r>
    </w:p>
    <w:p>
      <w:pPr>
        <w:spacing w:after="0" w:line="282"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00"/>
          </w:cols>
          <w:pgMar w:left="240" w:top="455" w:right="559" w:bottom="1440" w:gutter="0" w:footer="0" w:header="0"/>
        </w:sectPr>
      </w:pPr>
    </w:p>
    <w:p>
      <w:pPr>
        <w:spacing w:after="0" w:line="334" w:lineRule="exact"/>
        <w:rPr>
          <w:sz w:val="20"/>
          <w:szCs w:val="20"/>
          <w:color w:val="auto"/>
        </w:rPr>
      </w:pPr>
    </w:p>
    <w:p>
      <w:pPr>
        <w:ind w:left="280"/>
        <w:spacing w:after="0" w:line="248" w:lineRule="auto"/>
        <w:rPr>
          <w:sz w:val="20"/>
          <w:szCs w:val="20"/>
          <w:color w:val="auto"/>
        </w:rPr>
      </w:pPr>
      <w:r>
        <w:rPr>
          <w:rFonts w:ascii="Arial" w:cs="Arial" w:eastAsia="Arial" w:hAnsi="Arial"/>
          <w:sz w:val="16"/>
          <w:szCs w:val="16"/>
          <w:color w:val="auto"/>
        </w:rPr>
        <w:t>Based upon our review of reports filed with the SEC and written representations that no other reports were required, we believe that all of our directors and executive officers complied</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420"/>
        <w:spacing w:after="0" w:line="254" w:lineRule="auto"/>
        <w:rPr>
          <w:sz w:val="20"/>
          <w:szCs w:val="20"/>
          <w:color w:val="auto"/>
        </w:rPr>
      </w:pPr>
      <w:r>
        <w:rPr>
          <w:rFonts w:ascii="Arial" w:cs="Arial" w:eastAsia="Arial" w:hAnsi="Arial"/>
          <w:sz w:val="16"/>
          <w:szCs w:val="16"/>
          <w:color w:val="auto"/>
        </w:rPr>
        <w:t>with the reporting requirements of Section 16(a) of the Exchange Act during 2018.</w:t>
      </w:r>
    </w:p>
    <w:p>
      <w:pPr>
        <w:spacing w:after="0" w:line="380" w:lineRule="exact"/>
        <w:rPr>
          <w:sz w:val="20"/>
          <w:szCs w:val="20"/>
          <w:color w:val="auto"/>
        </w:rPr>
      </w:pPr>
    </w:p>
    <w:p>
      <w:pPr>
        <w:sectPr>
          <w:pgSz w:w="11900" w:h="16838" w:orient="portrait"/>
          <w:cols w:equalWidth="0" w:num="2">
            <w:col w:w="5420" w:space="400"/>
            <w:col w:w="5280"/>
          </w:cols>
          <w:pgMar w:left="240" w:top="455" w:right="559" w:bottom="1440" w:gutter="0" w:footer="0" w:header="0"/>
          <w:type w:val="continuous"/>
        </w:sectPr>
      </w:pPr>
    </w:p>
    <w:p>
      <w:pPr>
        <w:spacing w:after="0" w:line="57" w:lineRule="exact"/>
        <w:rPr>
          <w:sz w:val="20"/>
          <w:szCs w:val="20"/>
          <w:color w:val="auto"/>
        </w:rPr>
      </w:pPr>
    </w:p>
    <w:p>
      <w:pPr>
        <w:ind w:left="740" w:hanging="359"/>
        <w:spacing w:after="0"/>
        <w:tabs>
          <w:tab w:leader="none" w:pos="7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00"/>
          </w:cols>
          <w:pgMar w:left="240" w:top="455" w:right="5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280"/>
        <w:spacing w:after="0"/>
        <w:rPr>
          <w:sz w:val="20"/>
          <w:szCs w:val="20"/>
          <w:color w:val="auto"/>
        </w:rPr>
      </w:pPr>
      <w:r>
        <w:rPr>
          <w:rFonts w:ascii="Arial" w:cs="Arial" w:eastAsia="Arial" w:hAnsi="Arial"/>
          <w:sz w:val="39"/>
          <w:szCs w:val="39"/>
          <w:b w:val="1"/>
          <w:bCs w:val="1"/>
          <w:color w:val="E2231A"/>
        </w:rPr>
        <w:t>COMPENSATION DISCUSSION AND ANALYSIS</w:t>
      </w:r>
    </w:p>
    <w:p>
      <w:pPr>
        <w:spacing w:after="0" w:line="263" w:lineRule="exact"/>
        <w:rPr>
          <w:sz w:val="20"/>
          <w:szCs w:val="20"/>
          <w:color w:val="auto"/>
        </w:rPr>
      </w:pPr>
    </w:p>
    <w:p>
      <w:pPr>
        <w:ind w:left="280" w:right="80"/>
        <w:spacing w:after="0" w:line="243" w:lineRule="auto"/>
        <w:rPr>
          <w:sz w:val="20"/>
          <w:szCs w:val="20"/>
          <w:color w:val="auto"/>
        </w:rPr>
      </w:pPr>
      <w:r>
        <w:rPr>
          <w:rFonts w:ascii="Arial" w:cs="Arial" w:eastAsia="Arial" w:hAnsi="Arial"/>
          <w:sz w:val="16"/>
          <w:szCs w:val="16"/>
          <w:color w:val="auto"/>
        </w:rPr>
        <w:t>The following discusses the material elements of the compensation for our Chief Executive Officer (CEO), Chief Financial Officer (CFO) and each of the other executive officers listed in the “2018 Summary Compensation Table” (collectively, the “Named Executive Officers”) during the year ended December 31, 2018. To assist in understanding compensation for 2018, we have included a discussion of our compensation policies and practices for periods before and after 2018 where relevant. To avoid repetition, in the discussion that follows we make cross-references to specific compensation data and terms for our Named Executive Officers contained in “Executive Compensation.” In addition, because we have a global team of managers in</w:t>
      </w:r>
    </w:p>
    <w:p>
      <w:pPr>
        <w:spacing w:after="0" w:line="1" w:lineRule="exact"/>
        <w:rPr>
          <w:sz w:val="20"/>
          <w:szCs w:val="20"/>
          <w:color w:val="auto"/>
        </w:rPr>
      </w:pPr>
    </w:p>
    <w:p>
      <w:pPr>
        <w:ind w:left="280" w:right="500"/>
        <w:spacing w:after="0" w:line="254" w:lineRule="auto"/>
        <w:rPr>
          <w:sz w:val="20"/>
          <w:szCs w:val="20"/>
          <w:color w:val="auto"/>
        </w:rPr>
      </w:pPr>
      <w:r>
        <w:rPr>
          <w:rFonts w:ascii="Arial" w:cs="Arial" w:eastAsia="Arial" w:hAnsi="Arial"/>
          <w:sz w:val="16"/>
          <w:szCs w:val="16"/>
          <w:color w:val="auto"/>
        </w:rPr>
        <w:t>39 countries, our compensation program is designed to provide some common standards throughout the Company and, therefore, much of what is discussed below applies to executives in general and is not limited specifically to our Named Executive Officers.</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20"/>
          </w:cols>
          <w:pgMar w:left="240" w:top="455" w:right="539" w:bottom="1440" w:gutter="0" w:footer="0" w:header="0"/>
        </w:sectPr>
      </w:pPr>
    </w:p>
    <w:p>
      <w:pPr>
        <w:spacing w:after="0" w:line="33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Named Executive Officers for 2018 are:</w:t>
      </w:r>
    </w:p>
    <w:p>
      <w:pPr>
        <w:spacing w:after="0" w:line="89" w:lineRule="exact"/>
        <w:rPr>
          <w:sz w:val="20"/>
          <w:szCs w:val="20"/>
          <w:color w:val="auto"/>
        </w:rPr>
      </w:pPr>
    </w:p>
    <w:p>
      <w:pPr>
        <w:ind w:left="600" w:right="20"/>
        <w:spacing w:after="0" w:line="261" w:lineRule="auto"/>
        <w:rPr>
          <w:sz w:val="20"/>
          <w:szCs w:val="20"/>
          <w:color w:val="auto"/>
        </w:rPr>
      </w:pPr>
      <w:r>
        <w:rPr>
          <w:rFonts w:ascii="Arial" w:cs="Arial" w:eastAsia="Arial" w:hAnsi="Arial"/>
          <w:sz w:val="16"/>
          <w:szCs w:val="16"/>
          <w:b w:val="1"/>
          <w:bCs w:val="1"/>
          <w:color w:val="auto"/>
        </w:rPr>
        <w:t xml:space="preserve">Raymond E. Scott, </w:t>
      </w:r>
      <w:r>
        <w:rPr>
          <w:rFonts w:ascii="Arial" w:cs="Arial" w:eastAsia="Arial" w:hAnsi="Arial"/>
          <w:sz w:val="16"/>
          <w:szCs w:val="16"/>
          <w:color w:val="auto"/>
        </w:rPr>
        <w:t>President, Chief Executive Officer and Interim</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E-Systems; Former Executive Vice President and President, Seating</w:t>
      </w:r>
    </w:p>
    <w:p>
      <w:pPr>
        <w:spacing w:after="0" w:line="66" w:lineRule="exact"/>
        <w:rPr>
          <w:sz w:val="20"/>
          <w:szCs w:val="20"/>
          <w:color w:val="auto"/>
        </w:rPr>
      </w:pPr>
    </w:p>
    <w:p>
      <w:pPr>
        <w:ind w:left="600" w:right="200"/>
        <w:spacing w:after="0" w:line="280" w:lineRule="auto"/>
        <w:rPr>
          <w:sz w:val="20"/>
          <w:szCs w:val="20"/>
          <w:color w:val="auto"/>
        </w:rPr>
      </w:pPr>
      <w:r>
        <w:rPr>
          <w:rFonts w:ascii="Arial" w:cs="Arial" w:eastAsia="Arial" w:hAnsi="Arial"/>
          <w:sz w:val="16"/>
          <w:szCs w:val="16"/>
          <w:b w:val="1"/>
          <w:bCs w:val="1"/>
          <w:color w:val="auto"/>
        </w:rPr>
        <w:t xml:space="preserve">Jeffrey H. Vanneste, </w:t>
      </w:r>
      <w:r>
        <w:rPr>
          <w:rFonts w:ascii="Arial" w:cs="Arial" w:eastAsia="Arial" w:hAnsi="Arial"/>
          <w:sz w:val="16"/>
          <w:szCs w:val="16"/>
          <w:color w:val="auto"/>
        </w:rPr>
        <w:t>Senior Vice President and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w:t>
      </w:r>
    </w:p>
    <w:p>
      <w:pPr>
        <w:spacing w:after="0" w:line="50" w:lineRule="exact"/>
        <w:rPr>
          <w:sz w:val="20"/>
          <w:szCs w:val="20"/>
          <w:color w:val="auto"/>
        </w:rPr>
      </w:pPr>
    </w:p>
    <w:p>
      <w:pPr>
        <w:ind w:left="600" w:right="680"/>
        <w:spacing w:after="0" w:line="315" w:lineRule="auto"/>
        <w:rPr>
          <w:sz w:val="20"/>
          <w:szCs w:val="20"/>
          <w:color w:val="auto"/>
        </w:rPr>
      </w:pPr>
      <w:r>
        <w:rPr>
          <w:rFonts w:ascii="Arial" w:cs="Arial" w:eastAsia="Arial" w:hAnsi="Arial"/>
          <w:sz w:val="15"/>
          <w:szCs w:val="15"/>
          <w:b w:val="1"/>
          <w:bCs w:val="1"/>
          <w:color w:val="auto"/>
        </w:rPr>
        <w:t xml:space="preserve">Terrence B. Larkin, </w:t>
      </w:r>
      <w:r>
        <w:rPr>
          <w:rFonts w:ascii="Arial" w:cs="Arial" w:eastAsia="Arial" w:hAnsi="Arial"/>
          <w:sz w:val="15"/>
          <w:szCs w:val="15"/>
          <w:color w:val="auto"/>
        </w:rPr>
        <w:t>Executive Vice President, Business</w:t>
      </w:r>
      <w:r>
        <w:rPr>
          <w:rFonts w:ascii="Arial" w:cs="Arial" w:eastAsia="Arial" w:hAnsi="Arial"/>
          <w:sz w:val="15"/>
          <w:szCs w:val="15"/>
          <w:b w:val="1"/>
          <w:bCs w:val="1"/>
          <w:color w:val="auto"/>
        </w:rPr>
        <w:t xml:space="preserve"> </w:t>
      </w:r>
      <w:r>
        <w:rPr>
          <w:rFonts w:ascii="Arial" w:cs="Arial" w:eastAsia="Arial" w:hAnsi="Arial"/>
          <w:sz w:val="15"/>
          <w:szCs w:val="15"/>
          <w:color w:val="auto"/>
        </w:rPr>
        <w:t>Development, General Counsel and Corporate Secretary</w:t>
      </w:r>
    </w:p>
    <w:p>
      <w:pPr>
        <w:spacing w:after="0" w:line="27" w:lineRule="exact"/>
        <w:rPr>
          <w:sz w:val="20"/>
          <w:szCs w:val="20"/>
          <w:color w:val="auto"/>
        </w:rPr>
      </w:pPr>
    </w:p>
    <w:p>
      <w:pPr>
        <w:ind w:left="600"/>
        <w:spacing w:after="0" w:line="280" w:lineRule="auto"/>
        <w:rPr>
          <w:sz w:val="20"/>
          <w:szCs w:val="20"/>
          <w:color w:val="auto"/>
        </w:rPr>
      </w:pPr>
      <w:r>
        <w:rPr>
          <w:rFonts w:ascii="Arial" w:cs="Arial" w:eastAsia="Arial" w:hAnsi="Arial"/>
          <w:sz w:val="16"/>
          <w:szCs w:val="16"/>
          <w:b w:val="1"/>
          <w:bCs w:val="1"/>
          <w:color w:val="auto"/>
        </w:rPr>
        <w:t xml:space="preserve">Frank C. Orsini, </w:t>
      </w:r>
      <w:r>
        <w:rPr>
          <w:rFonts w:ascii="Arial" w:cs="Arial" w:eastAsia="Arial" w:hAnsi="Arial"/>
          <w:sz w:val="16"/>
          <w:szCs w:val="16"/>
          <w:color w:val="auto"/>
        </w:rPr>
        <w:t>Executive Vice President and President, Seating;</w:t>
      </w:r>
      <w:r>
        <w:rPr>
          <w:rFonts w:ascii="Arial" w:cs="Arial" w:eastAsia="Arial" w:hAnsi="Arial"/>
          <w:sz w:val="16"/>
          <w:szCs w:val="16"/>
          <w:b w:val="1"/>
          <w:bCs w:val="1"/>
          <w:color w:val="auto"/>
        </w:rPr>
        <w:t xml:space="preserve"> </w:t>
      </w:r>
      <w:r>
        <w:rPr>
          <w:rFonts w:ascii="Arial" w:cs="Arial" w:eastAsia="Arial" w:hAnsi="Arial"/>
          <w:sz w:val="16"/>
          <w:szCs w:val="16"/>
          <w:color w:val="auto"/>
        </w:rPr>
        <w:t>Former Senior Vice President and President, E-Systems</w:t>
      </w:r>
    </w:p>
    <w:p>
      <w:pPr>
        <w:spacing w:after="0" w:line="50" w:lineRule="exact"/>
        <w:rPr>
          <w:sz w:val="20"/>
          <w:szCs w:val="20"/>
          <w:color w:val="auto"/>
        </w:rPr>
      </w:pPr>
    </w:p>
    <w:p>
      <w:pPr>
        <w:ind w:left="600" w:right="400"/>
        <w:spacing w:after="0" w:line="261" w:lineRule="auto"/>
        <w:rPr>
          <w:sz w:val="20"/>
          <w:szCs w:val="20"/>
          <w:color w:val="auto"/>
        </w:rPr>
      </w:pPr>
      <w:r>
        <w:rPr>
          <w:rFonts w:ascii="Arial" w:cs="Arial" w:eastAsia="Arial" w:hAnsi="Arial"/>
          <w:sz w:val="16"/>
          <w:szCs w:val="16"/>
          <w:b w:val="1"/>
          <w:bCs w:val="1"/>
          <w:color w:val="auto"/>
        </w:rPr>
        <w:t>Thomas A. DiDonato</w:t>
      </w:r>
      <w:r>
        <w:rPr>
          <w:rFonts w:ascii="Arial" w:cs="Arial" w:eastAsia="Arial" w:hAnsi="Arial"/>
          <w:sz w:val="16"/>
          <w:szCs w:val="16"/>
          <w:color w:val="auto"/>
        </w:rPr>
        <w:t>, Senior Vice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Officer; Former Senior Vice President, Human Resources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Matthew J. Simoncini, </w:t>
      </w:r>
      <w:r>
        <w:rPr>
          <w:rFonts w:ascii="Arial" w:cs="Arial" w:eastAsia="Arial" w:hAnsi="Arial"/>
          <w:sz w:val="16"/>
          <w:szCs w:val="16"/>
          <w:color w:val="auto"/>
        </w:rPr>
        <w:t>Former President and Chief Executive Officer</w:t>
      </w:r>
    </w:p>
    <w:p>
      <w:pPr>
        <w:spacing w:after="0" w:line="129"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As previously disclosed, effective February 28, 2018, Mr. Simoncini resigned as President and CEO and Mr. Scott assumed the role as his successor. Mr. Simoncini served as a non-executive employee of the Company, in a transition and advisory role, through his retirement from the Company on January 4, 2019. A description of the compensation arrangements with Messrs. Scott and Simoncini entered into in connection with the transition can be found under the heading “CEO Transition” following the Summary Compensation Table below. In addition, Mr. Orsini was promoted to Executive Vice President and President, Seating effective March 1, 2018, and Mr. DiDonato’s title changed to Senior Vice President and Chief Administrative Officer effective January 1, 2019.</w:t>
      </w:r>
    </w:p>
    <w:p>
      <w:pPr>
        <w:spacing w:after="0" w:line="827" w:lineRule="exact"/>
        <w:rPr>
          <w:sz w:val="20"/>
          <w:szCs w:val="20"/>
          <w:color w:val="auto"/>
        </w:rPr>
      </w:pPr>
    </w:p>
    <w:p>
      <w:pPr>
        <w:sectPr>
          <w:pgSz w:w="11900" w:h="16838" w:orient="portrait"/>
          <w:cols w:equalWidth="0" w:num="2">
            <w:col w:w="5300" w:space="520"/>
            <w:col w:w="5300"/>
          </w:cols>
          <w:pgMar w:left="240" w:top="455" w:right="539" w:bottom="1440" w:gutter="0" w:footer="0" w:header="0"/>
          <w:type w:val="continuous"/>
        </w:sectPr>
      </w:pPr>
    </w:p>
    <w:p>
      <w:pPr>
        <w:spacing w:after="0" w:line="260"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20"/>
          </w:cols>
          <w:pgMar w:left="240" w:top="455" w:right="539" w:bottom="1440" w:gutter="0" w:footer="0" w:header="0"/>
          <w:type w:val="continuous"/>
        </w:sectPr>
      </w:pPr>
    </w:p>
    <w:p>
      <w:pPr>
        <w:spacing w:after="0" w:line="334" w:lineRule="exact"/>
        <w:rPr>
          <w:sz w:val="20"/>
          <w:szCs w:val="20"/>
          <w:color w:val="auto"/>
        </w:rPr>
      </w:pPr>
    </w:p>
    <w:p>
      <w:pPr>
        <w:ind w:left="280"/>
        <w:spacing w:after="0" w:line="262" w:lineRule="auto"/>
        <w:rPr>
          <w:sz w:val="20"/>
          <w:szCs w:val="20"/>
          <w:color w:val="auto"/>
        </w:rPr>
      </w:pPr>
      <w:r>
        <w:rPr>
          <w:rFonts w:ascii="Arial" w:cs="Arial" w:eastAsia="Arial" w:hAnsi="Arial"/>
          <w:sz w:val="15"/>
          <w:szCs w:val="15"/>
          <w:color w:val="auto"/>
        </w:rPr>
        <w:t>We are a leading Tier 1 supplier to the global automotive industry that operates in two business segments: Seating and E-Systems. We supply seating, electrical distribution systems and electronic modules, as well as related sub-systems, components and software, to all of the world’s major automotive manufacturers. We have 261 manufacturing, engineering and administrative locations in 39 countries with approximately 169,000 employees worldwide and are continuing to grow our business in all automotive producing regions of the world, both organically and through complementary acquisitions. Our manufacturing footprint reflects more than 145 facilities in 22 low cost countries. We have an executive compensation program that is generally market-median based, and which is closely linked to our Company’s performance.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Our overarching objective is to maximize stockholder value by delivering profitable sales growth while balancing risk and returns, maintaining a strong balance sheet with investment grade credit metrics and consistently returning excess cash to our stockholders.</w:t>
      </w:r>
    </w:p>
    <w:p>
      <w:pPr>
        <w:spacing w:after="0" w:line="95"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Highlights of our 2018 performance and recent significant events include the following:</w:t>
      </w:r>
    </w:p>
    <w:p>
      <w:pPr>
        <w:spacing w:after="0" w:line="103" w:lineRule="exact"/>
        <w:rPr>
          <w:sz w:val="20"/>
          <w:szCs w:val="20"/>
          <w:color w:val="auto"/>
        </w:rPr>
      </w:pPr>
    </w:p>
    <w:p>
      <w:pPr>
        <w:ind w:left="200" w:right="420" w:hanging="198"/>
        <w:spacing w:after="0" w:line="254" w:lineRule="auto"/>
        <w:tabs>
          <w:tab w:leader="none" w:pos="2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achieved record full-year sales of $21.1 billion and record core operating earnings of $1.75 billion in 2018.*</w:t>
      </w:r>
    </w:p>
    <w:p>
      <w:pPr>
        <w:spacing w:after="0" w:line="103" w:lineRule="exact"/>
        <w:rPr>
          <w:rFonts w:ascii="Arial" w:cs="Arial" w:eastAsia="Arial" w:hAnsi="Arial"/>
          <w:sz w:val="16"/>
          <w:szCs w:val="16"/>
          <w:color w:val="auto"/>
        </w:rPr>
      </w:pPr>
    </w:p>
    <w:p>
      <w:pPr>
        <w:ind w:left="200" w:right="20" w:hanging="198"/>
        <w:spacing w:after="0" w:line="254" w:lineRule="auto"/>
        <w:tabs>
          <w:tab w:leader="none" w:pos="2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achieved record adjusted earnings per share of $18.22, an increase of 7%.*</w:t>
      </w:r>
    </w:p>
    <w:p>
      <w:pPr>
        <w:spacing w:after="0" w:line="98" w:lineRule="exact"/>
        <w:rPr>
          <w:rFonts w:ascii="Arial" w:cs="Arial" w:eastAsia="Arial" w:hAnsi="Arial"/>
          <w:sz w:val="16"/>
          <w:szCs w:val="16"/>
          <w:color w:val="auto"/>
        </w:rPr>
      </w:pPr>
    </w:p>
    <w:p>
      <w:pPr>
        <w:ind w:left="200" w:right="120" w:hanging="198"/>
        <w:spacing w:after="0" w:line="186" w:lineRule="auto"/>
        <w:tabs>
          <w:tab w:leader="none" w:pos="2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achieved a 6</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consecutive year of increased sales, core operating earnings and adjusted earnings per share.*</w:t>
      </w:r>
    </w:p>
    <w:p>
      <w:pPr>
        <w:spacing w:after="0" w:line="114" w:lineRule="exact"/>
        <w:rPr>
          <w:rFonts w:ascii="Arial" w:cs="Arial" w:eastAsia="Arial" w:hAnsi="Arial"/>
          <w:sz w:val="16"/>
          <w:szCs w:val="16"/>
          <w:color w:val="auto"/>
        </w:rPr>
      </w:pPr>
    </w:p>
    <w:p>
      <w:pPr>
        <w:ind w:left="200" w:hanging="198"/>
        <w:spacing w:after="0"/>
        <w:tabs>
          <w:tab w:leader="none" w:pos="2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generated free cash flow of $1.1 billion in 2018.*</w:t>
      </w:r>
    </w:p>
    <w:p>
      <w:pPr>
        <w:spacing w:after="0" w:line="200" w:lineRule="exact"/>
        <w:rPr>
          <w:sz w:val="20"/>
          <w:szCs w:val="20"/>
          <w:color w:val="auto"/>
        </w:rPr>
      </w:pPr>
    </w:p>
    <w:p>
      <w:pPr>
        <w:sectPr>
          <w:pgSz w:w="11900" w:h="16838" w:orient="portrait"/>
          <w:cols w:equalWidth="0" w:num="2">
            <w:col w:w="5480" w:space="340"/>
            <w:col w:w="5300"/>
          </w:cols>
          <w:pgMar w:left="240" w:top="455" w:right="539" w:bottom="1440" w:gutter="0" w:footer="0" w:header="0"/>
          <w:type w:val="continuous"/>
        </w:sectPr>
      </w:pPr>
    </w:p>
    <w:p>
      <w:pPr>
        <w:spacing w:after="0" w:line="71"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153670</wp:posOffset>
            </wp:positionV>
            <wp:extent cx="6851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264" w:lineRule="exact"/>
        <w:rPr>
          <w:sz w:val="20"/>
          <w:szCs w:val="20"/>
          <w:color w:val="auto"/>
        </w:rPr>
      </w:pPr>
    </w:p>
    <w:p>
      <w:pPr>
        <w:ind w:left="600" w:right="20" w:hanging="320"/>
        <w:spacing w:after="0" w:line="248" w:lineRule="auto"/>
        <w:tabs>
          <w:tab w:leader="none" w:pos="6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Core operating earnings, adjusted earnings per share and free cash flow are financial measures that are not calculated in accordance with GAAP. For more information regarding our non-GAAP financial measures and reconciliations to the most directly comparable GAAP financial measures, see Appendix A, “Reconciliation of Non-GAAP Financial Measures.”</w:t>
      </w:r>
    </w:p>
    <w:p>
      <w:pPr>
        <w:sectPr>
          <w:pgSz w:w="11900" w:h="16838" w:orient="portrait"/>
          <w:cols w:equalWidth="0" w:num="1">
            <w:col w:w="11120"/>
          </w:cols>
          <w:pgMar w:left="240" w:top="455" w:right="5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330" w:lineRule="exact"/>
        <w:rPr>
          <w:sz w:val="20"/>
          <w:szCs w:val="20"/>
          <w:color w:val="auto"/>
        </w:rPr>
      </w:pPr>
    </w:p>
    <w:p>
      <w:pPr>
        <w:ind w:left="480" w:right="60" w:hanging="200"/>
        <w:spacing w:after="0" w:line="248" w:lineRule="auto"/>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acquired EXO Technologies, a leading developer of differentiated GPS technology providing high-accuracy positioning solutions for autonomous and connected vehicle applications.</w:t>
      </w:r>
    </w:p>
    <w:p>
      <w:pPr>
        <w:spacing w:after="0" w:line="108" w:lineRule="exact"/>
        <w:rPr>
          <w:rFonts w:ascii="Arial" w:cs="Arial" w:eastAsia="Arial" w:hAnsi="Arial"/>
          <w:sz w:val="16"/>
          <w:szCs w:val="16"/>
          <w:color w:val="auto"/>
        </w:rPr>
      </w:pPr>
    </w:p>
    <w:p>
      <w:pPr>
        <w:ind w:left="480" w:right="20" w:hanging="200"/>
        <w:spacing w:after="0" w:line="248" w:lineRule="auto"/>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continued to win new business in both product segments, and our 2019 to 2021 sales backlog of $3.4 billion ($3.9 billion including non-consolidated joint ventures) is the largest in our history.</w:t>
      </w:r>
    </w:p>
    <w:p>
      <w:pPr>
        <w:spacing w:after="0" w:line="108" w:lineRule="exact"/>
        <w:rPr>
          <w:rFonts w:ascii="Arial" w:cs="Arial" w:eastAsia="Arial" w:hAnsi="Arial"/>
          <w:sz w:val="16"/>
          <w:szCs w:val="16"/>
          <w:color w:val="auto"/>
        </w:rPr>
      </w:pPr>
    </w:p>
    <w:p>
      <w:pPr>
        <w:ind w:left="480" w:hanging="200"/>
        <w:spacing w:after="0" w:line="245" w:lineRule="auto"/>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returned $0.9 billion to stockholders in 2018 through its share repurchase and dividend programs. Since these programs were initiated in 2011, the Company has returned $4.9 billion to stockholders, including the repurchase of 46% of total shares outstanding. In February 2019, the Company’s share repurchase authorization was increased to $1.5 billion, and the authorization period was extended to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200" w:right="260" w:hanging="198"/>
        <w:spacing w:after="0" w:line="200" w:lineRule="auto"/>
        <w:tabs>
          <w:tab w:leader="none" w:pos="2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February 2019, our quarterly cash dividend was increased by 7%, representing the 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consecutive annual increase since the dividend program was initiated.</w:t>
      </w:r>
    </w:p>
    <w:p>
      <w:pPr>
        <w:spacing w:after="0" w:line="113" w:lineRule="exact"/>
        <w:rPr>
          <w:rFonts w:ascii="Arial" w:cs="Arial" w:eastAsia="Arial" w:hAnsi="Arial"/>
          <w:sz w:val="16"/>
          <w:szCs w:val="16"/>
          <w:color w:val="auto"/>
        </w:rPr>
      </w:pPr>
    </w:p>
    <w:p>
      <w:pPr>
        <w:ind w:left="200" w:right="140" w:hanging="198"/>
        <w:spacing w:after="0" w:line="248" w:lineRule="auto"/>
        <w:tabs>
          <w:tab w:leader="none" w:pos="2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Company’s total return to stockholders for the five-year period ended December 31, 2018 was 61%, compared with 50% for the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-1631315</wp:posOffset>
            </wp:positionV>
            <wp:extent cx="729107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76"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highlights of our 2018 executive compensation program resulting from our 2018 Company financial performance were as follows:</w:t>
      </w:r>
    </w:p>
    <w:p>
      <w:pPr>
        <w:spacing w:after="0" w:line="103" w:lineRule="exact"/>
        <w:rPr>
          <w:sz w:val="20"/>
          <w:szCs w:val="20"/>
          <w:color w:val="auto"/>
        </w:rPr>
      </w:pPr>
    </w:p>
    <w:p>
      <w:pPr>
        <w:ind w:left="200" w:hanging="198"/>
        <w:spacing w:after="0" w:line="243" w:lineRule="auto"/>
        <w:tabs>
          <w:tab w:leader="none" w:pos="2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Incentive payouts were commensurate with our financial results. Annual incentive awards were earned at 87% of the targeted level and the</w:t>
      </w:r>
    </w:p>
    <w:p>
      <w:pPr>
        <w:ind w:left="200"/>
        <w:spacing w:after="0" w:line="248" w:lineRule="auto"/>
        <w:rPr>
          <w:rFonts w:ascii="Arial" w:cs="Arial" w:eastAsia="Arial" w:hAnsi="Arial"/>
          <w:sz w:val="16"/>
          <w:szCs w:val="16"/>
          <w:color w:val="auto"/>
        </w:rPr>
      </w:pPr>
      <w:r>
        <w:rPr>
          <w:rFonts w:ascii="Arial" w:cs="Arial" w:eastAsia="Arial" w:hAnsi="Arial"/>
          <w:sz w:val="16"/>
          <w:szCs w:val="16"/>
          <w:color w:val="auto"/>
        </w:rPr>
        <w:t>2016-2018 cycle of long-term Performance Shares was earned at 200% of the targeted level based on achievement of the financial goals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236855</wp:posOffset>
            </wp:positionV>
            <wp:extent cx="6901815" cy="1860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01815" cy="1860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400"/>
            <w:col w:w="5280"/>
          </w:cols>
          <w:pgMar w:left="240" w:top="455" w:right="559" w:bottom="1440" w:gutter="0" w:footer="0" w:header="0"/>
        </w:sectPr>
      </w:pPr>
    </w:p>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FFFFFF"/>
        </w:rPr>
        <w:t>2018 Annual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171450</wp:posOffset>
            </wp:positionV>
            <wp:extent cx="5582285" cy="16408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82285" cy="164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0" w:hanging="320"/>
        <w:spacing w:after="0" w:line="181" w:lineRule="auto"/>
        <w:tabs>
          <w:tab w:leader="none" w:pos="60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If an intermediate Adjusted Operating Income goal of $1,855 million had been attained in 2018, the portion of the 2018 annual incentive award with respect to such goal could have been earned at 175% of the target incentive amount.</w:t>
      </w:r>
    </w:p>
    <w:p>
      <w:pPr>
        <w:spacing w:after="0" w:line="193"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FFFFFF"/>
        </w:rPr>
        <w:t>2016-2018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-132080</wp:posOffset>
            </wp:positionV>
            <wp:extent cx="6901815" cy="1945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0181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40" w:hanging="359"/>
        <w:spacing w:after="0"/>
        <w:tabs>
          <w:tab w:leader="none" w:pos="7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00"/>
          </w:cols>
          <w:pgMar w:left="240" w:top="455" w:right="5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ectPr>
          <w:pgSz w:w="11900" w:h="16838" w:orient="portrait"/>
          <w:cols w:equalWidth="0" w:num="1">
            <w:col w:w="11140"/>
          </w:cols>
          <w:pgMar w:left="240" w:top="455" w:right="519" w:bottom="1440" w:gutter="0" w:footer="0" w:header="0"/>
        </w:sectPr>
      </w:pPr>
    </w:p>
    <w:p>
      <w:pPr>
        <w:spacing w:after="0" w:line="330" w:lineRule="exact"/>
        <w:rPr>
          <w:sz w:val="20"/>
          <w:szCs w:val="20"/>
          <w:color w:val="auto"/>
        </w:rPr>
      </w:pPr>
    </w:p>
    <w:p>
      <w:pPr>
        <w:ind w:left="280"/>
        <w:spacing w:after="0" w:line="247" w:lineRule="auto"/>
        <w:rPr>
          <w:sz w:val="20"/>
          <w:szCs w:val="20"/>
          <w:color w:val="auto"/>
        </w:rPr>
      </w:pPr>
      <w:r>
        <w:rPr>
          <w:rFonts w:ascii="Arial" w:cs="Arial" w:eastAsia="Arial" w:hAnsi="Arial"/>
          <w:sz w:val="16"/>
          <w:szCs w:val="16"/>
          <w:color w:val="auto"/>
        </w:rPr>
        <w:t>(See “— 2018 Incentive Programs — Pay for Performance,” “— 2018 Incentive Programs — Annual Incentives” and “— 2018 Incentive Programs — Long-Term Incentives” below for more information regarding these financial measures.)</w:t>
      </w:r>
    </w:p>
    <w:p>
      <w:pPr>
        <w:spacing w:after="0" w:line="108" w:lineRule="exact"/>
        <w:rPr>
          <w:sz w:val="20"/>
          <w:szCs w:val="20"/>
          <w:color w:val="auto"/>
        </w:rPr>
      </w:pPr>
    </w:p>
    <w:p>
      <w:pPr>
        <w:jc w:val="both"/>
        <w:ind w:left="480" w:right="80" w:hanging="200"/>
        <w:spacing w:after="0" w:line="248" w:lineRule="auto"/>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Long-term incentive awards granted in 2018 to our Named Executive Officers were solely in the form of equity to further link the interests of our executives with those of our</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stockholders. We awarded Performance Shares to represent 75% of the value of these long-term incentive awards and service-based restricted stock units (“RSUs”) to represent 25% of the value. We place the greatest weighting on Performance Shares in order to directly link our executives’ interests with those of our stockholders while also rewarding executives based on our three-year financial performance.</w:t>
      </w:r>
    </w:p>
    <w:p>
      <w:pPr>
        <w:spacing w:after="0" w:line="509" w:lineRule="exact"/>
        <w:rPr>
          <w:sz w:val="20"/>
          <w:szCs w:val="20"/>
          <w:color w:val="auto"/>
        </w:rPr>
      </w:pPr>
    </w:p>
    <w:p>
      <w:pPr>
        <w:sectPr>
          <w:pgSz w:w="11900" w:h="16838" w:orient="portrait"/>
          <w:cols w:equalWidth="0" w:num="2">
            <w:col w:w="5460" w:space="560"/>
            <w:col w:w="5120"/>
          </w:cols>
          <w:pgMar w:left="240" w:top="455" w:right="519" w:bottom="1440" w:gutter="0" w:footer="0" w:header="0"/>
          <w:type w:val="continuous"/>
        </w:sectPr>
      </w:pPr>
    </w:p>
    <w:p>
      <w:pPr>
        <w:spacing w:after="0" w:line="55" w:lineRule="exact"/>
        <w:rPr>
          <w:sz w:val="20"/>
          <w:szCs w:val="20"/>
          <w:color w:val="auto"/>
        </w:rPr>
      </w:pPr>
    </w:p>
    <w:p>
      <w:pPr>
        <w:ind w:left="280" w:right="480"/>
        <w:spacing w:after="0" w:line="254" w:lineRule="auto"/>
        <w:rPr>
          <w:sz w:val="20"/>
          <w:szCs w:val="20"/>
          <w:color w:val="auto"/>
        </w:rPr>
      </w:pPr>
      <w:r>
        <w:rPr>
          <w:rFonts w:ascii="Arial" w:cs="Arial" w:eastAsia="Arial" w:hAnsi="Arial"/>
          <w:sz w:val="16"/>
          <w:szCs w:val="16"/>
          <w:color w:val="auto"/>
        </w:rPr>
        <w:t>We maintain several compensation program features and corporate governance practices to ensure a strong link between executive pay, Company performance and stockholder interests and to ensure that we have a fully competitive executive compensation program:</w:t>
      </w:r>
    </w:p>
    <w:p>
      <w:pPr>
        <w:spacing w:after="0" w:line="208" w:lineRule="exact"/>
        <w:rPr>
          <w:sz w:val="20"/>
          <w:szCs w:val="20"/>
          <w:color w:val="auto"/>
        </w:rPr>
      </w:pPr>
    </w:p>
    <w:p>
      <w:pPr>
        <w:ind w:left="2580"/>
        <w:spacing w:after="0"/>
        <w:tabs>
          <w:tab w:leader="none" w:pos="7860" w:val="left"/>
        </w:tabs>
        <w:rPr>
          <w:sz w:val="20"/>
          <w:szCs w:val="20"/>
          <w:color w:val="auto"/>
        </w:rPr>
      </w:pPr>
      <w:r>
        <w:rPr>
          <w:rFonts w:ascii="Arial" w:cs="Arial" w:eastAsia="Arial" w:hAnsi="Arial"/>
          <w:sz w:val="14"/>
          <w:szCs w:val="14"/>
          <w:b w:val="1"/>
          <w:bCs w:val="1"/>
          <w:color w:val="E2231A"/>
        </w:rPr>
        <w:t>WHAT WE DO</w:t>
      </w:r>
      <w:r>
        <w:rPr>
          <w:sz w:val="20"/>
          <w:szCs w:val="20"/>
          <w:color w:val="auto"/>
        </w:rPr>
        <w:tab/>
      </w:r>
      <w:r>
        <w:rPr>
          <w:rFonts w:ascii="Arial" w:cs="Arial" w:eastAsia="Arial" w:hAnsi="Arial"/>
          <w:sz w:val="14"/>
          <w:szCs w:val="14"/>
          <w:b w:val="1"/>
          <w:bCs w:val="1"/>
          <w:color w:val="E2231A"/>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7620</wp:posOffset>
            </wp:positionV>
            <wp:extent cx="69018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2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Pay Program Aligned with Business Strategy </w:t>
      </w:r>
      <w:r>
        <w:rPr>
          <w:rFonts w:ascii="Arial" w:cs="Arial" w:eastAsia="Arial" w:hAnsi="Arial"/>
          <w:sz w:val="16"/>
          <w:szCs w:val="16"/>
          <w:color w:val="auto"/>
        </w:rPr>
        <w:t>(see pages 30, 35 to 38)</w:t>
      </w:r>
    </w:p>
    <w:p>
      <w:pPr>
        <w:spacing w:after="0" w:line="102"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Balanced Mix of Performance Measures </w:t>
      </w:r>
      <w:r>
        <w:rPr>
          <w:rFonts w:ascii="Arial" w:cs="Arial" w:eastAsia="Arial" w:hAnsi="Arial"/>
          <w:sz w:val="16"/>
          <w:szCs w:val="16"/>
          <w:color w:val="auto"/>
        </w:rPr>
        <w:t>(see page 33)</w:t>
      </w:r>
    </w:p>
    <w:p>
      <w:pPr>
        <w:spacing w:after="0" w:line="122" w:lineRule="exact"/>
        <w:rPr>
          <w:sz w:val="20"/>
          <w:szCs w:val="20"/>
          <w:color w:val="auto"/>
        </w:rPr>
      </w:pPr>
    </w:p>
    <w:p>
      <w:pPr>
        <w:ind w:left="280" w:right="340"/>
        <w:spacing w:after="0" w:line="280" w:lineRule="auto"/>
        <w:rPr>
          <w:sz w:val="20"/>
          <w:szCs w:val="20"/>
          <w:color w:val="auto"/>
        </w:rPr>
      </w:pPr>
      <w:r>
        <w:rPr>
          <w:rFonts w:ascii="Arial" w:cs="Arial" w:eastAsia="Arial" w:hAnsi="Arial"/>
          <w:sz w:val="16"/>
          <w:szCs w:val="16"/>
          <w:b w:val="1"/>
          <w:bCs w:val="1"/>
          <w:color w:val="auto"/>
        </w:rPr>
        <w:t xml:space="preserve">High Percentage of Performance-Based Pay </w:t>
      </w:r>
      <w:r>
        <w:rPr>
          <w:rFonts w:ascii="Arial" w:cs="Arial" w:eastAsia="Arial" w:hAnsi="Arial"/>
          <w:sz w:val="16"/>
          <w:szCs w:val="16"/>
          <w:color w:val="auto"/>
        </w:rPr>
        <w:t>(see the charts below and</w:t>
      </w:r>
      <w:r>
        <w:rPr>
          <w:rFonts w:ascii="Arial" w:cs="Arial" w:eastAsia="Arial" w:hAnsi="Arial"/>
          <w:sz w:val="16"/>
          <w:szCs w:val="16"/>
          <w:b w:val="1"/>
          <w:bCs w:val="1"/>
          <w:color w:val="auto"/>
        </w:rPr>
        <w:t xml:space="preserve"> </w:t>
      </w:r>
      <w:r>
        <w:rPr>
          <w:rFonts w:ascii="Arial" w:cs="Arial" w:eastAsia="Arial" w:hAnsi="Arial"/>
          <w:sz w:val="16"/>
          <w:szCs w:val="16"/>
          <w:color w:val="auto"/>
        </w:rPr>
        <w:t>pages 30, 33 and 35)</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Robust Stock Ownership Guidelines </w:t>
      </w:r>
      <w:r>
        <w:rPr>
          <w:rFonts w:ascii="Arial" w:cs="Arial" w:eastAsia="Arial" w:hAnsi="Arial"/>
          <w:sz w:val="16"/>
          <w:szCs w:val="16"/>
          <w:color w:val="auto"/>
        </w:rPr>
        <w:t>(see pages 38 and 39)</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Equity Retention Requirement </w:t>
      </w:r>
      <w:r>
        <w:rPr>
          <w:rFonts w:ascii="Arial" w:cs="Arial" w:eastAsia="Arial" w:hAnsi="Arial"/>
          <w:sz w:val="16"/>
          <w:szCs w:val="16"/>
          <w:color w:val="auto"/>
        </w:rPr>
        <w:t>(see page 38)</w:t>
      </w:r>
    </w:p>
    <w:p>
      <w:pPr>
        <w:spacing w:after="0" w:line="122" w:lineRule="exact"/>
        <w:rPr>
          <w:sz w:val="20"/>
          <w:szCs w:val="20"/>
          <w:color w:val="auto"/>
        </w:rPr>
      </w:pPr>
    </w:p>
    <w:p>
      <w:pPr>
        <w:ind w:left="280"/>
        <w:spacing w:after="0" w:line="280" w:lineRule="auto"/>
        <w:rPr>
          <w:sz w:val="20"/>
          <w:szCs w:val="20"/>
          <w:color w:val="auto"/>
        </w:rPr>
      </w:pPr>
      <w:r>
        <w:rPr>
          <w:rFonts w:ascii="Arial" w:cs="Arial" w:eastAsia="Arial" w:hAnsi="Arial"/>
          <w:sz w:val="16"/>
          <w:szCs w:val="16"/>
          <w:b w:val="1"/>
          <w:bCs w:val="1"/>
          <w:color w:val="auto"/>
        </w:rPr>
        <w:t xml:space="preserve">Annual Market Practices and Compensation Risk Review </w:t>
      </w:r>
      <w:r>
        <w:rPr>
          <w:rFonts w:ascii="Arial" w:cs="Arial" w:eastAsia="Arial" w:hAnsi="Arial"/>
          <w:sz w:val="16"/>
          <w:szCs w:val="16"/>
          <w:color w:val="auto"/>
        </w:rPr>
        <w:t>(see pages 31 to</w:t>
      </w:r>
      <w:r>
        <w:rPr>
          <w:rFonts w:ascii="Arial" w:cs="Arial" w:eastAsia="Arial" w:hAnsi="Arial"/>
          <w:sz w:val="16"/>
          <w:szCs w:val="16"/>
          <w:b w:val="1"/>
          <w:bCs w:val="1"/>
          <w:color w:val="auto"/>
        </w:rPr>
        <w:t xml:space="preserve"> </w:t>
      </w:r>
      <w:r>
        <w:rPr>
          <w:rFonts w:ascii="Arial" w:cs="Arial" w:eastAsia="Arial" w:hAnsi="Arial"/>
          <w:sz w:val="16"/>
          <w:szCs w:val="16"/>
          <w:color w:val="auto"/>
        </w:rPr>
        <w:t>32 and 58 to 59)</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Clawback of Incentive Compensation </w:t>
      </w:r>
      <w:r>
        <w:rPr>
          <w:rFonts w:ascii="Arial" w:cs="Arial" w:eastAsia="Arial" w:hAnsi="Arial"/>
          <w:sz w:val="16"/>
          <w:szCs w:val="16"/>
          <w:color w:val="auto"/>
        </w:rPr>
        <w:t>(see page 41)</w:t>
      </w:r>
    </w:p>
    <w:p>
      <w:pPr>
        <w:spacing w:after="0" w:line="122" w:lineRule="exact"/>
        <w:rPr>
          <w:sz w:val="20"/>
          <w:szCs w:val="20"/>
          <w:color w:val="auto"/>
        </w:rPr>
      </w:pPr>
    </w:p>
    <w:p>
      <w:pPr>
        <w:ind w:left="280" w:right="300"/>
        <w:spacing w:after="0" w:line="280" w:lineRule="auto"/>
        <w:rPr>
          <w:sz w:val="20"/>
          <w:szCs w:val="20"/>
          <w:color w:val="auto"/>
        </w:rPr>
      </w:pPr>
      <w:r>
        <w:rPr>
          <w:rFonts w:ascii="Arial" w:cs="Arial" w:eastAsia="Arial" w:hAnsi="Arial"/>
          <w:sz w:val="16"/>
          <w:szCs w:val="16"/>
          <w:b w:val="1"/>
          <w:bCs w:val="1"/>
          <w:color w:val="auto"/>
        </w:rPr>
        <w:t xml:space="preserve">Independent Compensation Consultant for Compensation Committee </w:t>
      </w:r>
      <w:r>
        <w:rPr>
          <w:rFonts w:ascii="Arial" w:cs="Arial" w:eastAsia="Arial" w:hAnsi="Arial"/>
          <w:sz w:val="16"/>
          <w:szCs w:val="16"/>
          <w:color w:val="auto"/>
        </w:rPr>
        <w:t>(see pages 21 to 22 and 32)</w:t>
      </w:r>
    </w:p>
    <w:p>
      <w:pPr>
        <w:spacing w:after="0" w:line="64" w:lineRule="exact"/>
        <w:rPr>
          <w:sz w:val="20"/>
          <w:szCs w:val="20"/>
          <w:color w:val="auto"/>
        </w:rPr>
      </w:pPr>
    </w:p>
    <w:p>
      <w:pPr>
        <w:ind w:left="280" w:right="460"/>
        <w:spacing w:after="0" w:line="280" w:lineRule="auto"/>
        <w:rPr>
          <w:sz w:val="20"/>
          <w:szCs w:val="20"/>
          <w:color w:val="auto"/>
        </w:rPr>
      </w:pPr>
      <w:r>
        <w:rPr>
          <w:rFonts w:ascii="Arial" w:cs="Arial" w:eastAsia="Arial" w:hAnsi="Arial"/>
          <w:sz w:val="16"/>
          <w:szCs w:val="16"/>
          <w:b w:val="1"/>
          <w:bCs w:val="1"/>
          <w:color w:val="auto"/>
        </w:rPr>
        <w:t xml:space="preserve">Relative TSR Performance Modifier Starting with 2019 Performance Share Grants </w:t>
      </w:r>
      <w:r>
        <w:rPr>
          <w:rFonts w:ascii="Arial" w:cs="Arial" w:eastAsia="Arial" w:hAnsi="Arial"/>
          <w:sz w:val="16"/>
          <w:szCs w:val="16"/>
          <w:color w:val="auto"/>
        </w:rPr>
        <w:t>(see page 38)</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Holding Period for Career Shares </w:t>
      </w:r>
      <w:r>
        <w:rPr>
          <w:rFonts w:ascii="Arial" w:cs="Arial" w:eastAsia="Arial" w:hAnsi="Arial"/>
          <w:sz w:val="16"/>
          <w:szCs w:val="16"/>
          <w:color w:val="auto"/>
        </w:rPr>
        <w:t>(see pages 40, 47 to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97790</wp:posOffset>
            </wp:positionV>
            <wp:extent cx="69018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 Excise Tax Gross-Ups </w:t>
      </w:r>
      <w:r>
        <w:rPr>
          <w:rFonts w:ascii="Arial" w:cs="Arial" w:eastAsia="Arial" w:hAnsi="Arial"/>
          <w:sz w:val="16"/>
          <w:szCs w:val="16"/>
          <w:color w:val="auto"/>
        </w:rPr>
        <w:t>(see page 41)</w:t>
      </w:r>
    </w:p>
    <w:p>
      <w:pPr>
        <w:spacing w:after="0" w:line="102" w:lineRule="exact"/>
        <w:rPr>
          <w:sz w:val="20"/>
          <w:szCs w:val="20"/>
          <w:color w:val="auto"/>
        </w:rPr>
      </w:pPr>
    </w:p>
    <w:p>
      <w:pPr>
        <w:ind w:right="460"/>
        <w:spacing w:after="0" w:line="280" w:lineRule="auto"/>
        <w:rPr>
          <w:sz w:val="20"/>
          <w:szCs w:val="20"/>
          <w:color w:val="auto"/>
        </w:rPr>
      </w:pPr>
      <w:r>
        <w:rPr>
          <w:rFonts w:ascii="Arial" w:cs="Arial" w:eastAsia="Arial" w:hAnsi="Arial"/>
          <w:sz w:val="16"/>
          <w:szCs w:val="16"/>
          <w:b w:val="1"/>
          <w:bCs w:val="1"/>
          <w:color w:val="auto"/>
        </w:rPr>
        <w:t xml:space="preserve">No Single-Trigger Change in Control Severance Benefits </w:t>
      </w:r>
      <w:r>
        <w:rPr>
          <w:rFonts w:ascii="Arial" w:cs="Arial" w:eastAsia="Arial" w:hAnsi="Arial"/>
          <w:sz w:val="16"/>
          <w:szCs w:val="16"/>
          <w:color w:val="auto"/>
        </w:rPr>
        <w:t>(see</w:t>
      </w:r>
      <w:r>
        <w:rPr>
          <w:rFonts w:ascii="Arial" w:cs="Arial" w:eastAsia="Arial" w:hAnsi="Arial"/>
          <w:sz w:val="16"/>
          <w:szCs w:val="16"/>
          <w:b w:val="1"/>
          <w:bCs w:val="1"/>
          <w:color w:val="auto"/>
        </w:rPr>
        <w:t xml:space="preserve"> </w:t>
      </w:r>
      <w:r>
        <w:rPr>
          <w:rFonts w:ascii="Arial" w:cs="Arial" w:eastAsia="Arial" w:hAnsi="Arial"/>
          <w:sz w:val="16"/>
          <w:szCs w:val="16"/>
          <w:color w:val="auto"/>
        </w:rPr>
        <w:t>pages 40 to 41, 54 to 58)</w:t>
      </w:r>
    </w:p>
    <w:p>
      <w:pPr>
        <w:spacing w:after="0" w:line="64"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b w:val="1"/>
          <w:bCs w:val="1"/>
          <w:color w:val="auto"/>
        </w:rPr>
        <w:t xml:space="preserve">No Single-Trigger Change in Control Vesting of Equity Awards </w:t>
      </w:r>
      <w:r>
        <w:rPr>
          <w:rFonts w:ascii="Arial" w:cs="Arial" w:eastAsia="Arial" w:hAnsi="Arial"/>
          <w:sz w:val="16"/>
          <w:szCs w:val="16"/>
          <w:color w:val="auto"/>
        </w:rPr>
        <w:t>(see</w:t>
      </w:r>
      <w:r>
        <w:rPr>
          <w:rFonts w:ascii="Arial" w:cs="Arial" w:eastAsia="Arial" w:hAnsi="Arial"/>
          <w:sz w:val="16"/>
          <w:szCs w:val="16"/>
          <w:b w:val="1"/>
          <w:bCs w:val="1"/>
          <w:color w:val="auto"/>
        </w:rPr>
        <w:t xml:space="preserve"> </w:t>
      </w:r>
      <w:r>
        <w:rPr>
          <w:rFonts w:ascii="Arial" w:cs="Arial" w:eastAsia="Arial" w:hAnsi="Arial"/>
          <w:sz w:val="16"/>
          <w:szCs w:val="16"/>
          <w:color w:val="auto"/>
        </w:rPr>
        <w:t>pages 40 to 41, 54 to 58)</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 Hedging or Pledging of Company Stock </w:t>
      </w:r>
      <w:r>
        <w:rPr>
          <w:rFonts w:ascii="Arial" w:cs="Arial" w:eastAsia="Arial" w:hAnsi="Arial"/>
          <w:sz w:val="16"/>
          <w:szCs w:val="16"/>
          <w:color w:val="auto"/>
        </w:rPr>
        <w:t>(see page 41)</w:t>
      </w:r>
    </w:p>
    <w:p>
      <w:pPr>
        <w:spacing w:after="0" w:line="2411" w:lineRule="exact"/>
        <w:rPr>
          <w:sz w:val="20"/>
          <w:szCs w:val="20"/>
          <w:color w:val="auto"/>
        </w:rPr>
      </w:pPr>
    </w:p>
    <w:p>
      <w:pPr>
        <w:sectPr>
          <w:pgSz w:w="11900" w:h="16838" w:orient="portrait"/>
          <w:cols w:equalWidth="0" w:num="2">
            <w:col w:w="5840" w:space="200"/>
            <w:col w:w="5100"/>
          </w:cols>
          <w:pgMar w:left="240" w:top="455" w:right="519" w:bottom="1440" w:gutter="0" w:footer="0" w:header="0"/>
          <w:type w:val="continuous"/>
        </w:sectPr>
      </w:pPr>
    </w:p>
    <w:p>
      <w:pPr>
        <w:spacing w:after="0" w:line="91"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29</w:t>
      </w:r>
    </w:p>
    <w:p>
      <w:pPr>
        <w:sectPr>
          <w:pgSz w:w="11900" w:h="16838" w:orient="portrait"/>
          <w:cols w:equalWidth="0" w:num="1">
            <w:col w:w="11140"/>
          </w:cols>
          <w:pgMar w:left="240" w:top="455" w:right="51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363"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FFFFFF"/>
        </w:rPr>
        <w:t>2018 Target Total Direct Compensation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-132080</wp:posOffset>
            </wp:positionV>
            <wp:extent cx="6901815" cy="2876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01815" cy="287655"/>
                    </a:xfrm>
                    <a:prstGeom prst="rect">
                      <a:avLst/>
                    </a:prstGeom>
                    <a:noFill/>
                  </pic:spPr>
                </pic:pic>
              </a:graphicData>
            </a:graphic>
          </wp:anchor>
        </w:drawing>
      </w:r>
    </w:p>
    <w:p>
      <w:pPr>
        <w:spacing w:after="0" w:line="10" w:lineRule="exact"/>
        <w:rPr>
          <w:sz w:val="20"/>
          <w:szCs w:val="20"/>
          <w:color w:val="auto"/>
        </w:rPr>
      </w:pPr>
    </w:p>
    <w:p>
      <w:pPr>
        <w:jc w:val="right"/>
        <w:ind w:right="1660"/>
        <w:spacing w:after="0"/>
        <w:rPr>
          <w:sz w:val="20"/>
          <w:szCs w:val="20"/>
          <w:color w:val="auto"/>
        </w:rPr>
      </w:pPr>
      <w:r>
        <w:rPr>
          <w:rFonts w:ascii="Arial" w:cs="Arial" w:eastAsia="Arial" w:hAnsi="Arial"/>
          <w:sz w:val="18"/>
          <w:szCs w:val="18"/>
          <w:b w:val="1"/>
          <w:bCs w:val="1"/>
          <w:color w:val="FFFFFF"/>
        </w:rPr>
        <w:t>(Assuming Performance-Based Components at Target and not including Career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156845</wp:posOffset>
            </wp:positionV>
            <wp:extent cx="5574030" cy="2833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74030" cy="2833370"/>
                    </a:xfrm>
                    <a:prstGeom prst="rect">
                      <a:avLst/>
                    </a:prstGeom>
                    <a:noFill/>
                  </pic:spPr>
                </pic:pic>
              </a:graphicData>
            </a:graphic>
          </wp:anchor>
        </w:drawing>
      </w:r>
    </w:p>
    <w:p>
      <w:pPr>
        <w:sectPr>
          <w:pgSz w:w="11900" w:h="16838" w:orient="portrait"/>
          <w:cols w:equalWidth="0" w:num="1">
            <w:col w:w="11100"/>
          </w:cols>
          <w:pgMar w:left="240" w:top="45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80"/>
        <w:spacing w:after="0" w:line="248" w:lineRule="auto"/>
        <w:rPr>
          <w:sz w:val="20"/>
          <w:szCs w:val="20"/>
          <w:color w:val="auto"/>
        </w:rPr>
      </w:pPr>
      <w:r>
        <w:rPr>
          <w:rFonts w:ascii="Arial" w:cs="Arial" w:eastAsia="Arial" w:hAnsi="Arial"/>
          <w:sz w:val="16"/>
          <w:szCs w:val="16"/>
          <w:color w:val="auto"/>
        </w:rPr>
        <w:t>We will continue to monitor our executive compensation programs and consider appropriate modifications that will allow us to drive achievement of our business strategy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targeted financial results, meet our talent needs and maintain fully-competitive compensation programs and practices to maximize long-term stockholder value.</w:t>
      </w:r>
    </w:p>
    <w:p>
      <w:pPr>
        <w:spacing w:after="0" w:line="200" w:lineRule="exact"/>
        <w:rPr>
          <w:sz w:val="20"/>
          <w:szCs w:val="20"/>
          <w:color w:val="auto"/>
        </w:rPr>
      </w:pPr>
    </w:p>
    <w:p>
      <w:pPr>
        <w:sectPr>
          <w:pgSz w:w="11900" w:h="16838" w:orient="portrait"/>
          <w:cols w:equalWidth="0" w:num="2">
            <w:col w:w="5440" w:space="380"/>
            <w:col w:w="5280"/>
          </w:cols>
          <w:pgMar w:left="240" w:top="455" w:right="559" w:bottom="1440" w:gutter="0" w:footer="0" w:header="0"/>
          <w:type w:val="continuous"/>
        </w:sectPr>
      </w:pPr>
    </w:p>
    <w:p>
      <w:pPr>
        <w:spacing w:after="0" w:line="150"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Pay-Performance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00"/>
          </w:cols>
          <w:pgMar w:left="240" w:top="455" w:right="559" w:bottom="1440" w:gutter="0" w:footer="0" w:header="0"/>
          <w:type w:val="continuous"/>
        </w:sectPr>
      </w:pPr>
    </w:p>
    <w:p>
      <w:pPr>
        <w:spacing w:after="0" w:line="334"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The executive compensation program is designed to drive execution of our business strategy by strongly aligning pay opportunities with performance outcomes. The Compensation Committee considers multiple perspectives in assessing the achievement of this critical objective. Specifically, the Compensation Committee reviews a multi-year history of incentive payouts as a percentage of target, financial and total stockholder return (TSR) results, and the CEO’s pay relative to the Comparator Group (as defined below). These analyses found that relative to the Comparator Group:</w:t>
      </w:r>
    </w:p>
    <w:p>
      <w:pPr>
        <w:spacing w:after="0" w:line="115" w:lineRule="exact"/>
        <w:rPr>
          <w:sz w:val="20"/>
          <w:szCs w:val="20"/>
          <w:color w:val="auto"/>
        </w:rPr>
      </w:pPr>
    </w:p>
    <w:p>
      <w:pPr>
        <w:ind w:left="600" w:right="140" w:hanging="314"/>
        <w:spacing w:after="0" w:line="248" w:lineRule="auto"/>
        <w:tabs>
          <w:tab w:leader="none" w:pos="6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Named Executive Officers’ target pay levels are in the competitive range of market median, on average, with an emphasis on performance-based pay opportunities.</w:t>
      </w:r>
    </w:p>
    <w:p>
      <w:pPr>
        <w:spacing w:after="0" w:line="108" w:lineRule="exact"/>
        <w:rPr>
          <w:rFonts w:ascii="Arial" w:cs="Arial" w:eastAsia="Arial" w:hAnsi="Arial"/>
          <w:sz w:val="16"/>
          <w:szCs w:val="16"/>
          <w:color w:val="auto"/>
        </w:rPr>
      </w:pPr>
    </w:p>
    <w:p>
      <w:pPr>
        <w:ind w:left="600" w:right="200" w:hanging="314"/>
        <w:spacing w:after="0" w:line="254" w:lineRule="auto"/>
        <w:tabs>
          <w:tab w:leader="none" w:pos="6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Lear’s incentive plan performance measures are well-aligned to its business strategy, correlative to TSR and</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318" w:right="160"/>
        <w:spacing w:after="0" w:line="254" w:lineRule="auto"/>
        <w:rPr>
          <w:sz w:val="20"/>
          <w:szCs w:val="20"/>
          <w:color w:val="auto"/>
        </w:rPr>
      </w:pPr>
      <w:r>
        <w:rPr>
          <w:rFonts w:ascii="Arial" w:cs="Arial" w:eastAsia="Arial" w:hAnsi="Arial"/>
          <w:sz w:val="16"/>
          <w:szCs w:val="16"/>
          <w:color w:val="auto"/>
        </w:rPr>
        <w:t>are generally consistent with the measures used by the Comparator Group (and the broader industrial market).</w:t>
      </w:r>
    </w:p>
    <w:p>
      <w:pPr>
        <w:spacing w:after="0" w:line="103" w:lineRule="exact"/>
        <w:rPr>
          <w:sz w:val="20"/>
          <w:szCs w:val="20"/>
          <w:color w:val="auto"/>
        </w:rPr>
      </w:pPr>
    </w:p>
    <w:p>
      <w:pPr>
        <w:ind w:left="318" w:right="180" w:hanging="318"/>
        <w:spacing w:after="0" w:line="254" w:lineRule="auto"/>
        <w:tabs>
          <w:tab w:leader="none" w:pos="318" w:val="left"/>
        </w:tabs>
        <w:numPr>
          <w:ilvl w:val="0"/>
          <w:numId w:val="66"/>
        </w:numPr>
        <w:rPr>
          <w:rFonts w:ascii="Arial" w:cs="Arial" w:eastAsia="Arial" w:hAnsi="Arial"/>
          <w:sz w:val="16"/>
          <w:szCs w:val="16"/>
          <w:color w:val="auto"/>
        </w:rPr>
      </w:pPr>
      <w:r>
        <w:rPr>
          <w:rFonts w:ascii="Arial" w:cs="Arial" w:eastAsia="Arial" w:hAnsi="Arial"/>
          <w:sz w:val="16"/>
          <w:szCs w:val="16"/>
          <w:color w:val="auto"/>
        </w:rPr>
        <w:t>Lear’s annual incentive and performance share payouts are aligned with performance relative to the Comparator Group.</w:t>
      </w:r>
    </w:p>
    <w:p>
      <w:pPr>
        <w:spacing w:after="0" w:line="103" w:lineRule="exact"/>
        <w:rPr>
          <w:rFonts w:ascii="Arial" w:cs="Arial" w:eastAsia="Arial" w:hAnsi="Arial"/>
          <w:sz w:val="16"/>
          <w:szCs w:val="16"/>
          <w:color w:val="auto"/>
        </w:rPr>
      </w:pPr>
    </w:p>
    <w:p>
      <w:pPr>
        <w:ind w:left="318" w:hanging="318"/>
        <w:spacing w:after="0" w:line="245" w:lineRule="auto"/>
        <w:tabs>
          <w:tab w:leader="none" w:pos="318"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CEO’s 2015 to 2017 aggregate “realizable pay” is well aligned with the Company’s relative TSR performance for the three years, 2015 to 2017 (which were the three most recent years of Comparator Group pay data that were publicly disclosed at the time). This analysis considers pay granted during the three-year period and values equity awards using the stock price at the end of the period.</w:t>
      </w:r>
    </w:p>
    <w:p>
      <w:pPr>
        <w:spacing w:after="0" w:line="954" w:lineRule="exact"/>
        <w:rPr>
          <w:sz w:val="20"/>
          <w:szCs w:val="20"/>
          <w:color w:val="auto"/>
        </w:rPr>
      </w:pPr>
    </w:p>
    <w:p>
      <w:pPr>
        <w:sectPr>
          <w:pgSz w:w="11900" w:h="16838" w:orient="portrait"/>
          <w:cols w:equalWidth="0" w:num="2">
            <w:col w:w="5500" w:space="322"/>
            <w:col w:w="5278"/>
          </w:cols>
          <w:pgMar w:left="240" w:top="455" w:right="559" w:bottom="1440" w:gutter="0" w:footer="0" w:header="0"/>
          <w:type w:val="continuous"/>
        </w:sectPr>
      </w:pPr>
    </w:p>
    <w:p>
      <w:pPr>
        <w:spacing w:after="0" w:line="52" w:lineRule="exact"/>
        <w:rPr>
          <w:sz w:val="20"/>
          <w:szCs w:val="20"/>
          <w:color w:val="auto"/>
        </w:rPr>
      </w:pPr>
    </w:p>
    <w:p>
      <w:pPr>
        <w:ind w:left="740" w:hanging="359"/>
        <w:spacing w:after="0"/>
        <w:tabs>
          <w:tab w:leader="none" w:pos="7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00"/>
          </w:cols>
          <w:pgMar w:left="240" w:top="455" w:right="5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2018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sectPr>
      </w:pPr>
    </w:p>
    <w:p>
      <w:pPr>
        <w:spacing w:after="0" w:line="334" w:lineRule="exact"/>
        <w:rPr>
          <w:sz w:val="20"/>
          <w:szCs w:val="20"/>
          <w:color w:val="auto"/>
        </w:rPr>
      </w:pPr>
    </w:p>
    <w:p>
      <w:pPr>
        <w:ind w:left="280"/>
        <w:spacing w:after="0" w:line="246" w:lineRule="auto"/>
        <w:rPr>
          <w:sz w:val="20"/>
          <w:szCs w:val="20"/>
          <w:color w:val="auto"/>
        </w:rPr>
      </w:pPr>
      <w:r>
        <w:rPr>
          <w:rFonts w:ascii="Arial" w:cs="Arial" w:eastAsia="Arial" w:hAnsi="Arial"/>
          <w:sz w:val="16"/>
          <w:szCs w:val="16"/>
          <w:color w:val="auto"/>
        </w:rPr>
        <w:t>The Compensation Committee reviewed the results of the 2018 stockholder advisory vote on Named Executive Officer compensation and incorporated the results as one of the many factors considered in connection with the discharge of its responsibilities. Since a substantial majority (over 98%) of</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our stockholders voting at the annual meeting approved the compensation program described in our 2018 Proxy Statement, the Compensation Committee did not implement changes to our executive compensation program as a direct result of the stockholders’ advisory vote.</w:t>
      </w:r>
    </w:p>
    <w:p>
      <w:pPr>
        <w:spacing w:after="0" w:line="372" w:lineRule="exact"/>
        <w:rPr>
          <w:sz w:val="20"/>
          <w:szCs w:val="20"/>
          <w:color w:val="auto"/>
        </w:rPr>
      </w:pPr>
    </w:p>
    <w:p>
      <w:pPr>
        <w:sectPr>
          <w:pgSz w:w="11900" w:h="16838" w:orient="portrait"/>
          <w:cols w:equalWidth="0" w:num="2">
            <w:col w:w="5460" w:space="360"/>
            <w:col w:w="5320"/>
          </w:cols>
          <w:pgMar w:left="240" w:top="455" w:right="519" w:bottom="1440" w:gutter="0" w:footer="0" w:header="0"/>
          <w:type w:val="continuous"/>
        </w:sectPr>
      </w:pPr>
    </w:p>
    <w:p>
      <w:pPr>
        <w:spacing w:after="0" w:line="150"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Executive 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objectives of our compensation policies are to:</w:t>
      </w:r>
    </w:p>
    <w:p>
      <w:pPr>
        <w:spacing w:after="0" w:line="122" w:lineRule="exact"/>
        <w:rPr>
          <w:sz w:val="20"/>
          <w:szCs w:val="20"/>
          <w:color w:val="auto"/>
        </w:rPr>
      </w:pPr>
    </w:p>
    <w:p>
      <w:pPr>
        <w:ind w:left="420" w:hanging="140"/>
        <w:spacing w:after="0"/>
        <w:tabs>
          <w:tab w:leader="none" w:pos="4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link executive pay to Company performance;</w:t>
      </w:r>
    </w:p>
    <w:p>
      <w:pPr>
        <w:spacing w:after="0" w:line="122" w:lineRule="exact"/>
        <w:rPr>
          <w:rFonts w:ascii="Arial" w:cs="Arial" w:eastAsia="Arial" w:hAnsi="Arial"/>
          <w:sz w:val="16"/>
          <w:szCs w:val="16"/>
          <w:color w:val="auto"/>
        </w:rPr>
      </w:pPr>
    </w:p>
    <w:p>
      <w:pPr>
        <w:ind w:left="440" w:right="420" w:hanging="160"/>
        <w:spacing w:after="0" w:line="254" w:lineRule="auto"/>
        <w:tabs>
          <w:tab w:leader="none" w:pos="426" w:val="left"/>
        </w:tabs>
        <w:numPr>
          <w:ilvl w:val="0"/>
          <w:numId w:val="68"/>
        </w:numPr>
        <w:rPr>
          <w:rFonts w:ascii="Arial" w:cs="Arial" w:eastAsia="Arial" w:hAnsi="Arial"/>
          <w:sz w:val="16"/>
          <w:szCs w:val="16"/>
          <w:color w:val="auto"/>
        </w:rPr>
      </w:pPr>
      <w:r>
        <w:rPr>
          <w:rFonts w:ascii="Arial" w:cs="Arial" w:eastAsia="Arial" w:hAnsi="Arial"/>
          <w:sz w:val="16"/>
          <w:szCs w:val="16"/>
          <w:color w:val="auto"/>
        </w:rPr>
        <w:t>optimize profitability, cash flow and revenue growth, and return on investment;</w:t>
      </w:r>
    </w:p>
    <w:p>
      <w:pPr>
        <w:spacing w:after="0" w:line="103" w:lineRule="exact"/>
        <w:rPr>
          <w:rFonts w:ascii="Arial" w:cs="Arial" w:eastAsia="Arial" w:hAnsi="Arial"/>
          <w:sz w:val="16"/>
          <w:szCs w:val="16"/>
          <w:color w:val="auto"/>
        </w:rPr>
      </w:pPr>
    </w:p>
    <w:p>
      <w:pPr>
        <w:ind w:left="420" w:hanging="140"/>
        <w:spacing w:after="0"/>
        <w:tabs>
          <w:tab w:leader="none" w:pos="4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link the interests of management with those of stockholders;</w:t>
      </w:r>
    </w:p>
    <w:p>
      <w:pPr>
        <w:spacing w:after="0" w:line="122" w:lineRule="exact"/>
        <w:rPr>
          <w:rFonts w:ascii="Arial" w:cs="Arial" w:eastAsia="Arial" w:hAnsi="Arial"/>
          <w:sz w:val="16"/>
          <w:szCs w:val="16"/>
          <w:color w:val="auto"/>
        </w:rPr>
      </w:pPr>
    </w:p>
    <w:p>
      <w:pPr>
        <w:ind w:left="440" w:right="380" w:hanging="160"/>
        <w:spacing w:after="0" w:line="254" w:lineRule="auto"/>
        <w:tabs>
          <w:tab w:leader="none" w:pos="426" w:val="left"/>
        </w:tabs>
        <w:numPr>
          <w:ilvl w:val="0"/>
          <w:numId w:val="68"/>
        </w:numPr>
        <w:rPr>
          <w:rFonts w:ascii="Arial" w:cs="Arial" w:eastAsia="Arial" w:hAnsi="Arial"/>
          <w:sz w:val="16"/>
          <w:szCs w:val="16"/>
          <w:color w:val="auto"/>
        </w:rPr>
      </w:pPr>
      <w:r>
        <w:rPr>
          <w:rFonts w:ascii="Arial" w:cs="Arial" w:eastAsia="Arial" w:hAnsi="Arial"/>
          <w:sz w:val="16"/>
          <w:szCs w:val="16"/>
          <w:color w:val="auto"/>
        </w:rPr>
        <w:t>align management’s compensation with our business strategy and compensation philosophy;</w:t>
      </w:r>
    </w:p>
    <w:p>
      <w:pPr>
        <w:spacing w:after="0" w:line="103" w:lineRule="exact"/>
        <w:rPr>
          <w:rFonts w:ascii="Arial" w:cs="Arial" w:eastAsia="Arial" w:hAnsi="Arial"/>
          <w:sz w:val="16"/>
          <w:szCs w:val="16"/>
          <w:color w:val="auto"/>
        </w:rPr>
      </w:pPr>
    </w:p>
    <w:p>
      <w:pPr>
        <w:ind w:left="440" w:hanging="160"/>
        <w:spacing w:after="0" w:line="254" w:lineRule="auto"/>
        <w:tabs>
          <w:tab w:leader="none" w:pos="426" w:val="left"/>
        </w:tabs>
        <w:numPr>
          <w:ilvl w:val="0"/>
          <w:numId w:val="68"/>
        </w:numPr>
        <w:rPr>
          <w:rFonts w:ascii="Arial" w:cs="Arial" w:eastAsia="Arial" w:hAnsi="Arial"/>
          <w:sz w:val="16"/>
          <w:szCs w:val="16"/>
          <w:color w:val="auto"/>
        </w:rPr>
      </w:pPr>
      <w:r>
        <w:rPr>
          <w:rFonts w:ascii="Arial" w:cs="Arial" w:eastAsia="Arial" w:hAnsi="Arial"/>
          <w:sz w:val="16"/>
          <w:szCs w:val="16"/>
          <w:color w:val="auto"/>
        </w:rPr>
        <w:t>promote teamwork within our group of global managers (our “One Lear” concept); and</w:t>
      </w:r>
    </w:p>
    <w:p>
      <w:pPr>
        <w:spacing w:after="0" w:line="103" w:lineRule="exact"/>
        <w:rPr>
          <w:rFonts w:ascii="Arial" w:cs="Arial" w:eastAsia="Arial" w:hAnsi="Arial"/>
          <w:sz w:val="16"/>
          <w:szCs w:val="16"/>
          <w:color w:val="auto"/>
        </w:rPr>
      </w:pPr>
    </w:p>
    <w:p>
      <w:pPr>
        <w:ind w:left="420" w:hanging="140"/>
        <w:spacing w:after="0"/>
        <w:tabs>
          <w:tab w:leader="none" w:pos="4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attract, reward and retain the best executive talent.</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right="340"/>
        <w:spacing w:after="0" w:line="287" w:lineRule="auto"/>
        <w:rPr>
          <w:sz w:val="20"/>
          <w:szCs w:val="20"/>
          <w:color w:val="auto"/>
        </w:rPr>
      </w:pPr>
      <w:r>
        <w:rPr>
          <w:rFonts w:ascii="Arial" w:cs="Arial" w:eastAsia="Arial" w:hAnsi="Arial"/>
          <w:sz w:val="15"/>
          <w:szCs w:val="15"/>
          <w:color w:val="auto"/>
        </w:rPr>
        <w:t>To achieve these objectives, we believe that the total compensation program for executive officers should consist of the following:</w:t>
      </w:r>
    </w:p>
    <w:p>
      <w:pPr>
        <w:spacing w:after="0" w:line="80" w:lineRule="exact"/>
        <w:rPr>
          <w:sz w:val="20"/>
          <w:szCs w:val="20"/>
          <w:color w:val="auto"/>
        </w:rPr>
      </w:pPr>
    </w:p>
    <w:p>
      <w:pPr>
        <w:ind w:left="160" w:hanging="153"/>
        <w:spacing w:after="0"/>
        <w:tabs>
          <w:tab w:leader="none" w:pos="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122" w:lineRule="exact"/>
        <w:rPr>
          <w:rFonts w:ascii="Arial" w:cs="Arial" w:eastAsia="Arial" w:hAnsi="Arial"/>
          <w:sz w:val="16"/>
          <w:szCs w:val="16"/>
          <w:color w:val="auto"/>
        </w:rPr>
      </w:pPr>
    </w:p>
    <w:p>
      <w:pPr>
        <w:ind w:left="160" w:hanging="153"/>
        <w:spacing w:after="0"/>
        <w:tabs>
          <w:tab w:leader="none" w:pos="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annual incentives;</w:t>
      </w:r>
    </w:p>
    <w:p>
      <w:pPr>
        <w:spacing w:after="0" w:line="122" w:lineRule="exact"/>
        <w:rPr>
          <w:rFonts w:ascii="Arial" w:cs="Arial" w:eastAsia="Arial" w:hAnsi="Arial"/>
          <w:sz w:val="16"/>
          <w:szCs w:val="16"/>
          <w:color w:val="auto"/>
        </w:rPr>
      </w:pPr>
    </w:p>
    <w:p>
      <w:pPr>
        <w:ind w:left="160" w:hanging="153"/>
        <w:spacing w:after="0"/>
        <w:tabs>
          <w:tab w:leader="none" w:pos="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long-term incentives;</w:t>
      </w:r>
    </w:p>
    <w:p>
      <w:pPr>
        <w:spacing w:after="0" w:line="122" w:lineRule="exact"/>
        <w:rPr>
          <w:rFonts w:ascii="Arial" w:cs="Arial" w:eastAsia="Arial" w:hAnsi="Arial"/>
          <w:sz w:val="16"/>
          <w:szCs w:val="16"/>
          <w:color w:val="auto"/>
        </w:rPr>
      </w:pPr>
    </w:p>
    <w:p>
      <w:pPr>
        <w:ind w:left="160" w:hanging="153"/>
        <w:spacing w:after="0"/>
        <w:tabs>
          <w:tab w:leader="none" w:pos="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retirement plan benefits;</w:t>
      </w:r>
    </w:p>
    <w:p>
      <w:pPr>
        <w:spacing w:after="0" w:line="122" w:lineRule="exact"/>
        <w:rPr>
          <w:rFonts w:ascii="Arial" w:cs="Arial" w:eastAsia="Arial" w:hAnsi="Arial"/>
          <w:sz w:val="16"/>
          <w:szCs w:val="16"/>
          <w:color w:val="auto"/>
        </w:rPr>
      </w:pPr>
    </w:p>
    <w:p>
      <w:pPr>
        <w:ind w:left="160" w:hanging="153"/>
        <w:spacing w:after="0"/>
        <w:tabs>
          <w:tab w:leader="none" w:pos="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health, welfare and other benefits; and</w:t>
      </w:r>
    </w:p>
    <w:p>
      <w:pPr>
        <w:spacing w:after="0" w:line="122" w:lineRule="exact"/>
        <w:rPr>
          <w:rFonts w:ascii="Arial" w:cs="Arial" w:eastAsia="Arial" w:hAnsi="Arial"/>
          <w:sz w:val="16"/>
          <w:szCs w:val="16"/>
          <w:color w:val="auto"/>
        </w:rPr>
      </w:pPr>
    </w:p>
    <w:p>
      <w:pPr>
        <w:ind w:left="160" w:hanging="153"/>
        <w:spacing w:after="0"/>
        <w:tabs>
          <w:tab w:leader="none" w:pos="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termination/change in control benefits.</w:t>
      </w:r>
    </w:p>
    <w:p>
      <w:pPr>
        <w:spacing w:after="0" w:line="572" w:lineRule="exact"/>
        <w:rPr>
          <w:sz w:val="20"/>
          <w:szCs w:val="20"/>
          <w:color w:val="auto"/>
        </w:rPr>
      </w:pPr>
    </w:p>
    <w:p>
      <w:pPr>
        <w:sectPr>
          <w:pgSz w:w="11900" w:h="16838" w:orient="portrait"/>
          <w:cols w:equalWidth="0" w:num="2">
            <w:col w:w="5480" w:space="560"/>
            <w:col w:w="5100"/>
          </w:cols>
          <w:pgMar w:left="240" w:top="455" w:right="519" w:bottom="1440" w:gutter="0" w:footer="0" w:header="0"/>
          <w:type w:val="continuous"/>
        </w:sectPr>
      </w:pPr>
    </w:p>
    <w:p>
      <w:pPr>
        <w:spacing w:after="0" w:line="109" w:lineRule="exact"/>
        <w:rPr>
          <w:sz w:val="20"/>
          <w:szCs w:val="20"/>
          <w:color w:val="auto"/>
        </w:rPr>
      </w:pPr>
    </w:p>
    <w:p>
      <w:pPr>
        <w:ind w:left="280"/>
        <w:spacing w:after="0" w:line="247" w:lineRule="auto"/>
        <w:rPr>
          <w:sz w:val="20"/>
          <w:szCs w:val="20"/>
          <w:color w:val="auto"/>
        </w:rPr>
      </w:pPr>
      <w:r>
        <w:rPr>
          <w:rFonts w:ascii="Arial" w:cs="Arial" w:eastAsia="Arial" w:hAnsi="Arial"/>
          <w:sz w:val="16"/>
          <w:szCs w:val="16"/>
          <w:color w:val="auto"/>
        </w:rPr>
        <w:t>The Compensation Committee routinely reviews the elements noted above. In general, the Compensation Committee monitors compensation levels to ensure that a higher proportion of an executive’s total compensation is awarded in</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the form of variable and performance-based components (dependent on Company performance) as the executive’s responsibilities increase.</w:t>
      </w:r>
    </w:p>
    <w:p>
      <w:pPr>
        <w:spacing w:after="0" w:line="567" w:lineRule="exact"/>
        <w:rPr>
          <w:sz w:val="20"/>
          <w:szCs w:val="20"/>
          <w:color w:val="auto"/>
        </w:rPr>
      </w:pPr>
    </w:p>
    <w:p>
      <w:pPr>
        <w:sectPr>
          <w:pgSz w:w="11900" w:h="16838" w:orient="portrait"/>
          <w:cols w:equalWidth="0" w:num="2">
            <w:col w:w="5420" w:space="400"/>
            <w:col w:w="5320"/>
          </w:cols>
          <w:pgMar w:left="240" w:top="455" w:right="519" w:bottom="1440" w:gutter="0" w:footer="0" w:header="0"/>
          <w:type w:val="continuous"/>
        </w:sectPr>
      </w:pPr>
    </w:p>
    <w:p>
      <w:pPr>
        <w:spacing w:after="0" w:line="149"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334" w:lineRule="exact"/>
        <w:rPr>
          <w:sz w:val="20"/>
          <w:szCs w:val="20"/>
          <w:color w:val="auto"/>
        </w:rPr>
      </w:pPr>
    </w:p>
    <w:p>
      <w:pPr>
        <w:ind w:left="280"/>
        <w:spacing w:after="0" w:line="261" w:lineRule="auto"/>
        <w:rPr>
          <w:sz w:val="20"/>
          <w:szCs w:val="20"/>
          <w:color w:val="auto"/>
        </w:rPr>
      </w:pPr>
      <w:r>
        <w:rPr>
          <w:rFonts w:ascii="Arial" w:cs="Arial" w:eastAsia="Arial" w:hAnsi="Arial"/>
          <w:sz w:val="15"/>
          <w:szCs w:val="15"/>
          <w:color w:val="auto"/>
        </w:rPr>
        <w:t>The Compensation Committee targets base salaries, annual incentive awards, long-term incentive awards and total direct compensation of our executives on average to be within a competitive range (i.e., +/- 10%) of the median of the Company’s comparator group (the “Comparator Group”) and other companies in the same general industry. In addition to pay benchmarking, other factors (including our business strategy, talent needs, executives’ experience levels and cost) are considered in setting target pay. Actual compensation will vary based on such factors as external business conditions, the Company’s actual financial performance, an executive’s performance and achievement of specified management objectives. For 2018, the base salaries, targeted annual incentive awards, targeted long-term incentive awards and targeted total direct compensation for our Named Executive Officers were, on average, within the competitive range of market median for comparable positions.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80"/>
        <w:spacing w:after="0" w:line="259" w:lineRule="auto"/>
        <w:rPr>
          <w:sz w:val="20"/>
          <w:szCs w:val="20"/>
          <w:color w:val="auto"/>
        </w:rPr>
      </w:pPr>
      <w:r>
        <w:rPr>
          <w:rFonts w:ascii="Arial" w:cs="Arial" w:eastAsia="Arial" w:hAnsi="Arial"/>
          <w:sz w:val="15"/>
          <w:szCs w:val="15"/>
          <w:color w:val="auto"/>
        </w:rPr>
        <w:t>The companies in our Comparator Group are listed below. The criteria used to select the 19 peer companies focused on automotive parts and equipment, industrial machinery, heavy trucks and other durable goods manufacturing companies, generally with the following specifics: (i) annual revenues typically ranging from 0.5 times to 2.0 times the Company’s revenues; (ii) global companies typically with U.S. headquarters;</w:t>
      </w:r>
    </w:p>
    <w:p>
      <w:pPr>
        <w:spacing w:after="0" w:line="2" w:lineRule="exact"/>
        <w:rPr>
          <w:sz w:val="20"/>
          <w:szCs w:val="20"/>
          <w:color w:val="auto"/>
        </w:rPr>
      </w:pPr>
    </w:p>
    <w:p>
      <w:pPr>
        <w:ind w:right="100" w:firstLine="2"/>
        <w:spacing w:after="0" w:line="245" w:lineRule="auto"/>
        <w:tabs>
          <w:tab w:leader="none" w:pos="257" w:val="left"/>
        </w:tabs>
        <w:numPr>
          <w:ilvl w:val="0"/>
          <w:numId w:val="70"/>
        </w:numPr>
        <w:rPr>
          <w:rFonts w:ascii="Arial" w:cs="Arial" w:eastAsia="Arial" w:hAnsi="Arial"/>
          <w:sz w:val="16"/>
          <w:szCs w:val="16"/>
          <w:color w:val="auto"/>
        </w:rPr>
      </w:pPr>
      <w:r>
        <w:rPr>
          <w:rFonts w:ascii="Arial" w:cs="Arial" w:eastAsia="Arial" w:hAnsi="Arial"/>
          <w:sz w:val="16"/>
          <w:szCs w:val="16"/>
          <w:color w:val="auto"/>
        </w:rPr>
        <w:t>market capitalization typically ranging from 0.2 times to 5.0 times the Company’s market capitalization; and (iv) companies that are considered by independent proxy advisors to be the Company’s proxy peers. The Company supplements its review of the Comparator Group with a broader survey of general industrial companies (not individually selected or identified) for benchmarking of executive compensation levels and, as appropriate, compensation design practices.</w:t>
      </w:r>
    </w:p>
    <w:p>
      <w:pPr>
        <w:spacing w:after="0" w:line="200" w:lineRule="exact"/>
        <w:rPr>
          <w:sz w:val="20"/>
          <w:szCs w:val="20"/>
          <w:color w:val="auto"/>
        </w:rPr>
      </w:pPr>
    </w:p>
    <w:p>
      <w:pPr>
        <w:spacing w:after="0" w:line="232" w:lineRule="exact"/>
        <w:rPr>
          <w:sz w:val="20"/>
          <w:szCs w:val="20"/>
          <w:color w:val="auto"/>
        </w:rPr>
      </w:pPr>
    </w:p>
    <w:p>
      <w:pPr>
        <w:ind w:left="3120"/>
        <w:spacing w:after="0"/>
        <w:tabs>
          <w:tab w:leader="none" w:pos="4800" w:val="left"/>
          <w:tab w:leader="none" w:pos="502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31</w:t>
      </w:r>
    </w:p>
    <w:p>
      <w:pPr>
        <w:sectPr>
          <w:pgSz w:w="11900" w:h="16838" w:orient="portrait"/>
          <w:cols w:equalWidth="0" w:num="2">
            <w:col w:w="5420" w:space="400"/>
            <w:col w:w="5320"/>
          </w:cols>
          <w:pgMar w:left="240" w:top="455" w:right="51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57" w:lineRule="exact"/>
        <w:rPr>
          <w:sz w:val="20"/>
          <w:szCs w:val="20"/>
          <w:color w:val="auto"/>
        </w:rPr>
      </w:pPr>
    </w:p>
    <w:p>
      <w:pPr>
        <w:ind w:left="280" w:right="240"/>
        <w:spacing w:after="0" w:line="254" w:lineRule="auto"/>
        <w:rPr>
          <w:sz w:val="20"/>
          <w:szCs w:val="20"/>
          <w:color w:val="auto"/>
        </w:rPr>
      </w:pPr>
      <w:r>
        <w:rPr>
          <w:rFonts w:ascii="Arial" w:cs="Arial" w:eastAsia="Arial" w:hAnsi="Arial"/>
          <w:sz w:val="16"/>
          <w:szCs w:val="16"/>
          <w:color w:val="auto"/>
        </w:rPr>
        <w:t>The companies in the Comparator Group for 2018 are shown below. The revenues for this group in their most recently reported fiscal year ranged from $9.3 billion to $48.8 billion, with a median of $15.7 billion. Lear’s revenues for 2018 were $21.1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140335</wp:posOffset>
            </wp:positionV>
            <wp:extent cx="6901815" cy="152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01815" cy="152400"/>
                    </a:xfrm>
                    <a:prstGeom prst="rect">
                      <a:avLst/>
                    </a:prstGeom>
                    <a:noFill/>
                  </pic:spPr>
                </pic:pic>
              </a:graphicData>
            </a:graphic>
          </wp:anchor>
        </w:drawing>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FFFFFF"/>
        </w:rPr>
        <w:t>2018 Comparator Group</w:t>
      </w:r>
    </w:p>
    <w:p>
      <w:pPr>
        <w:spacing w:after="0" w:line="16"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940" w:type="dxa"/>
            <w:vAlign w:val="bottom"/>
            <w:shd w:val="clear" w:color="auto" w:fill="FCE9E8"/>
          </w:tcPr>
          <w:p>
            <w:pPr>
              <w:ind w:left="80"/>
              <w:spacing w:after="0"/>
              <w:rPr>
                <w:sz w:val="20"/>
                <w:szCs w:val="20"/>
                <w:color w:val="auto"/>
              </w:rPr>
            </w:pPr>
            <w:r>
              <w:rPr>
                <w:rFonts w:ascii="Arial" w:cs="Arial" w:eastAsia="Arial" w:hAnsi="Arial"/>
                <w:sz w:val="14"/>
                <w:szCs w:val="14"/>
                <w:color w:val="auto"/>
              </w:rPr>
              <w:t>Adient plc</w:t>
            </w:r>
          </w:p>
        </w:tc>
        <w:tc>
          <w:tcPr>
            <w:tcW w:w="3240" w:type="dxa"/>
            <w:vAlign w:val="bottom"/>
            <w:shd w:val="clear" w:color="auto" w:fill="FCE9E8"/>
          </w:tcPr>
          <w:p>
            <w:pPr>
              <w:ind w:left="680"/>
              <w:spacing w:after="0"/>
              <w:rPr>
                <w:sz w:val="20"/>
                <w:szCs w:val="20"/>
                <w:color w:val="auto"/>
              </w:rPr>
            </w:pPr>
            <w:r>
              <w:rPr>
                <w:rFonts w:ascii="Arial" w:cs="Arial" w:eastAsia="Arial" w:hAnsi="Arial"/>
                <w:sz w:val="14"/>
                <w:szCs w:val="14"/>
                <w:color w:val="auto"/>
              </w:rPr>
              <w:t>Eaton Corporation plc</w:t>
            </w:r>
          </w:p>
        </w:tc>
        <w:tc>
          <w:tcPr>
            <w:tcW w:w="2860" w:type="dxa"/>
            <w:vAlign w:val="bottom"/>
            <w:shd w:val="clear" w:color="auto" w:fill="FCE9E8"/>
          </w:tcPr>
          <w:p>
            <w:pPr>
              <w:ind w:left="380"/>
              <w:spacing w:after="0"/>
              <w:rPr>
                <w:sz w:val="20"/>
                <w:szCs w:val="20"/>
                <w:color w:val="auto"/>
              </w:rPr>
            </w:pPr>
            <w:r>
              <w:rPr>
                <w:rFonts w:ascii="Arial" w:cs="Arial" w:eastAsia="Arial" w:hAnsi="Arial"/>
                <w:sz w:val="14"/>
                <w:szCs w:val="14"/>
                <w:color w:val="auto"/>
              </w:rPr>
              <w:t>Johnson Controls International plc</w:t>
            </w:r>
          </w:p>
        </w:tc>
        <w:tc>
          <w:tcPr>
            <w:tcW w:w="2840" w:type="dxa"/>
            <w:vAlign w:val="bottom"/>
            <w:shd w:val="clear" w:color="auto" w:fill="FCE9E8"/>
          </w:tcPr>
          <w:p>
            <w:pPr>
              <w:ind w:left="340"/>
              <w:spacing w:after="0"/>
              <w:rPr>
                <w:sz w:val="20"/>
                <w:szCs w:val="20"/>
                <w:color w:val="auto"/>
              </w:rPr>
            </w:pPr>
            <w:r>
              <w:rPr>
                <w:rFonts w:ascii="Arial" w:cs="Arial" w:eastAsia="Arial" w:hAnsi="Arial"/>
                <w:sz w:val="14"/>
                <w:szCs w:val="14"/>
                <w:color w:val="auto"/>
              </w:rPr>
              <w:t>Parker-Hannifin Corporation</w:t>
            </w:r>
          </w:p>
        </w:tc>
      </w:tr>
      <w:tr>
        <w:trPr>
          <w:trHeight w:val="160"/>
        </w:trPr>
        <w:tc>
          <w:tcPr>
            <w:tcW w:w="1940" w:type="dxa"/>
            <w:vAlign w:val="bottom"/>
          </w:tcPr>
          <w:p>
            <w:pPr>
              <w:ind w:left="80"/>
              <w:spacing w:after="0" w:line="160" w:lineRule="exact"/>
              <w:rPr>
                <w:sz w:val="20"/>
                <w:szCs w:val="20"/>
                <w:color w:val="auto"/>
              </w:rPr>
            </w:pPr>
            <w:r>
              <w:rPr>
                <w:rFonts w:ascii="Arial" w:cs="Arial" w:eastAsia="Arial" w:hAnsi="Arial"/>
                <w:sz w:val="14"/>
                <w:szCs w:val="14"/>
                <w:color w:val="auto"/>
              </w:rPr>
              <w:t>Aptiv PLC</w:t>
            </w:r>
          </w:p>
        </w:tc>
        <w:tc>
          <w:tcPr>
            <w:tcW w:w="3240" w:type="dxa"/>
            <w:vAlign w:val="bottom"/>
          </w:tcPr>
          <w:p>
            <w:pPr>
              <w:ind w:left="680"/>
              <w:spacing w:after="0" w:line="160" w:lineRule="exact"/>
              <w:rPr>
                <w:sz w:val="20"/>
                <w:szCs w:val="20"/>
                <w:color w:val="auto"/>
              </w:rPr>
            </w:pPr>
            <w:r>
              <w:rPr>
                <w:rFonts w:ascii="Arial" w:cs="Arial" w:eastAsia="Arial" w:hAnsi="Arial"/>
                <w:sz w:val="14"/>
                <w:szCs w:val="14"/>
                <w:color w:val="auto"/>
              </w:rPr>
              <w:t>Emerson Electric Co.</w:t>
            </w:r>
          </w:p>
        </w:tc>
        <w:tc>
          <w:tcPr>
            <w:tcW w:w="2860" w:type="dxa"/>
            <w:vAlign w:val="bottom"/>
          </w:tcPr>
          <w:p>
            <w:pPr>
              <w:ind w:left="380"/>
              <w:spacing w:after="0" w:line="160" w:lineRule="exact"/>
              <w:rPr>
                <w:sz w:val="20"/>
                <w:szCs w:val="20"/>
                <w:color w:val="auto"/>
              </w:rPr>
            </w:pPr>
            <w:r>
              <w:rPr>
                <w:rFonts w:ascii="Arial" w:cs="Arial" w:eastAsia="Arial" w:hAnsi="Arial"/>
                <w:sz w:val="14"/>
                <w:szCs w:val="14"/>
                <w:color w:val="auto"/>
              </w:rPr>
              <w:t>L-3 Technologies, Inc.</w:t>
            </w:r>
          </w:p>
        </w:tc>
        <w:tc>
          <w:tcPr>
            <w:tcW w:w="2840" w:type="dxa"/>
            <w:vAlign w:val="bottom"/>
          </w:tcPr>
          <w:p>
            <w:pPr>
              <w:ind w:left="340"/>
              <w:spacing w:after="0" w:line="160" w:lineRule="exact"/>
              <w:rPr>
                <w:sz w:val="20"/>
                <w:szCs w:val="20"/>
                <w:color w:val="auto"/>
              </w:rPr>
            </w:pPr>
            <w:r>
              <w:rPr>
                <w:rFonts w:ascii="Arial" w:cs="Arial" w:eastAsia="Arial" w:hAnsi="Arial"/>
                <w:sz w:val="14"/>
                <w:szCs w:val="14"/>
                <w:color w:val="auto"/>
              </w:rPr>
              <w:t>Tenneco Inc.</w:t>
            </w:r>
          </w:p>
        </w:tc>
      </w:tr>
      <w:tr>
        <w:trPr>
          <w:trHeight w:val="160"/>
        </w:trPr>
        <w:tc>
          <w:tcPr>
            <w:tcW w:w="1940" w:type="dxa"/>
            <w:vAlign w:val="bottom"/>
            <w:shd w:val="clear" w:color="auto" w:fill="FCE9E8"/>
          </w:tcPr>
          <w:p>
            <w:pPr>
              <w:ind w:left="80"/>
              <w:spacing w:after="0" w:line="160" w:lineRule="exact"/>
              <w:rPr>
                <w:sz w:val="20"/>
                <w:szCs w:val="20"/>
                <w:color w:val="auto"/>
              </w:rPr>
            </w:pPr>
            <w:r>
              <w:rPr>
                <w:rFonts w:ascii="Arial" w:cs="Arial" w:eastAsia="Arial" w:hAnsi="Arial"/>
                <w:sz w:val="14"/>
                <w:szCs w:val="14"/>
                <w:color w:val="auto"/>
              </w:rPr>
              <w:t>BorgWarner Inc.</w:t>
            </w:r>
          </w:p>
        </w:tc>
        <w:tc>
          <w:tcPr>
            <w:tcW w:w="3240" w:type="dxa"/>
            <w:vAlign w:val="bottom"/>
            <w:shd w:val="clear" w:color="auto" w:fill="FCE9E8"/>
          </w:tcPr>
          <w:p>
            <w:pPr>
              <w:ind w:left="680"/>
              <w:spacing w:after="0" w:line="160" w:lineRule="exact"/>
              <w:rPr>
                <w:sz w:val="20"/>
                <w:szCs w:val="20"/>
                <w:color w:val="auto"/>
              </w:rPr>
            </w:pPr>
            <w:r>
              <w:rPr>
                <w:rFonts w:ascii="Arial" w:cs="Arial" w:eastAsia="Arial" w:hAnsi="Arial"/>
                <w:sz w:val="14"/>
                <w:szCs w:val="14"/>
                <w:color w:val="auto"/>
              </w:rPr>
              <w:t>Goodyear Tire &amp; Rubber Company</w:t>
            </w:r>
          </w:p>
        </w:tc>
        <w:tc>
          <w:tcPr>
            <w:tcW w:w="2860" w:type="dxa"/>
            <w:vAlign w:val="bottom"/>
            <w:shd w:val="clear" w:color="auto" w:fill="FCE9E8"/>
          </w:tcPr>
          <w:p>
            <w:pPr>
              <w:ind w:left="380"/>
              <w:spacing w:after="0" w:line="160" w:lineRule="exact"/>
              <w:rPr>
                <w:sz w:val="20"/>
                <w:szCs w:val="20"/>
                <w:color w:val="auto"/>
              </w:rPr>
            </w:pPr>
            <w:r>
              <w:rPr>
                <w:rFonts w:ascii="Arial" w:cs="Arial" w:eastAsia="Arial" w:hAnsi="Arial"/>
                <w:sz w:val="14"/>
                <w:szCs w:val="14"/>
                <w:color w:val="auto"/>
              </w:rPr>
              <w:t>Magna International Inc.</w:t>
            </w:r>
          </w:p>
        </w:tc>
        <w:tc>
          <w:tcPr>
            <w:tcW w:w="2840" w:type="dxa"/>
            <w:vAlign w:val="bottom"/>
            <w:shd w:val="clear" w:color="auto" w:fill="FCE9E8"/>
          </w:tcPr>
          <w:p>
            <w:pPr>
              <w:ind w:left="340"/>
              <w:spacing w:after="0" w:line="160" w:lineRule="exact"/>
              <w:rPr>
                <w:sz w:val="20"/>
                <w:szCs w:val="20"/>
                <w:color w:val="auto"/>
              </w:rPr>
            </w:pPr>
            <w:r>
              <w:rPr>
                <w:rFonts w:ascii="Arial" w:cs="Arial" w:eastAsia="Arial" w:hAnsi="Arial"/>
                <w:sz w:val="14"/>
                <w:szCs w:val="14"/>
                <w:color w:val="auto"/>
              </w:rPr>
              <w:t>Textron Inc.</w:t>
            </w:r>
          </w:p>
        </w:tc>
      </w:tr>
      <w:tr>
        <w:trPr>
          <w:trHeight w:val="160"/>
        </w:trPr>
        <w:tc>
          <w:tcPr>
            <w:tcW w:w="1940" w:type="dxa"/>
            <w:vAlign w:val="bottom"/>
          </w:tcPr>
          <w:p>
            <w:pPr>
              <w:ind w:left="80"/>
              <w:spacing w:after="0" w:line="160" w:lineRule="exact"/>
              <w:rPr>
                <w:sz w:val="20"/>
                <w:szCs w:val="20"/>
                <w:color w:val="auto"/>
              </w:rPr>
            </w:pPr>
            <w:r>
              <w:rPr>
                <w:rFonts w:ascii="Arial" w:cs="Arial" w:eastAsia="Arial" w:hAnsi="Arial"/>
                <w:sz w:val="14"/>
                <w:szCs w:val="14"/>
                <w:color w:val="auto"/>
              </w:rPr>
              <w:t>Cummins Inc.</w:t>
            </w:r>
          </w:p>
        </w:tc>
        <w:tc>
          <w:tcPr>
            <w:tcW w:w="3240" w:type="dxa"/>
            <w:vAlign w:val="bottom"/>
          </w:tcPr>
          <w:p>
            <w:pPr>
              <w:ind w:left="680"/>
              <w:spacing w:after="0" w:line="160" w:lineRule="exact"/>
              <w:rPr>
                <w:sz w:val="20"/>
                <w:szCs w:val="20"/>
                <w:color w:val="auto"/>
              </w:rPr>
            </w:pPr>
            <w:r>
              <w:rPr>
                <w:rFonts w:ascii="Arial" w:cs="Arial" w:eastAsia="Arial" w:hAnsi="Arial"/>
                <w:sz w:val="14"/>
                <w:szCs w:val="14"/>
                <w:color w:val="auto"/>
              </w:rPr>
              <w:t>Illinois Tool Works Inc.</w:t>
            </w:r>
          </w:p>
        </w:tc>
        <w:tc>
          <w:tcPr>
            <w:tcW w:w="2860" w:type="dxa"/>
            <w:vAlign w:val="bottom"/>
          </w:tcPr>
          <w:p>
            <w:pPr>
              <w:ind w:left="380"/>
              <w:spacing w:after="0" w:line="160" w:lineRule="exact"/>
              <w:rPr>
                <w:sz w:val="20"/>
                <w:szCs w:val="20"/>
                <w:color w:val="auto"/>
              </w:rPr>
            </w:pPr>
            <w:r>
              <w:rPr>
                <w:rFonts w:ascii="Arial" w:cs="Arial" w:eastAsia="Arial" w:hAnsi="Arial"/>
                <w:sz w:val="14"/>
                <w:szCs w:val="14"/>
                <w:color w:val="auto"/>
              </w:rPr>
              <w:t>Navistar International Corporation</w:t>
            </w:r>
          </w:p>
        </w:tc>
        <w:tc>
          <w:tcPr>
            <w:tcW w:w="2840" w:type="dxa"/>
            <w:vAlign w:val="bottom"/>
          </w:tcPr>
          <w:p>
            <w:pPr>
              <w:ind w:left="340"/>
              <w:spacing w:after="0" w:line="160" w:lineRule="exact"/>
              <w:rPr>
                <w:sz w:val="20"/>
                <w:szCs w:val="20"/>
                <w:color w:val="auto"/>
              </w:rPr>
            </w:pPr>
            <w:r>
              <w:rPr>
                <w:rFonts w:ascii="Arial" w:cs="Arial" w:eastAsia="Arial" w:hAnsi="Arial"/>
                <w:sz w:val="14"/>
                <w:szCs w:val="14"/>
                <w:color w:val="auto"/>
              </w:rPr>
              <w:t>Whirlpool Corporation</w:t>
            </w:r>
          </w:p>
        </w:tc>
      </w:tr>
      <w:tr>
        <w:trPr>
          <w:trHeight w:val="160"/>
        </w:trPr>
        <w:tc>
          <w:tcPr>
            <w:tcW w:w="1940" w:type="dxa"/>
            <w:vAlign w:val="bottom"/>
            <w:shd w:val="clear" w:color="auto" w:fill="FCE9E8"/>
          </w:tcPr>
          <w:p>
            <w:pPr>
              <w:ind w:left="80"/>
              <w:spacing w:after="0" w:line="160" w:lineRule="exact"/>
              <w:rPr>
                <w:sz w:val="20"/>
                <w:szCs w:val="20"/>
                <w:color w:val="auto"/>
              </w:rPr>
            </w:pPr>
            <w:r>
              <w:rPr>
                <w:rFonts w:ascii="Arial" w:cs="Arial" w:eastAsia="Arial" w:hAnsi="Arial"/>
                <w:sz w:val="14"/>
                <w:szCs w:val="14"/>
                <w:color w:val="auto"/>
              </w:rPr>
              <w:t>Deere &amp; Company</w:t>
            </w:r>
          </w:p>
        </w:tc>
        <w:tc>
          <w:tcPr>
            <w:tcW w:w="3240" w:type="dxa"/>
            <w:vAlign w:val="bottom"/>
            <w:shd w:val="clear" w:color="auto" w:fill="FCE9E8"/>
          </w:tcPr>
          <w:p>
            <w:pPr>
              <w:ind w:left="680"/>
              <w:spacing w:after="0" w:line="160" w:lineRule="exact"/>
              <w:rPr>
                <w:sz w:val="20"/>
                <w:szCs w:val="20"/>
                <w:color w:val="auto"/>
              </w:rPr>
            </w:pPr>
            <w:r>
              <w:rPr>
                <w:rFonts w:ascii="Arial" w:cs="Arial" w:eastAsia="Arial" w:hAnsi="Arial"/>
                <w:sz w:val="14"/>
                <w:szCs w:val="14"/>
                <w:color w:val="auto"/>
              </w:rPr>
              <w:t>Ingersoll-Rand Plc</w:t>
            </w:r>
          </w:p>
        </w:tc>
        <w:tc>
          <w:tcPr>
            <w:tcW w:w="2860" w:type="dxa"/>
            <w:vAlign w:val="bottom"/>
            <w:shd w:val="clear" w:color="auto" w:fill="FCE9E8"/>
          </w:tcPr>
          <w:p>
            <w:pPr>
              <w:ind w:left="380"/>
              <w:spacing w:after="0" w:line="160" w:lineRule="exact"/>
              <w:rPr>
                <w:sz w:val="20"/>
                <w:szCs w:val="20"/>
                <w:color w:val="auto"/>
              </w:rPr>
            </w:pPr>
            <w:r>
              <w:rPr>
                <w:rFonts w:ascii="Arial" w:cs="Arial" w:eastAsia="Arial" w:hAnsi="Arial"/>
                <w:sz w:val="14"/>
                <w:szCs w:val="14"/>
                <w:color w:val="auto"/>
              </w:rPr>
              <w:t>PACCAR Inc.</w:t>
            </w:r>
          </w:p>
        </w:tc>
        <w:tc>
          <w:tcPr>
            <w:tcW w:w="2840" w:type="dxa"/>
            <w:vAlign w:val="bottom"/>
            <w:shd w:val="clear" w:color="auto" w:fill="FCE9E8"/>
          </w:tcPr>
          <w:p>
            <w:pPr>
              <w:spacing w:after="0"/>
              <w:rPr>
                <w:sz w:val="13"/>
                <w:szCs w:val="13"/>
                <w:color w:val="auto"/>
              </w:rPr>
            </w:pPr>
          </w:p>
        </w:tc>
      </w:tr>
      <w:tr>
        <w:trPr>
          <w:trHeight w:val="160"/>
        </w:trPr>
        <w:tc>
          <w:tcPr>
            <w:tcW w:w="194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tcPr>
          <w:p>
            <w:pPr>
              <w:spacing w:after="0"/>
              <w:rPr>
                <w:sz w:val="13"/>
                <w:szCs w:val="13"/>
                <w:color w:val="auto"/>
              </w:rPr>
            </w:pPr>
          </w:p>
        </w:tc>
      </w:tr>
    </w:tbl>
    <w:p>
      <w:pPr>
        <w:spacing w:after="0" w:line="189"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Total Compensation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p>
      <w:pPr>
        <w:spacing w:after="0" w:line="334"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The Compensation Committee annually reviews key elements of our executive compensation program, including materials setting forth the various components of compensation for our Named Executive Officers and a summary of market practices and emerging trends, and discusses potential implications to the Company in the context of our business strategy and talent needs. This includes a specific review of dollar amounts for pay elements and potential payment obligations under our executive employment agreements, including an analysis of the resulting impact created by a change in control of the Company. The Compensation Committee reviews total</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compensation summaries or tally sheets for our Named Executive Officers on an annual basis. Tally sheets provide for an overall assessment of our compensation program while ensuring the proper linkage to financial performance and stockholder interests. In addition, although each component is assessed independently, the total complement of the components must work in harmony to achieve a proper balance, which, in turn, helps manage compensation risk. We also annually complete a comprehensive compensation risk assessment with assistance from our outside legal counsel and Pay Governance.</w:t>
      </w:r>
    </w:p>
    <w:p>
      <w:pPr>
        <w:spacing w:after="0" w:line="387" w:lineRule="exact"/>
        <w:rPr>
          <w:sz w:val="20"/>
          <w:szCs w:val="20"/>
          <w:color w:val="auto"/>
        </w:rPr>
      </w:pPr>
    </w:p>
    <w:p>
      <w:pPr>
        <w:sectPr>
          <w:pgSz w:w="11900" w:h="16838" w:orient="portrait"/>
          <w:cols w:equalWidth="0" w:num="2">
            <w:col w:w="5420" w:space="400"/>
            <w:col w:w="5340"/>
          </w:cols>
          <w:pgMar w:left="240" w:top="455" w:right="499" w:bottom="1440" w:gutter="0" w:footer="0" w:header="0"/>
          <w:type w:val="continuous"/>
        </w:sectPr>
      </w:pPr>
    </w:p>
    <w:p>
      <w:pPr>
        <w:spacing w:after="0" w:line="155"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Role of Management in Setting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type w:val="continuous"/>
        </w:sectPr>
      </w:pPr>
    </w:p>
    <w:p>
      <w:pPr>
        <w:spacing w:after="0" w:line="334"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Our human resources staff supports the Compensation Committee in its work. They also work with compensation consultants, whose engagements have been approved by the Compensation Committee, and with accountants, legal counsel and other advisors, as necessary, to implement the Compensation Committee’s decisions, to monitor evolving competitive practices and to make compensation recommendations to the Compensation Committee. The Compensation Committee has engaged Pay Governance as its independent compensation consultant to assist with the ongoing review of our executive and director compensation programs and to ensure that our programs are competitive and appropriate given the Company’s objectives and prevailing market practices, and, for most compensation topics for which the Compensation Committee is responsible, it has directed Pay Governance to work with management to develop recommendations that reflect the Compensation Committee’s objectives for the compensation program. Pay</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Governance performs no other services for the Company. The Compensation Committee has final authority to approve, modify or reject these recommendations and to make its decisions in executive session. Our President and CEO provides input with respect to compensation of the executive officers (other than himself) but is otherwise not involved in decisions of the Compensation Committee affecting the compensation of our executive officers. While our CFO, General Counsel, Senior Vice President and Chief Administrative Officer and other members of our human resources management attend such meetings to provide information, present materials to the Compensation Committee and answer related questions, they are not involved in decisions of the Compensation Committee affecting the compensation of our executive officers. The Compensation Committee typically meets in executive session after each of its regularly scheduled meetings to discuss executive compensation and make decisions.</w:t>
      </w:r>
    </w:p>
    <w:p>
      <w:pPr>
        <w:spacing w:after="0" w:line="200" w:lineRule="exact"/>
        <w:rPr>
          <w:sz w:val="20"/>
          <w:szCs w:val="20"/>
          <w:color w:val="auto"/>
        </w:rPr>
      </w:pPr>
    </w:p>
    <w:p>
      <w:pPr>
        <w:sectPr>
          <w:pgSz w:w="11900" w:h="16838" w:orient="portrait"/>
          <w:cols w:equalWidth="0" w:num="2">
            <w:col w:w="5500" w:space="320"/>
            <w:col w:w="5340"/>
          </w:cols>
          <w:pgMar w:left="240" w:top="455" w:right="499" w:bottom="1440" w:gutter="0" w:footer="0" w:header="0"/>
          <w:type w:val="continuous"/>
        </w:sectPr>
      </w:pPr>
    </w:p>
    <w:p>
      <w:pPr>
        <w:spacing w:after="0" w:line="152"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Discretion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type w:val="continuous"/>
        </w:sectPr>
      </w:pPr>
    </w:p>
    <w:p>
      <w:pPr>
        <w:spacing w:after="0" w:line="334" w:lineRule="exact"/>
        <w:rPr>
          <w:sz w:val="20"/>
          <w:szCs w:val="20"/>
          <w:color w:val="auto"/>
        </w:rPr>
      </w:pPr>
    </w:p>
    <w:p>
      <w:pPr>
        <w:ind w:left="280"/>
        <w:spacing w:after="0" w:line="247" w:lineRule="auto"/>
        <w:rPr>
          <w:sz w:val="20"/>
          <w:szCs w:val="20"/>
          <w:color w:val="auto"/>
        </w:rPr>
      </w:pPr>
      <w:r>
        <w:rPr>
          <w:rFonts w:ascii="Arial" w:cs="Arial" w:eastAsia="Arial" w:hAnsi="Arial"/>
          <w:sz w:val="16"/>
          <w:szCs w:val="16"/>
          <w:color w:val="auto"/>
        </w:rPr>
        <w:t>The Compensation Committee generally has the discretion to make awards under our incentive plans to our executive officers, including the Named Executive Officers. The Compensation Committee did not exercise discretion in 2018</w:t>
      </w:r>
    </w:p>
    <w:p>
      <w:pPr>
        <w:spacing w:after="0" w:line="243" w:lineRule="exact"/>
        <w:rPr>
          <w:sz w:val="20"/>
          <w:szCs w:val="20"/>
          <w:color w:val="auto"/>
        </w:rPr>
      </w:pPr>
    </w:p>
    <w:p>
      <w:pPr>
        <w:ind w:left="740" w:hanging="359"/>
        <w:spacing w:after="0"/>
        <w:tabs>
          <w:tab w:leader="none" w:pos="7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560"/>
        <w:spacing w:after="0" w:line="254" w:lineRule="auto"/>
        <w:rPr>
          <w:sz w:val="20"/>
          <w:szCs w:val="20"/>
          <w:color w:val="auto"/>
        </w:rPr>
      </w:pPr>
      <w:r>
        <w:rPr>
          <w:rFonts w:ascii="Arial" w:cs="Arial" w:eastAsia="Arial" w:hAnsi="Arial"/>
          <w:sz w:val="16"/>
          <w:szCs w:val="16"/>
          <w:color w:val="auto"/>
        </w:rPr>
        <w:t>to increase or reduce the size of any outstanding award or to award compensation when a performance goal was not achieved.</w:t>
      </w:r>
    </w:p>
    <w:p>
      <w:pPr>
        <w:sectPr>
          <w:pgSz w:w="11900" w:h="16838" w:orient="portrait"/>
          <w:cols w:equalWidth="0" w:num="2">
            <w:col w:w="5340" w:space="480"/>
            <w:col w:w="5340"/>
          </w:cols>
          <w:pgMar w:left="240" w:top="455" w:right="49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78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21" w:lineRule="exact"/>
        <w:rPr>
          <w:sz w:val="20"/>
          <w:szCs w:val="20"/>
          <w:color w:val="auto"/>
        </w:rPr>
      </w:pPr>
    </w:p>
    <w:p>
      <w:pPr>
        <w:ind w:left="280" w:right="180"/>
        <w:spacing w:after="0" w:line="246" w:lineRule="auto"/>
        <w:rPr>
          <w:sz w:val="20"/>
          <w:szCs w:val="20"/>
          <w:color w:val="auto"/>
        </w:rPr>
      </w:pPr>
      <w:r>
        <w:rPr>
          <w:rFonts w:ascii="Arial" w:cs="Arial" w:eastAsia="Arial" w:hAnsi="Arial"/>
          <w:sz w:val="16"/>
          <w:szCs w:val="16"/>
          <w:color w:val="auto"/>
        </w:rPr>
        <w:t>Our compensation program is designed to attract, motivate and retain executives through a mix of short-term and long-term compensation, fixed and variable pay and cash and equity-based compensation, while emphasizing our philosophy of pay for performance. A summary of the core total direct compensation elements (base salary, annual incentives and long-term incentives) follows below. Retirement plan benefits, termination/change in control benefits, and certain health, welfare and other benefits are not included in this table, but additional information about these programs can be found on pages 40 to 41.</w:t>
      </w:r>
    </w:p>
    <w:p>
      <w:pPr>
        <w:spacing w:after="0" w:line="213"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E2231A"/>
              </w:rPr>
              <w:t>Fixed vs.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E2231A"/>
              </w:rPr>
              <w:t>Cash vs.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E2231A"/>
              </w:rPr>
              <w:t>Payout</w:t>
            </w:r>
          </w:p>
        </w:tc>
      </w:tr>
      <w:tr>
        <w:trPr>
          <w:trHeight w:val="186"/>
        </w:trPr>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Element</w:t>
            </w:r>
          </w:p>
        </w:tc>
        <w:tc>
          <w:tcPr>
            <w:tcW w:w="10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E2231A"/>
              </w:rPr>
              <w:t>Purpose</w:t>
            </w:r>
          </w:p>
        </w:tc>
        <w:tc>
          <w:tcPr>
            <w:tcW w:w="27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E2231A"/>
              </w:rPr>
              <w:t>Performance Measure(s)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w w:val="99"/>
              </w:rPr>
              <w:t>Variable</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Equity</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Range</w:t>
            </w:r>
          </w:p>
        </w:tc>
      </w:tr>
      <w:tr>
        <w:trPr>
          <w:trHeight w:val="182"/>
        </w:trPr>
        <w:tc>
          <w:tcPr>
            <w:tcW w:w="1320" w:type="dxa"/>
            <w:vAlign w:val="bottom"/>
            <w:shd w:val="clear" w:color="auto" w:fill="FCE9E8"/>
          </w:tcPr>
          <w:p>
            <w:pPr>
              <w:ind w:left="80"/>
              <w:spacing w:after="0" w:line="181" w:lineRule="exact"/>
              <w:rPr>
                <w:sz w:val="20"/>
                <w:szCs w:val="20"/>
                <w:color w:val="auto"/>
              </w:rPr>
            </w:pPr>
            <w:r>
              <w:rPr>
                <w:rFonts w:ascii="Arial" w:cs="Arial" w:eastAsia="Arial" w:hAnsi="Arial"/>
                <w:sz w:val="16"/>
                <w:szCs w:val="16"/>
                <w:color w:val="auto"/>
              </w:rPr>
              <w:t>Base Salary</w:t>
            </w:r>
          </w:p>
        </w:tc>
        <w:tc>
          <w:tcPr>
            <w:tcW w:w="1060" w:type="dxa"/>
            <w:vAlign w:val="bottom"/>
            <w:shd w:val="clear" w:color="auto" w:fill="FCE9E8"/>
          </w:tcPr>
          <w:p>
            <w:pPr>
              <w:spacing w:after="0"/>
              <w:rPr>
                <w:sz w:val="15"/>
                <w:szCs w:val="15"/>
                <w:color w:val="auto"/>
              </w:rPr>
            </w:pPr>
          </w:p>
        </w:tc>
        <w:tc>
          <w:tcPr>
            <w:tcW w:w="2760" w:type="dxa"/>
            <w:vAlign w:val="bottom"/>
            <w:shd w:val="clear" w:color="auto" w:fill="FCE9E8"/>
          </w:tcPr>
          <w:p>
            <w:pPr>
              <w:ind w:left="60"/>
              <w:spacing w:after="0" w:line="181" w:lineRule="exact"/>
              <w:rPr>
                <w:sz w:val="20"/>
                <w:szCs w:val="20"/>
                <w:color w:val="auto"/>
              </w:rPr>
            </w:pPr>
            <w:r>
              <w:rPr>
                <w:rFonts w:ascii="Arial" w:cs="Arial" w:eastAsia="Arial" w:hAnsi="Arial"/>
                <w:sz w:val="16"/>
                <w:szCs w:val="16"/>
                <w:color w:val="auto"/>
              </w:rPr>
              <w:t>Provide a competitive rate</w:t>
            </w:r>
          </w:p>
        </w:tc>
        <w:tc>
          <w:tcPr>
            <w:tcW w:w="2780" w:type="dxa"/>
            <w:vAlign w:val="bottom"/>
            <w:shd w:val="clear" w:color="auto" w:fill="FCE9E8"/>
          </w:tcPr>
          <w:p>
            <w:pPr>
              <w:ind w:left="60"/>
              <w:spacing w:after="0" w:line="181" w:lineRule="exact"/>
              <w:rPr>
                <w:sz w:val="20"/>
                <w:szCs w:val="20"/>
                <w:color w:val="auto"/>
              </w:rPr>
            </w:pPr>
            <w:r>
              <w:rPr>
                <w:rFonts w:ascii="Arial" w:cs="Arial" w:eastAsia="Arial" w:hAnsi="Arial"/>
                <w:sz w:val="16"/>
                <w:szCs w:val="16"/>
                <w:color w:val="auto"/>
              </w:rPr>
              <w:t>Individual performance,</w:t>
            </w:r>
          </w:p>
        </w:tc>
        <w:tc>
          <w:tcPr>
            <w:tcW w:w="780" w:type="dxa"/>
            <w:vAlign w:val="bottom"/>
            <w:shd w:val="clear" w:color="auto" w:fill="FCE9E8"/>
          </w:tcPr>
          <w:p>
            <w:pPr>
              <w:jc w:val="center"/>
              <w:spacing w:after="0" w:line="181" w:lineRule="exact"/>
              <w:rPr>
                <w:sz w:val="20"/>
                <w:szCs w:val="20"/>
                <w:color w:val="auto"/>
              </w:rPr>
            </w:pPr>
            <w:r>
              <w:rPr>
                <w:rFonts w:ascii="Arial" w:cs="Arial" w:eastAsia="Arial" w:hAnsi="Arial"/>
                <w:sz w:val="16"/>
                <w:szCs w:val="16"/>
                <w:color w:val="auto"/>
              </w:rPr>
              <w:t>Fixed</w:t>
            </w:r>
          </w:p>
        </w:tc>
        <w:tc>
          <w:tcPr>
            <w:tcW w:w="700" w:type="dxa"/>
            <w:vAlign w:val="bottom"/>
            <w:shd w:val="clear" w:color="auto" w:fill="FCE9E8"/>
          </w:tcPr>
          <w:p>
            <w:pPr>
              <w:jc w:val="center"/>
              <w:spacing w:after="0" w:line="181" w:lineRule="exact"/>
              <w:rPr>
                <w:sz w:val="20"/>
                <w:szCs w:val="20"/>
                <w:color w:val="auto"/>
              </w:rPr>
            </w:pPr>
            <w:r>
              <w:rPr>
                <w:rFonts w:ascii="Arial" w:cs="Arial" w:eastAsia="Arial" w:hAnsi="Arial"/>
                <w:sz w:val="16"/>
                <w:szCs w:val="16"/>
                <w:color w:val="auto"/>
                <w:w w:val="96"/>
              </w:rPr>
              <w:t>Cash</w:t>
            </w:r>
          </w:p>
        </w:tc>
        <w:tc>
          <w:tcPr>
            <w:tcW w:w="1480" w:type="dxa"/>
            <w:vAlign w:val="bottom"/>
            <w:shd w:val="clear" w:color="auto" w:fill="FCE9E8"/>
          </w:tcPr>
          <w:p>
            <w:pPr>
              <w:jc w:val="center"/>
              <w:spacing w:after="0" w:line="181" w:lineRule="exact"/>
              <w:rPr>
                <w:sz w:val="20"/>
                <w:szCs w:val="20"/>
                <w:color w:val="auto"/>
              </w:rPr>
            </w:pPr>
            <w:r>
              <w:rPr>
                <w:rFonts w:ascii="Arial" w:cs="Arial" w:eastAsia="Arial" w:hAnsi="Arial"/>
                <w:sz w:val="16"/>
                <w:szCs w:val="16"/>
                <w:color w:val="auto"/>
                <w:w w:val="98"/>
              </w:rPr>
              <w:t>n/a</w:t>
            </w:r>
          </w:p>
        </w:tc>
      </w:tr>
      <w:tr>
        <w:trPr>
          <w:trHeight w:val="186"/>
        </w:trPr>
        <w:tc>
          <w:tcPr>
            <w:tcW w:w="1320" w:type="dxa"/>
            <w:vAlign w:val="bottom"/>
            <w:shd w:val="clear" w:color="auto" w:fill="FCE9E8"/>
          </w:tcPr>
          <w:p>
            <w:pPr>
              <w:spacing w:after="0"/>
              <w:rPr>
                <w:sz w:val="16"/>
                <w:szCs w:val="16"/>
                <w:color w:val="auto"/>
              </w:rPr>
            </w:pPr>
          </w:p>
        </w:tc>
        <w:tc>
          <w:tcPr>
            <w:tcW w:w="1060" w:type="dxa"/>
            <w:vAlign w:val="bottom"/>
            <w:shd w:val="clear" w:color="auto" w:fill="FCE9E8"/>
          </w:tcPr>
          <w:p>
            <w:pPr>
              <w:spacing w:after="0"/>
              <w:rPr>
                <w:sz w:val="16"/>
                <w:szCs w:val="16"/>
                <w:color w:val="auto"/>
              </w:rPr>
            </w:pPr>
          </w:p>
        </w:tc>
        <w:tc>
          <w:tcPr>
            <w:tcW w:w="2760" w:type="dxa"/>
            <w:vAlign w:val="bottom"/>
            <w:shd w:val="clear" w:color="auto" w:fill="FCE9E8"/>
          </w:tcPr>
          <w:p>
            <w:pPr>
              <w:ind w:left="60"/>
              <w:spacing w:after="0"/>
              <w:rPr>
                <w:sz w:val="20"/>
                <w:szCs w:val="20"/>
                <w:color w:val="auto"/>
              </w:rPr>
            </w:pPr>
            <w:r>
              <w:rPr>
                <w:rFonts w:ascii="Arial" w:cs="Arial" w:eastAsia="Arial" w:hAnsi="Arial"/>
                <w:sz w:val="16"/>
                <w:szCs w:val="16"/>
                <w:color w:val="auto"/>
              </w:rPr>
              <w:t>of pay to attract, motivate and retain</w:t>
            </w:r>
          </w:p>
        </w:tc>
        <w:tc>
          <w:tcPr>
            <w:tcW w:w="2780" w:type="dxa"/>
            <w:vAlign w:val="bottom"/>
            <w:shd w:val="clear" w:color="auto" w:fill="FCE9E8"/>
          </w:tcPr>
          <w:p>
            <w:pPr>
              <w:ind w:left="60"/>
              <w:spacing w:after="0"/>
              <w:rPr>
                <w:sz w:val="20"/>
                <w:szCs w:val="20"/>
                <w:color w:val="auto"/>
              </w:rPr>
            </w:pPr>
            <w:r>
              <w:rPr>
                <w:rFonts w:ascii="Arial" w:cs="Arial" w:eastAsia="Arial" w:hAnsi="Arial"/>
                <w:sz w:val="16"/>
                <w:szCs w:val="16"/>
                <w:color w:val="auto"/>
              </w:rPr>
              <w:t>responsibilities, experience, time in</w:t>
            </w:r>
          </w:p>
        </w:tc>
        <w:tc>
          <w:tcPr>
            <w:tcW w:w="780" w:type="dxa"/>
            <w:vAlign w:val="bottom"/>
            <w:shd w:val="clear" w:color="auto" w:fill="FCE9E8"/>
          </w:tcPr>
          <w:p>
            <w:pPr>
              <w:spacing w:after="0"/>
              <w:rPr>
                <w:sz w:val="16"/>
                <w:szCs w:val="16"/>
                <w:color w:val="auto"/>
              </w:rPr>
            </w:pPr>
          </w:p>
        </w:tc>
        <w:tc>
          <w:tcPr>
            <w:tcW w:w="700" w:type="dxa"/>
            <w:vAlign w:val="bottom"/>
            <w:shd w:val="clear" w:color="auto" w:fill="FCE9E8"/>
          </w:tcPr>
          <w:p>
            <w:pPr>
              <w:spacing w:after="0"/>
              <w:rPr>
                <w:sz w:val="16"/>
                <w:szCs w:val="16"/>
                <w:color w:val="auto"/>
              </w:rPr>
            </w:pPr>
          </w:p>
        </w:tc>
        <w:tc>
          <w:tcPr>
            <w:tcW w:w="1480" w:type="dxa"/>
            <w:vAlign w:val="bottom"/>
            <w:shd w:val="clear" w:color="auto" w:fill="FCE9E8"/>
          </w:tcPr>
          <w:p>
            <w:pPr>
              <w:spacing w:after="0"/>
              <w:rPr>
                <w:sz w:val="16"/>
                <w:szCs w:val="16"/>
                <w:color w:val="auto"/>
              </w:rPr>
            </w:pPr>
          </w:p>
        </w:tc>
      </w:tr>
      <w:tr>
        <w:trPr>
          <w:trHeight w:val="185"/>
        </w:trPr>
        <w:tc>
          <w:tcPr>
            <w:tcW w:w="1320" w:type="dxa"/>
            <w:vAlign w:val="bottom"/>
            <w:shd w:val="clear" w:color="auto" w:fill="FCE9E8"/>
          </w:tcPr>
          <w:p>
            <w:pPr>
              <w:spacing w:after="0"/>
              <w:rPr>
                <w:sz w:val="16"/>
                <w:szCs w:val="16"/>
                <w:color w:val="auto"/>
              </w:rPr>
            </w:pPr>
          </w:p>
        </w:tc>
        <w:tc>
          <w:tcPr>
            <w:tcW w:w="1060" w:type="dxa"/>
            <w:vAlign w:val="bottom"/>
            <w:shd w:val="clear" w:color="auto" w:fill="FCE9E8"/>
          </w:tcPr>
          <w:p>
            <w:pPr>
              <w:spacing w:after="0"/>
              <w:rPr>
                <w:sz w:val="16"/>
                <w:szCs w:val="16"/>
                <w:color w:val="auto"/>
              </w:rPr>
            </w:pPr>
          </w:p>
        </w:tc>
        <w:tc>
          <w:tcPr>
            <w:tcW w:w="2760" w:type="dxa"/>
            <w:vAlign w:val="bottom"/>
            <w:shd w:val="clear" w:color="auto" w:fill="FCE9E8"/>
          </w:tcPr>
          <w:p>
            <w:pPr>
              <w:ind w:left="60"/>
              <w:spacing w:after="0"/>
              <w:rPr>
                <w:sz w:val="20"/>
                <w:szCs w:val="20"/>
                <w:color w:val="auto"/>
              </w:rPr>
            </w:pPr>
            <w:r>
              <w:rPr>
                <w:rFonts w:ascii="Arial" w:cs="Arial" w:eastAsia="Arial" w:hAnsi="Arial"/>
                <w:sz w:val="16"/>
                <w:szCs w:val="16"/>
                <w:color w:val="auto"/>
              </w:rPr>
              <w:t>executive officers of the Company</w:t>
            </w:r>
          </w:p>
        </w:tc>
        <w:tc>
          <w:tcPr>
            <w:tcW w:w="2780" w:type="dxa"/>
            <w:vAlign w:val="bottom"/>
            <w:shd w:val="clear" w:color="auto" w:fill="FCE9E8"/>
          </w:tcPr>
          <w:p>
            <w:pPr>
              <w:ind w:left="60"/>
              <w:spacing w:after="0"/>
              <w:rPr>
                <w:sz w:val="20"/>
                <w:szCs w:val="20"/>
                <w:color w:val="auto"/>
              </w:rPr>
            </w:pPr>
            <w:r>
              <w:rPr>
                <w:rFonts w:ascii="Arial" w:cs="Arial" w:eastAsia="Arial" w:hAnsi="Arial"/>
                <w:sz w:val="16"/>
                <w:szCs w:val="16"/>
                <w:color w:val="auto"/>
              </w:rPr>
              <w:t>position and critical skills</w:t>
            </w:r>
          </w:p>
        </w:tc>
        <w:tc>
          <w:tcPr>
            <w:tcW w:w="780" w:type="dxa"/>
            <w:vAlign w:val="bottom"/>
            <w:shd w:val="clear" w:color="auto" w:fill="FCE9E8"/>
          </w:tcPr>
          <w:p>
            <w:pPr>
              <w:spacing w:after="0"/>
              <w:rPr>
                <w:sz w:val="16"/>
                <w:szCs w:val="16"/>
                <w:color w:val="auto"/>
              </w:rPr>
            </w:pPr>
          </w:p>
        </w:tc>
        <w:tc>
          <w:tcPr>
            <w:tcW w:w="700" w:type="dxa"/>
            <w:vAlign w:val="bottom"/>
            <w:shd w:val="clear" w:color="auto" w:fill="FCE9E8"/>
          </w:tcPr>
          <w:p>
            <w:pPr>
              <w:spacing w:after="0"/>
              <w:rPr>
                <w:sz w:val="16"/>
                <w:szCs w:val="16"/>
                <w:color w:val="auto"/>
              </w:rPr>
            </w:pPr>
          </w:p>
        </w:tc>
        <w:tc>
          <w:tcPr>
            <w:tcW w:w="1480" w:type="dxa"/>
            <w:vAlign w:val="bottom"/>
            <w:shd w:val="clear" w:color="auto" w:fill="FCE9E8"/>
          </w:tcPr>
          <w:p>
            <w:pPr>
              <w:spacing w:after="0"/>
              <w:rPr>
                <w:sz w:val="16"/>
                <w:szCs w:val="16"/>
                <w:color w:val="auto"/>
              </w:rPr>
            </w:pPr>
          </w:p>
        </w:tc>
      </w:tr>
      <w:tr>
        <w:trPr>
          <w:trHeight w:val="188"/>
        </w:trPr>
        <w:tc>
          <w:tcPr>
            <w:tcW w:w="1320" w:type="dxa"/>
            <w:vAlign w:val="bottom"/>
          </w:tcPr>
          <w:p>
            <w:pPr>
              <w:ind w:left="80"/>
              <w:spacing w:after="0"/>
              <w:rPr>
                <w:sz w:val="20"/>
                <w:szCs w:val="20"/>
                <w:color w:val="auto"/>
              </w:rPr>
            </w:pPr>
            <w:r>
              <w:rPr>
                <w:rFonts w:ascii="Arial" w:cs="Arial" w:eastAsia="Arial" w:hAnsi="Arial"/>
                <w:sz w:val="16"/>
                <w:szCs w:val="16"/>
                <w:color w:val="auto"/>
              </w:rPr>
              <w:t>Annual Incentive</w:t>
            </w:r>
          </w:p>
        </w:tc>
        <w:tc>
          <w:tcPr>
            <w:tcW w:w="1060" w:type="dxa"/>
            <w:vAlign w:val="bottom"/>
          </w:tcPr>
          <w:p>
            <w:pPr>
              <w:ind w:left="80"/>
              <w:spacing w:after="0"/>
              <w:rPr>
                <w:sz w:val="20"/>
                <w:szCs w:val="20"/>
                <w:color w:val="auto"/>
              </w:rPr>
            </w:pPr>
            <w:r>
              <w:rPr>
                <w:rFonts w:ascii="Arial" w:cs="Arial" w:eastAsia="Arial" w:hAnsi="Arial"/>
                <w:sz w:val="16"/>
                <w:szCs w:val="16"/>
                <w:color w:val="auto"/>
              </w:rPr>
              <w:t>Plan (AIP)</w:t>
            </w:r>
          </w:p>
        </w:tc>
        <w:tc>
          <w:tcPr>
            <w:tcW w:w="2760" w:type="dxa"/>
            <w:vAlign w:val="bottom"/>
          </w:tcPr>
          <w:p>
            <w:pPr>
              <w:ind w:left="60"/>
              <w:spacing w:after="0"/>
              <w:rPr>
                <w:sz w:val="20"/>
                <w:szCs w:val="20"/>
                <w:color w:val="auto"/>
              </w:rPr>
            </w:pPr>
            <w:r>
              <w:rPr>
                <w:rFonts w:ascii="Arial" w:cs="Arial" w:eastAsia="Arial" w:hAnsi="Arial"/>
                <w:sz w:val="16"/>
                <w:szCs w:val="16"/>
                <w:color w:val="auto"/>
              </w:rPr>
              <w:t>Align a portion of annual pay to</w:t>
            </w:r>
          </w:p>
        </w:tc>
        <w:tc>
          <w:tcPr>
            <w:tcW w:w="2780" w:type="dxa"/>
            <w:vAlign w:val="bottom"/>
          </w:tcPr>
          <w:p>
            <w:pPr>
              <w:ind w:left="60"/>
              <w:spacing w:after="0"/>
              <w:rPr>
                <w:sz w:val="20"/>
                <w:szCs w:val="20"/>
                <w:color w:val="auto"/>
              </w:rPr>
            </w:pPr>
            <w:r>
              <w:rPr>
                <w:rFonts w:ascii="Arial" w:cs="Arial" w:eastAsia="Arial" w:hAnsi="Arial"/>
                <w:sz w:val="16"/>
                <w:szCs w:val="16"/>
                <w:color w:val="auto"/>
              </w:rPr>
              <w:t>Adjusted Operating Income (50%)</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Variable</w:t>
            </w:r>
          </w:p>
        </w:tc>
        <w:tc>
          <w:tcPr>
            <w:tcW w:w="700" w:type="dxa"/>
            <w:vAlign w:val="bottom"/>
          </w:tcPr>
          <w:p>
            <w:pPr>
              <w:jc w:val="center"/>
              <w:spacing w:after="0"/>
              <w:rPr>
                <w:sz w:val="20"/>
                <w:szCs w:val="20"/>
                <w:color w:val="auto"/>
              </w:rPr>
            </w:pPr>
            <w:r>
              <w:rPr>
                <w:rFonts w:ascii="Arial" w:cs="Arial" w:eastAsia="Arial" w:hAnsi="Arial"/>
                <w:sz w:val="16"/>
                <w:szCs w:val="16"/>
                <w:color w:val="auto"/>
                <w:w w:val="96"/>
              </w:rPr>
              <w:t>Cash</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0-200% of target</w:t>
            </w:r>
          </w:p>
        </w:tc>
      </w:tr>
      <w:tr>
        <w:trPr>
          <w:trHeight w:val="186"/>
        </w:trPr>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6"/>
                <w:szCs w:val="16"/>
                <w:color w:val="auto"/>
              </w:rPr>
              <w:t>performance against key goals and</w:t>
            </w:r>
          </w:p>
        </w:tc>
        <w:tc>
          <w:tcPr>
            <w:tcW w:w="2780" w:type="dxa"/>
            <w:vAlign w:val="bottom"/>
          </w:tcPr>
          <w:p>
            <w:pPr>
              <w:ind w:left="60"/>
              <w:spacing w:after="0"/>
              <w:rPr>
                <w:sz w:val="20"/>
                <w:szCs w:val="20"/>
                <w:color w:val="auto"/>
              </w:rPr>
            </w:pPr>
            <w:r>
              <w:rPr>
                <w:rFonts w:ascii="Arial" w:cs="Arial" w:eastAsia="Arial" w:hAnsi="Arial"/>
                <w:sz w:val="16"/>
                <w:szCs w:val="16"/>
                <w:color w:val="auto"/>
              </w:rPr>
              <w:t>Free Cash Flow (50%)</w:t>
            </w: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5"/>
        </w:trPr>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6"/>
                <w:szCs w:val="16"/>
                <w:color w:val="auto"/>
              </w:rPr>
              <w:t>objectives for the year</w:t>
            </w:r>
          </w:p>
        </w:tc>
        <w:tc>
          <w:tcPr>
            <w:tcW w:w="2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8"/>
        </w:trPr>
        <w:tc>
          <w:tcPr>
            <w:tcW w:w="2380" w:type="dxa"/>
            <w:vAlign w:val="bottom"/>
            <w:gridSpan w:val="2"/>
            <w:shd w:val="clear" w:color="auto" w:fill="FCE9E8"/>
          </w:tcPr>
          <w:p>
            <w:pPr>
              <w:ind w:left="80"/>
              <w:spacing w:after="0"/>
              <w:rPr>
                <w:sz w:val="20"/>
                <w:szCs w:val="20"/>
                <w:color w:val="auto"/>
              </w:rPr>
            </w:pPr>
            <w:r>
              <w:rPr>
                <w:rFonts w:ascii="Arial" w:cs="Arial" w:eastAsia="Arial" w:hAnsi="Arial"/>
                <w:sz w:val="16"/>
                <w:szCs w:val="16"/>
                <w:color w:val="auto"/>
              </w:rPr>
              <w:t>Performance  Shares under</w:t>
            </w:r>
          </w:p>
        </w:tc>
        <w:tc>
          <w:tcPr>
            <w:tcW w:w="2760" w:type="dxa"/>
            <w:vAlign w:val="bottom"/>
            <w:shd w:val="clear" w:color="auto" w:fill="FCE9E8"/>
          </w:tcPr>
          <w:p>
            <w:pPr>
              <w:ind w:left="60"/>
              <w:spacing w:after="0"/>
              <w:rPr>
                <w:sz w:val="20"/>
                <w:szCs w:val="20"/>
                <w:color w:val="auto"/>
              </w:rPr>
            </w:pPr>
            <w:r>
              <w:rPr>
                <w:rFonts w:ascii="Arial" w:cs="Arial" w:eastAsia="Arial" w:hAnsi="Arial"/>
                <w:sz w:val="16"/>
                <w:szCs w:val="16"/>
                <w:color w:val="auto"/>
              </w:rPr>
              <w:t>Align executive pay with long-term</w:t>
            </w:r>
          </w:p>
        </w:tc>
        <w:tc>
          <w:tcPr>
            <w:tcW w:w="2780" w:type="dxa"/>
            <w:vAlign w:val="bottom"/>
            <w:shd w:val="clear" w:color="auto" w:fill="FCE9E8"/>
          </w:tcPr>
          <w:p>
            <w:pPr>
              <w:ind w:left="60"/>
              <w:spacing w:after="0"/>
              <w:rPr>
                <w:sz w:val="20"/>
                <w:szCs w:val="20"/>
                <w:color w:val="auto"/>
              </w:rPr>
            </w:pPr>
            <w:r>
              <w:rPr>
                <w:rFonts w:ascii="Arial" w:cs="Arial" w:eastAsia="Arial" w:hAnsi="Arial"/>
                <w:sz w:val="16"/>
                <w:szCs w:val="16"/>
                <w:color w:val="auto"/>
              </w:rPr>
              <w:t>Adjusted Return on Invested Capital</w:t>
            </w:r>
          </w:p>
        </w:tc>
        <w:tc>
          <w:tcPr>
            <w:tcW w:w="78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Variable</w:t>
            </w:r>
          </w:p>
        </w:tc>
        <w:tc>
          <w:tcPr>
            <w:tcW w:w="70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Equity</w:t>
            </w:r>
          </w:p>
        </w:tc>
        <w:tc>
          <w:tcPr>
            <w:tcW w:w="148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9"/>
              </w:rPr>
              <w:t>0-200% of target</w:t>
            </w:r>
          </w:p>
        </w:tc>
      </w:tr>
      <w:tr>
        <w:trPr>
          <w:trHeight w:val="186"/>
        </w:trPr>
        <w:tc>
          <w:tcPr>
            <w:tcW w:w="2380" w:type="dxa"/>
            <w:vAlign w:val="bottom"/>
            <w:gridSpan w:val="2"/>
            <w:shd w:val="clear" w:color="auto" w:fill="FCE9E8"/>
          </w:tcPr>
          <w:p>
            <w:pPr>
              <w:ind w:left="80"/>
              <w:spacing w:after="0"/>
              <w:rPr>
                <w:sz w:val="20"/>
                <w:szCs w:val="20"/>
                <w:color w:val="auto"/>
              </w:rPr>
            </w:pPr>
            <w:r>
              <w:rPr>
                <w:rFonts w:ascii="Arial" w:cs="Arial" w:eastAsia="Arial" w:hAnsi="Arial"/>
                <w:sz w:val="16"/>
                <w:szCs w:val="16"/>
                <w:color w:val="auto"/>
              </w:rPr>
              <w:t>Long-Term  Stock Incentive</w:t>
            </w:r>
          </w:p>
        </w:tc>
        <w:tc>
          <w:tcPr>
            <w:tcW w:w="2760" w:type="dxa"/>
            <w:vAlign w:val="bottom"/>
            <w:shd w:val="clear" w:color="auto" w:fill="FCE9E8"/>
          </w:tcPr>
          <w:p>
            <w:pPr>
              <w:ind w:left="60"/>
              <w:spacing w:after="0"/>
              <w:rPr>
                <w:sz w:val="20"/>
                <w:szCs w:val="20"/>
                <w:color w:val="auto"/>
              </w:rPr>
            </w:pPr>
            <w:r>
              <w:rPr>
                <w:rFonts w:ascii="Arial" w:cs="Arial" w:eastAsia="Arial" w:hAnsi="Arial"/>
                <w:sz w:val="16"/>
                <w:szCs w:val="16"/>
                <w:color w:val="auto"/>
              </w:rPr>
              <w:t>stockholder interests through equity-</w:t>
            </w:r>
          </w:p>
        </w:tc>
        <w:tc>
          <w:tcPr>
            <w:tcW w:w="2780" w:type="dxa"/>
            <w:vAlign w:val="bottom"/>
            <w:shd w:val="clear" w:color="auto" w:fill="FCE9E8"/>
          </w:tcPr>
          <w:p>
            <w:pPr>
              <w:ind w:left="60"/>
              <w:spacing w:after="0"/>
              <w:rPr>
                <w:sz w:val="20"/>
                <w:szCs w:val="20"/>
                <w:color w:val="auto"/>
              </w:rPr>
            </w:pPr>
            <w:r>
              <w:rPr>
                <w:rFonts w:ascii="Arial" w:cs="Arial" w:eastAsia="Arial" w:hAnsi="Arial"/>
                <w:sz w:val="16"/>
                <w:szCs w:val="16"/>
                <w:color w:val="auto"/>
              </w:rPr>
              <w:t>(ROIC) (66 2/3%)</w:t>
            </w:r>
          </w:p>
        </w:tc>
        <w:tc>
          <w:tcPr>
            <w:tcW w:w="780" w:type="dxa"/>
            <w:vAlign w:val="bottom"/>
            <w:shd w:val="clear" w:color="auto" w:fill="FCE9E8"/>
          </w:tcPr>
          <w:p>
            <w:pPr>
              <w:spacing w:after="0"/>
              <w:rPr>
                <w:sz w:val="16"/>
                <w:szCs w:val="16"/>
                <w:color w:val="auto"/>
              </w:rPr>
            </w:pPr>
          </w:p>
        </w:tc>
        <w:tc>
          <w:tcPr>
            <w:tcW w:w="700" w:type="dxa"/>
            <w:vAlign w:val="bottom"/>
            <w:shd w:val="clear" w:color="auto" w:fill="FCE9E8"/>
          </w:tcPr>
          <w:p>
            <w:pPr>
              <w:spacing w:after="0"/>
              <w:rPr>
                <w:sz w:val="16"/>
                <w:szCs w:val="16"/>
                <w:color w:val="auto"/>
              </w:rPr>
            </w:pPr>
          </w:p>
        </w:tc>
        <w:tc>
          <w:tcPr>
            <w:tcW w:w="148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9"/>
              </w:rPr>
              <w:t>number of shares;</w:t>
            </w:r>
          </w:p>
        </w:tc>
      </w:tr>
      <w:tr>
        <w:trPr>
          <w:trHeight w:val="186"/>
        </w:trPr>
        <w:tc>
          <w:tcPr>
            <w:tcW w:w="1320" w:type="dxa"/>
            <w:vAlign w:val="bottom"/>
            <w:shd w:val="clear" w:color="auto" w:fill="FCE9E8"/>
          </w:tcPr>
          <w:p>
            <w:pPr>
              <w:ind w:left="80"/>
              <w:spacing w:after="0"/>
              <w:rPr>
                <w:sz w:val="20"/>
                <w:szCs w:val="20"/>
                <w:color w:val="auto"/>
              </w:rPr>
            </w:pPr>
            <w:r>
              <w:rPr>
                <w:rFonts w:ascii="Arial" w:cs="Arial" w:eastAsia="Arial" w:hAnsi="Arial"/>
                <w:sz w:val="16"/>
                <w:szCs w:val="16"/>
                <w:color w:val="auto"/>
              </w:rPr>
              <w:t>Plan (LTSIP)</w:t>
            </w:r>
          </w:p>
        </w:tc>
        <w:tc>
          <w:tcPr>
            <w:tcW w:w="1060" w:type="dxa"/>
            <w:vAlign w:val="bottom"/>
            <w:shd w:val="clear" w:color="auto" w:fill="FCE9E8"/>
          </w:tcPr>
          <w:p>
            <w:pPr>
              <w:spacing w:after="0"/>
              <w:rPr>
                <w:sz w:val="16"/>
                <w:szCs w:val="16"/>
                <w:color w:val="auto"/>
              </w:rPr>
            </w:pPr>
          </w:p>
        </w:tc>
        <w:tc>
          <w:tcPr>
            <w:tcW w:w="2760" w:type="dxa"/>
            <w:vAlign w:val="bottom"/>
            <w:shd w:val="clear" w:color="auto" w:fill="FCE9E8"/>
          </w:tcPr>
          <w:p>
            <w:pPr>
              <w:ind w:left="60"/>
              <w:spacing w:after="0"/>
              <w:rPr>
                <w:sz w:val="20"/>
                <w:szCs w:val="20"/>
                <w:color w:val="auto"/>
              </w:rPr>
            </w:pPr>
            <w:r>
              <w:rPr>
                <w:rFonts w:ascii="Arial" w:cs="Arial" w:eastAsia="Arial" w:hAnsi="Arial"/>
                <w:sz w:val="16"/>
                <w:szCs w:val="16"/>
                <w:color w:val="auto"/>
              </w:rPr>
              <w:t>based compensation tied to key</w:t>
            </w:r>
          </w:p>
        </w:tc>
        <w:tc>
          <w:tcPr>
            <w:tcW w:w="2780" w:type="dxa"/>
            <w:vAlign w:val="bottom"/>
            <w:shd w:val="clear" w:color="auto" w:fill="FCE9E8"/>
          </w:tcPr>
          <w:p>
            <w:pPr>
              <w:ind w:left="60"/>
              <w:spacing w:after="0"/>
              <w:rPr>
                <w:sz w:val="20"/>
                <w:szCs w:val="20"/>
                <w:color w:val="auto"/>
              </w:rPr>
            </w:pPr>
            <w:r>
              <w:rPr>
                <w:rFonts w:ascii="Arial" w:cs="Arial" w:eastAsia="Arial" w:hAnsi="Arial"/>
                <w:sz w:val="16"/>
                <w:szCs w:val="16"/>
                <w:color w:val="auto"/>
              </w:rPr>
              <w:t>Cumulative Adjusted Pre-Tax Income</w:t>
            </w:r>
          </w:p>
        </w:tc>
        <w:tc>
          <w:tcPr>
            <w:tcW w:w="780" w:type="dxa"/>
            <w:vAlign w:val="bottom"/>
            <w:shd w:val="clear" w:color="auto" w:fill="FCE9E8"/>
          </w:tcPr>
          <w:p>
            <w:pPr>
              <w:spacing w:after="0"/>
              <w:rPr>
                <w:sz w:val="16"/>
                <w:szCs w:val="16"/>
                <w:color w:val="auto"/>
              </w:rPr>
            </w:pPr>
          </w:p>
        </w:tc>
        <w:tc>
          <w:tcPr>
            <w:tcW w:w="700" w:type="dxa"/>
            <w:vAlign w:val="bottom"/>
            <w:shd w:val="clear" w:color="auto" w:fill="FCE9E8"/>
          </w:tcPr>
          <w:p>
            <w:pPr>
              <w:spacing w:after="0"/>
              <w:rPr>
                <w:sz w:val="16"/>
                <w:szCs w:val="16"/>
                <w:color w:val="auto"/>
              </w:rPr>
            </w:pPr>
          </w:p>
        </w:tc>
        <w:tc>
          <w:tcPr>
            <w:tcW w:w="14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Performance Share</w:t>
            </w:r>
          </w:p>
        </w:tc>
      </w:tr>
      <w:tr>
        <w:trPr>
          <w:trHeight w:val="186"/>
        </w:trPr>
        <w:tc>
          <w:tcPr>
            <w:tcW w:w="1320" w:type="dxa"/>
            <w:vAlign w:val="bottom"/>
            <w:shd w:val="clear" w:color="auto" w:fill="FCE9E8"/>
          </w:tcPr>
          <w:p>
            <w:pPr>
              <w:spacing w:after="0"/>
              <w:rPr>
                <w:sz w:val="16"/>
                <w:szCs w:val="16"/>
                <w:color w:val="auto"/>
              </w:rPr>
            </w:pPr>
          </w:p>
        </w:tc>
        <w:tc>
          <w:tcPr>
            <w:tcW w:w="1060" w:type="dxa"/>
            <w:vAlign w:val="bottom"/>
            <w:shd w:val="clear" w:color="auto" w:fill="FCE9E8"/>
          </w:tcPr>
          <w:p>
            <w:pPr>
              <w:spacing w:after="0"/>
              <w:rPr>
                <w:sz w:val="16"/>
                <w:szCs w:val="16"/>
                <w:color w:val="auto"/>
              </w:rPr>
            </w:pPr>
          </w:p>
        </w:tc>
        <w:tc>
          <w:tcPr>
            <w:tcW w:w="2760" w:type="dxa"/>
            <w:vAlign w:val="bottom"/>
            <w:shd w:val="clear" w:color="auto" w:fill="FCE9E8"/>
          </w:tcPr>
          <w:p>
            <w:pPr>
              <w:ind w:left="60"/>
              <w:spacing w:after="0"/>
              <w:rPr>
                <w:sz w:val="20"/>
                <w:szCs w:val="20"/>
                <w:color w:val="auto"/>
              </w:rPr>
            </w:pPr>
            <w:r>
              <w:rPr>
                <w:rFonts w:ascii="Arial" w:cs="Arial" w:eastAsia="Arial" w:hAnsi="Arial"/>
                <w:sz w:val="16"/>
                <w:szCs w:val="16"/>
                <w:color w:val="auto"/>
              </w:rPr>
              <w:t>performance metrics of the Company</w:t>
            </w:r>
          </w:p>
        </w:tc>
        <w:tc>
          <w:tcPr>
            <w:tcW w:w="2780" w:type="dxa"/>
            <w:vAlign w:val="bottom"/>
            <w:shd w:val="clear" w:color="auto" w:fill="FCE9E8"/>
          </w:tcPr>
          <w:p>
            <w:pPr>
              <w:ind w:left="60"/>
              <w:spacing w:after="0"/>
              <w:rPr>
                <w:sz w:val="20"/>
                <w:szCs w:val="20"/>
                <w:color w:val="auto"/>
              </w:rPr>
            </w:pPr>
            <w:r>
              <w:rPr>
                <w:rFonts w:ascii="Arial" w:cs="Arial" w:eastAsia="Arial" w:hAnsi="Arial"/>
                <w:sz w:val="16"/>
                <w:szCs w:val="16"/>
                <w:color w:val="auto"/>
              </w:rPr>
              <w:t>(33 1/3%)</w:t>
            </w:r>
          </w:p>
        </w:tc>
        <w:tc>
          <w:tcPr>
            <w:tcW w:w="780" w:type="dxa"/>
            <w:vAlign w:val="bottom"/>
            <w:shd w:val="clear" w:color="auto" w:fill="FCE9E8"/>
          </w:tcPr>
          <w:p>
            <w:pPr>
              <w:spacing w:after="0"/>
              <w:rPr>
                <w:sz w:val="16"/>
                <w:szCs w:val="16"/>
                <w:color w:val="auto"/>
              </w:rPr>
            </w:pPr>
          </w:p>
        </w:tc>
        <w:tc>
          <w:tcPr>
            <w:tcW w:w="700" w:type="dxa"/>
            <w:vAlign w:val="bottom"/>
            <w:shd w:val="clear" w:color="auto" w:fill="FCE9E8"/>
          </w:tcPr>
          <w:p>
            <w:pPr>
              <w:spacing w:after="0"/>
              <w:rPr>
                <w:sz w:val="16"/>
                <w:szCs w:val="16"/>
                <w:color w:val="auto"/>
              </w:rPr>
            </w:pPr>
          </w:p>
        </w:tc>
        <w:tc>
          <w:tcPr>
            <w:tcW w:w="14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value fluctuates</w:t>
            </w:r>
          </w:p>
        </w:tc>
      </w:tr>
      <w:tr>
        <w:trPr>
          <w:trHeight w:val="186"/>
        </w:trPr>
        <w:tc>
          <w:tcPr>
            <w:tcW w:w="1320" w:type="dxa"/>
            <w:vAlign w:val="bottom"/>
            <w:shd w:val="clear" w:color="auto" w:fill="FCE9E8"/>
          </w:tcPr>
          <w:p>
            <w:pPr>
              <w:spacing w:after="0"/>
              <w:rPr>
                <w:sz w:val="16"/>
                <w:szCs w:val="16"/>
                <w:color w:val="auto"/>
              </w:rPr>
            </w:pPr>
          </w:p>
        </w:tc>
        <w:tc>
          <w:tcPr>
            <w:tcW w:w="1060" w:type="dxa"/>
            <w:vAlign w:val="bottom"/>
            <w:shd w:val="clear" w:color="auto" w:fill="FCE9E8"/>
          </w:tcPr>
          <w:p>
            <w:pPr>
              <w:spacing w:after="0"/>
              <w:rPr>
                <w:sz w:val="16"/>
                <w:szCs w:val="16"/>
                <w:color w:val="auto"/>
              </w:rPr>
            </w:pPr>
          </w:p>
        </w:tc>
        <w:tc>
          <w:tcPr>
            <w:tcW w:w="2760" w:type="dxa"/>
            <w:vAlign w:val="bottom"/>
            <w:shd w:val="clear" w:color="auto" w:fill="FCE9E8"/>
          </w:tcPr>
          <w:p>
            <w:pPr>
              <w:ind w:left="60"/>
              <w:spacing w:after="0"/>
              <w:rPr>
                <w:sz w:val="20"/>
                <w:szCs w:val="20"/>
                <w:color w:val="auto"/>
              </w:rPr>
            </w:pPr>
            <w:r>
              <w:rPr>
                <w:rFonts w:ascii="Arial" w:cs="Arial" w:eastAsia="Arial" w:hAnsi="Arial"/>
                <w:sz w:val="16"/>
                <w:szCs w:val="16"/>
                <w:color w:val="auto"/>
              </w:rPr>
              <w:t>over a three-year period</w:t>
            </w:r>
          </w:p>
        </w:tc>
        <w:tc>
          <w:tcPr>
            <w:tcW w:w="2780" w:type="dxa"/>
            <w:vAlign w:val="bottom"/>
            <w:shd w:val="clear" w:color="auto" w:fill="FCE9E8"/>
          </w:tcPr>
          <w:p>
            <w:pPr>
              <w:spacing w:after="0"/>
              <w:rPr>
                <w:sz w:val="16"/>
                <w:szCs w:val="16"/>
                <w:color w:val="auto"/>
              </w:rPr>
            </w:pPr>
          </w:p>
        </w:tc>
        <w:tc>
          <w:tcPr>
            <w:tcW w:w="780" w:type="dxa"/>
            <w:vAlign w:val="bottom"/>
            <w:shd w:val="clear" w:color="auto" w:fill="FCE9E8"/>
          </w:tcPr>
          <w:p>
            <w:pPr>
              <w:spacing w:after="0"/>
              <w:rPr>
                <w:sz w:val="16"/>
                <w:szCs w:val="16"/>
                <w:color w:val="auto"/>
              </w:rPr>
            </w:pPr>
          </w:p>
        </w:tc>
        <w:tc>
          <w:tcPr>
            <w:tcW w:w="700" w:type="dxa"/>
            <w:vAlign w:val="bottom"/>
            <w:shd w:val="clear" w:color="auto" w:fill="FCE9E8"/>
          </w:tcPr>
          <w:p>
            <w:pPr>
              <w:spacing w:after="0"/>
              <w:rPr>
                <w:sz w:val="16"/>
                <w:szCs w:val="16"/>
                <w:color w:val="auto"/>
              </w:rPr>
            </w:pPr>
          </w:p>
        </w:tc>
        <w:tc>
          <w:tcPr>
            <w:tcW w:w="148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with stock price</w:t>
            </w:r>
          </w:p>
        </w:tc>
      </w:tr>
      <w:tr>
        <w:trPr>
          <w:trHeight w:val="185"/>
        </w:trPr>
        <w:tc>
          <w:tcPr>
            <w:tcW w:w="1320" w:type="dxa"/>
            <w:vAlign w:val="bottom"/>
            <w:shd w:val="clear" w:color="auto" w:fill="FCE9E8"/>
          </w:tcPr>
          <w:p>
            <w:pPr>
              <w:spacing w:after="0"/>
              <w:rPr>
                <w:sz w:val="16"/>
                <w:szCs w:val="16"/>
                <w:color w:val="auto"/>
              </w:rPr>
            </w:pPr>
          </w:p>
        </w:tc>
        <w:tc>
          <w:tcPr>
            <w:tcW w:w="1060" w:type="dxa"/>
            <w:vAlign w:val="bottom"/>
            <w:shd w:val="clear" w:color="auto" w:fill="FCE9E8"/>
          </w:tcPr>
          <w:p>
            <w:pPr>
              <w:spacing w:after="0"/>
              <w:rPr>
                <w:sz w:val="16"/>
                <w:szCs w:val="16"/>
                <w:color w:val="auto"/>
              </w:rPr>
            </w:pPr>
          </w:p>
        </w:tc>
        <w:tc>
          <w:tcPr>
            <w:tcW w:w="2760" w:type="dxa"/>
            <w:vAlign w:val="bottom"/>
            <w:shd w:val="clear" w:color="auto" w:fill="FCE9E8"/>
          </w:tcPr>
          <w:p>
            <w:pPr>
              <w:spacing w:after="0"/>
              <w:rPr>
                <w:sz w:val="16"/>
                <w:szCs w:val="16"/>
                <w:color w:val="auto"/>
              </w:rPr>
            </w:pPr>
          </w:p>
        </w:tc>
        <w:tc>
          <w:tcPr>
            <w:tcW w:w="2780" w:type="dxa"/>
            <w:vAlign w:val="bottom"/>
            <w:shd w:val="clear" w:color="auto" w:fill="FCE9E8"/>
          </w:tcPr>
          <w:p>
            <w:pPr>
              <w:spacing w:after="0"/>
              <w:rPr>
                <w:sz w:val="16"/>
                <w:szCs w:val="16"/>
                <w:color w:val="auto"/>
              </w:rPr>
            </w:pPr>
          </w:p>
        </w:tc>
        <w:tc>
          <w:tcPr>
            <w:tcW w:w="780" w:type="dxa"/>
            <w:vAlign w:val="bottom"/>
            <w:shd w:val="clear" w:color="auto" w:fill="FCE9E8"/>
          </w:tcPr>
          <w:p>
            <w:pPr>
              <w:spacing w:after="0"/>
              <w:rPr>
                <w:sz w:val="16"/>
                <w:szCs w:val="16"/>
                <w:color w:val="auto"/>
              </w:rPr>
            </w:pPr>
          </w:p>
        </w:tc>
        <w:tc>
          <w:tcPr>
            <w:tcW w:w="700" w:type="dxa"/>
            <w:vAlign w:val="bottom"/>
            <w:shd w:val="clear" w:color="auto" w:fill="FCE9E8"/>
          </w:tcPr>
          <w:p>
            <w:pPr>
              <w:spacing w:after="0"/>
              <w:rPr>
                <w:sz w:val="16"/>
                <w:szCs w:val="16"/>
                <w:color w:val="auto"/>
              </w:rPr>
            </w:pPr>
          </w:p>
        </w:tc>
        <w:tc>
          <w:tcPr>
            <w:tcW w:w="14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movement</w:t>
            </w:r>
          </w:p>
        </w:tc>
      </w:tr>
      <w:tr>
        <w:trPr>
          <w:trHeight w:val="188"/>
        </w:trPr>
        <w:tc>
          <w:tcPr>
            <w:tcW w:w="1320" w:type="dxa"/>
            <w:vAlign w:val="bottom"/>
          </w:tcPr>
          <w:p>
            <w:pPr>
              <w:ind w:left="80"/>
              <w:spacing w:after="0"/>
              <w:rPr>
                <w:sz w:val="20"/>
                <w:szCs w:val="20"/>
                <w:color w:val="auto"/>
              </w:rPr>
            </w:pPr>
            <w:r>
              <w:rPr>
                <w:rFonts w:ascii="Arial" w:cs="Arial" w:eastAsia="Arial" w:hAnsi="Arial"/>
                <w:sz w:val="16"/>
                <w:szCs w:val="16"/>
                <w:color w:val="auto"/>
              </w:rPr>
              <w:t>Restricted Stock</w:t>
            </w:r>
          </w:p>
        </w:tc>
        <w:tc>
          <w:tcPr>
            <w:tcW w:w="1060" w:type="dxa"/>
            <w:vAlign w:val="bottom"/>
          </w:tcPr>
          <w:p>
            <w:pPr>
              <w:ind w:left="60"/>
              <w:spacing w:after="0"/>
              <w:rPr>
                <w:sz w:val="20"/>
                <w:szCs w:val="20"/>
                <w:color w:val="auto"/>
              </w:rPr>
            </w:pPr>
            <w:r>
              <w:rPr>
                <w:rFonts w:ascii="Arial" w:cs="Arial" w:eastAsia="Arial" w:hAnsi="Arial"/>
                <w:sz w:val="16"/>
                <w:szCs w:val="16"/>
                <w:color w:val="auto"/>
              </w:rPr>
              <w:t>Units (RSUs)</w:t>
            </w:r>
          </w:p>
        </w:tc>
        <w:tc>
          <w:tcPr>
            <w:tcW w:w="2760" w:type="dxa"/>
            <w:vAlign w:val="bottom"/>
          </w:tcPr>
          <w:p>
            <w:pPr>
              <w:ind w:left="60"/>
              <w:spacing w:after="0"/>
              <w:rPr>
                <w:sz w:val="20"/>
                <w:szCs w:val="20"/>
                <w:color w:val="auto"/>
              </w:rPr>
            </w:pPr>
            <w:r>
              <w:rPr>
                <w:rFonts w:ascii="Arial" w:cs="Arial" w:eastAsia="Arial" w:hAnsi="Arial"/>
                <w:sz w:val="16"/>
                <w:szCs w:val="16"/>
                <w:color w:val="auto"/>
              </w:rPr>
              <w:t>Align executive pay with long-term</w:t>
            </w:r>
          </w:p>
        </w:tc>
        <w:tc>
          <w:tcPr>
            <w:tcW w:w="2780" w:type="dxa"/>
            <w:vAlign w:val="bottom"/>
          </w:tcPr>
          <w:p>
            <w:pPr>
              <w:ind w:left="60"/>
              <w:spacing w:after="0"/>
              <w:rPr>
                <w:sz w:val="20"/>
                <w:szCs w:val="20"/>
                <w:color w:val="auto"/>
              </w:rPr>
            </w:pPr>
            <w:r>
              <w:rPr>
                <w:rFonts w:ascii="Arial" w:cs="Arial" w:eastAsia="Arial" w:hAnsi="Arial"/>
                <w:sz w:val="16"/>
                <w:szCs w:val="16"/>
                <w:color w:val="auto"/>
              </w:rPr>
              <w:t>Stock price alignment</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Variable</w:t>
            </w:r>
          </w:p>
        </w:tc>
        <w:tc>
          <w:tcPr>
            <w:tcW w:w="70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1480" w:type="dxa"/>
            <w:vAlign w:val="bottom"/>
          </w:tcPr>
          <w:p>
            <w:pPr>
              <w:jc w:val="center"/>
              <w:spacing w:after="0"/>
              <w:rPr>
                <w:sz w:val="20"/>
                <w:szCs w:val="20"/>
                <w:color w:val="auto"/>
              </w:rPr>
            </w:pPr>
            <w:r>
              <w:rPr>
                <w:rFonts w:ascii="Arial" w:cs="Arial" w:eastAsia="Arial" w:hAnsi="Arial"/>
                <w:sz w:val="16"/>
                <w:szCs w:val="16"/>
                <w:color w:val="auto"/>
              </w:rPr>
              <w:t>Fluctuates with</w:t>
            </w:r>
          </w:p>
        </w:tc>
      </w:tr>
      <w:tr>
        <w:trPr>
          <w:trHeight w:val="186"/>
        </w:trPr>
        <w:tc>
          <w:tcPr>
            <w:tcW w:w="1320" w:type="dxa"/>
            <w:vAlign w:val="bottom"/>
          </w:tcPr>
          <w:p>
            <w:pPr>
              <w:ind w:left="80"/>
              <w:spacing w:after="0"/>
              <w:rPr>
                <w:sz w:val="20"/>
                <w:szCs w:val="20"/>
                <w:color w:val="auto"/>
              </w:rPr>
            </w:pPr>
            <w:r>
              <w:rPr>
                <w:rFonts w:ascii="Arial" w:cs="Arial" w:eastAsia="Arial" w:hAnsi="Arial"/>
                <w:sz w:val="16"/>
                <w:szCs w:val="16"/>
                <w:color w:val="auto"/>
              </w:rPr>
              <w:t>under LTSIP</w:t>
            </w:r>
          </w:p>
        </w:tc>
        <w:tc>
          <w:tcPr>
            <w:tcW w:w="106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6"/>
                <w:szCs w:val="16"/>
                <w:color w:val="auto"/>
              </w:rPr>
              <w:t>stockholder interests through equity-</w:t>
            </w:r>
          </w:p>
        </w:tc>
        <w:tc>
          <w:tcPr>
            <w:tcW w:w="2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stock price</w:t>
            </w:r>
          </w:p>
        </w:tc>
      </w:tr>
      <w:tr>
        <w:trPr>
          <w:trHeight w:val="185"/>
        </w:trPr>
        <w:tc>
          <w:tcPr>
            <w:tcW w:w="1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based compensation</w:t>
            </w:r>
          </w:p>
        </w:tc>
        <w:tc>
          <w:tcPr>
            <w:tcW w:w="2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movement</w:t>
            </w:r>
          </w:p>
        </w:tc>
      </w:tr>
    </w:tbl>
    <w:p>
      <w:pPr>
        <w:spacing w:after="0" w:line="10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Narrative descriptions of the individual elements of compensation are set forth below.</w:t>
      </w:r>
    </w:p>
    <w:p>
      <w:pPr>
        <w:sectPr>
          <w:pgSz w:w="11900" w:h="16838" w:orient="portrait"/>
          <w:cols w:equalWidth="0" w:num="1">
            <w:col w:w="11160"/>
          </w:cols>
          <w:pgMar w:left="240" w:top="455" w:right="499" w:bottom="1440" w:gutter="0" w:footer="0" w:header="0"/>
        </w:sectPr>
      </w:pPr>
    </w:p>
    <w:p>
      <w:pPr>
        <w:spacing w:after="0" w:line="19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Base Salary</w:t>
      </w:r>
    </w:p>
    <w:p>
      <w:pPr>
        <w:spacing w:after="0" w:line="191" w:lineRule="exact"/>
        <w:rPr>
          <w:sz w:val="20"/>
          <w:szCs w:val="20"/>
          <w:color w:val="auto"/>
        </w:rPr>
      </w:pPr>
    </w:p>
    <w:p>
      <w:pPr>
        <w:ind w:left="280"/>
        <w:spacing w:after="0" w:line="248" w:lineRule="auto"/>
        <w:rPr>
          <w:sz w:val="20"/>
          <w:szCs w:val="20"/>
          <w:color w:val="auto"/>
        </w:rPr>
      </w:pPr>
      <w:r>
        <w:rPr>
          <w:rFonts w:ascii="Arial" w:cs="Arial" w:eastAsia="Arial" w:hAnsi="Arial"/>
          <w:sz w:val="16"/>
          <w:szCs w:val="16"/>
          <w:color w:val="auto"/>
        </w:rPr>
        <w:t>Base salary is used as an input for other elements of our compensation program. For example, annual incentive targets in 2018 were set as a percentage of base salary. Because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right="100"/>
        <w:spacing w:after="0" w:line="287" w:lineRule="auto"/>
        <w:rPr>
          <w:sz w:val="20"/>
          <w:szCs w:val="20"/>
          <w:color w:val="auto"/>
        </w:rPr>
      </w:pPr>
      <w:r>
        <w:rPr>
          <w:rFonts w:ascii="Arial" w:cs="Arial" w:eastAsia="Arial" w:hAnsi="Arial"/>
          <w:sz w:val="15"/>
          <w:szCs w:val="15"/>
          <w:color w:val="auto"/>
        </w:rPr>
        <w:t>amount of base salary can establish the range of potential compensation for other elements, we take special care in establishing base salary levels.</w:t>
      </w:r>
    </w:p>
    <w:p>
      <w:pPr>
        <w:spacing w:after="0" w:line="200" w:lineRule="exact"/>
        <w:rPr>
          <w:sz w:val="20"/>
          <w:szCs w:val="20"/>
          <w:color w:val="auto"/>
        </w:rPr>
      </w:pPr>
    </w:p>
    <w:p>
      <w:pPr>
        <w:spacing w:after="0" w:line="202" w:lineRule="exact"/>
        <w:rPr>
          <w:sz w:val="20"/>
          <w:szCs w:val="20"/>
          <w:color w:val="auto"/>
        </w:rPr>
      </w:pPr>
    </w:p>
    <w:p>
      <w:pPr>
        <w:ind w:left="3120"/>
        <w:spacing w:after="0"/>
        <w:tabs>
          <w:tab w:leader="none" w:pos="4800" w:val="left"/>
          <w:tab w:leader="none" w:pos="502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33</w:t>
      </w:r>
    </w:p>
    <w:p>
      <w:pPr>
        <w:sectPr>
          <w:pgSz w:w="11900" w:h="16838" w:orient="portrait"/>
          <w:cols w:equalWidth="0" w:num="2">
            <w:col w:w="5320" w:space="500"/>
            <w:col w:w="5340"/>
          </w:cols>
          <w:pgMar w:left="240" w:top="455" w:right="49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330"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Base salaries for our Named Executive Officers are targeted, on average, around the median level for comparable positions. On an annual basis, we review respective responsibilities, individual performance, the Company’s business performance and base salary levels for senior executives at companies within the Comparator Group and broader industrial survey. Base salaries for our executive officers are established at levels considered appropriate in light of the duties and scope of responsibilities of each officer’s position and considering internal pay equity and their experience relative to industry peers. Merit increases in base salary for our senior executives are also determined by the results of the Board’s annual leadership review. At this review, our CEO assesses the performance of our top executives and presents his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perspectives to our Board. Our CEO’s base salary and total compensation are reviewed by the Compensation Committee following the annual CEO performance review. Generally, in February of each year, the CEO and Compensation Committee reach agreement on his goals and objectives for the upcoming year, and the Compensation Committee evaluates his performance for the prior year against the prior year’s agreed goals and objectives. Our CEO has traditionally received a lower percentage of his total compensation in the form of fixed amounts like base salary relative to our other executives in order to link more closely his compensation to the performance of the Company. The 2017 and 2018 base salaries of our Named Executive Officers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-2144395</wp:posOffset>
            </wp:positionV>
            <wp:extent cx="729107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387" w:lineRule="exact"/>
        <w:rPr>
          <w:sz w:val="20"/>
          <w:szCs w:val="20"/>
          <w:color w:val="auto"/>
        </w:rPr>
      </w:pPr>
    </w:p>
    <w:p>
      <w:pPr>
        <w:sectPr>
          <w:pgSz w:w="11900" w:h="16838" w:orient="portrait"/>
          <w:cols w:equalWidth="0" w:num="2">
            <w:col w:w="5480" w:space="340"/>
            <w:col w:w="5340"/>
          </w:cols>
          <w:pgMar w:left="240" w:top="455" w:right="499" w:bottom="1440" w:gutter="0" w:footer="0" w:header="0"/>
        </w:sectPr>
      </w:pP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FFFFFF"/>
        </w:rPr>
        <w:t>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-106680</wp:posOffset>
            </wp:positionV>
            <wp:extent cx="6901815" cy="1181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01815" cy="118110"/>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00" w:type="dxa"/>
            <w:vAlign w:val="bottom"/>
          </w:tcPr>
          <w:p>
            <w:pPr>
              <w:jc w:val="right"/>
              <w:ind w:right="521"/>
              <w:spacing w:after="0"/>
              <w:rPr>
                <w:sz w:val="20"/>
                <w:szCs w:val="20"/>
                <w:color w:val="auto"/>
              </w:rPr>
            </w:pPr>
            <w:r>
              <w:rPr>
                <w:rFonts w:ascii="Arial" w:cs="Arial" w:eastAsia="Arial" w:hAnsi="Arial"/>
                <w:sz w:val="14"/>
                <w:szCs w:val="14"/>
                <w:b w:val="1"/>
                <w:bCs w:val="1"/>
                <w:color w:val="E2231A"/>
                <w:w w:val="99"/>
              </w:rPr>
              <w:t>2017 Base Salary Rate</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520" w:type="dxa"/>
            <w:vAlign w:val="bottom"/>
          </w:tcPr>
          <w:p>
            <w:pPr>
              <w:spacing w:after="0"/>
              <w:rPr>
                <w:sz w:val="14"/>
                <w:szCs w:val="14"/>
                <w:color w:val="auto"/>
              </w:rPr>
            </w:pPr>
          </w:p>
        </w:tc>
      </w:tr>
      <w:tr>
        <w:trPr>
          <w:trHeight w:val="186"/>
        </w:trPr>
        <w:tc>
          <w:tcPr>
            <w:tcW w:w="19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E2231A"/>
              </w:rPr>
              <w:t>Effective January 1, 2017</w:t>
            </w:r>
          </w:p>
        </w:tc>
        <w:tc>
          <w:tcPr>
            <w:tcW w:w="2700" w:type="dxa"/>
            <w:vAlign w:val="bottom"/>
            <w:tcBorders>
              <w:bottom w:val="single" w:sz="8" w:color="auto"/>
            </w:tcBorders>
            <w:gridSpan w:val="2"/>
          </w:tcPr>
          <w:p>
            <w:pPr>
              <w:ind w:left="500"/>
              <w:spacing w:after="0" w:line="187" w:lineRule="exact"/>
              <w:rPr>
                <w:sz w:val="20"/>
                <w:szCs w:val="20"/>
                <w:color w:val="auto"/>
              </w:rPr>
            </w:pPr>
            <w:r>
              <w:rPr>
                <w:rFonts w:ascii="Arial" w:cs="Arial" w:eastAsia="Arial" w:hAnsi="Arial"/>
                <w:sz w:val="13"/>
                <w:szCs w:val="13"/>
                <w:b w:val="1"/>
                <w:bCs w:val="1"/>
                <w:color w:val="E2231A"/>
              </w:rPr>
              <w:t>2018 Base Salary Rate</w:t>
            </w:r>
            <w:r>
              <w:rPr>
                <w:rFonts w:ascii="Arial" w:cs="Arial" w:eastAsia="Arial" w:hAnsi="Arial"/>
                <w:sz w:val="21"/>
                <w:szCs w:val="21"/>
                <w:b w:val="1"/>
                <w:bCs w:val="1"/>
                <w:color w:val="E2231A"/>
                <w:vertAlign w:val="superscript"/>
              </w:rPr>
              <w:t>(1)</w:t>
            </w:r>
          </w:p>
        </w:tc>
        <w:tc>
          <w:tcPr>
            <w:tcW w:w="3520" w:type="dxa"/>
            <w:vAlign w:val="bottom"/>
            <w:tcBorders>
              <w:bottom w:val="single" w:sz="8" w:color="auto"/>
            </w:tcBorders>
          </w:tcPr>
          <w:p>
            <w:pPr>
              <w:jc w:val="center"/>
              <w:ind w:left="380"/>
              <w:spacing w:after="0"/>
              <w:rPr>
                <w:sz w:val="20"/>
                <w:szCs w:val="20"/>
                <w:color w:val="auto"/>
              </w:rPr>
            </w:pPr>
            <w:r>
              <w:rPr>
                <w:rFonts w:ascii="Arial" w:cs="Arial" w:eastAsia="Arial" w:hAnsi="Arial"/>
                <w:sz w:val="16"/>
                <w:szCs w:val="16"/>
                <w:color w:val="auto"/>
                <w:w w:val="98"/>
              </w:rPr>
              <w:t>Reason for Increase</w:t>
            </w:r>
          </w:p>
        </w:tc>
      </w:tr>
      <w:tr>
        <w:trPr>
          <w:trHeight w:val="180"/>
        </w:trPr>
        <w:tc>
          <w:tcPr>
            <w:tcW w:w="1980" w:type="dxa"/>
            <w:vAlign w:val="bottom"/>
            <w:shd w:val="clear" w:color="auto" w:fill="FCE9E8"/>
          </w:tcPr>
          <w:p>
            <w:pPr>
              <w:spacing w:after="0" w:line="180" w:lineRule="exact"/>
              <w:rPr>
                <w:sz w:val="20"/>
                <w:szCs w:val="20"/>
                <w:color w:val="auto"/>
              </w:rPr>
            </w:pPr>
            <w:r>
              <w:rPr>
                <w:rFonts w:ascii="Arial" w:cs="Arial" w:eastAsia="Arial" w:hAnsi="Arial"/>
                <w:sz w:val="16"/>
                <w:szCs w:val="16"/>
                <w:color w:val="auto"/>
              </w:rPr>
              <w:t>Raymond E. Scott</w:t>
            </w:r>
          </w:p>
        </w:tc>
        <w:tc>
          <w:tcPr>
            <w:tcW w:w="580" w:type="dxa"/>
            <w:vAlign w:val="bottom"/>
            <w:shd w:val="clear" w:color="auto" w:fill="FCE9E8"/>
          </w:tcPr>
          <w:p>
            <w:pPr>
              <w:ind w:left="480"/>
              <w:spacing w:after="0" w:line="180" w:lineRule="exact"/>
              <w:rPr>
                <w:sz w:val="20"/>
                <w:szCs w:val="20"/>
                <w:color w:val="auto"/>
              </w:rPr>
            </w:pPr>
            <w:r>
              <w:rPr>
                <w:rFonts w:ascii="Arial" w:cs="Arial" w:eastAsia="Arial" w:hAnsi="Arial"/>
                <w:sz w:val="16"/>
                <w:szCs w:val="16"/>
                <w:color w:val="auto"/>
                <w:w w:val="89"/>
              </w:rPr>
              <w:t>$</w:t>
            </w:r>
          </w:p>
        </w:tc>
        <w:tc>
          <w:tcPr>
            <w:tcW w:w="2100" w:type="dxa"/>
            <w:vAlign w:val="bottom"/>
            <w:shd w:val="clear" w:color="auto" w:fill="FCE9E8"/>
          </w:tcPr>
          <w:p>
            <w:pPr>
              <w:jc w:val="right"/>
              <w:ind w:right="421"/>
              <w:spacing w:after="0" w:line="180" w:lineRule="exact"/>
              <w:rPr>
                <w:sz w:val="20"/>
                <w:szCs w:val="20"/>
                <w:color w:val="auto"/>
              </w:rPr>
            </w:pPr>
            <w:r>
              <w:rPr>
                <w:rFonts w:ascii="Arial" w:cs="Arial" w:eastAsia="Arial" w:hAnsi="Arial"/>
                <w:sz w:val="16"/>
                <w:szCs w:val="16"/>
                <w:color w:val="auto"/>
              </w:rPr>
              <w:t>855,098</w:t>
            </w:r>
          </w:p>
        </w:tc>
        <w:tc>
          <w:tcPr>
            <w:tcW w:w="1020" w:type="dxa"/>
            <w:vAlign w:val="bottom"/>
            <w:shd w:val="clear" w:color="auto" w:fill="FCE9E8"/>
          </w:tcPr>
          <w:p>
            <w:pPr>
              <w:ind w:left="500"/>
              <w:spacing w:after="0" w:line="180" w:lineRule="exact"/>
              <w:rPr>
                <w:sz w:val="20"/>
                <w:szCs w:val="20"/>
                <w:color w:val="auto"/>
              </w:rPr>
            </w:pPr>
            <w:r>
              <w:rPr>
                <w:rFonts w:ascii="Arial" w:cs="Arial" w:eastAsia="Arial" w:hAnsi="Arial"/>
                <w:sz w:val="16"/>
                <w:szCs w:val="16"/>
                <w:color w:val="auto"/>
              </w:rPr>
              <w:t>$</w:t>
            </w:r>
          </w:p>
        </w:tc>
        <w:tc>
          <w:tcPr>
            <w:tcW w:w="1680" w:type="dxa"/>
            <w:vAlign w:val="bottom"/>
            <w:shd w:val="clear" w:color="auto" w:fill="FCE9E8"/>
          </w:tcPr>
          <w:p>
            <w:pPr>
              <w:jc w:val="right"/>
              <w:ind w:right="460"/>
              <w:spacing w:after="0" w:line="180" w:lineRule="exact"/>
              <w:rPr>
                <w:sz w:val="20"/>
                <w:szCs w:val="20"/>
                <w:color w:val="auto"/>
              </w:rPr>
            </w:pPr>
            <w:r>
              <w:rPr>
                <w:rFonts w:ascii="Arial" w:cs="Arial" w:eastAsia="Arial" w:hAnsi="Arial"/>
                <w:sz w:val="16"/>
                <w:szCs w:val="16"/>
                <w:color w:val="auto"/>
              </w:rPr>
              <w:t>1,160,000</w:t>
            </w:r>
          </w:p>
        </w:tc>
        <w:tc>
          <w:tcPr>
            <w:tcW w:w="3520" w:type="dxa"/>
            <w:vAlign w:val="bottom"/>
            <w:shd w:val="clear" w:color="auto" w:fill="FCE9E8"/>
          </w:tcPr>
          <w:p>
            <w:pPr>
              <w:jc w:val="center"/>
              <w:ind w:left="380"/>
              <w:spacing w:after="0" w:line="180" w:lineRule="exact"/>
              <w:rPr>
                <w:sz w:val="20"/>
                <w:szCs w:val="20"/>
                <w:color w:val="auto"/>
              </w:rPr>
            </w:pPr>
            <w:r>
              <w:rPr>
                <w:rFonts w:ascii="Arial" w:cs="Arial" w:eastAsia="Arial" w:hAnsi="Arial"/>
                <w:sz w:val="16"/>
                <w:szCs w:val="16"/>
                <w:color w:val="auto"/>
                <w:w w:val="99"/>
              </w:rPr>
              <w:t>In consideration of promotion to CEO</w:t>
            </w:r>
          </w:p>
        </w:tc>
      </w:tr>
      <w:tr>
        <w:trPr>
          <w:trHeight w:val="186"/>
        </w:trPr>
        <w:tc>
          <w:tcPr>
            <w:tcW w:w="1980" w:type="dxa"/>
            <w:vAlign w:val="bottom"/>
          </w:tcPr>
          <w:p>
            <w:pPr>
              <w:spacing w:after="0"/>
              <w:rPr>
                <w:sz w:val="20"/>
                <w:szCs w:val="20"/>
                <w:color w:val="auto"/>
              </w:rPr>
            </w:pPr>
            <w:r>
              <w:rPr>
                <w:rFonts w:ascii="Arial" w:cs="Arial" w:eastAsia="Arial" w:hAnsi="Arial"/>
                <w:sz w:val="16"/>
                <w:szCs w:val="16"/>
                <w:color w:val="auto"/>
              </w:rPr>
              <w:t>Jeffrey H. Vanneste</w:t>
            </w:r>
          </w:p>
        </w:tc>
        <w:tc>
          <w:tcPr>
            <w:tcW w:w="580" w:type="dxa"/>
            <w:vAlign w:val="bottom"/>
          </w:tcPr>
          <w:p>
            <w:pPr>
              <w:ind w:left="480"/>
              <w:spacing w:after="0"/>
              <w:rPr>
                <w:sz w:val="20"/>
                <w:szCs w:val="20"/>
                <w:color w:val="auto"/>
              </w:rPr>
            </w:pPr>
            <w:r>
              <w:rPr>
                <w:rFonts w:ascii="Arial" w:cs="Arial" w:eastAsia="Arial" w:hAnsi="Arial"/>
                <w:sz w:val="16"/>
                <w:szCs w:val="16"/>
                <w:color w:val="auto"/>
                <w:w w:val="89"/>
              </w:rPr>
              <w:t>$</w:t>
            </w:r>
          </w:p>
        </w:tc>
        <w:tc>
          <w:tcPr>
            <w:tcW w:w="2100" w:type="dxa"/>
            <w:vAlign w:val="bottom"/>
          </w:tcPr>
          <w:p>
            <w:pPr>
              <w:jc w:val="right"/>
              <w:ind w:right="421"/>
              <w:spacing w:after="0"/>
              <w:rPr>
                <w:sz w:val="20"/>
                <w:szCs w:val="20"/>
                <w:color w:val="auto"/>
              </w:rPr>
            </w:pPr>
            <w:r>
              <w:rPr>
                <w:rFonts w:ascii="Arial" w:cs="Arial" w:eastAsia="Arial" w:hAnsi="Arial"/>
                <w:sz w:val="16"/>
                <w:szCs w:val="16"/>
                <w:color w:val="auto"/>
              </w:rPr>
              <w:t>827,750</w:t>
            </w:r>
          </w:p>
        </w:tc>
        <w:tc>
          <w:tcPr>
            <w:tcW w:w="1020" w:type="dxa"/>
            <w:vAlign w:val="bottom"/>
          </w:tcPr>
          <w:p>
            <w:pPr>
              <w:ind w:left="50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60"/>
              <w:spacing w:after="0"/>
              <w:rPr>
                <w:sz w:val="20"/>
                <w:szCs w:val="20"/>
                <w:color w:val="auto"/>
              </w:rPr>
            </w:pPr>
            <w:r>
              <w:rPr>
                <w:rFonts w:ascii="Arial" w:cs="Arial" w:eastAsia="Arial" w:hAnsi="Arial"/>
                <w:sz w:val="16"/>
                <w:szCs w:val="16"/>
                <w:color w:val="auto"/>
              </w:rPr>
              <w:t>827,750</w:t>
            </w:r>
          </w:p>
        </w:tc>
        <w:tc>
          <w:tcPr>
            <w:tcW w:w="3520" w:type="dxa"/>
            <w:vAlign w:val="bottom"/>
          </w:tcPr>
          <w:p>
            <w:pPr>
              <w:jc w:val="center"/>
              <w:ind w:left="380"/>
              <w:spacing w:after="0"/>
              <w:rPr>
                <w:sz w:val="20"/>
                <w:szCs w:val="20"/>
                <w:color w:val="auto"/>
              </w:rPr>
            </w:pPr>
            <w:r>
              <w:rPr>
                <w:rFonts w:ascii="Arial" w:cs="Arial" w:eastAsia="Arial" w:hAnsi="Arial"/>
                <w:sz w:val="16"/>
                <w:szCs w:val="16"/>
                <w:color w:val="auto"/>
                <w:w w:val="87"/>
              </w:rPr>
              <w:t>—</w:t>
            </w:r>
          </w:p>
        </w:tc>
      </w:tr>
      <w:tr>
        <w:trPr>
          <w:trHeight w:val="186"/>
        </w:trPr>
        <w:tc>
          <w:tcPr>
            <w:tcW w:w="1980" w:type="dxa"/>
            <w:vAlign w:val="bottom"/>
            <w:shd w:val="clear" w:color="auto" w:fill="FCE9E8"/>
          </w:tcPr>
          <w:p>
            <w:pPr>
              <w:spacing w:after="0"/>
              <w:rPr>
                <w:sz w:val="20"/>
                <w:szCs w:val="20"/>
                <w:color w:val="auto"/>
              </w:rPr>
            </w:pPr>
            <w:r>
              <w:rPr>
                <w:rFonts w:ascii="Arial" w:cs="Arial" w:eastAsia="Arial" w:hAnsi="Arial"/>
                <w:sz w:val="16"/>
                <w:szCs w:val="16"/>
                <w:color w:val="auto"/>
              </w:rPr>
              <w:t>Terrence B. Larkin</w:t>
            </w:r>
          </w:p>
        </w:tc>
        <w:tc>
          <w:tcPr>
            <w:tcW w:w="580" w:type="dxa"/>
            <w:vAlign w:val="bottom"/>
            <w:shd w:val="clear" w:color="auto" w:fill="FCE9E8"/>
          </w:tcPr>
          <w:p>
            <w:pPr>
              <w:ind w:left="480"/>
              <w:spacing w:after="0"/>
              <w:rPr>
                <w:sz w:val="20"/>
                <w:szCs w:val="20"/>
                <w:color w:val="auto"/>
              </w:rPr>
            </w:pPr>
            <w:r>
              <w:rPr>
                <w:rFonts w:ascii="Arial" w:cs="Arial" w:eastAsia="Arial" w:hAnsi="Arial"/>
                <w:sz w:val="16"/>
                <w:szCs w:val="16"/>
                <w:color w:val="auto"/>
                <w:w w:val="89"/>
              </w:rPr>
              <w:t>$</w:t>
            </w:r>
          </w:p>
        </w:tc>
        <w:tc>
          <w:tcPr>
            <w:tcW w:w="2100" w:type="dxa"/>
            <w:vAlign w:val="bottom"/>
            <w:shd w:val="clear" w:color="auto" w:fill="FCE9E8"/>
          </w:tcPr>
          <w:p>
            <w:pPr>
              <w:jc w:val="right"/>
              <w:ind w:right="421"/>
              <w:spacing w:after="0"/>
              <w:rPr>
                <w:sz w:val="20"/>
                <w:szCs w:val="20"/>
                <w:color w:val="auto"/>
              </w:rPr>
            </w:pPr>
            <w:r>
              <w:rPr>
                <w:rFonts w:ascii="Arial" w:cs="Arial" w:eastAsia="Arial" w:hAnsi="Arial"/>
                <w:sz w:val="16"/>
                <w:szCs w:val="16"/>
                <w:color w:val="auto"/>
              </w:rPr>
              <w:t>855,098</w:t>
            </w:r>
          </w:p>
        </w:tc>
        <w:tc>
          <w:tcPr>
            <w:tcW w:w="1020" w:type="dxa"/>
            <w:vAlign w:val="bottom"/>
            <w:shd w:val="clear" w:color="auto" w:fill="FCE9E8"/>
          </w:tcPr>
          <w:p>
            <w:pPr>
              <w:ind w:left="500"/>
              <w:spacing w:after="0"/>
              <w:rPr>
                <w:sz w:val="20"/>
                <w:szCs w:val="20"/>
                <w:color w:val="auto"/>
              </w:rPr>
            </w:pPr>
            <w:r>
              <w:rPr>
                <w:rFonts w:ascii="Arial" w:cs="Arial" w:eastAsia="Arial" w:hAnsi="Arial"/>
                <w:sz w:val="16"/>
                <w:szCs w:val="16"/>
                <w:color w:val="auto"/>
              </w:rPr>
              <w:t>$</w:t>
            </w:r>
          </w:p>
        </w:tc>
        <w:tc>
          <w:tcPr>
            <w:tcW w:w="1680" w:type="dxa"/>
            <w:vAlign w:val="bottom"/>
            <w:shd w:val="clear" w:color="auto" w:fill="FCE9E8"/>
          </w:tcPr>
          <w:p>
            <w:pPr>
              <w:jc w:val="right"/>
              <w:ind w:right="460"/>
              <w:spacing w:after="0"/>
              <w:rPr>
                <w:sz w:val="20"/>
                <w:szCs w:val="20"/>
                <w:color w:val="auto"/>
              </w:rPr>
            </w:pPr>
            <w:r>
              <w:rPr>
                <w:rFonts w:ascii="Arial" w:cs="Arial" w:eastAsia="Arial" w:hAnsi="Arial"/>
                <w:sz w:val="16"/>
                <w:szCs w:val="16"/>
                <w:color w:val="auto"/>
              </w:rPr>
              <w:t>855,098</w:t>
            </w:r>
          </w:p>
        </w:tc>
        <w:tc>
          <w:tcPr>
            <w:tcW w:w="3520" w:type="dxa"/>
            <w:vAlign w:val="bottom"/>
            <w:shd w:val="clear" w:color="auto" w:fill="FCE9E8"/>
          </w:tcPr>
          <w:p>
            <w:pPr>
              <w:jc w:val="center"/>
              <w:ind w:left="380"/>
              <w:spacing w:after="0"/>
              <w:rPr>
                <w:sz w:val="20"/>
                <w:szCs w:val="20"/>
                <w:color w:val="auto"/>
              </w:rPr>
            </w:pPr>
            <w:r>
              <w:rPr>
                <w:rFonts w:ascii="Arial" w:cs="Arial" w:eastAsia="Arial" w:hAnsi="Arial"/>
                <w:sz w:val="16"/>
                <w:szCs w:val="16"/>
                <w:color w:val="auto"/>
                <w:w w:val="87"/>
              </w:rPr>
              <w:t>—</w:t>
            </w:r>
          </w:p>
        </w:tc>
      </w:tr>
      <w:tr>
        <w:trPr>
          <w:trHeight w:val="188"/>
        </w:trPr>
        <w:tc>
          <w:tcPr>
            <w:tcW w:w="1980" w:type="dxa"/>
            <w:vAlign w:val="bottom"/>
          </w:tcPr>
          <w:p>
            <w:pPr>
              <w:spacing w:after="0"/>
              <w:rPr>
                <w:sz w:val="20"/>
                <w:szCs w:val="20"/>
                <w:color w:val="auto"/>
              </w:rPr>
            </w:pPr>
            <w:r>
              <w:rPr>
                <w:rFonts w:ascii="Arial" w:cs="Arial" w:eastAsia="Arial" w:hAnsi="Arial"/>
                <w:sz w:val="16"/>
                <w:szCs w:val="16"/>
                <w:color w:val="auto"/>
              </w:rPr>
              <w:t>Frank C. Orsini</w:t>
            </w:r>
          </w:p>
        </w:tc>
        <w:tc>
          <w:tcPr>
            <w:tcW w:w="580" w:type="dxa"/>
            <w:vAlign w:val="bottom"/>
          </w:tcPr>
          <w:p>
            <w:pPr>
              <w:ind w:left="480"/>
              <w:spacing w:after="0"/>
              <w:rPr>
                <w:sz w:val="20"/>
                <w:szCs w:val="20"/>
                <w:color w:val="auto"/>
              </w:rPr>
            </w:pPr>
            <w:r>
              <w:rPr>
                <w:rFonts w:ascii="Arial" w:cs="Arial" w:eastAsia="Arial" w:hAnsi="Arial"/>
                <w:sz w:val="16"/>
                <w:szCs w:val="16"/>
                <w:color w:val="auto"/>
                <w:w w:val="89"/>
              </w:rPr>
              <w:t>$</w:t>
            </w:r>
          </w:p>
        </w:tc>
        <w:tc>
          <w:tcPr>
            <w:tcW w:w="2100" w:type="dxa"/>
            <w:vAlign w:val="bottom"/>
          </w:tcPr>
          <w:p>
            <w:pPr>
              <w:jc w:val="right"/>
              <w:ind w:right="421"/>
              <w:spacing w:after="0"/>
              <w:rPr>
                <w:sz w:val="20"/>
                <w:szCs w:val="20"/>
                <w:color w:val="auto"/>
              </w:rPr>
            </w:pPr>
            <w:r>
              <w:rPr>
                <w:rFonts w:ascii="Arial" w:cs="Arial" w:eastAsia="Arial" w:hAnsi="Arial"/>
                <w:sz w:val="16"/>
                <w:szCs w:val="16"/>
                <w:color w:val="auto"/>
              </w:rPr>
              <w:t>736,375</w:t>
            </w:r>
          </w:p>
        </w:tc>
        <w:tc>
          <w:tcPr>
            <w:tcW w:w="1020" w:type="dxa"/>
            <w:vAlign w:val="bottom"/>
          </w:tcPr>
          <w:p>
            <w:pPr>
              <w:ind w:left="50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60"/>
              <w:spacing w:after="0"/>
              <w:rPr>
                <w:sz w:val="20"/>
                <w:szCs w:val="20"/>
                <w:color w:val="auto"/>
              </w:rPr>
            </w:pPr>
            <w:r>
              <w:rPr>
                <w:rFonts w:ascii="Arial" w:cs="Arial" w:eastAsia="Arial" w:hAnsi="Arial"/>
                <w:sz w:val="16"/>
                <w:szCs w:val="16"/>
                <w:color w:val="auto"/>
              </w:rPr>
              <w:t>770,000</w:t>
            </w:r>
          </w:p>
        </w:tc>
        <w:tc>
          <w:tcPr>
            <w:tcW w:w="3520" w:type="dxa"/>
            <w:vAlign w:val="bottom"/>
          </w:tcPr>
          <w:p>
            <w:pPr>
              <w:jc w:val="center"/>
              <w:ind w:left="380"/>
              <w:spacing w:after="0"/>
              <w:rPr>
                <w:sz w:val="20"/>
                <w:szCs w:val="20"/>
                <w:color w:val="auto"/>
              </w:rPr>
            </w:pPr>
            <w:r>
              <w:rPr>
                <w:rFonts w:ascii="Arial" w:cs="Arial" w:eastAsia="Arial" w:hAnsi="Arial"/>
                <w:sz w:val="16"/>
                <w:szCs w:val="16"/>
                <w:color w:val="auto"/>
                <w:w w:val="99"/>
              </w:rPr>
              <w:t>In consideration of promotion to EVP and</w:t>
            </w:r>
          </w:p>
        </w:tc>
      </w:tr>
      <w:tr>
        <w:trPr>
          <w:trHeight w:val="185"/>
        </w:trPr>
        <w:tc>
          <w:tcPr>
            <w:tcW w:w="1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520" w:type="dxa"/>
            <w:vAlign w:val="bottom"/>
          </w:tcPr>
          <w:p>
            <w:pPr>
              <w:jc w:val="center"/>
              <w:ind w:left="380"/>
              <w:spacing w:after="0"/>
              <w:rPr>
                <w:sz w:val="20"/>
                <w:szCs w:val="20"/>
                <w:color w:val="auto"/>
              </w:rPr>
            </w:pPr>
            <w:r>
              <w:rPr>
                <w:rFonts w:ascii="Arial" w:cs="Arial" w:eastAsia="Arial" w:hAnsi="Arial"/>
                <w:sz w:val="16"/>
                <w:szCs w:val="16"/>
                <w:color w:val="auto"/>
                <w:w w:val="99"/>
              </w:rPr>
              <w:t>President, Seating</w:t>
            </w:r>
          </w:p>
        </w:tc>
      </w:tr>
      <w:tr>
        <w:trPr>
          <w:trHeight w:val="186"/>
        </w:trPr>
        <w:tc>
          <w:tcPr>
            <w:tcW w:w="1980" w:type="dxa"/>
            <w:vAlign w:val="bottom"/>
            <w:shd w:val="clear" w:color="auto" w:fill="FCE9E8"/>
          </w:tcPr>
          <w:p>
            <w:pPr>
              <w:spacing w:after="0"/>
              <w:rPr>
                <w:sz w:val="20"/>
                <w:szCs w:val="20"/>
                <w:color w:val="auto"/>
              </w:rPr>
            </w:pPr>
            <w:r>
              <w:rPr>
                <w:rFonts w:ascii="Arial" w:cs="Arial" w:eastAsia="Arial" w:hAnsi="Arial"/>
                <w:sz w:val="16"/>
                <w:szCs w:val="16"/>
                <w:color w:val="auto"/>
              </w:rPr>
              <w:t>Thomas A. DiDonato</w:t>
            </w:r>
          </w:p>
        </w:tc>
        <w:tc>
          <w:tcPr>
            <w:tcW w:w="580" w:type="dxa"/>
            <w:vAlign w:val="bottom"/>
            <w:shd w:val="clear" w:color="auto" w:fill="FCE9E8"/>
          </w:tcPr>
          <w:p>
            <w:pPr>
              <w:ind w:left="480"/>
              <w:spacing w:after="0"/>
              <w:rPr>
                <w:sz w:val="20"/>
                <w:szCs w:val="20"/>
                <w:color w:val="auto"/>
              </w:rPr>
            </w:pPr>
            <w:r>
              <w:rPr>
                <w:rFonts w:ascii="Arial" w:cs="Arial" w:eastAsia="Arial" w:hAnsi="Arial"/>
                <w:sz w:val="16"/>
                <w:szCs w:val="16"/>
                <w:color w:val="auto"/>
                <w:w w:val="89"/>
              </w:rPr>
              <w:t>$</w:t>
            </w:r>
          </w:p>
        </w:tc>
        <w:tc>
          <w:tcPr>
            <w:tcW w:w="2100" w:type="dxa"/>
            <w:vAlign w:val="bottom"/>
            <w:shd w:val="clear" w:color="auto" w:fill="FCE9E8"/>
          </w:tcPr>
          <w:p>
            <w:pPr>
              <w:jc w:val="right"/>
              <w:ind w:right="421"/>
              <w:spacing w:after="0"/>
              <w:rPr>
                <w:sz w:val="20"/>
                <w:szCs w:val="20"/>
                <w:color w:val="auto"/>
              </w:rPr>
            </w:pPr>
            <w:r>
              <w:rPr>
                <w:rFonts w:ascii="Arial" w:cs="Arial" w:eastAsia="Arial" w:hAnsi="Arial"/>
                <w:sz w:val="16"/>
                <w:szCs w:val="16"/>
                <w:color w:val="auto"/>
              </w:rPr>
              <w:t>671,875</w:t>
            </w:r>
          </w:p>
        </w:tc>
        <w:tc>
          <w:tcPr>
            <w:tcW w:w="1020" w:type="dxa"/>
            <w:vAlign w:val="bottom"/>
            <w:shd w:val="clear" w:color="auto" w:fill="FCE9E8"/>
          </w:tcPr>
          <w:p>
            <w:pPr>
              <w:ind w:left="500"/>
              <w:spacing w:after="0"/>
              <w:rPr>
                <w:sz w:val="20"/>
                <w:szCs w:val="20"/>
                <w:color w:val="auto"/>
              </w:rPr>
            </w:pPr>
            <w:r>
              <w:rPr>
                <w:rFonts w:ascii="Arial" w:cs="Arial" w:eastAsia="Arial" w:hAnsi="Arial"/>
                <w:sz w:val="16"/>
                <w:szCs w:val="16"/>
                <w:color w:val="auto"/>
              </w:rPr>
              <w:t>$</w:t>
            </w:r>
          </w:p>
        </w:tc>
        <w:tc>
          <w:tcPr>
            <w:tcW w:w="1680" w:type="dxa"/>
            <w:vAlign w:val="bottom"/>
            <w:shd w:val="clear" w:color="auto" w:fill="FCE9E8"/>
          </w:tcPr>
          <w:p>
            <w:pPr>
              <w:jc w:val="right"/>
              <w:ind w:right="460"/>
              <w:spacing w:after="0"/>
              <w:rPr>
                <w:sz w:val="20"/>
                <w:szCs w:val="20"/>
                <w:color w:val="auto"/>
              </w:rPr>
            </w:pPr>
            <w:r>
              <w:rPr>
                <w:rFonts w:ascii="Arial" w:cs="Arial" w:eastAsia="Arial" w:hAnsi="Arial"/>
                <w:sz w:val="16"/>
                <w:szCs w:val="16"/>
                <w:color w:val="auto"/>
              </w:rPr>
              <w:t>671,875</w:t>
            </w:r>
          </w:p>
        </w:tc>
        <w:tc>
          <w:tcPr>
            <w:tcW w:w="3520" w:type="dxa"/>
            <w:vAlign w:val="bottom"/>
            <w:shd w:val="clear" w:color="auto" w:fill="FCE9E8"/>
          </w:tcPr>
          <w:p>
            <w:pPr>
              <w:jc w:val="center"/>
              <w:ind w:left="380"/>
              <w:spacing w:after="0"/>
              <w:rPr>
                <w:sz w:val="20"/>
                <w:szCs w:val="20"/>
                <w:color w:val="auto"/>
              </w:rPr>
            </w:pPr>
            <w:r>
              <w:rPr>
                <w:rFonts w:ascii="Arial" w:cs="Arial" w:eastAsia="Arial" w:hAnsi="Arial"/>
                <w:sz w:val="16"/>
                <w:szCs w:val="16"/>
                <w:color w:val="auto"/>
                <w:w w:val="87"/>
              </w:rPr>
              <w:t>—</w:t>
            </w:r>
          </w:p>
        </w:tc>
      </w:tr>
      <w:tr>
        <w:trPr>
          <w:trHeight w:val="195"/>
        </w:trPr>
        <w:tc>
          <w:tcPr>
            <w:tcW w:w="1980" w:type="dxa"/>
            <w:vAlign w:val="bottom"/>
          </w:tcPr>
          <w:p>
            <w:pPr>
              <w:spacing w:after="0"/>
              <w:rPr>
                <w:sz w:val="20"/>
                <w:szCs w:val="20"/>
                <w:color w:val="auto"/>
              </w:rPr>
            </w:pPr>
            <w:r>
              <w:rPr>
                <w:rFonts w:ascii="Arial" w:cs="Arial" w:eastAsia="Arial" w:hAnsi="Arial"/>
                <w:sz w:val="16"/>
                <w:szCs w:val="16"/>
                <w:color w:val="auto"/>
              </w:rPr>
              <w:t>Matthew J. Simoncini</w:t>
            </w:r>
          </w:p>
        </w:tc>
        <w:tc>
          <w:tcPr>
            <w:tcW w:w="580" w:type="dxa"/>
            <w:vAlign w:val="bottom"/>
          </w:tcPr>
          <w:p>
            <w:pPr>
              <w:ind w:left="480"/>
              <w:spacing w:after="0"/>
              <w:rPr>
                <w:sz w:val="20"/>
                <w:szCs w:val="20"/>
                <w:color w:val="auto"/>
              </w:rPr>
            </w:pPr>
            <w:r>
              <w:rPr>
                <w:rFonts w:ascii="Arial" w:cs="Arial" w:eastAsia="Arial" w:hAnsi="Arial"/>
                <w:sz w:val="16"/>
                <w:szCs w:val="16"/>
                <w:color w:val="auto"/>
                <w:w w:val="89"/>
              </w:rPr>
              <w:t>$</w:t>
            </w:r>
          </w:p>
        </w:tc>
        <w:tc>
          <w:tcPr>
            <w:tcW w:w="2100" w:type="dxa"/>
            <w:vAlign w:val="bottom"/>
          </w:tcPr>
          <w:p>
            <w:pPr>
              <w:jc w:val="right"/>
              <w:ind w:right="421"/>
              <w:spacing w:after="0"/>
              <w:rPr>
                <w:sz w:val="20"/>
                <w:szCs w:val="20"/>
                <w:color w:val="auto"/>
              </w:rPr>
            </w:pPr>
            <w:r>
              <w:rPr>
                <w:rFonts w:ascii="Arial" w:cs="Arial" w:eastAsia="Arial" w:hAnsi="Arial"/>
                <w:sz w:val="16"/>
                <w:szCs w:val="16"/>
                <w:color w:val="auto"/>
              </w:rPr>
              <w:t>1,354,500</w:t>
            </w:r>
          </w:p>
        </w:tc>
        <w:tc>
          <w:tcPr>
            <w:tcW w:w="1020" w:type="dxa"/>
            <w:vAlign w:val="bottom"/>
          </w:tcPr>
          <w:p>
            <w:pPr>
              <w:ind w:left="50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60"/>
              <w:spacing w:after="0"/>
              <w:rPr>
                <w:sz w:val="20"/>
                <w:szCs w:val="20"/>
                <w:color w:val="auto"/>
              </w:rPr>
            </w:pPr>
            <w:r>
              <w:rPr>
                <w:rFonts w:ascii="Arial" w:cs="Arial" w:eastAsia="Arial" w:hAnsi="Arial"/>
                <w:sz w:val="16"/>
                <w:szCs w:val="16"/>
                <w:color w:val="auto"/>
              </w:rPr>
              <w:t>180,000</w:t>
            </w:r>
          </w:p>
        </w:tc>
        <w:tc>
          <w:tcPr>
            <w:tcW w:w="3520" w:type="dxa"/>
            <w:vAlign w:val="bottom"/>
          </w:tcPr>
          <w:p>
            <w:pPr>
              <w:jc w:val="center"/>
              <w:ind w:left="380"/>
              <w:spacing w:after="0"/>
              <w:rPr>
                <w:sz w:val="20"/>
                <w:szCs w:val="20"/>
                <w:color w:val="auto"/>
              </w:rPr>
            </w:pPr>
            <w:r>
              <w:rPr>
                <w:rFonts w:ascii="Arial" w:cs="Arial" w:eastAsia="Arial" w:hAnsi="Arial"/>
                <w:sz w:val="16"/>
                <w:szCs w:val="16"/>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-4445</wp:posOffset>
            </wp:positionV>
            <wp:extent cx="69018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jc w:val="both"/>
        <w:ind w:left="600" w:right="200" w:hanging="320"/>
        <w:spacing w:after="0" w:line="196" w:lineRule="auto"/>
        <w:tabs>
          <w:tab w:leader="none" w:pos="60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As described under the heading “CEO Transition” following the Summary Compensation Table below, in connection with Mr. Simoncini’s resignation as President and CEO, effective February 28, 2018, Mr. Simoncini’s base salary was reduced to $15,000 per month. Messrs. Scott and Orsini’s base salaries were increased, effective March 1, 2018, in connection with their respective promotions. All other Named Executive Officer 2018 base salary rates were effective January 1, 2018.</w:t>
      </w:r>
    </w:p>
    <w:p>
      <w:pPr>
        <w:sectPr>
          <w:pgSz w:w="11900" w:h="16838" w:orient="portrait"/>
          <w:cols w:equalWidth="0" w:num="1">
            <w:col w:w="11160"/>
          </w:cols>
          <w:pgMar w:left="240" w:top="455" w:right="499" w:bottom="1440" w:gutter="0" w:footer="0" w:header="0"/>
          <w:type w:val="continuous"/>
        </w:sectPr>
      </w:pPr>
    </w:p>
    <w:p>
      <w:pPr>
        <w:spacing w:after="0" w:line="161" w:lineRule="exact"/>
        <w:rPr>
          <w:sz w:val="20"/>
          <w:szCs w:val="20"/>
          <w:color w:val="auto"/>
        </w:rPr>
      </w:pPr>
    </w:p>
    <w:p>
      <w:pPr>
        <w:ind w:left="280"/>
        <w:spacing w:after="0" w:line="254" w:lineRule="auto"/>
        <w:rPr>
          <w:sz w:val="20"/>
          <w:szCs w:val="20"/>
          <w:color w:val="auto"/>
        </w:rPr>
      </w:pPr>
      <w:r>
        <w:rPr>
          <w:rFonts w:ascii="Arial" w:cs="Arial" w:eastAsia="Arial" w:hAnsi="Arial"/>
          <w:sz w:val="16"/>
          <w:szCs w:val="16"/>
          <w:color w:val="auto"/>
        </w:rPr>
        <w:t>In September 2018, the Compensation Committee approved base salary increases, effective January 1, 2019, for Messrs.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600"/>
        <w:spacing w:after="0" w:line="254" w:lineRule="auto"/>
        <w:rPr>
          <w:sz w:val="20"/>
          <w:szCs w:val="20"/>
          <w:color w:val="auto"/>
        </w:rPr>
      </w:pPr>
      <w:r>
        <w:rPr>
          <w:rFonts w:ascii="Arial" w:cs="Arial" w:eastAsia="Arial" w:hAnsi="Arial"/>
          <w:sz w:val="16"/>
          <w:szCs w:val="16"/>
          <w:color w:val="auto"/>
        </w:rPr>
        <w:t>Scott, Orsini and DiDonato to $1,200,000, $800,000 and $700,000, respectively.</w:t>
      </w:r>
    </w:p>
    <w:p>
      <w:pPr>
        <w:spacing w:after="0" w:line="200" w:lineRule="exact"/>
        <w:rPr>
          <w:sz w:val="20"/>
          <w:szCs w:val="20"/>
          <w:color w:val="auto"/>
        </w:rPr>
      </w:pPr>
    </w:p>
    <w:p>
      <w:pPr>
        <w:sectPr>
          <w:pgSz w:w="11900" w:h="16838" w:orient="portrait"/>
          <w:cols w:equalWidth="0" w:num="2">
            <w:col w:w="5420" w:space="400"/>
            <w:col w:w="5340"/>
          </w:cols>
          <w:pgMar w:left="240" w:top="455" w:right="499" w:bottom="1440" w:gutter="0" w:footer="0" w:header="0"/>
          <w:type w:val="continuous"/>
        </w:sectPr>
      </w:pPr>
    </w:p>
    <w:p>
      <w:pPr>
        <w:spacing w:after="0" w:line="52" w:lineRule="exact"/>
        <w:rPr>
          <w:sz w:val="20"/>
          <w:szCs w:val="20"/>
          <w:color w:val="auto"/>
        </w:rPr>
      </w:pPr>
    </w:p>
    <w:p>
      <w:pPr>
        <w:ind w:left="740" w:hanging="359"/>
        <w:spacing w:after="0"/>
        <w:tabs>
          <w:tab w:leader="none" w:pos="7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60"/>
          </w:cols>
          <w:pgMar w:left="240" w:top="455" w:right="49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78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2018 Incentive Programs</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Pay for Performance</w:t>
      </w:r>
    </w:p>
    <w:p>
      <w:pPr>
        <w:spacing w:after="0" w:line="120" w:lineRule="exact"/>
        <w:rPr>
          <w:sz w:val="20"/>
          <w:szCs w:val="20"/>
          <w:color w:val="auto"/>
        </w:rPr>
      </w:pPr>
    </w:p>
    <w:p>
      <w:pPr>
        <w:ind w:left="280" w:right="20"/>
        <w:spacing w:after="0" w:line="246" w:lineRule="auto"/>
        <w:rPr>
          <w:sz w:val="20"/>
          <w:szCs w:val="20"/>
          <w:color w:val="auto"/>
        </w:rPr>
      </w:pPr>
      <w:r>
        <w:rPr>
          <w:rFonts w:ascii="Arial" w:cs="Arial" w:eastAsia="Arial" w:hAnsi="Arial"/>
          <w:sz w:val="16"/>
          <w:szCs w:val="16"/>
          <w:color w:val="auto"/>
        </w:rPr>
        <w:t>All of the annual incentive opportunity and the majority (75%) of the long-term incentive opportunity are determined based on specific performance measures that drive achievement of our business strategy while ensuring sharp focus on critical results. Time-based RSUs make up the remaining portion (25%) of our 2018 long-term incentive awards and derive their value from our stock price and dividends. In order to drive profitable growth with efficient capital management, we selected four complementary performance measures (which assess earnings, cash flow and capital management over annual or three-year periods) to use in our incentive plans for 2018:</w:t>
      </w:r>
    </w:p>
    <w:p>
      <w:pPr>
        <w:spacing w:after="0" w:line="214"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23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Measure</w:t>
            </w:r>
          </w:p>
        </w:tc>
        <w:tc>
          <w:tcPr>
            <w:tcW w:w="920" w:type="dxa"/>
            <w:vAlign w:val="bottom"/>
            <w:tcBorders>
              <w:bottom w:val="single" w:sz="8" w:color="auto"/>
            </w:tcBorders>
          </w:tcPr>
          <w:p>
            <w:pPr>
              <w:jc w:val="center"/>
              <w:ind w:left="182"/>
              <w:spacing w:after="0"/>
              <w:rPr>
                <w:sz w:val="20"/>
                <w:szCs w:val="20"/>
                <w:color w:val="auto"/>
              </w:rPr>
            </w:pPr>
            <w:r>
              <w:rPr>
                <w:rFonts w:ascii="Arial" w:cs="Arial" w:eastAsia="Arial" w:hAnsi="Arial"/>
                <w:sz w:val="14"/>
                <w:szCs w:val="14"/>
                <w:b w:val="1"/>
                <w:bCs w:val="1"/>
                <w:color w:val="E2231A"/>
              </w:rPr>
              <w:t>Plan</w:t>
            </w: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E2231A"/>
              </w:rPr>
              <w:t>Weighting</w:t>
            </w:r>
          </w:p>
        </w:tc>
        <w:tc>
          <w:tcPr>
            <w:tcW w:w="200" w:type="dxa"/>
            <w:vAlign w:val="bottom"/>
            <w:tcBorders>
              <w:bottom w:val="single" w:sz="8" w:color="auto"/>
            </w:tcBorders>
          </w:tcPr>
          <w:p>
            <w:pPr>
              <w:spacing w:after="0"/>
              <w:rPr>
                <w:sz w:val="15"/>
                <w:szCs w:val="15"/>
                <w:color w:val="auto"/>
              </w:rPr>
            </w:pPr>
          </w:p>
        </w:tc>
        <w:tc>
          <w:tcPr>
            <w:tcW w:w="650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E2231A"/>
              </w:rPr>
              <w:t>Background</w:t>
            </w:r>
          </w:p>
        </w:tc>
      </w:tr>
      <w:tr>
        <w:trPr>
          <w:trHeight w:val="182"/>
        </w:trPr>
        <w:tc>
          <w:tcPr>
            <w:tcW w:w="2380" w:type="dxa"/>
            <w:vAlign w:val="bottom"/>
            <w:shd w:val="clear" w:color="auto" w:fill="FCE9E8"/>
          </w:tcPr>
          <w:p>
            <w:pPr>
              <w:ind w:left="80"/>
              <w:spacing w:after="0" w:line="181" w:lineRule="exact"/>
              <w:rPr>
                <w:sz w:val="20"/>
                <w:szCs w:val="20"/>
                <w:color w:val="auto"/>
              </w:rPr>
            </w:pPr>
            <w:r>
              <w:rPr>
                <w:rFonts w:ascii="Arial" w:cs="Arial" w:eastAsia="Arial" w:hAnsi="Arial"/>
                <w:sz w:val="16"/>
                <w:szCs w:val="16"/>
                <w:color w:val="auto"/>
              </w:rPr>
              <w:t>Adjusted Operating Income</w:t>
            </w:r>
          </w:p>
        </w:tc>
        <w:tc>
          <w:tcPr>
            <w:tcW w:w="920" w:type="dxa"/>
            <w:vAlign w:val="bottom"/>
            <w:shd w:val="clear" w:color="auto" w:fill="FCE9E8"/>
          </w:tcPr>
          <w:p>
            <w:pPr>
              <w:jc w:val="center"/>
              <w:ind w:left="182"/>
              <w:spacing w:after="0" w:line="181" w:lineRule="exact"/>
              <w:rPr>
                <w:sz w:val="20"/>
                <w:szCs w:val="20"/>
                <w:color w:val="auto"/>
              </w:rPr>
            </w:pPr>
            <w:r>
              <w:rPr>
                <w:rFonts w:ascii="Arial" w:cs="Arial" w:eastAsia="Arial" w:hAnsi="Arial"/>
                <w:sz w:val="16"/>
                <w:szCs w:val="16"/>
                <w:color w:val="auto"/>
              </w:rPr>
              <w:t>AIP</w:t>
            </w:r>
          </w:p>
        </w:tc>
        <w:tc>
          <w:tcPr>
            <w:tcW w:w="880" w:type="dxa"/>
            <w:vAlign w:val="bottom"/>
            <w:shd w:val="clear" w:color="auto" w:fill="FCE9E8"/>
          </w:tcPr>
          <w:p>
            <w:pPr>
              <w:jc w:val="center"/>
              <w:spacing w:after="0" w:line="181" w:lineRule="exact"/>
              <w:rPr>
                <w:sz w:val="20"/>
                <w:szCs w:val="20"/>
                <w:color w:val="auto"/>
              </w:rPr>
            </w:pPr>
            <w:r>
              <w:rPr>
                <w:rFonts w:ascii="Arial" w:cs="Arial" w:eastAsia="Arial" w:hAnsi="Arial"/>
                <w:sz w:val="16"/>
                <w:szCs w:val="16"/>
                <w:color w:val="auto"/>
                <w:w w:val="99"/>
              </w:rPr>
              <w:t>50%</w:t>
            </w:r>
          </w:p>
        </w:tc>
        <w:tc>
          <w:tcPr>
            <w:tcW w:w="200" w:type="dxa"/>
            <w:vAlign w:val="bottom"/>
            <w:shd w:val="clear" w:color="auto" w:fill="FCE9E8"/>
          </w:tcPr>
          <w:p>
            <w:pPr>
              <w:ind w:left="100"/>
              <w:spacing w:after="0" w:line="181" w:lineRule="exact"/>
              <w:rPr>
                <w:sz w:val="20"/>
                <w:szCs w:val="20"/>
                <w:color w:val="auto"/>
              </w:rPr>
            </w:pPr>
            <w:r>
              <w:rPr>
                <w:rFonts w:ascii="Arial" w:cs="Arial" w:eastAsia="Arial" w:hAnsi="Arial"/>
                <w:sz w:val="16"/>
                <w:szCs w:val="16"/>
                <w:color w:val="auto"/>
              </w:rPr>
              <w:t>•</w:t>
            </w:r>
          </w:p>
        </w:tc>
        <w:tc>
          <w:tcPr>
            <w:tcW w:w="6500" w:type="dxa"/>
            <w:vAlign w:val="bottom"/>
            <w:shd w:val="clear" w:color="auto" w:fill="FCE9E8"/>
          </w:tcPr>
          <w:p>
            <w:pPr>
              <w:ind w:left="60"/>
              <w:spacing w:after="0" w:line="181" w:lineRule="exact"/>
              <w:rPr>
                <w:sz w:val="20"/>
                <w:szCs w:val="20"/>
                <w:color w:val="auto"/>
              </w:rPr>
            </w:pPr>
            <w:r>
              <w:rPr>
                <w:rFonts w:ascii="Arial" w:cs="Arial" w:eastAsia="Arial" w:hAnsi="Arial"/>
                <w:sz w:val="16"/>
                <w:szCs w:val="16"/>
                <w:color w:val="auto"/>
                <w:w w:val="99"/>
              </w:rPr>
              <w:t>Pre-tax income before equity income, interest, other expense, restructuring costs and other</w:t>
            </w:r>
          </w:p>
        </w:tc>
      </w:tr>
      <w:tr>
        <w:trPr>
          <w:trHeight w:val="193"/>
        </w:trPr>
        <w:tc>
          <w:tcPr>
            <w:tcW w:w="2380" w:type="dxa"/>
            <w:vAlign w:val="bottom"/>
            <w:shd w:val="clear" w:color="auto" w:fill="FCE9E8"/>
          </w:tcPr>
          <w:p>
            <w:pPr>
              <w:spacing w:after="0"/>
              <w:rPr>
                <w:sz w:val="16"/>
                <w:szCs w:val="16"/>
                <w:color w:val="auto"/>
              </w:rPr>
            </w:pPr>
          </w:p>
        </w:tc>
        <w:tc>
          <w:tcPr>
            <w:tcW w:w="92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200" w:type="dxa"/>
            <w:vAlign w:val="bottom"/>
            <w:shd w:val="clear" w:color="auto" w:fill="FCE9E8"/>
          </w:tcPr>
          <w:p>
            <w:pPr>
              <w:spacing w:after="0"/>
              <w:rPr>
                <w:sz w:val="16"/>
                <w:szCs w:val="16"/>
                <w:color w:val="auto"/>
              </w:rPr>
            </w:pPr>
          </w:p>
        </w:tc>
        <w:tc>
          <w:tcPr>
            <w:tcW w:w="6500" w:type="dxa"/>
            <w:vAlign w:val="bottom"/>
            <w:shd w:val="clear" w:color="auto" w:fill="FCE9E8"/>
          </w:tcPr>
          <w:p>
            <w:pPr>
              <w:ind w:left="60"/>
              <w:spacing w:after="0"/>
              <w:rPr>
                <w:sz w:val="20"/>
                <w:szCs w:val="20"/>
                <w:color w:val="auto"/>
              </w:rPr>
            </w:pPr>
            <w:r>
              <w:rPr>
                <w:rFonts w:ascii="Arial" w:cs="Arial" w:eastAsia="Arial" w:hAnsi="Arial"/>
                <w:sz w:val="16"/>
                <w:szCs w:val="16"/>
                <w:color w:val="auto"/>
              </w:rPr>
              <w:t>special items.</w:t>
            </w:r>
          </w:p>
        </w:tc>
      </w:tr>
      <w:tr>
        <w:trPr>
          <w:trHeight w:val="300"/>
        </w:trPr>
        <w:tc>
          <w:tcPr>
            <w:tcW w:w="2380" w:type="dxa"/>
            <w:vAlign w:val="bottom"/>
            <w:shd w:val="clear" w:color="auto" w:fill="FCE9E8"/>
          </w:tcPr>
          <w:p>
            <w:pPr>
              <w:spacing w:after="0"/>
              <w:rPr>
                <w:sz w:val="24"/>
                <w:szCs w:val="24"/>
                <w:color w:val="auto"/>
              </w:rPr>
            </w:pPr>
          </w:p>
        </w:tc>
        <w:tc>
          <w:tcPr>
            <w:tcW w:w="920" w:type="dxa"/>
            <w:vAlign w:val="bottom"/>
            <w:shd w:val="clear" w:color="auto" w:fill="FCE9E8"/>
          </w:tcPr>
          <w:p>
            <w:pPr>
              <w:spacing w:after="0"/>
              <w:rPr>
                <w:sz w:val="24"/>
                <w:szCs w:val="24"/>
                <w:color w:val="auto"/>
              </w:rPr>
            </w:pPr>
          </w:p>
        </w:tc>
        <w:tc>
          <w:tcPr>
            <w:tcW w:w="880" w:type="dxa"/>
            <w:vAlign w:val="bottom"/>
            <w:shd w:val="clear" w:color="auto" w:fill="FCE9E8"/>
          </w:tcPr>
          <w:p>
            <w:pPr>
              <w:spacing w:after="0"/>
              <w:rPr>
                <w:sz w:val="24"/>
                <w:szCs w:val="24"/>
                <w:color w:val="auto"/>
              </w:rPr>
            </w:pPr>
          </w:p>
        </w:tc>
        <w:tc>
          <w:tcPr>
            <w:tcW w:w="6700" w:type="dxa"/>
            <w:vAlign w:val="bottom"/>
            <w:gridSpan w:val="2"/>
            <w:shd w:val="clear" w:color="auto" w:fill="FCE9E8"/>
          </w:tcPr>
          <w:p>
            <w:pPr>
              <w:ind w:left="100"/>
              <w:spacing w:after="0"/>
              <w:rPr>
                <w:sz w:val="20"/>
                <w:szCs w:val="20"/>
                <w:color w:val="auto"/>
              </w:rPr>
            </w:pPr>
            <w:r>
              <w:rPr>
                <w:rFonts w:ascii="Arial" w:cs="Arial" w:eastAsia="Arial" w:hAnsi="Arial"/>
                <w:sz w:val="16"/>
                <w:szCs w:val="16"/>
                <w:color w:val="auto"/>
              </w:rPr>
              <w:t>• Adjusted Operating Income is a well understood operating metric that can be influenced by</w:t>
            </w:r>
          </w:p>
        </w:tc>
      </w:tr>
      <w:tr>
        <w:trPr>
          <w:trHeight w:val="193"/>
        </w:trPr>
        <w:tc>
          <w:tcPr>
            <w:tcW w:w="2380" w:type="dxa"/>
            <w:vAlign w:val="bottom"/>
            <w:shd w:val="clear" w:color="auto" w:fill="FCE9E8"/>
          </w:tcPr>
          <w:p>
            <w:pPr>
              <w:spacing w:after="0"/>
              <w:rPr>
                <w:sz w:val="16"/>
                <w:szCs w:val="16"/>
                <w:color w:val="auto"/>
              </w:rPr>
            </w:pPr>
          </w:p>
        </w:tc>
        <w:tc>
          <w:tcPr>
            <w:tcW w:w="92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200" w:type="dxa"/>
            <w:vAlign w:val="bottom"/>
            <w:shd w:val="clear" w:color="auto" w:fill="FCE9E8"/>
          </w:tcPr>
          <w:p>
            <w:pPr>
              <w:spacing w:after="0"/>
              <w:rPr>
                <w:sz w:val="16"/>
                <w:szCs w:val="16"/>
                <w:color w:val="auto"/>
              </w:rPr>
            </w:pPr>
          </w:p>
        </w:tc>
        <w:tc>
          <w:tcPr>
            <w:tcW w:w="6500" w:type="dxa"/>
            <w:vAlign w:val="bottom"/>
            <w:shd w:val="clear" w:color="auto" w:fill="FCE9E8"/>
          </w:tcPr>
          <w:p>
            <w:pPr>
              <w:ind w:left="60"/>
              <w:spacing w:after="0"/>
              <w:rPr>
                <w:sz w:val="20"/>
                <w:szCs w:val="20"/>
                <w:color w:val="auto"/>
              </w:rPr>
            </w:pPr>
            <w:r>
              <w:rPr>
                <w:rFonts w:ascii="Arial" w:cs="Arial" w:eastAsia="Arial" w:hAnsi="Arial"/>
                <w:sz w:val="16"/>
                <w:szCs w:val="16"/>
                <w:color w:val="auto"/>
              </w:rPr>
              <w:t>all levels of employees of the Company.</w:t>
            </w:r>
          </w:p>
        </w:tc>
      </w:tr>
      <w:tr>
        <w:trPr>
          <w:trHeight w:val="306"/>
        </w:trPr>
        <w:tc>
          <w:tcPr>
            <w:tcW w:w="2380" w:type="dxa"/>
            <w:vAlign w:val="bottom"/>
            <w:shd w:val="clear" w:color="auto" w:fill="FCE9E8"/>
          </w:tcPr>
          <w:p>
            <w:pPr>
              <w:spacing w:after="0"/>
              <w:rPr>
                <w:sz w:val="24"/>
                <w:szCs w:val="24"/>
                <w:color w:val="auto"/>
              </w:rPr>
            </w:pPr>
          </w:p>
        </w:tc>
        <w:tc>
          <w:tcPr>
            <w:tcW w:w="920" w:type="dxa"/>
            <w:vAlign w:val="bottom"/>
            <w:shd w:val="clear" w:color="auto" w:fill="FCE9E8"/>
          </w:tcPr>
          <w:p>
            <w:pPr>
              <w:spacing w:after="0"/>
              <w:rPr>
                <w:sz w:val="24"/>
                <w:szCs w:val="24"/>
                <w:color w:val="auto"/>
              </w:rPr>
            </w:pPr>
          </w:p>
        </w:tc>
        <w:tc>
          <w:tcPr>
            <w:tcW w:w="880" w:type="dxa"/>
            <w:vAlign w:val="bottom"/>
            <w:shd w:val="clear" w:color="auto" w:fill="FCE9E8"/>
          </w:tcPr>
          <w:p>
            <w:pPr>
              <w:spacing w:after="0"/>
              <w:rPr>
                <w:sz w:val="24"/>
                <w:szCs w:val="24"/>
                <w:color w:val="auto"/>
              </w:rPr>
            </w:pPr>
          </w:p>
        </w:tc>
        <w:tc>
          <w:tcPr>
            <w:tcW w:w="2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6500" w:type="dxa"/>
            <w:vAlign w:val="bottom"/>
            <w:shd w:val="clear" w:color="auto" w:fill="FCE9E8"/>
          </w:tcPr>
          <w:p>
            <w:pPr>
              <w:ind w:left="60"/>
              <w:spacing w:after="0"/>
              <w:rPr>
                <w:sz w:val="20"/>
                <w:szCs w:val="20"/>
                <w:color w:val="auto"/>
              </w:rPr>
            </w:pPr>
            <w:r>
              <w:rPr>
                <w:rFonts w:ascii="Arial" w:cs="Arial" w:eastAsia="Arial" w:hAnsi="Arial"/>
                <w:sz w:val="16"/>
                <w:szCs w:val="16"/>
                <w:color w:val="auto"/>
              </w:rPr>
              <w:t>Provides motivation to maximize earnings from current operations.</w:t>
            </w:r>
          </w:p>
        </w:tc>
      </w:tr>
      <w:tr>
        <w:trPr>
          <w:trHeight w:val="125"/>
        </w:trPr>
        <w:tc>
          <w:tcPr>
            <w:tcW w:w="2380" w:type="dxa"/>
            <w:vAlign w:val="bottom"/>
            <w:shd w:val="clear" w:color="auto" w:fill="FCE9E8"/>
          </w:tcPr>
          <w:p>
            <w:pPr>
              <w:spacing w:after="0"/>
              <w:rPr>
                <w:sz w:val="10"/>
                <w:szCs w:val="10"/>
                <w:color w:val="auto"/>
              </w:rPr>
            </w:pPr>
          </w:p>
        </w:tc>
        <w:tc>
          <w:tcPr>
            <w:tcW w:w="920" w:type="dxa"/>
            <w:vAlign w:val="bottom"/>
            <w:shd w:val="clear" w:color="auto" w:fill="FCE9E8"/>
          </w:tcPr>
          <w:p>
            <w:pPr>
              <w:spacing w:after="0"/>
              <w:rPr>
                <w:sz w:val="10"/>
                <w:szCs w:val="10"/>
                <w:color w:val="auto"/>
              </w:rPr>
            </w:pPr>
          </w:p>
        </w:tc>
        <w:tc>
          <w:tcPr>
            <w:tcW w:w="880" w:type="dxa"/>
            <w:vAlign w:val="bottom"/>
            <w:shd w:val="clear" w:color="auto" w:fill="FCE9E8"/>
          </w:tcPr>
          <w:p>
            <w:pPr>
              <w:spacing w:after="0"/>
              <w:rPr>
                <w:sz w:val="10"/>
                <w:szCs w:val="10"/>
                <w:color w:val="auto"/>
              </w:rPr>
            </w:pPr>
          </w:p>
        </w:tc>
        <w:tc>
          <w:tcPr>
            <w:tcW w:w="200" w:type="dxa"/>
            <w:vAlign w:val="bottom"/>
            <w:shd w:val="clear" w:color="auto" w:fill="FCE9E8"/>
          </w:tcPr>
          <w:p>
            <w:pPr>
              <w:spacing w:after="0"/>
              <w:rPr>
                <w:sz w:val="10"/>
                <w:szCs w:val="10"/>
                <w:color w:val="auto"/>
              </w:rPr>
            </w:pPr>
          </w:p>
        </w:tc>
        <w:tc>
          <w:tcPr>
            <w:tcW w:w="6500" w:type="dxa"/>
            <w:vAlign w:val="bottom"/>
            <w:shd w:val="clear" w:color="auto" w:fill="FCE9E8"/>
          </w:tcPr>
          <w:p>
            <w:pPr>
              <w:spacing w:after="0"/>
              <w:rPr>
                <w:sz w:val="10"/>
                <w:szCs w:val="10"/>
                <w:color w:val="auto"/>
              </w:rPr>
            </w:pPr>
          </w:p>
        </w:tc>
      </w:tr>
      <w:tr>
        <w:trPr>
          <w:trHeight w:val="188"/>
        </w:trPr>
        <w:tc>
          <w:tcPr>
            <w:tcW w:w="2380" w:type="dxa"/>
            <w:vAlign w:val="bottom"/>
          </w:tcPr>
          <w:p>
            <w:pPr>
              <w:ind w:left="80"/>
              <w:spacing w:after="0"/>
              <w:rPr>
                <w:sz w:val="20"/>
                <w:szCs w:val="20"/>
                <w:color w:val="auto"/>
              </w:rPr>
            </w:pPr>
            <w:r>
              <w:rPr>
                <w:rFonts w:ascii="Arial" w:cs="Arial" w:eastAsia="Arial" w:hAnsi="Arial"/>
                <w:sz w:val="16"/>
                <w:szCs w:val="16"/>
                <w:color w:val="auto"/>
              </w:rPr>
              <w:t>Free Cash Flow</w:t>
            </w:r>
          </w:p>
        </w:tc>
        <w:tc>
          <w:tcPr>
            <w:tcW w:w="920" w:type="dxa"/>
            <w:vAlign w:val="bottom"/>
          </w:tcPr>
          <w:p>
            <w:pPr>
              <w:jc w:val="center"/>
              <w:ind w:left="182"/>
              <w:spacing w:after="0"/>
              <w:rPr>
                <w:sz w:val="20"/>
                <w:szCs w:val="20"/>
                <w:color w:val="auto"/>
              </w:rPr>
            </w:pPr>
            <w:r>
              <w:rPr>
                <w:rFonts w:ascii="Arial" w:cs="Arial" w:eastAsia="Arial" w:hAnsi="Arial"/>
                <w:sz w:val="16"/>
                <w:szCs w:val="16"/>
                <w:color w:val="auto"/>
              </w:rPr>
              <w:t>AIP</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500" w:type="dxa"/>
            <w:vAlign w:val="bottom"/>
          </w:tcPr>
          <w:p>
            <w:pPr>
              <w:ind w:left="60"/>
              <w:spacing w:after="0"/>
              <w:rPr>
                <w:sz w:val="20"/>
                <w:szCs w:val="20"/>
                <w:color w:val="auto"/>
              </w:rPr>
            </w:pPr>
            <w:r>
              <w:rPr>
                <w:rFonts w:ascii="Arial" w:cs="Arial" w:eastAsia="Arial" w:hAnsi="Arial"/>
                <w:sz w:val="16"/>
                <w:szCs w:val="16"/>
                <w:color w:val="auto"/>
              </w:rPr>
              <w:t>Net cash provided by operating activities, less capital expenditures, excluding certain</w:t>
            </w:r>
          </w:p>
        </w:tc>
      </w:tr>
      <w:tr>
        <w:trPr>
          <w:trHeight w:val="193"/>
        </w:trPr>
        <w:tc>
          <w:tcPr>
            <w:tcW w:w="2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500" w:type="dxa"/>
            <w:vAlign w:val="bottom"/>
          </w:tcPr>
          <w:p>
            <w:pPr>
              <w:ind w:left="60"/>
              <w:spacing w:after="0"/>
              <w:rPr>
                <w:sz w:val="20"/>
                <w:szCs w:val="20"/>
                <w:color w:val="auto"/>
              </w:rPr>
            </w:pPr>
            <w:r>
              <w:rPr>
                <w:rFonts w:ascii="Arial" w:cs="Arial" w:eastAsia="Arial" w:hAnsi="Arial"/>
                <w:sz w:val="16"/>
                <w:szCs w:val="16"/>
                <w:color w:val="auto"/>
              </w:rPr>
              <w:t>transactions.</w:t>
            </w:r>
          </w:p>
        </w:tc>
      </w:tr>
      <w:tr>
        <w:trPr>
          <w:trHeight w:val="300"/>
        </w:trPr>
        <w:tc>
          <w:tcPr>
            <w:tcW w:w="2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500" w:type="dxa"/>
            <w:vAlign w:val="bottom"/>
          </w:tcPr>
          <w:p>
            <w:pPr>
              <w:ind w:left="60"/>
              <w:spacing w:after="0"/>
              <w:rPr>
                <w:sz w:val="20"/>
                <w:szCs w:val="20"/>
                <w:color w:val="auto"/>
              </w:rPr>
            </w:pPr>
            <w:r>
              <w:rPr>
                <w:rFonts w:ascii="Arial" w:cs="Arial" w:eastAsia="Arial" w:hAnsi="Arial"/>
                <w:sz w:val="16"/>
                <w:szCs w:val="16"/>
                <w:color w:val="auto"/>
                <w:w w:val="99"/>
              </w:rPr>
              <w:t>Free Cash Flow is a well understood operating metric that can be influenced by all levels of</w:t>
            </w:r>
          </w:p>
        </w:tc>
      </w:tr>
      <w:tr>
        <w:trPr>
          <w:trHeight w:val="193"/>
        </w:trPr>
        <w:tc>
          <w:tcPr>
            <w:tcW w:w="2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500" w:type="dxa"/>
            <w:vAlign w:val="bottom"/>
          </w:tcPr>
          <w:p>
            <w:pPr>
              <w:ind w:left="60"/>
              <w:spacing w:after="0"/>
              <w:rPr>
                <w:sz w:val="20"/>
                <w:szCs w:val="20"/>
                <w:color w:val="auto"/>
              </w:rPr>
            </w:pPr>
            <w:r>
              <w:rPr>
                <w:rFonts w:ascii="Arial" w:cs="Arial" w:eastAsia="Arial" w:hAnsi="Arial"/>
                <w:sz w:val="16"/>
                <w:szCs w:val="16"/>
                <w:color w:val="auto"/>
              </w:rPr>
              <w:t>employees of the Company.</w:t>
            </w:r>
          </w:p>
        </w:tc>
      </w:tr>
      <w:tr>
        <w:trPr>
          <w:trHeight w:val="300"/>
        </w:trPr>
        <w:tc>
          <w:tcPr>
            <w:tcW w:w="2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500" w:type="dxa"/>
            <w:vAlign w:val="bottom"/>
          </w:tcPr>
          <w:p>
            <w:pPr>
              <w:ind w:left="60"/>
              <w:spacing w:after="0"/>
              <w:rPr>
                <w:sz w:val="20"/>
                <w:szCs w:val="20"/>
                <w:color w:val="auto"/>
              </w:rPr>
            </w:pPr>
            <w:r>
              <w:rPr>
                <w:rFonts w:ascii="Arial" w:cs="Arial" w:eastAsia="Arial" w:hAnsi="Arial"/>
                <w:sz w:val="16"/>
                <w:szCs w:val="16"/>
                <w:color w:val="auto"/>
              </w:rPr>
              <w:t>Provides motivation to maximize cash flow through earnings and appropriate management</w:t>
            </w:r>
          </w:p>
        </w:tc>
      </w:tr>
      <w:tr>
        <w:trPr>
          <w:trHeight w:val="193"/>
        </w:trPr>
        <w:tc>
          <w:tcPr>
            <w:tcW w:w="2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500" w:type="dxa"/>
            <w:vAlign w:val="bottom"/>
          </w:tcPr>
          <w:p>
            <w:pPr>
              <w:ind w:left="60"/>
              <w:spacing w:after="0"/>
              <w:rPr>
                <w:sz w:val="20"/>
                <w:szCs w:val="20"/>
                <w:color w:val="auto"/>
              </w:rPr>
            </w:pPr>
            <w:r>
              <w:rPr>
                <w:rFonts w:ascii="Arial" w:cs="Arial" w:eastAsia="Arial" w:hAnsi="Arial"/>
                <w:sz w:val="16"/>
                <w:szCs w:val="16"/>
                <w:color w:val="auto"/>
              </w:rPr>
              <w:t>of working capital and investments.</w:t>
            </w:r>
          </w:p>
        </w:tc>
      </w:tr>
      <w:tr>
        <w:trPr>
          <w:trHeight w:val="125"/>
        </w:trPr>
        <w:tc>
          <w:tcPr>
            <w:tcW w:w="2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500" w:type="dxa"/>
            <w:vAlign w:val="bottom"/>
          </w:tcPr>
          <w:p>
            <w:pPr>
              <w:spacing w:after="0"/>
              <w:rPr>
                <w:sz w:val="10"/>
                <w:szCs w:val="10"/>
                <w:color w:val="auto"/>
              </w:rPr>
            </w:pPr>
          </w:p>
        </w:tc>
      </w:tr>
      <w:tr>
        <w:trPr>
          <w:trHeight w:val="188"/>
        </w:trPr>
        <w:tc>
          <w:tcPr>
            <w:tcW w:w="2380" w:type="dxa"/>
            <w:vAlign w:val="bottom"/>
            <w:shd w:val="clear" w:color="auto" w:fill="FCE9E8"/>
          </w:tcPr>
          <w:p>
            <w:pPr>
              <w:ind w:left="80"/>
              <w:spacing w:after="0"/>
              <w:rPr>
                <w:sz w:val="20"/>
                <w:szCs w:val="20"/>
                <w:color w:val="auto"/>
              </w:rPr>
            </w:pPr>
            <w:r>
              <w:rPr>
                <w:rFonts w:ascii="Arial" w:cs="Arial" w:eastAsia="Arial" w:hAnsi="Arial"/>
                <w:sz w:val="16"/>
                <w:szCs w:val="16"/>
                <w:color w:val="auto"/>
              </w:rPr>
              <w:t>Adjusted Return on</w:t>
            </w:r>
          </w:p>
        </w:tc>
        <w:tc>
          <w:tcPr>
            <w:tcW w:w="920" w:type="dxa"/>
            <w:vAlign w:val="bottom"/>
            <w:shd w:val="clear" w:color="auto" w:fill="FCE9E8"/>
          </w:tcPr>
          <w:p>
            <w:pPr>
              <w:jc w:val="center"/>
              <w:ind w:left="202"/>
              <w:spacing w:after="0"/>
              <w:rPr>
                <w:sz w:val="20"/>
                <w:szCs w:val="20"/>
                <w:color w:val="auto"/>
              </w:rPr>
            </w:pPr>
            <w:r>
              <w:rPr>
                <w:rFonts w:ascii="Arial" w:cs="Arial" w:eastAsia="Arial" w:hAnsi="Arial"/>
                <w:sz w:val="16"/>
                <w:szCs w:val="16"/>
                <w:color w:val="auto"/>
                <w:w w:val="98"/>
              </w:rPr>
              <w:t>LTSIP</w:t>
            </w:r>
          </w:p>
        </w:tc>
        <w:tc>
          <w:tcPr>
            <w:tcW w:w="8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66 2/3%</w:t>
            </w:r>
          </w:p>
        </w:tc>
        <w:tc>
          <w:tcPr>
            <w:tcW w:w="2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6500" w:type="dxa"/>
            <w:vAlign w:val="bottom"/>
            <w:shd w:val="clear" w:color="auto" w:fill="FCE9E8"/>
          </w:tcPr>
          <w:p>
            <w:pPr>
              <w:ind w:left="60"/>
              <w:spacing w:after="0"/>
              <w:rPr>
                <w:sz w:val="20"/>
                <w:szCs w:val="20"/>
                <w:color w:val="auto"/>
              </w:rPr>
            </w:pPr>
            <w:r>
              <w:rPr>
                <w:rFonts w:ascii="Arial" w:cs="Arial" w:eastAsia="Arial" w:hAnsi="Arial"/>
                <w:sz w:val="16"/>
                <w:szCs w:val="16"/>
                <w:color w:val="auto"/>
              </w:rPr>
              <w:t>Based on Adjusted Operating Income and average invested capital for performance</w:t>
            </w:r>
          </w:p>
        </w:tc>
      </w:tr>
      <w:tr>
        <w:trPr>
          <w:trHeight w:val="193"/>
        </w:trPr>
        <w:tc>
          <w:tcPr>
            <w:tcW w:w="2380" w:type="dxa"/>
            <w:vAlign w:val="bottom"/>
            <w:shd w:val="clear" w:color="auto" w:fill="FCE9E8"/>
          </w:tcPr>
          <w:p>
            <w:pPr>
              <w:ind w:left="80"/>
              <w:spacing w:after="0"/>
              <w:rPr>
                <w:sz w:val="20"/>
                <w:szCs w:val="20"/>
                <w:color w:val="auto"/>
              </w:rPr>
            </w:pPr>
            <w:r>
              <w:rPr>
                <w:rFonts w:ascii="Arial" w:cs="Arial" w:eastAsia="Arial" w:hAnsi="Arial"/>
                <w:sz w:val="16"/>
                <w:szCs w:val="16"/>
                <w:color w:val="auto"/>
              </w:rPr>
              <w:t>Invested Capital (ROIC)</w:t>
            </w:r>
          </w:p>
        </w:tc>
        <w:tc>
          <w:tcPr>
            <w:tcW w:w="92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200" w:type="dxa"/>
            <w:vAlign w:val="bottom"/>
            <w:shd w:val="clear" w:color="auto" w:fill="FCE9E8"/>
          </w:tcPr>
          <w:p>
            <w:pPr>
              <w:spacing w:after="0"/>
              <w:rPr>
                <w:sz w:val="16"/>
                <w:szCs w:val="16"/>
                <w:color w:val="auto"/>
              </w:rPr>
            </w:pPr>
          </w:p>
        </w:tc>
        <w:tc>
          <w:tcPr>
            <w:tcW w:w="6500" w:type="dxa"/>
            <w:vAlign w:val="bottom"/>
            <w:shd w:val="clear" w:color="auto" w:fill="FCE9E8"/>
          </w:tcPr>
          <w:p>
            <w:pPr>
              <w:ind w:left="60"/>
              <w:spacing w:after="0"/>
              <w:rPr>
                <w:sz w:val="20"/>
                <w:szCs w:val="20"/>
                <w:color w:val="auto"/>
              </w:rPr>
            </w:pPr>
            <w:r>
              <w:rPr>
                <w:rFonts w:ascii="Arial" w:cs="Arial" w:eastAsia="Arial" w:hAnsi="Arial"/>
                <w:sz w:val="16"/>
                <w:szCs w:val="16"/>
                <w:color w:val="auto"/>
              </w:rPr>
              <w:t>increments over the three-year performance period (2018-2020).</w:t>
            </w:r>
          </w:p>
        </w:tc>
      </w:tr>
      <w:tr>
        <w:trPr>
          <w:trHeight w:val="300"/>
        </w:trPr>
        <w:tc>
          <w:tcPr>
            <w:tcW w:w="2380" w:type="dxa"/>
            <w:vAlign w:val="bottom"/>
            <w:shd w:val="clear" w:color="auto" w:fill="FCE9E8"/>
          </w:tcPr>
          <w:p>
            <w:pPr>
              <w:spacing w:after="0"/>
              <w:rPr>
                <w:sz w:val="24"/>
                <w:szCs w:val="24"/>
                <w:color w:val="auto"/>
              </w:rPr>
            </w:pPr>
          </w:p>
        </w:tc>
        <w:tc>
          <w:tcPr>
            <w:tcW w:w="920" w:type="dxa"/>
            <w:vAlign w:val="bottom"/>
            <w:shd w:val="clear" w:color="auto" w:fill="FCE9E8"/>
          </w:tcPr>
          <w:p>
            <w:pPr>
              <w:spacing w:after="0"/>
              <w:rPr>
                <w:sz w:val="24"/>
                <w:szCs w:val="24"/>
                <w:color w:val="auto"/>
              </w:rPr>
            </w:pPr>
          </w:p>
        </w:tc>
        <w:tc>
          <w:tcPr>
            <w:tcW w:w="880" w:type="dxa"/>
            <w:vAlign w:val="bottom"/>
            <w:shd w:val="clear" w:color="auto" w:fill="FCE9E8"/>
          </w:tcPr>
          <w:p>
            <w:pPr>
              <w:spacing w:after="0"/>
              <w:rPr>
                <w:sz w:val="24"/>
                <w:szCs w:val="24"/>
                <w:color w:val="auto"/>
              </w:rPr>
            </w:pPr>
          </w:p>
        </w:tc>
        <w:tc>
          <w:tcPr>
            <w:tcW w:w="6700" w:type="dxa"/>
            <w:vAlign w:val="bottom"/>
            <w:gridSpan w:val="2"/>
            <w:shd w:val="clear" w:color="auto" w:fill="FCE9E8"/>
          </w:tcPr>
          <w:p>
            <w:pPr>
              <w:ind w:left="100"/>
              <w:spacing w:after="0"/>
              <w:rPr>
                <w:sz w:val="20"/>
                <w:szCs w:val="20"/>
                <w:color w:val="auto"/>
              </w:rPr>
            </w:pPr>
            <w:r>
              <w:rPr>
                <w:rFonts w:ascii="Arial" w:cs="Arial" w:eastAsia="Arial" w:hAnsi="Arial"/>
                <w:sz w:val="16"/>
                <w:szCs w:val="16"/>
                <w:color w:val="auto"/>
              </w:rPr>
              <w:t>• Adjusted ROIC is a well understood operating metric that focuses on the quality of</w:t>
            </w:r>
          </w:p>
        </w:tc>
      </w:tr>
      <w:tr>
        <w:trPr>
          <w:trHeight w:val="193"/>
        </w:trPr>
        <w:tc>
          <w:tcPr>
            <w:tcW w:w="2380" w:type="dxa"/>
            <w:vAlign w:val="bottom"/>
            <w:shd w:val="clear" w:color="auto" w:fill="FCE9E8"/>
          </w:tcPr>
          <w:p>
            <w:pPr>
              <w:spacing w:after="0"/>
              <w:rPr>
                <w:sz w:val="16"/>
                <w:szCs w:val="16"/>
                <w:color w:val="auto"/>
              </w:rPr>
            </w:pPr>
          </w:p>
        </w:tc>
        <w:tc>
          <w:tcPr>
            <w:tcW w:w="92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200" w:type="dxa"/>
            <w:vAlign w:val="bottom"/>
            <w:shd w:val="clear" w:color="auto" w:fill="FCE9E8"/>
          </w:tcPr>
          <w:p>
            <w:pPr>
              <w:spacing w:after="0"/>
              <w:rPr>
                <w:sz w:val="16"/>
                <w:szCs w:val="16"/>
                <w:color w:val="auto"/>
              </w:rPr>
            </w:pPr>
          </w:p>
        </w:tc>
        <w:tc>
          <w:tcPr>
            <w:tcW w:w="6500" w:type="dxa"/>
            <w:vAlign w:val="bottom"/>
            <w:shd w:val="clear" w:color="auto" w:fill="FCE9E8"/>
          </w:tcPr>
          <w:p>
            <w:pPr>
              <w:ind w:left="60"/>
              <w:spacing w:after="0"/>
              <w:rPr>
                <w:sz w:val="20"/>
                <w:szCs w:val="20"/>
                <w:color w:val="auto"/>
              </w:rPr>
            </w:pPr>
            <w:r>
              <w:rPr>
                <w:rFonts w:ascii="Arial" w:cs="Arial" w:eastAsia="Arial" w:hAnsi="Arial"/>
                <w:sz w:val="16"/>
                <w:szCs w:val="16"/>
                <w:color w:val="auto"/>
              </w:rPr>
              <w:t>earnings as measured by return on total capital invested in the business.</w:t>
            </w:r>
          </w:p>
        </w:tc>
      </w:tr>
      <w:tr>
        <w:trPr>
          <w:trHeight w:val="300"/>
        </w:trPr>
        <w:tc>
          <w:tcPr>
            <w:tcW w:w="2380" w:type="dxa"/>
            <w:vAlign w:val="bottom"/>
            <w:shd w:val="clear" w:color="auto" w:fill="FCE9E8"/>
          </w:tcPr>
          <w:p>
            <w:pPr>
              <w:spacing w:after="0"/>
              <w:rPr>
                <w:sz w:val="24"/>
                <w:szCs w:val="24"/>
                <w:color w:val="auto"/>
              </w:rPr>
            </w:pPr>
          </w:p>
        </w:tc>
        <w:tc>
          <w:tcPr>
            <w:tcW w:w="920" w:type="dxa"/>
            <w:vAlign w:val="bottom"/>
            <w:shd w:val="clear" w:color="auto" w:fill="FCE9E8"/>
          </w:tcPr>
          <w:p>
            <w:pPr>
              <w:spacing w:after="0"/>
              <w:rPr>
                <w:sz w:val="24"/>
                <w:szCs w:val="24"/>
                <w:color w:val="auto"/>
              </w:rPr>
            </w:pPr>
          </w:p>
        </w:tc>
        <w:tc>
          <w:tcPr>
            <w:tcW w:w="880" w:type="dxa"/>
            <w:vAlign w:val="bottom"/>
            <w:shd w:val="clear" w:color="auto" w:fill="FCE9E8"/>
          </w:tcPr>
          <w:p>
            <w:pPr>
              <w:spacing w:after="0"/>
              <w:rPr>
                <w:sz w:val="24"/>
                <w:szCs w:val="24"/>
                <w:color w:val="auto"/>
              </w:rPr>
            </w:pPr>
          </w:p>
        </w:tc>
        <w:tc>
          <w:tcPr>
            <w:tcW w:w="2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6500" w:type="dxa"/>
            <w:vAlign w:val="bottom"/>
            <w:shd w:val="clear" w:color="auto" w:fill="FCE9E8"/>
          </w:tcPr>
          <w:p>
            <w:pPr>
              <w:ind w:left="60"/>
              <w:spacing w:after="0"/>
              <w:rPr>
                <w:sz w:val="20"/>
                <w:szCs w:val="20"/>
                <w:color w:val="auto"/>
              </w:rPr>
            </w:pPr>
            <w:r>
              <w:rPr>
                <w:rFonts w:ascii="Arial" w:cs="Arial" w:eastAsia="Arial" w:hAnsi="Arial"/>
                <w:sz w:val="16"/>
                <w:szCs w:val="16"/>
                <w:color w:val="auto"/>
              </w:rPr>
              <w:t>Provides long-term focus on generating adequate returns on capital balanced by the goal</w:t>
            </w:r>
          </w:p>
        </w:tc>
      </w:tr>
      <w:tr>
        <w:trPr>
          <w:trHeight w:val="193"/>
        </w:trPr>
        <w:tc>
          <w:tcPr>
            <w:tcW w:w="2380" w:type="dxa"/>
            <w:vAlign w:val="bottom"/>
            <w:shd w:val="clear" w:color="auto" w:fill="FCE9E8"/>
          </w:tcPr>
          <w:p>
            <w:pPr>
              <w:spacing w:after="0"/>
              <w:rPr>
                <w:sz w:val="16"/>
                <w:szCs w:val="16"/>
                <w:color w:val="auto"/>
              </w:rPr>
            </w:pPr>
          </w:p>
        </w:tc>
        <w:tc>
          <w:tcPr>
            <w:tcW w:w="92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200" w:type="dxa"/>
            <w:vAlign w:val="bottom"/>
            <w:shd w:val="clear" w:color="auto" w:fill="FCE9E8"/>
          </w:tcPr>
          <w:p>
            <w:pPr>
              <w:spacing w:after="0"/>
              <w:rPr>
                <w:sz w:val="16"/>
                <w:szCs w:val="16"/>
                <w:color w:val="auto"/>
              </w:rPr>
            </w:pPr>
          </w:p>
        </w:tc>
        <w:tc>
          <w:tcPr>
            <w:tcW w:w="6500" w:type="dxa"/>
            <w:vAlign w:val="bottom"/>
            <w:shd w:val="clear" w:color="auto" w:fill="FCE9E8"/>
          </w:tcPr>
          <w:p>
            <w:pPr>
              <w:ind w:left="60"/>
              <w:spacing w:after="0"/>
              <w:rPr>
                <w:sz w:val="20"/>
                <w:szCs w:val="20"/>
                <w:color w:val="auto"/>
              </w:rPr>
            </w:pPr>
            <w:r>
              <w:rPr>
                <w:rFonts w:ascii="Arial" w:cs="Arial" w:eastAsia="Arial" w:hAnsi="Arial"/>
                <w:sz w:val="16"/>
                <w:szCs w:val="16"/>
                <w:color w:val="auto"/>
              </w:rPr>
              <w:t>of profitable growth embedded in the annual incentive performance measures.</w:t>
            </w:r>
          </w:p>
        </w:tc>
      </w:tr>
      <w:tr>
        <w:trPr>
          <w:trHeight w:val="306"/>
        </w:trPr>
        <w:tc>
          <w:tcPr>
            <w:tcW w:w="2380" w:type="dxa"/>
            <w:vAlign w:val="bottom"/>
            <w:shd w:val="clear" w:color="auto" w:fill="FCE9E8"/>
          </w:tcPr>
          <w:p>
            <w:pPr>
              <w:spacing w:after="0"/>
              <w:rPr>
                <w:sz w:val="24"/>
                <w:szCs w:val="24"/>
                <w:color w:val="auto"/>
              </w:rPr>
            </w:pPr>
          </w:p>
        </w:tc>
        <w:tc>
          <w:tcPr>
            <w:tcW w:w="920" w:type="dxa"/>
            <w:vAlign w:val="bottom"/>
            <w:shd w:val="clear" w:color="auto" w:fill="FCE9E8"/>
          </w:tcPr>
          <w:p>
            <w:pPr>
              <w:spacing w:after="0"/>
              <w:rPr>
                <w:sz w:val="24"/>
                <w:szCs w:val="24"/>
                <w:color w:val="auto"/>
              </w:rPr>
            </w:pPr>
          </w:p>
        </w:tc>
        <w:tc>
          <w:tcPr>
            <w:tcW w:w="880" w:type="dxa"/>
            <w:vAlign w:val="bottom"/>
            <w:shd w:val="clear" w:color="auto" w:fill="FCE9E8"/>
          </w:tcPr>
          <w:p>
            <w:pPr>
              <w:spacing w:after="0"/>
              <w:rPr>
                <w:sz w:val="24"/>
                <w:szCs w:val="24"/>
                <w:color w:val="auto"/>
              </w:rPr>
            </w:pPr>
          </w:p>
        </w:tc>
        <w:tc>
          <w:tcPr>
            <w:tcW w:w="2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6500" w:type="dxa"/>
            <w:vAlign w:val="bottom"/>
            <w:shd w:val="clear" w:color="auto" w:fill="FCE9E8"/>
          </w:tcPr>
          <w:p>
            <w:pPr>
              <w:ind w:left="60"/>
              <w:spacing w:after="0"/>
              <w:rPr>
                <w:sz w:val="20"/>
                <w:szCs w:val="20"/>
                <w:color w:val="auto"/>
              </w:rPr>
            </w:pPr>
            <w:r>
              <w:rPr>
                <w:rFonts w:ascii="Arial" w:cs="Arial" w:eastAsia="Arial" w:hAnsi="Arial"/>
                <w:sz w:val="16"/>
                <w:szCs w:val="16"/>
                <w:color w:val="auto"/>
              </w:rPr>
              <w:t>Desired goal is to generate returns in excess of the Company’s cost of capital.</w:t>
            </w:r>
          </w:p>
        </w:tc>
      </w:tr>
      <w:tr>
        <w:trPr>
          <w:trHeight w:val="125"/>
        </w:trPr>
        <w:tc>
          <w:tcPr>
            <w:tcW w:w="2380" w:type="dxa"/>
            <w:vAlign w:val="bottom"/>
            <w:shd w:val="clear" w:color="auto" w:fill="FCE9E8"/>
          </w:tcPr>
          <w:p>
            <w:pPr>
              <w:spacing w:after="0"/>
              <w:rPr>
                <w:sz w:val="10"/>
                <w:szCs w:val="10"/>
                <w:color w:val="auto"/>
              </w:rPr>
            </w:pPr>
          </w:p>
        </w:tc>
        <w:tc>
          <w:tcPr>
            <w:tcW w:w="920" w:type="dxa"/>
            <w:vAlign w:val="bottom"/>
            <w:shd w:val="clear" w:color="auto" w:fill="FCE9E8"/>
          </w:tcPr>
          <w:p>
            <w:pPr>
              <w:spacing w:after="0"/>
              <w:rPr>
                <w:sz w:val="10"/>
                <w:szCs w:val="10"/>
                <w:color w:val="auto"/>
              </w:rPr>
            </w:pPr>
          </w:p>
        </w:tc>
        <w:tc>
          <w:tcPr>
            <w:tcW w:w="880" w:type="dxa"/>
            <w:vAlign w:val="bottom"/>
            <w:shd w:val="clear" w:color="auto" w:fill="FCE9E8"/>
          </w:tcPr>
          <w:p>
            <w:pPr>
              <w:spacing w:after="0"/>
              <w:rPr>
                <w:sz w:val="10"/>
                <w:szCs w:val="10"/>
                <w:color w:val="auto"/>
              </w:rPr>
            </w:pPr>
          </w:p>
        </w:tc>
        <w:tc>
          <w:tcPr>
            <w:tcW w:w="200" w:type="dxa"/>
            <w:vAlign w:val="bottom"/>
            <w:shd w:val="clear" w:color="auto" w:fill="FCE9E8"/>
          </w:tcPr>
          <w:p>
            <w:pPr>
              <w:spacing w:after="0"/>
              <w:rPr>
                <w:sz w:val="10"/>
                <w:szCs w:val="10"/>
                <w:color w:val="auto"/>
              </w:rPr>
            </w:pPr>
          </w:p>
        </w:tc>
        <w:tc>
          <w:tcPr>
            <w:tcW w:w="6500" w:type="dxa"/>
            <w:vAlign w:val="bottom"/>
            <w:shd w:val="clear" w:color="auto" w:fill="FCE9E8"/>
          </w:tcPr>
          <w:p>
            <w:pPr>
              <w:spacing w:after="0"/>
              <w:rPr>
                <w:sz w:val="10"/>
                <w:szCs w:val="10"/>
                <w:color w:val="auto"/>
              </w:rPr>
            </w:pPr>
          </w:p>
        </w:tc>
      </w:tr>
      <w:tr>
        <w:trPr>
          <w:trHeight w:val="188"/>
        </w:trPr>
        <w:tc>
          <w:tcPr>
            <w:tcW w:w="2380" w:type="dxa"/>
            <w:vAlign w:val="bottom"/>
          </w:tcPr>
          <w:p>
            <w:pPr>
              <w:ind w:left="80"/>
              <w:spacing w:after="0"/>
              <w:rPr>
                <w:sz w:val="20"/>
                <w:szCs w:val="20"/>
                <w:color w:val="auto"/>
              </w:rPr>
            </w:pPr>
            <w:r>
              <w:rPr>
                <w:rFonts w:ascii="Arial" w:cs="Arial" w:eastAsia="Arial" w:hAnsi="Arial"/>
                <w:sz w:val="16"/>
                <w:szCs w:val="16"/>
                <w:color w:val="auto"/>
              </w:rPr>
              <w:t>Cumulative Adjusted</w:t>
            </w:r>
          </w:p>
        </w:tc>
        <w:tc>
          <w:tcPr>
            <w:tcW w:w="920" w:type="dxa"/>
            <w:vAlign w:val="bottom"/>
          </w:tcPr>
          <w:p>
            <w:pPr>
              <w:jc w:val="center"/>
              <w:ind w:left="202"/>
              <w:spacing w:after="0"/>
              <w:rPr>
                <w:sz w:val="20"/>
                <w:szCs w:val="20"/>
                <w:color w:val="auto"/>
              </w:rPr>
            </w:pPr>
            <w:r>
              <w:rPr>
                <w:rFonts w:ascii="Arial" w:cs="Arial" w:eastAsia="Arial" w:hAnsi="Arial"/>
                <w:sz w:val="16"/>
                <w:szCs w:val="16"/>
                <w:color w:val="auto"/>
                <w:w w:val="98"/>
              </w:rPr>
              <w:t>LTSIP</w:t>
            </w:r>
          </w:p>
        </w:tc>
        <w:tc>
          <w:tcPr>
            <w:tcW w:w="880" w:type="dxa"/>
            <w:vAlign w:val="bottom"/>
          </w:tcPr>
          <w:p>
            <w:pPr>
              <w:jc w:val="center"/>
              <w:spacing w:after="0"/>
              <w:rPr>
                <w:sz w:val="20"/>
                <w:szCs w:val="20"/>
                <w:color w:val="auto"/>
              </w:rPr>
            </w:pPr>
            <w:r>
              <w:rPr>
                <w:rFonts w:ascii="Arial" w:cs="Arial" w:eastAsia="Arial" w:hAnsi="Arial"/>
                <w:sz w:val="16"/>
                <w:szCs w:val="16"/>
                <w:color w:val="auto"/>
              </w:rPr>
              <w:t>33 1/3%</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500" w:type="dxa"/>
            <w:vAlign w:val="bottom"/>
          </w:tcPr>
          <w:p>
            <w:pPr>
              <w:ind w:left="60"/>
              <w:spacing w:after="0"/>
              <w:rPr>
                <w:sz w:val="20"/>
                <w:szCs w:val="20"/>
                <w:color w:val="auto"/>
              </w:rPr>
            </w:pPr>
            <w:r>
              <w:rPr>
                <w:rFonts w:ascii="Arial" w:cs="Arial" w:eastAsia="Arial" w:hAnsi="Arial"/>
                <w:sz w:val="16"/>
                <w:szCs w:val="16"/>
                <w:color w:val="auto"/>
                <w:w w:val="99"/>
              </w:rPr>
              <w:t>Cumulative consolidated adjusted net income for the three-year performance period (2018-</w:t>
            </w:r>
          </w:p>
        </w:tc>
      </w:tr>
      <w:tr>
        <w:trPr>
          <w:trHeight w:val="193"/>
        </w:trPr>
        <w:tc>
          <w:tcPr>
            <w:tcW w:w="2380" w:type="dxa"/>
            <w:vAlign w:val="bottom"/>
          </w:tcPr>
          <w:p>
            <w:pPr>
              <w:ind w:left="80"/>
              <w:spacing w:after="0"/>
              <w:rPr>
                <w:sz w:val="20"/>
                <w:szCs w:val="20"/>
                <w:color w:val="auto"/>
              </w:rPr>
            </w:pPr>
            <w:r>
              <w:rPr>
                <w:rFonts w:ascii="Arial" w:cs="Arial" w:eastAsia="Arial" w:hAnsi="Arial"/>
                <w:sz w:val="16"/>
                <w:szCs w:val="16"/>
                <w:color w:val="auto"/>
              </w:rPr>
              <w:t>Pre-Tax Income</w:t>
            </w: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500" w:type="dxa"/>
            <w:vAlign w:val="bottom"/>
          </w:tcPr>
          <w:p>
            <w:pPr>
              <w:ind w:left="60"/>
              <w:spacing w:after="0"/>
              <w:rPr>
                <w:sz w:val="20"/>
                <w:szCs w:val="20"/>
                <w:color w:val="auto"/>
              </w:rPr>
            </w:pPr>
            <w:r>
              <w:rPr>
                <w:rFonts w:ascii="Arial" w:cs="Arial" w:eastAsia="Arial" w:hAnsi="Arial"/>
                <w:sz w:val="16"/>
                <w:szCs w:val="16"/>
                <w:color w:val="auto"/>
              </w:rPr>
              <w:t>2020) before a provision for income taxes, excluding certain transactions.</w:t>
            </w:r>
          </w:p>
        </w:tc>
      </w:tr>
      <w:tr>
        <w:trPr>
          <w:trHeight w:val="300"/>
        </w:trPr>
        <w:tc>
          <w:tcPr>
            <w:tcW w:w="2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500" w:type="dxa"/>
            <w:vAlign w:val="bottom"/>
          </w:tcPr>
          <w:p>
            <w:pPr>
              <w:ind w:left="60"/>
              <w:spacing w:after="0"/>
              <w:rPr>
                <w:sz w:val="20"/>
                <w:szCs w:val="20"/>
                <w:color w:val="auto"/>
              </w:rPr>
            </w:pPr>
            <w:r>
              <w:rPr>
                <w:rFonts w:ascii="Arial" w:cs="Arial" w:eastAsia="Arial" w:hAnsi="Arial"/>
                <w:sz w:val="16"/>
                <w:szCs w:val="16"/>
                <w:color w:val="auto"/>
                <w:w w:val="99"/>
              </w:rPr>
              <w:t>Focuses on earnings generated from products sold, encouraging profitable revenue growth</w:t>
            </w:r>
          </w:p>
        </w:tc>
      </w:tr>
      <w:tr>
        <w:trPr>
          <w:trHeight w:val="193"/>
        </w:trPr>
        <w:tc>
          <w:tcPr>
            <w:tcW w:w="2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500" w:type="dxa"/>
            <w:vAlign w:val="bottom"/>
          </w:tcPr>
          <w:p>
            <w:pPr>
              <w:ind w:left="60"/>
              <w:spacing w:after="0"/>
              <w:rPr>
                <w:sz w:val="20"/>
                <w:szCs w:val="20"/>
                <w:color w:val="auto"/>
              </w:rPr>
            </w:pPr>
            <w:r>
              <w:rPr>
                <w:rFonts w:ascii="Arial" w:cs="Arial" w:eastAsia="Arial" w:hAnsi="Arial"/>
                <w:sz w:val="16"/>
                <w:szCs w:val="16"/>
                <w:color w:val="auto"/>
              </w:rPr>
              <w:t>and efficient management of costs over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79375</wp:posOffset>
            </wp:positionV>
            <wp:extent cx="69018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42"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35</w:t>
      </w:r>
    </w:p>
    <w:p>
      <w:pPr>
        <w:sectPr>
          <w:pgSz w:w="11900" w:h="16838" w:orient="portrait"/>
          <w:cols w:equalWidth="0" w:num="1">
            <w:col w:w="11160"/>
          </w:cols>
          <w:pgMar w:left="240" w:top="455" w:right="49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160"/>
          </w:cols>
          <w:pgMar w:left="240" w:top="455" w:right="499" w:bottom="1440" w:gutter="0" w:footer="0" w:header="0"/>
        </w:sectPr>
      </w:pPr>
    </w:p>
    <w:p>
      <w:pPr>
        <w:spacing w:after="0" w:line="330"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Annual Incentives</w:t>
      </w:r>
    </w:p>
    <w:p>
      <w:pPr>
        <w:spacing w:after="0" w:line="187" w:lineRule="exact"/>
        <w:rPr>
          <w:sz w:val="20"/>
          <w:szCs w:val="20"/>
          <w:color w:val="auto"/>
        </w:rPr>
      </w:pPr>
    </w:p>
    <w:p>
      <w:pPr>
        <w:ind w:left="280" w:right="180"/>
        <w:spacing w:after="0" w:line="245" w:lineRule="auto"/>
        <w:rPr>
          <w:sz w:val="20"/>
          <w:szCs w:val="20"/>
          <w:color w:val="auto"/>
        </w:rPr>
      </w:pPr>
      <w:r>
        <w:rPr>
          <w:rFonts w:ascii="Arial" w:cs="Arial" w:eastAsia="Arial" w:hAnsi="Arial"/>
          <w:sz w:val="16"/>
          <w:szCs w:val="16"/>
          <w:color w:val="auto"/>
        </w:rPr>
        <w:t>Our executive officers participate in the Annual Incentive Plan (“AIP”). Under the AIP, the Compensation Committee provides annual cash incentive award opportunities for the achievement of financial performance goals considered important to the Company’s future success. Awards, if earned, are typically paid early in the following year based on our performance achieved in the prior fiscal year.</w:t>
      </w:r>
    </w:p>
    <w:p>
      <w:pPr>
        <w:spacing w:after="0" w:line="82" w:lineRule="exact"/>
        <w:rPr>
          <w:sz w:val="20"/>
          <w:szCs w:val="20"/>
          <w:color w:val="auto"/>
        </w:rPr>
      </w:pPr>
    </w:p>
    <w:p>
      <w:pPr>
        <w:ind w:left="280"/>
        <w:spacing w:after="0" w:line="266" w:lineRule="auto"/>
        <w:rPr>
          <w:sz w:val="20"/>
          <w:szCs w:val="20"/>
          <w:color w:val="auto"/>
        </w:rPr>
      </w:pPr>
      <w:r>
        <w:rPr>
          <w:rFonts w:ascii="Arial" w:cs="Arial" w:eastAsia="Arial" w:hAnsi="Arial"/>
          <w:sz w:val="15"/>
          <w:szCs w:val="15"/>
          <w:i w:val="1"/>
          <w:iCs w:val="1"/>
          <w:color w:val="auto"/>
        </w:rPr>
        <w:t>Target Annual Incentive</w:t>
      </w:r>
      <w:r>
        <w:rPr>
          <w:rFonts w:ascii="Arial" w:cs="Arial" w:eastAsia="Arial" w:hAnsi="Arial"/>
          <w:sz w:val="15"/>
          <w:szCs w:val="15"/>
          <w:color w:val="auto"/>
        </w:rPr>
        <w:t>. Each Named Executive Officer is assigned an</w:t>
      </w:r>
      <w:r>
        <w:rPr>
          <w:rFonts w:ascii="Arial" w:cs="Arial" w:eastAsia="Arial" w:hAnsi="Arial"/>
          <w:sz w:val="15"/>
          <w:szCs w:val="15"/>
          <w:i w:val="1"/>
          <w:iCs w:val="1"/>
          <w:color w:val="auto"/>
        </w:rPr>
        <w:t xml:space="preserve"> </w:t>
      </w:r>
      <w:r>
        <w:rPr>
          <w:rFonts w:ascii="Arial" w:cs="Arial" w:eastAsia="Arial" w:hAnsi="Arial"/>
          <w:sz w:val="15"/>
          <w:szCs w:val="15"/>
          <w:color w:val="auto"/>
        </w:rPr>
        <w:t>annual target opportunity under the AIP expressed as a percentage of such officer’s base salary. An executive’s target annual incentive percentage generally increases as his or her ability to affect the Company’s performance increases. Consequently, as an executive’s responsibilities increase, his variable compensation in the form of an annual incentive, which is dependent on Company performance, generally makes up a larger portion of the executive’s total compensation.</w:t>
      </w:r>
    </w:p>
    <w:p>
      <w:pPr>
        <w:spacing w:after="0" w:line="85" w:lineRule="exact"/>
        <w:rPr>
          <w:sz w:val="20"/>
          <w:szCs w:val="20"/>
          <w:color w:val="auto"/>
        </w:rPr>
      </w:pPr>
    </w:p>
    <w:p>
      <w:pPr>
        <w:ind w:left="280" w:right="40"/>
        <w:spacing w:after="0" w:line="244" w:lineRule="auto"/>
        <w:rPr>
          <w:sz w:val="20"/>
          <w:szCs w:val="20"/>
          <w:color w:val="auto"/>
        </w:rPr>
      </w:pPr>
      <w:r>
        <w:rPr>
          <w:rFonts w:ascii="Arial" w:cs="Arial" w:eastAsia="Arial" w:hAnsi="Arial"/>
          <w:sz w:val="16"/>
          <w:szCs w:val="16"/>
          <w:color w:val="auto"/>
        </w:rPr>
        <w:t>Mr. Scott’s target annual incentive opportunity for 2018 was 100% of his base salary with respect to his two months of service in that year as Executive Vice President and President, Seating and was increased to 150% of his base salary effective March 1, 2018, upon his assumption of the role of President and CEO. For 2018, the target annual incentive opportunity for each of Messrs. Vanneste, Larkin and DiDonato was 90%, 80% and 80%, respectively, of their base salaries. Mr. Orsini’s target annual incentive opportunity for 2018 was increased to 100% of his base salary effective March 1, 2018, in connection with his promotion to Executive Vice President and President, Seating, and his target annual incentive opportunity with respect to his two months of service in 2018 prior to his promotion was 90% of his 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Mr. Simoncini was eligible to receive a prorated payout under the AIP for 2018 with respect to his two months of service in that year as President and CEO at a target of 160% of his pre-transition annual base salary. In September 2018, the Compensation Committee approved increased target annual incentive opportunities for 2019 for Messrs. Vanneste and DiDonato to 100% and 85% of their respective base salaries; the 2019 target annual incentive opportunities for the other Named Executive Officers were unchanged from 2018.</w:t>
      </w:r>
    </w:p>
    <w:p>
      <w:pPr>
        <w:spacing w:after="0" w:line="86"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i w:val="1"/>
          <w:iCs w:val="1"/>
          <w:color w:val="auto"/>
        </w:rPr>
        <w:t>Financial Measures</w:t>
      </w:r>
      <w:r>
        <w:rPr>
          <w:rFonts w:ascii="Arial" w:cs="Arial" w:eastAsia="Arial" w:hAnsi="Arial"/>
          <w:sz w:val="16"/>
          <w:szCs w:val="16"/>
          <w:color w:val="auto"/>
        </w:rPr>
        <w:t>. Adjusted Operating Income and Free 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were used because they are highly visible and important measures of operating performance that are relied upon by investors. The target goals of Adjusted Operating Income and Free Cash Flow were set based on the budget for the period reflecting a level of performance which at the time was anticipated to be challenging, but achievable. The threshold level was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 200% target award was warranted. If threshold, target or maximum Adjusted Operating Income and Free Cash Flow goals (described above in “— Executive Summary — 2018 Annual Incentive Program”) were attained in 2018, 50%, 100% or 200% of the target incentive amount for each executive, respectively, would be earned. Additionally, if an intermediate Adjusted Operating Income goal had been attained in 2018, the portion of the 2018 annual incentive award with respect to such goal could have been earned at 175% of the target incentive amount.</w:t>
      </w:r>
    </w:p>
    <w:p>
      <w:pPr>
        <w:spacing w:after="0" w:line="200" w:lineRule="exact"/>
        <w:rPr>
          <w:sz w:val="20"/>
          <w:szCs w:val="20"/>
          <w:color w:val="auto"/>
        </w:rPr>
      </w:pPr>
    </w:p>
    <w:p>
      <w:pPr>
        <w:sectPr>
          <w:pgSz w:w="11900" w:h="16838" w:orient="portrait"/>
          <w:cols w:equalWidth="0" w:num="2">
            <w:col w:w="5500" w:space="320"/>
            <w:col w:w="5340"/>
          </w:cols>
          <w:pgMar w:left="240" w:top="455" w:right="499" w:bottom="1440" w:gutter="0" w:footer="0" w:header="0"/>
          <w:type w:val="continuous"/>
        </w:sectPr>
      </w:pPr>
    </w:p>
    <w:p>
      <w:pPr>
        <w:spacing w:after="0" w:line="41" w:lineRule="exact"/>
        <w:rPr>
          <w:sz w:val="20"/>
          <w:szCs w:val="20"/>
          <w:color w:val="auto"/>
        </w:rPr>
      </w:pPr>
    </w:p>
    <w:p>
      <w:pPr>
        <w:ind w:left="280" w:right="40"/>
        <w:spacing w:after="0" w:line="253" w:lineRule="auto"/>
        <w:rPr>
          <w:sz w:val="20"/>
          <w:szCs w:val="20"/>
          <w:color w:val="auto"/>
        </w:rPr>
      </w:pPr>
      <w:r>
        <w:rPr>
          <w:rFonts w:ascii="Arial" w:cs="Arial" w:eastAsia="Arial" w:hAnsi="Arial"/>
          <w:sz w:val="16"/>
          <w:szCs w:val="16"/>
          <w:i w:val="1"/>
          <w:iCs w:val="1"/>
          <w:color w:val="auto"/>
        </w:rPr>
        <w:t xml:space="preserve">Results. </w:t>
      </w:r>
      <w:r>
        <w:rPr>
          <w:rFonts w:ascii="Arial" w:cs="Arial" w:eastAsia="Arial" w:hAnsi="Arial"/>
          <w:sz w:val="16"/>
          <w:szCs w:val="16"/>
          <w:color w:val="auto"/>
        </w:rPr>
        <w:t>Our 2018 Adjusted Operating Income ($1,749 million) approximated the target performance level and our 2018 Free Cash Flow ($1,103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exceeded the threshold performance level, which resulted in annual incentive awards being earned at 87% of target. Adjusted Operating Income and Free Cash Flow are described above in “— 2018 Incentive Programs — Pay for Performance.” The resulting annual incentive amounts earned by our Named Executive Officers were as follows:</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FFFFFF"/>
        </w:rPr>
        <w:t>2018 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-106680</wp:posOffset>
            </wp:positionV>
            <wp:extent cx="6901815" cy="1181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01815" cy="118110"/>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160"/>
        </w:trPr>
        <w:tc>
          <w:tcPr>
            <w:tcW w:w="2220" w:type="dxa"/>
            <w:vAlign w:val="bottom"/>
          </w:tcPr>
          <w:p>
            <w:pPr>
              <w:spacing w:after="0"/>
              <w:rPr>
                <w:sz w:val="13"/>
                <w:szCs w:val="13"/>
                <w:color w:val="auto"/>
              </w:rPr>
            </w:pPr>
          </w:p>
        </w:tc>
        <w:tc>
          <w:tcPr>
            <w:tcW w:w="2500" w:type="dxa"/>
            <w:vAlign w:val="bottom"/>
          </w:tcPr>
          <w:p>
            <w:pPr>
              <w:jc w:val="right"/>
              <w:ind w:right="443"/>
              <w:spacing w:after="0"/>
              <w:rPr>
                <w:sz w:val="20"/>
                <w:szCs w:val="20"/>
                <w:color w:val="auto"/>
              </w:rPr>
            </w:pPr>
            <w:r>
              <w:rPr>
                <w:rFonts w:ascii="Arial" w:cs="Arial" w:eastAsia="Arial" w:hAnsi="Arial"/>
                <w:sz w:val="14"/>
                <w:szCs w:val="14"/>
                <w:b w:val="1"/>
                <w:bCs w:val="1"/>
                <w:color w:val="E2231A"/>
              </w:rPr>
              <w:t>Target Opportunity</w:t>
            </w:r>
          </w:p>
        </w:tc>
        <w:tc>
          <w:tcPr>
            <w:tcW w:w="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880" w:type="dxa"/>
            <w:vAlign w:val="bottom"/>
            <w:gridSpan w:val="2"/>
          </w:tcPr>
          <w:p>
            <w:pPr>
              <w:ind w:left="480"/>
              <w:spacing w:after="0"/>
              <w:rPr>
                <w:sz w:val="20"/>
                <w:szCs w:val="20"/>
                <w:color w:val="auto"/>
              </w:rPr>
            </w:pPr>
            <w:r>
              <w:rPr>
                <w:rFonts w:ascii="Arial" w:cs="Arial" w:eastAsia="Arial" w:hAnsi="Arial"/>
                <w:sz w:val="14"/>
                <w:szCs w:val="14"/>
                <w:b w:val="1"/>
                <w:bCs w:val="1"/>
                <w:color w:val="E2231A"/>
              </w:rPr>
              <w:t>2018 Incentive</w:t>
            </w:r>
          </w:p>
        </w:tc>
      </w:tr>
      <w:tr>
        <w:trPr>
          <w:trHeight w:val="190"/>
        </w:trPr>
        <w:tc>
          <w:tcPr>
            <w:tcW w:w="2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jc w:val="right"/>
              <w:ind w:right="523"/>
              <w:spacing w:after="0" w:line="190" w:lineRule="exact"/>
              <w:rPr>
                <w:sz w:val="20"/>
                <w:szCs w:val="20"/>
                <w:color w:val="auto"/>
              </w:rPr>
            </w:pPr>
            <w:r>
              <w:rPr>
                <w:rFonts w:ascii="Arial" w:cs="Arial" w:eastAsia="Arial" w:hAnsi="Arial"/>
                <w:sz w:val="13"/>
                <w:szCs w:val="13"/>
                <w:b w:val="1"/>
                <w:bCs w:val="1"/>
                <w:color w:val="E2231A"/>
              </w:rPr>
              <w:t>(as % of Base)</w:t>
            </w:r>
            <w:r>
              <w:rPr>
                <w:rFonts w:ascii="Arial" w:cs="Arial" w:eastAsia="Arial" w:hAnsi="Arial"/>
                <w:sz w:val="22"/>
                <w:szCs w:val="22"/>
                <w:b w:val="1"/>
                <w:bCs w:val="1"/>
                <w:color w:val="E2231A"/>
                <w:vertAlign w:val="superscript"/>
              </w:rPr>
              <w:t>(1)</w:t>
            </w:r>
          </w:p>
        </w:tc>
        <w:tc>
          <w:tcPr>
            <w:tcW w:w="1940" w:type="dxa"/>
            <w:vAlign w:val="bottom"/>
            <w:tcBorders>
              <w:bottom w:val="single" w:sz="8" w:color="auto"/>
            </w:tcBorders>
            <w:gridSpan w:val="2"/>
          </w:tcPr>
          <w:p>
            <w:pPr>
              <w:ind w:left="400"/>
              <w:spacing w:after="0" w:line="190" w:lineRule="exact"/>
              <w:rPr>
                <w:sz w:val="20"/>
                <w:szCs w:val="20"/>
                <w:color w:val="auto"/>
              </w:rPr>
            </w:pPr>
            <w:r>
              <w:rPr>
                <w:rFonts w:ascii="Arial" w:cs="Arial" w:eastAsia="Arial" w:hAnsi="Arial"/>
                <w:sz w:val="13"/>
                <w:szCs w:val="13"/>
                <w:b w:val="1"/>
                <w:bCs w:val="1"/>
                <w:color w:val="E2231A"/>
              </w:rPr>
              <w:t>Target Amount</w:t>
            </w:r>
            <w:r>
              <w:rPr>
                <w:rFonts w:ascii="Arial" w:cs="Arial" w:eastAsia="Arial" w:hAnsi="Arial"/>
                <w:sz w:val="22"/>
                <w:szCs w:val="22"/>
                <w:b w:val="1"/>
                <w:bCs w:val="1"/>
                <w:color w:val="E2231A"/>
                <w:vertAlign w:val="superscript"/>
              </w:rPr>
              <w:t>(2)</w:t>
            </w:r>
          </w:p>
        </w:tc>
        <w:tc>
          <w:tcPr>
            <w:tcW w:w="23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E2231A"/>
              </w:rPr>
              <w:t>Actual Performance</w:t>
            </w:r>
          </w:p>
        </w:tc>
        <w:tc>
          <w:tcPr>
            <w:tcW w:w="5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2"/>
              <w:spacing w:after="0" w:line="190" w:lineRule="exact"/>
              <w:rPr>
                <w:sz w:val="20"/>
                <w:szCs w:val="20"/>
                <w:color w:val="auto"/>
              </w:rPr>
            </w:pPr>
            <w:r>
              <w:rPr>
                <w:rFonts w:ascii="Arial" w:cs="Arial" w:eastAsia="Arial" w:hAnsi="Arial"/>
                <w:sz w:val="13"/>
                <w:szCs w:val="13"/>
                <w:b w:val="1"/>
                <w:bCs w:val="1"/>
                <w:color w:val="E2231A"/>
              </w:rPr>
              <w:t>Amount</w:t>
            </w:r>
            <w:r>
              <w:rPr>
                <w:rFonts w:ascii="Arial" w:cs="Arial" w:eastAsia="Arial" w:hAnsi="Arial"/>
                <w:sz w:val="22"/>
                <w:szCs w:val="22"/>
                <w:b w:val="1"/>
                <w:bCs w:val="1"/>
                <w:color w:val="E2231A"/>
                <w:vertAlign w:val="superscript"/>
              </w:rPr>
              <w:t>(3)</w:t>
            </w:r>
          </w:p>
        </w:tc>
      </w:tr>
      <w:tr>
        <w:trPr>
          <w:trHeight w:val="180"/>
        </w:trPr>
        <w:tc>
          <w:tcPr>
            <w:tcW w:w="2220" w:type="dxa"/>
            <w:vAlign w:val="bottom"/>
            <w:shd w:val="clear" w:color="auto" w:fill="FCE9E8"/>
          </w:tcPr>
          <w:p>
            <w:pPr>
              <w:spacing w:after="0" w:line="180" w:lineRule="exact"/>
              <w:rPr>
                <w:sz w:val="20"/>
                <w:szCs w:val="20"/>
                <w:color w:val="auto"/>
              </w:rPr>
            </w:pPr>
            <w:r>
              <w:rPr>
                <w:rFonts w:ascii="Arial" w:cs="Arial" w:eastAsia="Arial" w:hAnsi="Arial"/>
                <w:sz w:val="16"/>
                <w:szCs w:val="16"/>
                <w:color w:val="auto"/>
              </w:rPr>
              <w:t>Raymond E. Scott</w:t>
            </w:r>
          </w:p>
        </w:tc>
        <w:tc>
          <w:tcPr>
            <w:tcW w:w="2500" w:type="dxa"/>
            <w:vAlign w:val="bottom"/>
            <w:shd w:val="clear" w:color="auto" w:fill="FCE9E8"/>
          </w:tcPr>
          <w:p>
            <w:pPr>
              <w:jc w:val="right"/>
              <w:ind w:right="303"/>
              <w:spacing w:after="0" w:line="180" w:lineRule="exact"/>
              <w:rPr>
                <w:sz w:val="20"/>
                <w:szCs w:val="20"/>
                <w:color w:val="auto"/>
              </w:rPr>
            </w:pPr>
            <w:r>
              <w:rPr>
                <w:rFonts w:ascii="Arial" w:cs="Arial" w:eastAsia="Arial" w:hAnsi="Arial"/>
                <w:sz w:val="16"/>
                <w:szCs w:val="16"/>
                <w:color w:val="auto"/>
              </w:rPr>
              <w:t>141.67%</w:t>
            </w:r>
          </w:p>
        </w:tc>
        <w:tc>
          <w:tcPr>
            <w:tcW w:w="660" w:type="dxa"/>
            <w:vAlign w:val="bottom"/>
            <w:shd w:val="clear" w:color="auto" w:fill="FCE9E8"/>
          </w:tcPr>
          <w:p>
            <w:pPr>
              <w:ind w:left="400"/>
              <w:spacing w:after="0" w:line="180" w:lineRule="exact"/>
              <w:rPr>
                <w:sz w:val="20"/>
                <w:szCs w:val="20"/>
                <w:color w:val="auto"/>
              </w:rPr>
            </w:pPr>
            <w:r>
              <w:rPr>
                <w:rFonts w:ascii="Arial" w:cs="Arial" w:eastAsia="Arial" w:hAnsi="Arial"/>
                <w:sz w:val="16"/>
                <w:szCs w:val="16"/>
                <w:color w:val="auto"/>
              </w:rPr>
              <w:t>$</w:t>
            </w:r>
          </w:p>
        </w:tc>
        <w:tc>
          <w:tcPr>
            <w:tcW w:w="1280" w:type="dxa"/>
            <w:vAlign w:val="bottom"/>
            <w:shd w:val="clear" w:color="auto" w:fill="FCE9E8"/>
          </w:tcPr>
          <w:p>
            <w:pPr>
              <w:jc w:val="right"/>
              <w:ind w:right="320"/>
              <w:spacing w:after="0" w:line="180" w:lineRule="exact"/>
              <w:rPr>
                <w:sz w:val="20"/>
                <w:szCs w:val="20"/>
                <w:color w:val="auto"/>
              </w:rPr>
            </w:pPr>
            <w:r>
              <w:rPr>
                <w:rFonts w:ascii="Arial" w:cs="Arial" w:eastAsia="Arial" w:hAnsi="Arial"/>
                <w:sz w:val="16"/>
                <w:szCs w:val="16"/>
                <w:color w:val="auto"/>
              </w:rPr>
              <w:t>1,643,372</w:t>
            </w:r>
          </w:p>
        </w:tc>
        <w:tc>
          <w:tcPr>
            <w:tcW w:w="2340" w:type="dxa"/>
            <w:vAlign w:val="bottom"/>
            <w:shd w:val="clear" w:color="auto" w:fill="FCE9E8"/>
          </w:tcPr>
          <w:p>
            <w:pPr>
              <w:jc w:val="right"/>
              <w:ind w:right="381"/>
              <w:spacing w:after="0" w:line="180" w:lineRule="exact"/>
              <w:rPr>
                <w:sz w:val="20"/>
                <w:szCs w:val="20"/>
                <w:color w:val="auto"/>
              </w:rPr>
            </w:pPr>
            <w:r>
              <w:rPr>
                <w:rFonts w:ascii="Arial" w:cs="Arial" w:eastAsia="Arial" w:hAnsi="Arial"/>
                <w:sz w:val="16"/>
                <w:szCs w:val="16"/>
                <w:color w:val="auto"/>
              </w:rPr>
              <w:t>87%</w:t>
            </w:r>
          </w:p>
        </w:tc>
        <w:tc>
          <w:tcPr>
            <w:tcW w:w="580" w:type="dxa"/>
            <w:vAlign w:val="bottom"/>
            <w:shd w:val="clear" w:color="auto" w:fill="FCE9E8"/>
          </w:tcPr>
          <w:p>
            <w:pPr>
              <w:ind w:left="460"/>
              <w:spacing w:after="0" w:line="180" w:lineRule="exact"/>
              <w:rPr>
                <w:sz w:val="20"/>
                <w:szCs w:val="20"/>
                <w:color w:val="auto"/>
              </w:rPr>
            </w:pPr>
            <w:r>
              <w:rPr>
                <w:rFonts w:ascii="Arial" w:cs="Arial" w:eastAsia="Arial" w:hAnsi="Arial"/>
                <w:sz w:val="16"/>
                <w:szCs w:val="16"/>
                <w:color w:val="auto"/>
              </w:rPr>
              <w:t>$</w:t>
            </w:r>
          </w:p>
        </w:tc>
        <w:tc>
          <w:tcPr>
            <w:tcW w:w="1300" w:type="dxa"/>
            <w:vAlign w:val="bottom"/>
            <w:shd w:val="clear" w:color="auto" w:fill="FCE9E8"/>
          </w:tcPr>
          <w:p>
            <w:pPr>
              <w:jc w:val="right"/>
              <w:ind w:right="362"/>
              <w:spacing w:after="0" w:line="180" w:lineRule="exact"/>
              <w:rPr>
                <w:sz w:val="20"/>
                <w:szCs w:val="20"/>
                <w:color w:val="auto"/>
              </w:rPr>
            </w:pPr>
            <w:r>
              <w:rPr>
                <w:rFonts w:ascii="Arial" w:cs="Arial" w:eastAsia="Arial" w:hAnsi="Arial"/>
                <w:sz w:val="16"/>
                <w:szCs w:val="16"/>
                <w:color w:val="auto"/>
              </w:rPr>
              <w:t>1,429,734</w:t>
            </w:r>
          </w:p>
        </w:tc>
      </w:tr>
      <w:tr>
        <w:trPr>
          <w:trHeight w:val="186"/>
        </w:trPr>
        <w:tc>
          <w:tcPr>
            <w:tcW w:w="2220" w:type="dxa"/>
            <w:vAlign w:val="bottom"/>
          </w:tcPr>
          <w:p>
            <w:pPr>
              <w:spacing w:after="0"/>
              <w:rPr>
                <w:sz w:val="20"/>
                <w:szCs w:val="20"/>
                <w:color w:val="auto"/>
              </w:rPr>
            </w:pPr>
            <w:r>
              <w:rPr>
                <w:rFonts w:ascii="Arial" w:cs="Arial" w:eastAsia="Arial" w:hAnsi="Arial"/>
                <w:sz w:val="16"/>
                <w:szCs w:val="16"/>
                <w:color w:val="auto"/>
              </w:rPr>
              <w:t>Jeffrey H. Vanneste</w:t>
            </w:r>
          </w:p>
        </w:tc>
        <w:tc>
          <w:tcPr>
            <w:tcW w:w="2500" w:type="dxa"/>
            <w:vAlign w:val="bottom"/>
          </w:tcPr>
          <w:p>
            <w:pPr>
              <w:jc w:val="right"/>
              <w:ind w:right="303"/>
              <w:spacing w:after="0"/>
              <w:rPr>
                <w:sz w:val="20"/>
                <w:szCs w:val="20"/>
                <w:color w:val="auto"/>
              </w:rPr>
            </w:pPr>
            <w:r>
              <w:rPr>
                <w:rFonts w:ascii="Arial" w:cs="Arial" w:eastAsia="Arial" w:hAnsi="Arial"/>
                <w:sz w:val="16"/>
                <w:szCs w:val="16"/>
                <w:color w:val="auto"/>
              </w:rPr>
              <w:t>90%</w:t>
            </w:r>
          </w:p>
        </w:tc>
        <w:tc>
          <w:tcPr>
            <w:tcW w:w="660" w:type="dxa"/>
            <w:vAlign w:val="bottom"/>
          </w:tcPr>
          <w:p>
            <w:pPr>
              <w:ind w:left="4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20"/>
              <w:spacing w:after="0"/>
              <w:rPr>
                <w:sz w:val="20"/>
                <w:szCs w:val="20"/>
                <w:color w:val="auto"/>
              </w:rPr>
            </w:pPr>
            <w:r>
              <w:rPr>
                <w:rFonts w:ascii="Arial" w:cs="Arial" w:eastAsia="Arial" w:hAnsi="Arial"/>
                <w:sz w:val="16"/>
                <w:szCs w:val="16"/>
                <w:color w:val="auto"/>
              </w:rPr>
              <w:t>744,975</w:t>
            </w:r>
          </w:p>
        </w:tc>
        <w:tc>
          <w:tcPr>
            <w:tcW w:w="2340" w:type="dxa"/>
            <w:vAlign w:val="bottom"/>
          </w:tcPr>
          <w:p>
            <w:pPr>
              <w:jc w:val="right"/>
              <w:ind w:right="381"/>
              <w:spacing w:after="0"/>
              <w:rPr>
                <w:sz w:val="20"/>
                <w:szCs w:val="20"/>
                <w:color w:val="auto"/>
              </w:rPr>
            </w:pPr>
            <w:r>
              <w:rPr>
                <w:rFonts w:ascii="Arial" w:cs="Arial" w:eastAsia="Arial" w:hAnsi="Arial"/>
                <w:sz w:val="16"/>
                <w:szCs w:val="16"/>
                <w:color w:val="auto"/>
              </w:rPr>
              <w:t>87%</w:t>
            </w:r>
          </w:p>
        </w:tc>
        <w:tc>
          <w:tcPr>
            <w:tcW w:w="580" w:type="dxa"/>
            <w:vAlign w:val="bottom"/>
          </w:tcPr>
          <w:p>
            <w:pPr>
              <w:ind w:left="4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62"/>
              <w:spacing w:after="0"/>
              <w:rPr>
                <w:sz w:val="20"/>
                <w:szCs w:val="20"/>
                <w:color w:val="auto"/>
              </w:rPr>
            </w:pPr>
            <w:r>
              <w:rPr>
                <w:rFonts w:ascii="Arial" w:cs="Arial" w:eastAsia="Arial" w:hAnsi="Arial"/>
                <w:sz w:val="16"/>
                <w:szCs w:val="16"/>
                <w:color w:val="auto"/>
              </w:rPr>
              <w:t>648,128</w:t>
            </w:r>
          </w:p>
        </w:tc>
      </w:tr>
      <w:tr>
        <w:trPr>
          <w:trHeight w:val="186"/>
        </w:trPr>
        <w:tc>
          <w:tcPr>
            <w:tcW w:w="2220" w:type="dxa"/>
            <w:vAlign w:val="bottom"/>
            <w:shd w:val="clear" w:color="auto" w:fill="FCE9E8"/>
          </w:tcPr>
          <w:p>
            <w:pPr>
              <w:spacing w:after="0"/>
              <w:rPr>
                <w:sz w:val="20"/>
                <w:szCs w:val="20"/>
                <w:color w:val="auto"/>
              </w:rPr>
            </w:pPr>
            <w:r>
              <w:rPr>
                <w:rFonts w:ascii="Arial" w:cs="Arial" w:eastAsia="Arial" w:hAnsi="Arial"/>
                <w:sz w:val="16"/>
                <w:szCs w:val="16"/>
                <w:color w:val="auto"/>
              </w:rPr>
              <w:t>Terrence B. Larkin</w:t>
            </w:r>
          </w:p>
        </w:tc>
        <w:tc>
          <w:tcPr>
            <w:tcW w:w="2500" w:type="dxa"/>
            <w:vAlign w:val="bottom"/>
            <w:shd w:val="clear" w:color="auto" w:fill="FCE9E8"/>
          </w:tcPr>
          <w:p>
            <w:pPr>
              <w:jc w:val="right"/>
              <w:ind w:right="303"/>
              <w:spacing w:after="0"/>
              <w:rPr>
                <w:sz w:val="20"/>
                <w:szCs w:val="20"/>
                <w:color w:val="auto"/>
              </w:rPr>
            </w:pPr>
            <w:r>
              <w:rPr>
                <w:rFonts w:ascii="Arial" w:cs="Arial" w:eastAsia="Arial" w:hAnsi="Arial"/>
                <w:sz w:val="16"/>
                <w:szCs w:val="16"/>
                <w:color w:val="auto"/>
              </w:rPr>
              <w:t>80%</w:t>
            </w:r>
          </w:p>
        </w:tc>
        <w:tc>
          <w:tcPr>
            <w:tcW w:w="66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FCE9E8"/>
          </w:tcPr>
          <w:p>
            <w:pPr>
              <w:jc w:val="right"/>
              <w:ind w:right="320"/>
              <w:spacing w:after="0"/>
              <w:rPr>
                <w:sz w:val="20"/>
                <w:szCs w:val="20"/>
                <w:color w:val="auto"/>
              </w:rPr>
            </w:pPr>
            <w:r>
              <w:rPr>
                <w:rFonts w:ascii="Arial" w:cs="Arial" w:eastAsia="Arial" w:hAnsi="Arial"/>
                <w:sz w:val="16"/>
                <w:szCs w:val="16"/>
                <w:color w:val="auto"/>
              </w:rPr>
              <w:t>684,078</w:t>
            </w:r>
          </w:p>
        </w:tc>
        <w:tc>
          <w:tcPr>
            <w:tcW w:w="2340" w:type="dxa"/>
            <w:vAlign w:val="bottom"/>
            <w:shd w:val="clear" w:color="auto" w:fill="FCE9E8"/>
          </w:tcPr>
          <w:p>
            <w:pPr>
              <w:jc w:val="right"/>
              <w:ind w:right="381"/>
              <w:spacing w:after="0"/>
              <w:rPr>
                <w:sz w:val="20"/>
                <w:szCs w:val="20"/>
                <w:color w:val="auto"/>
              </w:rPr>
            </w:pPr>
            <w:r>
              <w:rPr>
                <w:rFonts w:ascii="Arial" w:cs="Arial" w:eastAsia="Arial" w:hAnsi="Arial"/>
                <w:sz w:val="16"/>
                <w:szCs w:val="16"/>
                <w:color w:val="auto"/>
              </w:rPr>
              <w:t>87%</w:t>
            </w:r>
          </w:p>
        </w:tc>
        <w:tc>
          <w:tcPr>
            <w:tcW w:w="580" w:type="dxa"/>
            <w:vAlign w:val="bottom"/>
            <w:shd w:val="clear" w:color="auto" w:fill="FCE9E8"/>
          </w:tcPr>
          <w:p>
            <w:pPr>
              <w:ind w:left="4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FCE9E8"/>
          </w:tcPr>
          <w:p>
            <w:pPr>
              <w:jc w:val="right"/>
              <w:ind w:right="362"/>
              <w:spacing w:after="0"/>
              <w:rPr>
                <w:sz w:val="20"/>
                <w:szCs w:val="20"/>
                <w:color w:val="auto"/>
              </w:rPr>
            </w:pPr>
            <w:r>
              <w:rPr>
                <w:rFonts w:ascii="Arial" w:cs="Arial" w:eastAsia="Arial" w:hAnsi="Arial"/>
                <w:sz w:val="16"/>
                <w:szCs w:val="16"/>
                <w:color w:val="auto"/>
              </w:rPr>
              <w:t>595,148</w:t>
            </w:r>
          </w:p>
        </w:tc>
      </w:tr>
      <w:tr>
        <w:trPr>
          <w:trHeight w:val="186"/>
        </w:trPr>
        <w:tc>
          <w:tcPr>
            <w:tcW w:w="2220" w:type="dxa"/>
            <w:vAlign w:val="bottom"/>
          </w:tcPr>
          <w:p>
            <w:pPr>
              <w:spacing w:after="0"/>
              <w:rPr>
                <w:sz w:val="20"/>
                <w:szCs w:val="20"/>
                <w:color w:val="auto"/>
              </w:rPr>
            </w:pPr>
            <w:r>
              <w:rPr>
                <w:rFonts w:ascii="Arial" w:cs="Arial" w:eastAsia="Arial" w:hAnsi="Arial"/>
                <w:sz w:val="16"/>
                <w:szCs w:val="16"/>
                <w:color w:val="auto"/>
              </w:rPr>
              <w:t>Frank C. Orsini</w:t>
            </w:r>
          </w:p>
        </w:tc>
        <w:tc>
          <w:tcPr>
            <w:tcW w:w="2500" w:type="dxa"/>
            <w:vAlign w:val="bottom"/>
          </w:tcPr>
          <w:p>
            <w:pPr>
              <w:jc w:val="right"/>
              <w:ind w:right="303"/>
              <w:spacing w:after="0"/>
              <w:rPr>
                <w:sz w:val="20"/>
                <w:szCs w:val="20"/>
                <w:color w:val="auto"/>
              </w:rPr>
            </w:pPr>
            <w:r>
              <w:rPr>
                <w:rFonts w:ascii="Arial" w:cs="Arial" w:eastAsia="Arial" w:hAnsi="Arial"/>
                <w:sz w:val="16"/>
                <w:szCs w:val="16"/>
                <w:color w:val="auto"/>
              </w:rPr>
              <w:t>98.33%</w:t>
            </w:r>
          </w:p>
        </w:tc>
        <w:tc>
          <w:tcPr>
            <w:tcW w:w="660" w:type="dxa"/>
            <w:vAlign w:val="bottom"/>
          </w:tcPr>
          <w:p>
            <w:pPr>
              <w:ind w:left="4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20"/>
              <w:spacing w:after="0"/>
              <w:rPr>
                <w:sz w:val="20"/>
                <w:szCs w:val="20"/>
                <w:color w:val="auto"/>
              </w:rPr>
            </w:pPr>
            <w:r>
              <w:rPr>
                <w:rFonts w:ascii="Arial" w:cs="Arial" w:eastAsia="Arial" w:hAnsi="Arial"/>
                <w:sz w:val="16"/>
                <w:szCs w:val="16"/>
                <w:color w:val="auto"/>
              </w:rPr>
              <w:t>757,141</w:t>
            </w:r>
          </w:p>
        </w:tc>
        <w:tc>
          <w:tcPr>
            <w:tcW w:w="2340" w:type="dxa"/>
            <w:vAlign w:val="bottom"/>
          </w:tcPr>
          <w:p>
            <w:pPr>
              <w:jc w:val="right"/>
              <w:ind w:right="381"/>
              <w:spacing w:after="0"/>
              <w:rPr>
                <w:sz w:val="20"/>
                <w:szCs w:val="20"/>
                <w:color w:val="auto"/>
              </w:rPr>
            </w:pPr>
            <w:r>
              <w:rPr>
                <w:rFonts w:ascii="Arial" w:cs="Arial" w:eastAsia="Arial" w:hAnsi="Arial"/>
                <w:sz w:val="16"/>
                <w:szCs w:val="16"/>
                <w:color w:val="auto"/>
              </w:rPr>
              <w:t>87%</w:t>
            </w:r>
          </w:p>
        </w:tc>
        <w:tc>
          <w:tcPr>
            <w:tcW w:w="580" w:type="dxa"/>
            <w:vAlign w:val="bottom"/>
          </w:tcPr>
          <w:p>
            <w:pPr>
              <w:ind w:left="4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62"/>
              <w:spacing w:after="0"/>
              <w:rPr>
                <w:sz w:val="20"/>
                <w:szCs w:val="20"/>
                <w:color w:val="auto"/>
              </w:rPr>
            </w:pPr>
            <w:r>
              <w:rPr>
                <w:rFonts w:ascii="Arial" w:cs="Arial" w:eastAsia="Arial" w:hAnsi="Arial"/>
                <w:sz w:val="16"/>
                <w:szCs w:val="16"/>
                <w:color w:val="auto"/>
              </w:rPr>
              <w:t>658,713</w:t>
            </w:r>
          </w:p>
        </w:tc>
      </w:tr>
      <w:tr>
        <w:trPr>
          <w:trHeight w:val="186"/>
        </w:trPr>
        <w:tc>
          <w:tcPr>
            <w:tcW w:w="2220" w:type="dxa"/>
            <w:vAlign w:val="bottom"/>
            <w:shd w:val="clear" w:color="auto" w:fill="FCE9E8"/>
          </w:tcPr>
          <w:p>
            <w:pPr>
              <w:spacing w:after="0"/>
              <w:rPr>
                <w:sz w:val="20"/>
                <w:szCs w:val="20"/>
                <w:color w:val="auto"/>
              </w:rPr>
            </w:pPr>
            <w:r>
              <w:rPr>
                <w:rFonts w:ascii="Arial" w:cs="Arial" w:eastAsia="Arial" w:hAnsi="Arial"/>
                <w:sz w:val="16"/>
                <w:szCs w:val="16"/>
                <w:color w:val="auto"/>
              </w:rPr>
              <w:t>Thomas A. DiDonato</w:t>
            </w:r>
          </w:p>
        </w:tc>
        <w:tc>
          <w:tcPr>
            <w:tcW w:w="2500" w:type="dxa"/>
            <w:vAlign w:val="bottom"/>
            <w:shd w:val="clear" w:color="auto" w:fill="FCE9E8"/>
          </w:tcPr>
          <w:p>
            <w:pPr>
              <w:jc w:val="right"/>
              <w:ind w:right="303"/>
              <w:spacing w:after="0"/>
              <w:rPr>
                <w:sz w:val="20"/>
                <w:szCs w:val="20"/>
                <w:color w:val="auto"/>
              </w:rPr>
            </w:pPr>
            <w:r>
              <w:rPr>
                <w:rFonts w:ascii="Arial" w:cs="Arial" w:eastAsia="Arial" w:hAnsi="Arial"/>
                <w:sz w:val="16"/>
                <w:szCs w:val="16"/>
                <w:color w:val="auto"/>
              </w:rPr>
              <w:t>80%</w:t>
            </w:r>
          </w:p>
        </w:tc>
        <w:tc>
          <w:tcPr>
            <w:tcW w:w="66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FCE9E8"/>
          </w:tcPr>
          <w:p>
            <w:pPr>
              <w:jc w:val="right"/>
              <w:ind w:right="320"/>
              <w:spacing w:after="0"/>
              <w:rPr>
                <w:sz w:val="20"/>
                <w:szCs w:val="20"/>
                <w:color w:val="auto"/>
              </w:rPr>
            </w:pPr>
            <w:r>
              <w:rPr>
                <w:rFonts w:ascii="Arial" w:cs="Arial" w:eastAsia="Arial" w:hAnsi="Arial"/>
                <w:sz w:val="16"/>
                <w:szCs w:val="16"/>
                <w:color w:val="auto"/>
              </w:rPr>
              <w:t>537,500</w:t>
            </w:r>
          </w:p>
        </w:tc>
        <w:tc>
          <w:tcPr>
            <w:tcW w:w="2340" w:type="dxa"/>
            <w:vAlign w:val="bottom"/>
            <w:shd w:val="clear" w:color="auto" w:fill="FCE9E8"/>
          </w:tcPr>
          <w:p>
            <w:pPr>
              <w:jc w:val="right"/>
              <w:ind w:right="381"/>
              <w:spacing w:after="0"/>
              <w:rPr>
                <w:sz w:val="20"/>
                <w:szCs w:val="20"/>
                <w:color w:val="auto"/>
              </w:rPr>
            </w:pPr>
            <w:r>
              <w:rPr>
                <w:rFonts w:ascii="Arial" w:cs="Arial" w:eastAsia="Arial" w:hAnsi="Arial"/>
                <w:sz w:val="16"/>
                <w:szCs w:val="16"/>
                <w:color w:val="auto"/>
              </w:rPr>
              <w:t>87%</w:t>
            </w:r>
          </w:p>
        </w:tc>
        <w:tc>
          <w:tcPr>
            <w:tcW w:w="580" w:type="dxa"/>
            <w:vAlign w:val="bottom"/>
            <w:shd w:val="clear" w:color="auto" w:fill="FCE9E8"/>
          </w:tcPr>
          <w:p>
            <w:pPr>
              <w:ind w:left="4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FCE9E8"/>
          </w:tcPr>
          <w:p>
            <w:pPr>
              <w:jc w:val="right"/>
              <w:ind w:right="362"/>
              <w:spacing w:after="0"/>
              <w:rPr>
                <w:sz w:val="20"/>
                <w:szCs w:val="20"/>
                <w:color w:val="auto"/>
              </w:rPr>
            </w:pPr>
            <w:r>
              <w:rPr>
                <w:rFonts w:ascii="Arial" w:cs="Arial" w:eastAsia="Arial" w:hAnsi="Arial"/>
                <w:sz w:val="16"/>
                <w:szCs w:val="16"/>
                <w:color w:val="auto"/>
              </w:rPr>
              <w:t>467,625</w:t>
            </w:r>
          </w:p>
        </w:tc>
      </w:tr>
      <w:tr>
        <w:trPr>
          <w:trHeight w:val="195"/>
        </w:trPr>
        <w:tc>
          <w:tcPr>
            <w:tcW w:w="2220" w:type="dxa"/>
            <w:vAlign w:val="bottom"/>
          </w:tcPr>
          <w:p>
            <w:pPr>
              <w:spacing w:after="0"/>
              <w:rPr>
                <w:sz w:val="20"/>
                <w:szCs w:val="20"/>
                <w:color w:val="auto"/>
              </w:rPr>
            </w:pPr>
            <w:r>
              <w:rPr>
                <w:rFonts w:ascii="Arial" w:cs="Arial" w:eastAsia="Arial" w:hAnsi="Arial"/>
                <w:sz w:val="16"/>
                <w:szCs w:val="16"/>
                <w:color w:val="auto"/>
              </w:rPr>
              <w:t>Matthew J. Simoncini</w:t>
            </w:r>
          </w:p>
        </w:tc>
        <w:tc>
          <w:tcPr>
            <w:tcW w:w="2500" w:type="dxa"/>
            <w:vAlign w:val="bottom"/>
          </w:tcPr>
          <w:p>
            <w:pPr>
              <w:jc w:val="right"/>
              <w:ind w:right="303"/>
              <w:spacing w:after="0"/>
              <w:rPr>
                <w:sz w:val="20"/>
                <w:szCs w:val="20"/>
                <w:color w:val="auto"/>
              </w:rPr>
            </w:pPr>
            <w:r>
              <w:rPr>
                <w:rFonts w:ascii="Arial" w:cs="Arial" w:eastAsia="Arial" w:hAnsi="Arial"/>
                <w:sz w:val="16"/>
                <w:szCs w:val="16"/>
                <w:color w:val="auto"/>
              </w:rPr>
              <w:t>160%</w:t>
            </w:r>
          </w:p>
        </w:tc>
        <w:tc>
          <w:tcPr>
            <w:tcW w:w="660" w:type="dxa"/>
            <w:vAlign w:val="bottom"/>
          </w:tcPr>
          <w:p>
            <w:pPr>
              <w:ind w:left="4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20"/>
              <w:spacing w:after="0"/>
              <w:rPr>
                <w:sz w:val="20"/>
                <w:szCs w:val="20"/>
                <w:color w:val="auto"/>
              </w:rPr>
            </w:pPr>
            <w:r>
              <w:rPr>
                <w:rFonts w:ascii="Arial" w:cs="Arial" w:eastAsia="Arial" w:hAnsi="Arial"/>
                <w:sz w:val="16"/>
                <w:szCs w:val="16"/>
                <w:color w:val="auto"/>
              </w:rPr>
              <w:t>361,210</w:t>
            </w:r>
          </w:p>
        </w:tc>
        <w:tc>
          <w:tcPr>
            <w:tcW w:w="2340" w:type="dxa"/>
            <w:vAlign w:val="bottom"/>
          </w:tcPr>
          <w:p>
            <w:pPr>
              <w:jc w:val="right"/>
              <w:ind w:right="381"/>
              <w:spacing w:after="0"/>
              <w:rPr>
                <w:sz w:val="20"/>
                <w:szCs w:val="20"/>
                <w:color w:val="auto"/>
              </w:rPr>
            </w:pPr>
            <w:r>
              <w:rPr>
                <w:rFonts w:ascii="Arial" w:cs="Arial" w:eastAsia="Arial" w:hAnsi="Arial"/>
                <w:sz w:val="16"/>
                <w:szCs w:val="16"/>
                <w:color w:val="auto"/>
              </w:rPr>
              <w:t>87%</w:t>
            </w:r>
          </w:p>
        </w:tc>
        <w:tc>
          <w:tcPr>
            <w:tcW w:w="580" w:type="dxa"/>
            <w:vAlign w:val="bottom"/>
          </w:tcPr>
          <w:p>
            <w:pPr>
              <w:ind w:left="4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62"/>
              <w:spacing w:after="0"/>
              <w:rPr>
                <w:sz w:val="20"/>
                <w:szCs w:val="20"/>
                <w:color w:val="auto"/>
              </w:rPr>
            </w:pPr>
            <w:r>
              <w:rPr>
                <w:rFonts w:ascii="Arial" w:cs="Arial" w:eastAsia="Arial" w:hAnsi="Arial"/>
                <w:sz w:val="16"/>
                <w:szCs w:val="16"/>
                <w:color w:val="auto"/>
              </w:rPr>
              <w:t>314,252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-4445</wp:posOffset>
            </wp:positionV>
            <wp:extent cx="69018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ind w:left="600" w:right="80" w:hanging="320"/>
        <w:spacing w:after="0" w:line="196" w:lineRule="auto"/>
        <w:tabs>
          <w:tab w:leader="none" w:pos="60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Mr. Scott’s Target Opportunity for 2018 was (a) 100% for the first two months of 2018 and (b) 150% for the last ten months of 2018, for a blended 2018 Target Opportunity of 141.67% of his base salary. Mr. Orsini’s Target Opportunity for 2018 was (a) 90% for the first two months of 2018 and (b) 100% for the last ten months of 2018, for a blended 2018 Target Opportunity of 98.33% of his base salary.</w:t>
      </w:r>
    </w:p>
    <w:p>
      <w:pPr>
        <w:spacing w:after="0" w:line="110" w:lineRule="exact"/>
        <w:rPr>
          <w:sz w:val="20"/>
          <w:szCs w:val="20"/>
          <w:color w:val="auto"/>
        </w:rPr>
      </w:pPr>
    </w:p>
    <w:p>
      <w:pPr>
        <w:ind w:left="740" w:hanging="359"/>
        <w:spacing w:after="0"/>
        <w:tabs>
          <w:tab w:leader="none" w:pos="7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60"/>
          </w:cols>
          <w:pgMar w:left="240" w:top="455" w:right="49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60" w:lineRule="exact"/>
        <w:rPr>
          <w:sz w:val="20"/>
          <w:szCs w:val="20"/>
          <w:color w:val="auto"/>
        </w:rPr>
      </w:pPr>
    </w:p>
    <w:p>
      <w:pPr>
        <w:ind w:left="600" w:right="60" w:hanging="320"/>
        <w:spacing w:after="0" w:line="192" w:lineRule="auto"/>
        <w:tabs>
          <w:tab w:leader="none" w:pos="60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The Target Amount is generally the Named Executive Officer’s base salary multiplied by his respective Target Opportunity, except as follows: Mr. Scott’s Target Amount for 2018 represents (a) his base salary for 2018 once he assumed the role of CEO, or $1,160,000, times (b) his blended 2018 Target Opportunity of 141.67%, and Mr. Orsini’s Target Amount for 2018 represents (a) his base salary for 2018 following his promotion, or $770,000, times (b) his blended 2018 Target Opportunity of</w:t>
      </w:r>
    </w:p>
    <w:p>
      <w:pPr>
        <w:spacing w:after="0" w:line="1" w:lineRule="exact"/>
        <w:rPr>
          <w:rFonts w:ascii="Arial" w:cs="Arial" w:eastAsia="Arial" w:hAnsi="Arial"/>
          <w:sz w:val="24"/>
          <w:szCs w:val="24"/>
          <w:color w:val="auto"/>
          <w:vertAlign w:val="superscript"/>
        </w:rPr>
      </w:pPr>
    </w:p>
    <w:p>
      <w:pPr>
        <w:ind w:left="600"/>
        <w:spacing w:after="0" w:line="238" w:lineRule="auto"/>
        <w:rPr>
          <w:rFonts w:ascii="Arial" w:cs="Arial" w:eastAsia="Arial" w:hAnsi="Arial"/>
          <w:sz w:val="24"/>
          <w:szCs w:val="24"/>
          <w:color w:val="auto"/>
          <w:vertAlign w:val="superscript"/>
        </w:rPr>
      </w:pPr>
      <w:r>
        <w:rPr>
          <w:rFonts w:ascii="Arial" w:cs="Arial" w:eastAsia="Arial" w:hAnsi="Arial"/>
          <w:sz w:val="14"/>
          <w:szCs w:val="14"/>
          <w:color w:val="auto"/>
        </w:rPr>
        <w:t>98.33%. Mr. Simoncini’s Target Amount for 2018 was 160% of his pre-transition base salary, prorated for the two months in 2018 that he served as President and CEO.</w:t>
      </w:r>
    </w:p>
    <w:p>
      <w:pPr>
        <w:ind w:left="600" w:hanging="320"/>
        <w:spacing w:after="0" w:line="181" w:lineRule="auto"/>
        <w:tabs>
          <w:tab w:leader="none" w:pos="60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The Target Amount multiplied by the Actual Performance (87%) represents the amount actually earned, as shown in the 2018 Incentive Amount column for each Named Executive Officer.</w:t>
      </w:r>
    </w:p>
    <w:p>
      <w:pPr>
        <w:sectPr>
          <w:pgSz w:w="11900" w:h="16838" w:orient="portrait"/>
          <w:cols w:equalWidth="0" w:num="1">
            <w:col w:w="11140"/>
          </w:cols>
          <w:pgMar w:left="240" w:top="455" w:right="519" w:bottom="1440" w:gutter="0" w:footer="0" w:header="0"/>
        </w:sectPr>
      </w:pPr>
    </w:p>
    <w:p>
      <w:pPr>
        <w:spacing w:after="0" w:line="18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Long-Term Incentives</w:t>
      </w:r>
    </w:p>
    <w:p>
      <w:pPr>
        <w:spacing w:after="0" w:line="187" w:lineRule="exact"/>
        <w:rPr>
          <w:sz w:val="20"/>
          <w:szCs w:val="20"/>
          <w:color w:val="auto"/>
        </w:rPr>
      </w:pPr>
    </w:p>
    <w:p>
      <w:pPr>
        <w:ind w:left="280" w:right="180"/>
        <w:spacing w:after="0" w:line="245" w:lineRule="auto"/>
        <w:rPr>
          <w:sz w:val="20"/>
          <w:szCs w:val="20"/>
          <w:color w:val="auto"/>
        </w:rPr>
      </w:pPr>
      <w:r>
        <w:rPr>
          <w:rFonts w:ascii="Arial" w:cs="Arial" w:eastAsia="Arial" w:hAnsi="Arial"/>
          <w:sz w:val="16"/>
          <w:szCs w:val="16"/>
          <w:color w:val="auto"/>
        </w:rPr>
        <w:t>The long-term incentive component of our executive compensation program is designed to provide our senior management with performance-based award opportunities, to drive superior long-term performance and to align the interests of our senior management with those of our stockholders. To achieve these goals, we have adopted a “portfolio” approach that recognizes the strengths and weaknesses that various forms of long-term incentives provide.</w:t>
      </w:r>
    </w:p>
    <w:p>
      <w:pPr>
        <w:spacing w:after="0" w:line="81" w:lineRule="exact"/>
        <w:rPr>
          <w:sz w:val="20"/>
          <w:szCs w:val="20"/>
          <w:color w:val="auto"/>
        </w:rPr>
      </w:pPr>
    </w:p>
    <w:p>
      <w:pPr>
        <w:ind w:left="280"/>
        <w:spacing w:after="0" w:line="262" w:lineRule="auto"/>
        <w:rPr>
          <w:sz w:val="20"/>
          <w:szCs w:val="20"/>
          <w:color w:val="auto"/>
        </w:rPr>
      </w:pPr>
      <w:r>
        <w:rPr>
          <w:rFonts w:ascii="Arial" w:cs="Arial" w:eastAsia="Arial" w:hAnsi="Arial"/>
          <w:sz w:val="15"/>
          <w:szCs w:val="15"/>
          <w:i w:val="1"/>
          <w:iCs w:val="1"/>
          <w:color w:val="auto"/>
        </w:rPr>
        <w:t xml:space="preserve">2018 Awards. </w:t>
      </w:r>
      <w:r>
        <w:rPr>
          <w:rFonts w:ascii="Arial" w:cs="Arial" w:eastAsia="Arial" w:hAnsi="Arial"/>
          <w:sz w:val="15"/>
          <w:szCs w:val="15"/>
          <w:color w:val="auto"/>
        </w:rPr>
        <w:t>The Compensation Committee approved the 2018 long-term incentive program, which consisted of RSUs and equity-based Performance Shares granted under the 2009 Long-Term Stock Incentive Plan (“LTSIP”) to certain officers and key employees, including to the Named Executive Officers. These awards generally were structured, consistent with market practices and the 2017 grants, such that recipients received 75% of the total target award value in the form of Performance Shares and the remaining 25% in service-based RSUs. Effective as of March 1, 2018, the target value of the 2018 long-term incentive opportunities for Messrs. Scott and Orsini was increased, respectively, from 300% to 625% of his annual base salary and from 285% to 300% of his annual base salary, and each of them received incremental 2018 Performance Share and RSU awards in connection with their promotions to reflect their new long-term incentive targets. The target values of the 2018 long-term incentive opportunities for Messrs. Vanneste, Larkin and DiDonato, respectively, were 270%, 285% and 270% of their annual base salaries. In connection with the CEO transition, Mr. Simoncini did not receive any awards under the LTSIP in 2018. In September 2018, the Compensation Committee approved increased target long-term incentive opportunities for 2019 for Messrs. Scott, Vanneste and DiDonato to 680%, 285%, and 285% of their respective base salaries; the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ind w:right="360"/>
        <w:spacing w:after="0" w:line="254" w:lineRule="auto"/>
        <w:rPr>
          <w:sz w:val="20"/>
          <w:szCs w:val="20"/>
          <w:color w:val="auto"/>
        </w:rPr>
      </w:pPr>
      <w:r>
        <w:rPr>
          <w:rFonts w:ascii="Arial" w:cs="Arial" w:eastAsia="Arial" w:hAnsi="Arial"/>
          <w:sz w:val="16"/>
          <w:szCs w:val="16"/>
          <w:color w:val="auto"/>
        </w:rPr>
        <w:t>target long-term incentive opportunities for the other Named Executive Officers were unchanged from 2018.</w:t>
      </w:r>
    </w:p>
    <w:p>
      <w:pPr>
        <w:spacing w:after="0" w:line="90"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The specific amounts and terms of these awards are shown in and following the “2018 Grants of Plan-Based Awards” table below. The target levels of Adjusted ROIC and Cumulative Adjusted Pre-Tax Income performance for the Performance Shares were set based on the forecast for the period reflecting a level of performance which at the time was anticipated to be challenging, but achievable. The threshold level was set to be reflective of performance at which the Compensation Committee believed a portion of the award opportunity should be earned. The maximum level was set significantly above the target, requiring significant achievements and reflecting performance at which the Compensation Committee believed a 200% target award was warranted.</w:t>
      </w:r>
    </w:p>
    <w:p>
      <w:pPr>
        <w:spacing w:after="0" w:line="8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i w:val="1"/>
          <w:iCs w:val="1"/>
          <w:color w:val="auto"/>
        </w:rPr>
        <w:t>Vesting of 2016 Performance Share Awards</w:t>
      </w:r>
      <w:r>
        <w:rPr>
          <w:rFonts w:ascii="Arial" w:cs="Arial" w:eastAsia="Arial" w:hAnsi="Arial"/>
          <w:sz w:val="16"/>
          <w:szCs w:val="16"/>
          <w:color w:val="auto"/>
        </w:rPr>
        <w:t>. In 2016, each of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received grants of Performance Shares for the 2016-2018 performance period, with terms similar to those of the 2018 awards described above. The RSUs that were granted at the same time as the 2016 Performance Shares (and represented 25% of the total equity award value at target) vested in January 2019.</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5"/>
          <w:szCs w:val="15"/>
          <w:color w:val="auto"/>
        </w:rPr>
        <w:t>The threshold, target, maximum and actual Adjusted ROIC and Cumulative Adjusted Pre-Tax Income levels for the 2016-2018 performance period are set forth above under the heading “Compensation Discussion and Analysis</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 Executive Summary — 2016-2018 Performance Shares.” If threshold, target or maximum were attained on these measures during the performance period, 50%, 100% or 200% of the target performance shares for each executive, respectively, would be earned.</w:t>
      </w:r>
    </w:p>
    <w:p>
      <w:pPr>
        <w:spacing w:after="0" w:line="200" w:lineRule="exact"/>
        <w:rPr>
          <w:sz w:val="20"/>
          <w:szCs w:val="20"/>
          <w:color w:val="auto"/>
        </w:rPr>
      </w:pPr>
    </w:p>
    <w:p>
      <w:pPr>
        <w:sectPr>
          <w:pgSz w:w="11900" w:h="16838" w:orient="portrait"/>
          <w:cols w:equalWidth="0" w:num="2">
            <w:col w:w="5480" w:space="340"/>
            <w:col w:w="5320"/>
          </w:cols>
          <w:pgMar w:left="240" w:top="455" w:right="519" w:bottom="1440" w:gutter="0" w:footer="0" w:header="0"/>
          <w:type w:val="continuous"/>
        </w:sectPr>
      </w:pPr>
    </w:p>
    <w:p>
      <w:pPr>
        <w:spacing w:after="0" w:line="217"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37</w:t>
      </w:r>
    </w:p>
    <w:p>
      <w:pPr>
        <w:sectPr>
          <w:pgSz w:w="11900" w:h="16838" w:orient="portrait"/>
          <w:cols w:equalWidth="0" w:num="1">
            <w:col w:w="11140"/>
          </w:cols>
          <w:pgMar w:left="240" w:top="455" w:right="51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57" w:lineRule="exact"/>
        <w:rPr>
          <w:sz w:val="20"/>
          <w:szCs w:val="20"/>
          <w:color w:val="auto"/>
        </w:rPr>
      </w:pPr>
    </w:p>
    <w:p>
      <w:pPr>
        <w:ind w:left="280" w:right="40"/>
        <w:spacing w:after="0" w:line="244" w:lineRule="auto"/>
        <w:rPr>
          <w:sz w:val="20"/>
          <w:szCs w:val="20"/>
          <w:color w:val="auto"/>
        </w:rPr>
      </w:pPr>
      <w:r>
        <w:rPr>
          <w:rFonts w:ascii="Arial" w:cs="Arial" w:eastAsia="Arial" w:hAnsi="Arial"/>
          <w:sz w:val="16"/>
          <w:szCs w:val="16"/>
          <w:color w:val="auto"/>
        </w:rPr>
        <w:t>Adjusted ROIC (17.1%) and Cumulative Adjusted Pre-Tax Income ($4,771 million) were both achieved at the maximum level, with the total award earned at 200% of target. Adjusted ROIC and Cumulative Adjusted Pre-Tax Income are non-GAAP measures. Adjusted ROIC consists of Adjusted Operating Income (as defined in “— 2018 Incentive Programs — Annual Incentives” above) after taxes (assuming a U.S. Federal corporate income tax rate of 35%) divided by average invested capital for each fiscal year, excluding acquisitions not contemplated at the time that the targets were set. Average invested capital consists of total assets plus the present value of operating leases, less accounts payable and drafts and accrued liabilities, and investments in unconsolidated entities, and certain other adjustments. Cumulative Adjusted Pre-Tax Income is Lear’s cumulative adjusted net income for the performance period before a provision for income taxes, excluding acquisitions not contemplated at the time that the targets were set. The resulting share amounts earned by our Named Executive Officers are shown below:</w:t>
      </w:r>
    </w:p>
    <w:p>
      <w:pPr>
        <w:spacing w:after="0" w:line="207"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FFFFFF"/>
        </w:rPr>
        <w:t>2016-2018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-106680</wp:posOffset>
            </wp:positionV>
            <wp:extent cx="6901815" cy="1181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01815" cy="118110"/>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40" w:type="dxa"/>
            <w:vAlign w:val="bottom"/>
          </w:tcPr>
          <w:p>
            <w:pPr>
              <w:jc w:val="right"/>
              <w:ind w:right="463"/>
              <w:spacing w:after="0"/>
              <w:rPr>
                <w:sz w:val="20"/>
                <w:szCs w:val="20"/>
                <w:color w:val="auto"/>
              </w:rPr>
            </w:pPr>
            <w:r>
              <w:rPr>
                <w:rFonts w:ascii="Arial" w:cs="Arial" w:eastAsia="Arial" w:hAnsi="Arial"/>
                <w:sz w:val="14"/>
                <w:szCs w:val="14"/>
                <w:b w:val="1"/>
                <w:bCs w:val="1"/>
                <w:color w:val="E2231A"/>
              </w:rPr>
              <w:t>Actual</w:t>
            </w:r>
          </w:p>
        </w:tc>
      </w:tr>
      <w:tr>
        <w:trPr>
          <w:trHeight w:val="160"/>
        </w:trPr>
        <w:tc>
          <w:tcPr>
            <w:tcW w:w="4060" w:type="dxa"/>
            <w:vAlign w:val="bottom"/>
          </w:tcPr>
          <w:p>
            <w:pPr>
              <w:spacing w:after="0"/>
              <w:rPr>
                <w:sz w:val="13"/>
                <w:szCs w:val="13"/>
                <w:color w:val="auto"/>
              </w:rPr>
            </w:pPr>
          </w:p>
        </w:tc>
        <w:tc>
          <w:tcPr>
            <w:tcW w:w="3640" w:type="dxa"/>
            <w:vAlign w:val="bottom"/>
          </w:tcPr>
          <w:p>
            <w:pPr>
              <w:jc w:val="right"/>
              <w:ind w:right="462"/>
              <w:spacing w:after="0" w:line="160" w:lineRule="exact"/>
              <w:rPr>
                <w:sz w:val="20"/>
                <w:szCs w:val="20"/>
                <w:color w:val="auto"/>
              </w:rPr>
            </w:pPr>
            <w:r>
              <w:rPr>
                <w:rFonts w:ascii="Arial" w:cs="Arial" w:eastAsia="Arial" w:hAnsi="Arial"/>
                <w:sz w:val="14"/>
                <w:szCs w:val="14"/>
                <w:b w:val="1"/>
                <w:bCs w:val="1"/>
                <w:color w:val="E2231A"/>
              </w:rPr>
              <w:t>Target</w:t>
            </w:r>
          </w:p>
        </w:tc>
        <w:tc>
          <w:tcPr>
            <w:tcW w:w="1740" w:type="dxa"/>
            <w:vAlign w:val="bottom"/>
          </w:tcPr>
          <w:p>
            <w:pPr>
              <w:jc w:val="right"/>
              <w:ind w:right="622"/>
              <w:spacing w:after="0" w:line="160" w:lineRule="exact"/>
              <w:rPr>
                <w:sz w:val="20"/>
                <w:szCs w:val="20"/>
                <w:color w:val="auto"/>
              </w:rPr>
            </w:pPr>
            <w:r>
              <w:rPr>
                <w:rFonts w:ascii="Arial" w:cs="Arial" w:eastAsia="Arial" w:hAnsi="Arial"/>
                <w:sz w:val="14"/>
                <w:szCs w:val="14"/>
                <w:b w:val="1"/>
                <w:bCs w:val="1"/>
                <w:color w:val="E2231A"/>
              </w:rPr>
              <w:t>Actual</w:t>
            </w:r>
          </w:p>
        </w:tc>
        <w:tc>
          <w:tcPr>
            <w:tcW w:w="1440" w:type="dxa"/>
            <w:vAlign w:val="bottom"/>
          </w:tcPr>
          <w:p>
            <w:pPr>
              <w:jc w:val="right"/>
              <w:ind w:right="443"/>
              <w:spacing w:after="0" w:line="160" w:lineRule="exact"/>
              <w:rPr>
                <w:sz w:val="20"/>
                <w:szCs w:val="20"/>
                <w:color w:val="auto"/>
              </w:rPr>
            </w:pPr>
            <w:r>
              <w:rPr>
                <w:rFonts w:ascii="Arial" w:cs="Arial" w:eastAsia="Arial" w:hAnsi="Arial"/>
                <w:sz w:val="14"/>
                <w:szCs w:val="14"/>
                <w:b w:val="1"/>
                <w:bCs w:val="1"/>
                <w:color w:val="E2231A"/>
              </w:rPr>
              <w:t>Shares</w:t>
            </w:r>
          </w:p>
        </w:tc>
      </w:tr>
      <w:tr>
        <w:trPr>
          <w:trHeight w:val="186"/>
        </w:trPr>
        <w:tc>
          <w:tcPr>
            <w:tcW w:w="40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E2231A"/>
              </w:rPr>
              <w:t>Shares (#)</w:t>
            </w:r>
          </w:p>
        </w:tc>
        <w:tc>
          <w:tcPr>
            <w:tcW w:w="17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E2231A"/>
              </w:rPr>
              <w:t>Performance</w:t>
            </w:r>
          </w:p>
        </w:tc>
        <w:tc>
          <w:tcPr>
            <w:tcW w:w="14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E2231A"/>
              </w:rPr>
              <w:t>Earned (#)</w:t>
            </w:r>
          </w:p>
        </w:tc>
      </w:tr>
      <w:tr>
        <w:trPr>
          <w:trHeight w:val="180"/>
        </w:trPr>
        <w:tc>
          <w:tcPr>
            <w:tcW w:w="4060" w:type="dxa"/>
            <w:vAlign w:val="bottom"/>
            <w:shd w:val="clear" w:color="auto" w:fill="FCE9E8"/>
          </w:tcPr>
          <w:p>
            <w:pPr>
              <w:spacing w:after="0" w:line="180" w:lineRule="exact"/>
              <w:rPr>
                <w:sz w:val="20"/>
                <w:szCs w:val="20"/>
                <w:color w:val="auto"/>
              </w:rPr>
            </w:pPr>
            <w:r>
              <w:rPr>
                <w:rFonts w:ascii="Arial" w:cs="Arial" w:eastAsia="Arial" w:hAnsi="Arial"/>
                <w:sz w:val="16"/>
                <w:szCs w:val="16"/>
                <w:color w:val="auto"/>
              </w:rPr>
              <w:t>Raymond E. Scott</w:t>
            </w:r>
          </w:p>
        </w:tc>
        <w:tc>
          <w:tcPr>
            <w:tcW w:w="3640" w:type="dxa"/>
            <w:vAlign w:val="bottom"/>
            <w:shd w:val="clear" w:color="auto" w:fill="FCE9E8"/>
          </w:tcPr>
          <w:p>
            <w:pPr>
              <w:jc w:val="right"/>
              <w:ind w:right="322"/>
              <w:spacing w:after="0" w:line="180" w:lineRule="exact"/>
              <w:rPr>
                <w:sz w:val="20"/>
                <w:szCs w:val="20"/>
                <w:color w:val="auto"/>
              </w:rPr>
            </w:pPr>
            <w:r>
              <w:rPr>
                <w:rFonts w:ascii="Arial" w:cs="Arial" w:eastAsia="Arial" w:hAnsi="Arial"/>
                <w:sz w:val="16"/>
                <w:szCs w:val="16"/>
                <w:color w:val="auto"/>
              </w:rPr>
              <w:t>13,344</w:t>
            </w:r>
          </w:p>
        </w:tc>
        <w:tc>
          <w:tcPr>
            <w:tcW w:w="1740" w:type="dxa"/>
            <w:vAlign w:val="bottom"/>
            <w:shd w:val="clear" w:color="auto" w:fill="FCE9E8"/>
          </w:tcPr>
          <w:p>
            <w:pPr>
              <w:jc w:val="right"/>
              <w:ind w:right="262"/>
              <w:spacing w:after="0" w:line="180" w:lineRule="exact"/>
              <w:rPr>
                <w:sz w:val="20"/>
                <w:szCs w:val="20"/>
                <w:color w:val="auto"/>
              </w:rPr>
            </w:pPr>
            <w:r>
              <w:rPr>
                <w:rFonts w:ascii="Arial" w:cs="Arial" w:eastAsia="Arial" w:hAnsi="Arial"/>
                <w:sz w:val="16"/>
                <w:szCs w:val="16"/>
                <w:color w:val="auto"/>
              </w:rPr>
              <w:t>200%</w:t>
            </w:r>
          </w:p>
        </w:tc>
        <w:tc>
          <w:tcPr>
            <w:tcW w:w="1440" w:type="dxa"/>
            <w:vAlign w:val="bottom"/>
            <w:shd w:val="clear" w:color="auto" w:fill="FCE9E8"/>
          </w:tcPr>
          <w:p>
            <w:pPr>
              <w:jc w:val="right"/>
              <w:ind w:right="323"/>
              <w:spacing w:after="0" w:line="180" w:lineRule="exact"/>
              <w:rPr>
                <w:sz w:val="20"/>
                <w:szCs w:val="20"/>
                <w:color w:val="auto"/>
              </w:rPr>
            </w:pPr>
            <w:r>
              <w:rPr>
                <w:rFonts w:ascii="Arial" w:cs="Arial" w:eastAsia="Arial" w:hAnsi="Arial"/>
                <w:sz w:val="16"/>
                <w:szCs w:val="16"/>
                <w:color w:val="auto"/>
              </w:rPr>
              <w:t>26,688</w:t>
            </w:r>
          </w:p>
        </w:tc>
      </w:tr>
      <w:tr>
        <w:trPr>
          <w:trHeight w:val="186"/>
        </w:trPr>
        <w:tc>
          <w:tcPr>
            <w:tcW w:w="4060" w:type="dxa"/>
            <w:vAlign w:val="bottom"/>
          </w:tcPr>
          <w:p>
            <w:pPr>
              <w:spacing w:after="0"/>
              <w:rPr>
                <w:sz w:val="20"/>
                <w:szCs w:val="20"/>
                <w:color w:val="auto"/>
              </w:rPr>
            </w:pPr>
            <w:r>
              <w:rPr>
                <w:rFonts w:ascii="Arial" w:cs="Arial" w:eastAsia="Arial" w:hAnsi="Arial"/>
                <w:sz w:val="16"/>
                <w:szCs w:val="16"/>
                <w:color w:val="auto"/>
              </w:rPr>
              <w:t>Jeffrey H. Vanneste</w:t>
            </w:r>
          </w:p>
        </w:tc>
        <w:tc>
          <w:tcPr>
            <w:tcW w:w="3640" w:type="dxa"/>
            <w:vAlign w:val="bottom"/>
          </w:tcPr>
          <w:p>
            <w:pPr>
              <w:jc w:val="right"/>
              <w:ind w:right="322"/>
              <w:spacing w:after="0"/>
              <w:rPr>
                <w:sz w:val="20"/>
                <w:szCs w:val="20"/>
                <w:color w:val="auto"/>
              </w:rPr>
            </w:pPr>
            <w:r>
              <w:rPr>
                <w:rFonts w:ascii="Arial" w:cs="Arial" w:eastAsia="Arial" w:hAnsi="Arial"/>
                <w:sz w:val="16"/>
                <w:szCs w:val="16"/>
                <w:color w:val="auto"/>
              </w:rPr>
              <w:t>12,078</w:t>
            </w:r>
          </w:p>
        </w:tc>
        <w:tc>
          <w:tcPr>
            <w:tcW w:w="1740" w:type="dxa"/>
            <w:vAlign w:val="bottom"/>
          </w:tcPr>
          <w:p>
            <w:pPr>
              <w:jc w:val="right"/>
              <w:ind w:right="262"/>
              <w:spacing w:after="0"/>
              <w:rPr>
                <w:sz w:val="20"/>
                <w:szCs w:val="20"/>
                <w:color w:val="auto"/>
              </w:rPr>
            </w:pPr>
            <w:r>
              <w:rPr>
                <w:rFonts w:ascii="Arial" w:cs="Arial" w:eastAsia="Arial" w:hAnsi="Arial"/>
                <w:sz w:val="16"/>
                <w:szCs w:val="16"/>
                <w:color w:val="auto"/>
              </w:rPr>
              <w:t>200%</w:t>
            </w:r>
          </w:p>
        </w:tc>
        <w:tc>
          <w:tcPr>
            <w:tcW w:w="1440" w:type="dxa"/>
            <w:vAlign w:val="bottom"/>
          </w:tcPr>
          <w:p>
            <w:pPr>
              <w:jc w:val="right"/>
              <w:ind w:right="323"/>
              <w:spacing w:after="0"/>
              <w:rPr>
                <w:sz w:val="20"/>
                <w:szCs w:val="20"/>
                <w:color w:val="auto"/>
              </w:rPr>
            </w:pPr>
            <w:r>
              <w:rPr>
                <w:rFonts w:ascii="Arial" w:cs="Arial" w:eastAsia="Arial" w:hAnsi="Arial"/>
                <w:sz w:val="16"/>
                <w:szCs w:val="16"/>
                <w:color w:val="auto"/>
              </w:rPr>
              <w:t>24,156</w:t>
            </w:r>
          </w:p>
        </w:tc>
      </w:tr>
      <w:tr>
        <w:trPr>
          <w:trHeight w:val="186"/>
        </w:trPr>
        <w:tc>
          <w:tcPr>
            <w:tcW w:w="4060" w:type="dxa"/>
            <w:vAlign w:val="bottom"/>
            <w:shd w:val="clear" w:color="auto" w:fill="FCE9E8"/>
          </w:tcPr>
          <w:p>
            <w:pPr>
              <w:spacing w:after="0"/>
              <w:rPr>
                <w:sz w:val="20"/>
                <w:szCs w:val="20"/>
                <w:color w:val="auto"/>
              </w:rPr>
            </w:pPr>
            <w:r>
              <w:rPr>
                <w:rFonts w:ascii="Arial" w:cs="Arial" w:eastAsia="Arial" w:hAnsi="Arial"/>
                <w:sz w:val="16"/>
                <w:szCs w:val="16"/>
                <w:color w:val="auto"/>
              </w:rPr>
              <w:t>Terrence B. Larkin</w:t>
            </w:r>
          </w:p>
        </w:tc>
        <w:tc>
          <w:tcPr>
            <w:tcW w:w="3640" w:type="dxa"/>
            <w:vAlign w:val="bottom"/>
            <w:shd w:val="clear" w:color="auto" w:fill="FCE9E8"/>
          </w:tcPr>
          <w:p>
            <w:pPr>
              <w:jc w:val="right"/>
              <w:ind w:right="322"/>
              <w:spacing w:after="0"/>
              <w:rPr>
                <w:sz w:val="20"/>
                <w:szCs w:val="20"/>
                <w:color w:val="auto"/>
              </w:rPr>
            </w:pPr>
            <w:r>
              <w:rPr>
                <w:rFonts w:ascii="Arial" w:cs="Arial" w:eastAsia="Arial" w:hAnsi="Arial"/>
                <w:sz w:val="16"/>
                <w:szCs w:val="16"/>
                <w:color w:val="auto"/>
              </w:rPr>
              <w:t>13,344</w:t>
            </w:r>
          </w:p>
        </w:tc>
        <w:tc>
          <w:tcPr>
            <w:tcW w:w="1740" w:type="dxa"/>
            <w:vAlign w:val="bottom"/>
            <w:shd w:val="clear" w:color="auto" w:fill="FCE9E8"/>
          </w:tcPr>
          <w:p>
            <w:pPr>
              <w:jc w:val="right"/>
              <w:ind w:right="262"/>
              <w:spacing w:after="0"/>
              <w:rPr>
                <w:sz w:val="20"/>
                <w:szCs w:val="20"/>
                <w:color w:val="auto"/>
              </w:rPr>
            </w:pPr>
            <w:r>
              <w:rPr>
                <w:rFonts w:ascii="Arial" w:cs="Arial" w:eastAsia="Arial" w:hAnsi="Arial"/>
                <w:sz w:val="16"/>
                <w:szCs w:val="16"/>
                <w:color w:val="auto"/>
              </w:rPr>
              <w:t>200%</w:t>
            </w:r>
          </w:p>
        </w:tc>
        <w:tc>
          <w:tcPr>
            <w:tcW w:w="1440" w:type="dxa"/>
            <w:vAlign w:val="bottom"/>
            <w:shd w:val="clear" w:color="auto" w:fill="FCE9E8"/>
          </w:tcPr>
          <w:p>
            <w:pPr>
              <w:jc w:val="right"/>
              <w:ind w:right="323"/>
              <w:spacing w:after="0"/>
              <w:rPr>
                <w:sz w:val="20"/>
                <w:szCs w:val="20"/>
                <w:color w:val="auto"/>
              </w:rPr>
            </w:pPr>
            <w:r>
              <w:rPr>
                <w:rFonts w:ascii="Arial" w:cs="Arial" w:eastAsia="Arial" w:hAnsi="Arial"/>
                <w:sz w:val="16"/>
                <w:szCs w:val="16"/>
                <w:color w:val="auto"/>
              </w:rPr>
              <w:t>26,688</w:t>
            </w:r>
          </w:p>
        </w:tc>
      </w:tr>
      <w:tr>
        <w:trPr>
          <w:trHeight w:val="186"/>
        </w:trPr>
        <w:tc>
          <w:tcPr>
            <w:tcW w:w="4060" w:type="dxa"/>
            <w:vAlign w:val="bottom"/>
          </w:tcPr>
          <w:p>
            <w:pPr>
              <w:spacing w:after="0"/>
              <w:rPr>
                <w:sz w:val="20"/>
                <w:szCs w:val="20"/>
                <w:color w:val="auto"/>
              </w:rPr>
            </w:pPr>
            <w:r>
              <w:rPr>
                <w:rFonts w:ascii="Arial" w:cs="Arial" w:eastAsia="Arial" w:hAnsi="Arial"/>
                <w:sz w:val="16"/>
                <w:szCs w:val="16"/>
                <w:color w:val="auto"/>
              </w:rPr>
              <w:t>Frank C. Orsini</w:t>
            </w:r>
          </w:p>
        </w:tc>
        <w:tc>
          <w:tcPr>
            <w:tcW w:w="3640" w:type="dxa"/>
            <w:vAlign w:val="bottom"/>
          </w:tcPr>
          <w:p>
            <w:pPr>
              <w:jc w:val="right"/>
              <w:ind w:right="322"/>
              <w:spacing w:after="0"/>
              <w:rPr>
                <w:sz w:val="20"/>
                <w:szCs w:val="20"/>
                <w:color w:val="auto"/>
              </w:rPr>
            </w:pPr>
            <w:r>
              <w:rPr>
                <w:rFonts w:ascii="Arial" w:cs="Arial" w:eastAsia="Arial" w:hAnsi="Arial"/>
                <w:sz w:val="16"/>
                <w:szCs w:val="16"/>
                <w:color w:val="auto"/>
              </w:rPr>
              <w:t>11,490</w:t>
            </w:r>
          </w:p>
        </w:tc>
        <w:tc>
          <w:tcPr>
            <w:tcW w:w="1740" w:type="dxa"/>
            <w:vAlign w:val="bottom"/>
          </w:tcPr>
          <w:p>
            <w:pPr>
              <w:jc w:val="right"/>
              <w:ind w:right="262"/>
              <w:spacing w:after="0"/>
              <w:rPr>
                <w:sz w:val="20"/>
                <w:szCs w:val="20"/>
                <w:color w:val="auto"/>
              </w:rPr>
            </w:pPr>
            <w:r>
              <w:rPr>
                <w:rFonts w:ascii="Arial" w:cs="Arial" w:eastAsia="Arial" w:hAnsi="Arial"/>
                <w:sz w:val="16"/>
                <w:szCs w:val="16"/>
                <w:color w:val="auto"/>
              </w:rPr>
              <w:t>200%</w:t>
            </w:r>
          </w:p>
        </w:tc>
        <w:tc>
          <w:tcPr>
            <w:tcW w:w="1440" w:type="dxa"/>
            <w:vAlign w:val="bottom"/>
          </w:tcPr>
          <w:p>
            <w:pPr>
              <w:jc w:val="right"/>
              <w:ind w:right="323"/>
              <w:spacing w:after="0"/>
              <w:rPr>
                <w:sz w:val="20"/>
                <w:szCs w:val="20"/>
                <w:color w:val="auto"/>
              </w:rPr>
            </w:pPr>
            <w:r>
              <w:rPr>
                <w:rFonts w:ascii="Arial" w:cs="Arial" w:eastAsia="Arial" w:hAnsi="Arial"/>
                <w:sz w:val="16"/>
                <w:szCs w:val="16"/>
                <w:color w:val="auto"/>
              </w:rPr>
              <w:t>22,980</w:t>
            </w:r>
          </w:p>
        </w:tc>
      </w:tr>
      <w:tr>
        <w:trPr>
          <w:trHeight w:val="186"/>
        </w:trPr>
        <w:tc>
          <w:tcPr>
            <w:tcW w:w="4060" w:type="dxa"/>
            <w:vAlign w:val="bottom"/>
            <w:shd w:val="clear" w:color="auto" w:fill="FCE9E8"/>
          </w:tcPr>
          <w:p>
            <w:pPr>
              <w:spacing w:after="0"/>
              <w:rPr>
                <w:sz w:val="20"/>
                <w:szCs w:val="20"/>
                <w:color w:val="auto"/>
              </w:rPr>
            </w:pPr>
            <w:r>
              <w:rPr>
                <w:rFonts w:ascii="Arial" w:cs="Arial" w:eastAsia="Arial" w:hAnsi="Arial"/>
                <w:sz w:val="16"/>
                <w:szCs w:val="16"/>
                <w:color w:val="auto"/>
              </w:rPr>
              <w:t>Thomas A. DiDonato</w:t>
            </w:r>
          </w:p>
        </w:tc>
        <w:tc>
          <w:tcPr>
            <w:tcW w:w="3640" w:type="dxa"/>
            <w:vAlign w:val="bottom"/>
            <w:shd w:val="clear" w:color="auto" w:fill="FCE9E8"/>
          </w:tcPr>
          <w:p>
            <w:pPr>
              <w:jc w:val="right"/>
              <w:ind w:right="322"/>
              <w:spacing w:after="0"/>
              <w:rPr>
                <w:sz w:val="20"/>
                <w:szCs w:val="20"/>
                <w:color w:val="auto"/>
              </w:rPr>
            </w:pPr>
            <w:r>
              <w:rPr>
                <w:rFonts w:ascii="Arial" w:cs="Arial" w:eastAsia="Arial" w:hAnsi="Arial"/>
                <w:sz w:val="16"/>
                <w:szCs w:val="16"/>
                <w:color w:val="auto"/>
              </w:rPr>
              <w:t>9,393</w:t>
            </w:r>
          </w:p>
        </w:tc>
        <w:tc>
          <w:tcPr>
            <w:tcW w:w="1740" w:type="dxa"/>
            <w:vAlign w:val="bottom"/>
            <w:shd w:val="clear" w:color="auto" w:fill="FCE9E8"/>
          </w:tcPr>
          <w:p>
            <w:pPr>
              <w:jc w:val="right"/>
              <w:ind w:right="262"/>
              <w:spacing w:after="0"/>
              <w:rPr>
                <w:sz w:val="20"/>
                <w:szCs w:val="20"/>
                <w:color w:val="auto"/>
              </w:rPr>
            </w:pPr>
            <w:r>
              <w:rPr>
                <w:rFonts w:ascii="Arial" w:cs="Arial" w:eastAsia="Arial" w:hAnsi="Arial"/>
                <w:sz w:val="16"/>
                <w:szCs w:val="16"/>
                <w:color w:val="auto"/>
              </w:rPr>
              <w:t>200%</w:t>
            </w:r>
          </w:p>
        </w:tc>
        <w:tc>
          <w:tcPr>
            <w:tcW w:w="1440" w:type="dxa"/>
            <w:vAlign w:val="bottom"/>
            <w:shd w:val="clear" w:color="auto" w:fill="FCE9E8"/>
          </w:tcPr>
          <w:p>
            <w:pPr>
              <w:jc w:val="right"/>
              <w:ind w:right="323"/>
              <w:spacing w:after="0"/>
              <w:rPr>
                <w:sz w:val="20"/>
                <w:szCs w:val="20"/>
                <w:color w:val="auto"/>
              </w:rPr>
            </w:pPr>
            <w:r>
              <w:rPr>
                <w:rFonts w:ascii="Arial" w:cs="Arial" w:eastAsia="Arial" w:hAnsi="Arial"/>
                <w:sz w:val="16"/>
                <w:szCs w:val="16"/>
                <w:color w:val="auto"/>
              </w:rPr>
              <w:t>18,786</w:t>
            </w:r>
          </w:p>
        </w:tc>
      </w:tr>
      <w:tr>
        <w:trPr>
          <w:trHeight w:val="186"/>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Matthew J. Simoncini</w:t>
            </w:r>
          </w:p>
        </w:tc>
        <w:tc>
          <w:tcPr>
            <w:tcW w:w="36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48,928</w:t>
            </w:r>
          </w:p>
        </w:tc>
        <w:tc>
          <w:tcPr>
            <w:tcW w:w="17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200%</w:t>
            </w:r>
          </w:p>
        </w:tc>
        <w:tc>
          <w:tcPr>
            <w:tcW w:w="144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97,856</w:t>
            </w:r>
          </w:p>
        </w:tc>
      </w:tr>
    </w:tbl>
    <w:p>
      <w:pPr>
        <w:spacing w:after="0" w:line="159" w:lineRule="exact"/>
        <w:rPr>
          <w:sz w:val="20"/>
          <w:szCs w:val="20"/>
          <w:color w:val="auto"/>
        </w:rPr>
      </w:pPr>
    </w:p>
    <w:p>
      <w:pPr>
        <w:sectPr>
          <w:pgSz w:w="11900" w:h="16838" w:orient="portrait"/>
          <w:cols w:equalWidth="0" w:num="1">
            <w:col w:w="11160"/>
          </w:cols>
          <w:pgMar w:left="240" w:top="455" w:right="499" w:bottom="1440" w:gutter="0" w:footer="0" w:header="0"/>
        </w:sectPr>
      </w:pPr>
    </w:p>
    <w:p>
      <w:pPr>
        <w:ind w:left="280"/>
        <w:spacing w:after="0" w:line="247" w:lineRule="auto"/>
        <w:rPr>
          <w:sz w:val="20"/>
          <w:szCs w:val="20"/>
          <w:color w:val="auto"/>
        </w:rPr>
      </w:pPr>
      <w:r>
        <w:rPr>
          <w:rFonts w:ascii="Arial" w:cs="Arial" w:eastAsia="Arial" w:hAnsi="Arial"/>
          <w:sz w:val="16"/>
          <w:szCs w:val="16"/>
          <w:i w:val="1"/>
          <w:iCs w:val="1"/>
          <w:color w:val="auto"/>
        </w:rPr>
        <w:t xml:space="preserve">Addition of Relative Metric to Performance Share Program. </w:t>
      </w:r>
      <w:r>
        <w:rPr>
          <w:rFonts w:ascii="Arial" w:cs="Arial" w:eastAsia="Arial" w:hAnsi="Arial"/>
          <w:sz w:val="16"/>
          <w:szCs w:val="16"/>
          <w:color w:val="auto"/>
        </w:rPr>
        <w:t>Starting with</w:t>
      </w:r>
      <w:r>
        <w:rPr>
          <w:rFonts w:ascii="Arial" w:cs="Arial" w:eastAsia="Arial" w:hAnsi="Arial"/>
          <w:sz w:val="16"/>
          <w:szCs w:val="16"/>
          <w:i w:val="1"/>
          <w:iCs w:val="1"/>
          <w:color w:val="auto"/>
        </w:rPr>
        <w:t xml:space="preserve"> </w:t>
      </w:r>
      <w:r>
        <w:rPr>
          <w:rFonts w:ascii="Arial" w:cs="Arial" w:eastAsia="Arial" w:hAnsi="Arial"/>
          <w:sz w:val="16"/>
          <w:szCs w:val="16"/>
          <w:color w:val="auto"/>
        </w:rPr>
        <w:t>awards of Performance Shares granted in 2019, we have added a relative total shareholder return (“TSR”) metric. The 2019 Performance Shares will vest based on the achievement of Cumulative Adjusted Pre-Tax Income and Adjusted ROIC objectives but will also be subject to potential adjustment (downwards or upwards, with a maximum payout of up to 200% of target) based on the TSR achieved by the Company relative to the TSR of a specified auto industry peer group over the three-year performance period ending</w:t>
      </w:r>
    </w:p>
    <w:p>
      <w:pPr>
        <w:spacing w:after="0" w:line="20" w:lineRule="exact"/>
        <w:rPr>
          <w:sz w:val="20"/>
          <w:szCs w:val="20"/>
          <w:color w:val="auto"/>
        </w:rPr>
      </w:pPr>
      <w:r>
        <w:rPr>
          <w:sz w:val="20"/>
          <w:szCs w:val="20"/>
          <w:color w:val="auto"/>
        </w:rPr>
        <w:br w:type="column"/>
      </w:r>
    </w:p>
    <w:p>
      <w:pPr>
        <w:ind w:right="140"/>
        <w:spacing w:after="0" w:line="263" w:lineRule="auto"/>
        <w:rPr>
          <w:sz w:val="20"/>
          <w:szCs w:val="20"/>
          <w:color w:val="auto"/>
        </w:rPr>
      </w:pPr>
      <w:r>
        <w:rPr>
          <w:rFonts w:ascii="Arial" w:cs="Arial" w:eastAsia="Arial" w:hAnsi="Arial"/>
          <w:sz w:val="15"/>
          <w:szCs w:val="15"/>
          <w:color w:val="auto"/>
        </w:rPr>
        <w:t>December 31, 2021. If at the end of the performance period, the Company’s relative TSR falls in the top quartile as compared to the peer group, but the Company’s absolute TSR is negative, payout of the 2019 Performance Shares will not be adjusted upward. The addition of the relative TSR modifier is intended to further align payouts to value creation by funding the awards based on the two financial metrics, which reward execution of our multi-year strategy, and potentially modifying the final payouts based on our three-year TSR relative to other auto suppliers.</w:t>
      </w:r>
    </w:p>
    <w:p>
      <w:pPr>
        <w:spacing w:after="0" w:line="376" w:lineRule="exact"/>
        <w:rPr>
          <w:sz w:val="20"/>
          <w:szCs w:val="20"/>
          <w:color w:val="auto"/>
        </w:rPr>
      </w:pPr>
    </w:p>
    <w:p>
      <w:pPr>
        <w:sectPr>
          <w:pgSz w:w="11900" w:h="16838" w:orient="portrait"/>
          <w:cols w:equalWidth="0" w:num="2">
            <w:col w:w="5460" w:space="360"/>
            <w:col w:w="5340"/>
          </w:cols>
          <w:pgMar w:left="240" w:top="455" w:right="499" w:bottom="1440" w:gutter="0" w:footer="0" w:header="0"/>
          <w:type w:val="continuous"/>
        </w:sectPr>
      </w:pPr>
    </w:p>
    <w:p>
      <w:pPr>
        <w:spacing w:after="0" w:line="15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Management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07" w:lineRule="exact"/>
        <w:rPr>
          <w:sz w:val="20"/>
          <w:szCs w:val="20"/>
          <w:color w:val="auto"/>
        </w:rPr>
      </w:pPr>
    </w:p>
    <w:p>
      <w:pPr>
        <w:ind w:left="280" w:right="20"/>
        <w:spacing w:after="0" w:line="244" w:lineRule="auto"/>
        <w:rPr>
          <w:sz w:val="20"/>
          <w:szCs w:val="20"/>
          <w:color w:val="auto"/>
        </w:rPr>
      </w:pPr>
      <w:r>
        <w:rPr>
          <w:rFonts w:ascii="Arial" w:cs="Arial" w:eastAsia="Arial" w:hAnsi="Arial"/>
          <w:sz w:val="16"/>
          <w:szCs w:val="16"/>
          <w:color w:val="auto"/>
        </w:rPr>
        <w:t>The management stock ownership guidelines provide that our executive officers achieve specified stock ownership levels based on a multiple of each executive officer’s base salary. The stock ownership guidelines were intended to create a strong link between our long-term success and the ultimate compensation of our executive officers. Under the guidelines, unvested awards generally do not count towards the goal; however, once they are within 24 months of vesting, (i) for all executive officers, 60% of RSUs awarded count towards the goal, and (ii) for retirement-eligible executive officers only, 60% of Career Shares awarded count towards the goal. Until an executive meets the goal, he or she must hold 50% of the net shares acquired upon the vesting of equity awards. The shares underlying Career Shares are not distributed until the earlier of age 62 (or the vesting date, if later) or three years after the qualifying retirement. Share ownership targets for executives reaching age 60 are reduced by 10% annually up to a maximum reduction of 50%. The stock ownership levels which must be achieved by our executive officers are as follows:</w:t>
      </w:r>
    </w:p>
    <w:p>
      <w:pPr>
        <w:spacing w:after="0" w:line="21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6260" w:type="dxa"/>
            <w:vAlign w:val="bottom"/>
          </w:tcPr>
          <w:p>
            <w:pPr>
              <w:jc w:val="right"/>
              <w:ind w:right="1183"/>
              <w:spacing w:after="0"/>
              <w:rPr>
                <w:sz w:val="20"/>
                <w:szCs w:val="20"/>
                <w:color w:val="auto"/>
              </w:rPr>
            </w:pPr>
            <w:r>
              <w:rPr>
                <w:rFonts w:ascii="Arial" w:cs="Arial" w:eastAsia="Arial" w:hAnsi="Arial"/>
                <w:sz w:val="14"/>
                <w:szCs w:val="14"/>
                <w:b w:val="1"/>
                <w:bCs w:val="1"/>
                <w:color w:val="E2231A"/>
              </w:rPr>
              <w:t>Required Share Ownership Level</w:t>
            </w:r>
          </w:p>
        </w:tc>
      </w:tr>
      <w:tr>
        <w:trPr>
          <w:trHeight w:val="186"/>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Position</w:t>
            </w:r>
          </w:p>
        </w:tc>
        <w:tc>
          <w:tcPr>
            <w:tcW w:w="6260" w:type="dxa"/>
            <w:vAlign w:val="bottom"/>
            <w:tcBorders>
              <w:bottom w:val="single" w:sz="8" w:color="auto"/>
            </w:tcBorders>
          </w:tcPr>
          <w:p>
            <w:pPr>
              <w:jc w:val="right"/>
              <w:ind w:right="1483"/>
              <w:spacing w:after="0"/>
              <w:rPr>
                <w:sz w:val="20"/>
                <w:szCs w:val="20"/>
                <w:color w:val="auto"/>
              </w:rPr>
            </w:pPr>
            <w:r>
              <w:rPr>
                <w:rFonts w:ascii="Arial" w:cs="Arial" w:eastAsia="Arial" w:hAnsi="Arial"/>
                <w:sz w:val="14"/>
                <w:szCs w:val="14"/>
                <w:b w:val="1"/>
                <w:bCs w:val="1"/>
                <w:color w:val="E2231A"/>
              </w:rPr>
              <w:t>(multiple of base salary)</w:t>
            </w:r>
          </w:p>
        </w:tc>
      </w:tr>
      <w:tr>
        <w:trPr>
          <w:trHeight w:val="180"/>
        </w:trPr>
        <w:tc>
          <w:tcPr>
            <w:tcW w:w="4620" w:type="dxa"/>
            <w:vAlign w:val="bottom"/>
            <w:shd w:val="clear" w:color="auto" w:fill="FCE9E8"/>
          </w:tcPr>
          <w:p>
            <w:pPr>
              <w:spacing w:after="0" w:line="180" w:lineRule="exact"/>
              <w:rPr>
                <w:sz w:val="20"/>
                <w:szCs w:val="20"/>
                <w:color w:val="auto"/>
              </w:rPr>
            </w:pPr>
            <w:r>
              <w:rPr>
                <w:rFonts w:ascii="Arial" w:cs="Arial" w:eastAsia="Arial" w:hAnsi="Arial"/>
                <w:sz w:val="16"/>
                <w:szCs w:val="16"/>
                <w:color w:val="auto"/>
              </w:rPr>
              <w:t>CEO</w:t>
            </w:r>
          </w:p>
        </w:tc>
        <w:tc>
          <w:tcPr>
            <w:tcW w:w="6260" w:type="dxa"/>
            <w:vAlign w:val="bottom"/>
            <w:shd w:val="clear" w:color="auto" w:fill="FCE9E8"/>
          </w:tcPr>
          <w:p>
            <w:pPr>
              <w:jc w:val="right"/>
              <w:ind w:right="1183"/>
              <w:spacing w:after="0" w:line="180" w:lineRule="exact"/>
              <w:rPr>
                <w:sz w:val="20"/>
                <w:szCs w:val="20"/>
                <w:color w:val="auto"/>
              </w:rPr>
            </w:pPr>
            <w:r>
              <w:rPr>
                <w:rFonts w:ascii="Arial" w:cs="Arial" w:eastAsia="Arial" w:hAnsi="Arial"/>
                <w:sz w:val="16"/>
                <w:szCs w:val="16"/>
                <w:color w:val="auto"/>
              </w:rPr>
              <w:t>6X</w:t>
            </w:r>
          </w:p>
        </w:tc>
      </w:tr>
      <w:tr>
        <w:trPr>
          <w:trHeight w:val="186"/>
        </w:trPr>
        <w:tc>
          <w:tcPr>
            <w:tcW w:w="4620" w:type="dxa"/>
            <w:vAlign w:val="bottom"/>
          </w:tcPr>
          <w:p>
            <w:pPr>
              <w:spacing w:after="0"/>
              <w:rPr>
                <w:sz w:val="20"/>
                <w:szCs w:val="20"/>
                <w:color w:val="auto"/>
              </w:rPr>
            </w:pPr>
            <w:r>
              <w:rPr>
                <w:rFonts w:ascii="Arial" w:cs="Arial" w:eastAsia="Arial" w:hAnsi="Arial"/>
                <w:sz w:val="16"/>
                <w:szCs w:val="16"/>
                <w:color w:val="auto"/>
              </w:rPr>
              <w:t>Executive Vice Presidents</w:t>
            </w:r>
          </w:p>
        </w:tc>
        <w:tc>
          <w:tcPr>
            <w:tcW w:w="6260" w:type="dxa"/>
            <w:vAlign w:val="bottom"/>
          </w:tcPr>
          <w:p>
            <w:pPr>
              <w:jc w:val="right"/>
              <w:ind w:right="1183"/>
              <w:spacing w:after="0"/>
              <w:rPr>
                <w:sz w:val="20"/>
                <w:szCs w:val="20"/>
                <w:color w:val="auto"/>
              </w:rPr>
            </w:pPr>
            <w:r>
              <w:rPr>
                <w:rFonts w:ascii="Arial" w:cs="Arial" w:eastAsia="Arial" w:hAnsi="Arial"/>
                <w:sz w:val="16"/>
                <w:szCs w:val="16"/>
                <w:color w:val="auto"/>
              </w:rPr>
              <w:t>3X</w:t>
            </w:r>
          </w:p>
        </w:tc>
      </w:tr>
      <w:tr>
        <w:trPr>
          <w:trHeight w:val="186"/>
        </w:trPr>
        <w:tc>
          <w:tcPr>
            <w:tcW w:w="4620" w:type="dxa"/>
            <w:vAlign w:val="bottom"/>
            <w:shd w:val="clear" w:color="auto" w:fill="FCE9E8"/>
          </w:tcPr>
          <w:p>
            <w:pPr>
              <w:spacing w:after="0"/>
              <w:rPr>
                <w:sz w:val="20"/>
                <w:szCs w:val="20"/>
                <w:color w:val="auto"/>
              </w:rPr>
            </w:pPr>
            <w:r>
              <w:rPr>
                <w:rFonts w:ascii="Arial" w:cs="Arial" w:eastAsia="Arial" w:hAnsi="Arial"/>
                <w:sz w:val="16"/>
                <w:szCs w:val="16"/>
                <w:color w:val="auto"/>
              </w:rPr>
              <w:t>Senior Vice Presidents</w:t>
            </w:r>
          </w:p>
        </w:tc>
        <w:tc>
          <w:tcPr>
            <w:tcW w:w="6260" w:type="dxa"/>
            <w:vAlign w:val="bottom"/>
            <w:shd w:val="clear" w:color="auto" w:fill="FCE9E8"/>
          </w:tcPr>
          <w:p>
            <w:pPr>
              <w:jc w:val="right"/>
              <w:ind w:right="1183"/>
              <w:spacing w:after="0"/>
              <w:rPr>
                <w:sz w:val="20"/>
                <w:szCs w:val="20"/>
                <w:color w:val="auto"/>
              </w:rPr>
            </w:pPr>
            <w:r>
              <w:rPr>
                <w:rFonts w:ascii="Arial" w:cs="Arial" w:eastAsia="Arial" w:hAnsi="Arial"/>
                <w:sz w:val="16"/>
                <w:szCs w:val="16"/>
                <w:color w:val="auto"/>
              </w:rPr>
              <w:t>3X</w:t>
            </w:r>
          </w:p>
        </w:tc>
      </w:tr>
      <w:tr>
        <w:trPr>
          <w:trHeight w:val="186"/>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Executive Officers</w:t>
            </w:r>
          </w:p>
        </w:tc>
        <w:tc>
          <w:tcPr>
            <w:tcW w:w="6260" w:type="dxa"/>
            <w:vAlign w:val="bottom"/>
            <w:tcBorders>
              <w:bottom w:val="single" w:sz="8" w:color="auto"/>
            </w:tcBorders>
          </w:tcPr>
          <w:p>
            <w:pPr>
              <w:jc w:val="right"/>
              <w:ind w:right="1183"/>
              <w:spacing w:after="0"/>
              <w:rPr>
                <w:sz w:val="20"/>
                <w:szCs w:val="20"/>
                <w:color w:val="auto"/>
              </w:rPr>
            </w:pPr>
            <w:r>
              <w:rPr>
                <w:rFonts w:ascii="Arial" w:cs="Arial" w:eastAsia="Arial" w:hAnsi="Arial"/>
                <w:sz w:val="16"/>
                <w:szCs w:val="16"/>
                <w:color w:val="auto"/>
              </w:rPr>
              <w:t>1.5X</w:t>
            </w:r>
          </w:p>
        </w:tc>
      </w:tr>
    </w:tbl>
    <w:p>
      <w:pPr>
        <w:spacing w:after="0" w:line="124" w:lineRule="exact"/>
        <w:rPr>
          <w:sz w:val="20"/>
          <w:szCs w:val="20"/>
          <w:color w:val="auto"/>
        </w:rPr>
      </w:pPr>
    </w:p>
    <w:p>
      <w:pPr>
        <w:ind w:left="740" w:hanging="359"/>
        <w:spacing w:after="0"/>
        <w:tabs>
          <w:tab w:leader="none" w:pos="7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60"/>
          </w:cols>
          <w:pgMar w:left="240" w:top="455" w:right="49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ectPr>
          <w:pgSz w:w="11900" w:h="16838" w:orient="portrait"/>
          <w:cols w:equalWidth="0" w:num="1">
            <w:col w:w="11140"/>
          </w:cols>
          <w:pgMar w:left="240" w:top="455" w:right="519" w:bottom="1440" w:gutter="0" w:footer="0" w:header="0"/>
        </w:sectPr>
      </w:pPr>
    </w:p>
    <w:p>
      <w:pPr>
        <w:spacing w:after="0" w:line="330" w:lineRule="exact"/>
        <w:rPr>
          <w:sz w:val="20"/>
          <w:szCs w:val="20"/>
          <w:color w:val="auto"/>
        </w:rPr>
      </w:pPr>
    </w:p>
    <w:p>
      <w:pPr>
        <w:ind w:left="280"/>
        <w:spacing w:after="0" w:line="265" w:lineRule="auto"/>
        <w:rPr>
          <w:sz w:val="20"/>
          <w:szCs w:val="20"/>
          <w:color w:val="auto"/>
        </w:rPr>
      </w:pPr>
      <w:r>
        <w:rPr>
          <w:rFonts w:ascii="Arial" w:cs="Arial" w:eastAsia="Arial" w:hAnsi="Arial"/>
          <w:sz w:val="15"/>
          <w:szCs w:val="15"/>
          <w:color w:val="auto"/>
        </w:rPr>
        <w:t>Our stock ownership guidelines are reviewed periodically to ensure ongoing market competitiveness and reasonableness. As of our latest measurement date (December 31, 2018), all of our Named Executive Officers who were subject to the guidelines have met their respective required ownership levels other than Mr. Scott, who has not yet met the new higher required ownership level that became applicable to him upon</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his transition to the role of President and CEO during 2018 but who is in compliance with the 50% hold requirement and the 3X guideline that was applicable to him in his previous position. Mr. Simoncini was no longer an executive officer at the end of 2018, and thus, the stock ownership guidelines did not apply to him as of the latest measurement date.</w:t>
      </w:r>
    </w:p>
    <w:p>
      <w:pPr>
        <w:spacing w:after="0" w:line="399" w:lineRule="exact"/>
        <w:rPr>
          <w:sz w:val="20"/>
          <w:szCs w:val="20"/>
          <w:color w:val="auto"/>
        </w:rPr>
      </w:pPr>
    </w:p>
    <w:p>
      <w:pPr>
        <w:sectPr>
          <w:pgSz w:w="11900" w:h="16838" w:orient="portrait"/>
          <w:cols w:equalWidth="0" w:num="2">
            <w:col w:w="5400" w:space="420"/>
            <w:col w:w="5320"/>
          </w:cols>
          <w:pgMar w:left="240" w:top="455" w:right="519" w:bottom="1440" w:gutter="0" w:footer="0" w:header="0"/>
          <w:type w:val="continuous"/>
        </w:sectPr>
      </w:pPr>
    </w:p>
    <w:p>
      <w:pPr>
        <w:spacing w:after="0" w:line="137"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Equity Award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334"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We do not time the grant of equity awards in coordination with the release of material non-public information. Our equity awards are generally approved on the dates of our regularly scheduled Compensation Committee meetings and are effective as of such dates or specified prospective dates. The Compensation Committee has approved and formalized our equity award policy. It provides that the effective grant date of equity awards must be either the date of Compensation Committee or other committee approval or some future date specifically identified in such approval. If such awards are granted, the exercise price of stock options and grant price of</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Stock Appreciation Rights shall be the closing market price of our common stock on the grant date. The Compensation Committee must approve all awards to our executive officers. The policy also allows the Compensation Committee to delegate to the CEO the ability to grant equity awards to non-executive officer employees who are newly hired or promoted or deemed to be deserving of special retention or recognition awards. In addition, the aggregate award pool to non-executive officers must be approved by the Compensation Committee but may be allocated to individual employees by the CEO.</w:t>
      </w:r>
    </w:p>
    <w:p>
      <w:pPr>
        <w:spacing w:after="0" w:line="387" w:lineRule="exact"/>
        <w:rPr>
          <w:sz w:val="20"/>
          <w:szCs w:val="20"/>
          <w:color w:val="auto"/>
        </w:rPr>
      </w:pPr>
    </w:p>
    <w:p>
      <w:pPr>
        <w:sectPr>
          <w:pgSz w:w="11900" w:h="16838" w:orient="portrait"/>
          <w:cols w:equalWidth="0" w:num="2">
            <w:col w:w="5480" w:space="340"/>
            <w:col w:w="5320"/>
          </w:cols>
          <w:pgMar w:left="240" w:top="455" w:right="519" w:bottom="1440" w:gutter="0" w:footer="0" w:header="0"/>
          <w:type w:val="continuous"/>
        </w:sectPr>
      </w:pPr>
    </w:p>
    <w:p>
      <w:pPr>
        <w:spacing w:after="0" w:line="63"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39</w:t>
      </w:r>
    </w:p>
    <w:p>
      <w:pPr>
        <w:sectPr>
          <w:pgSz w:w="11900" w:h="16838" w:orient="portrait"/>
          <w:cols w:equalWidth="0" w:num="1">
            <w:col w:w="11140"/>
          </w:cols>
          <w:pgMar w:left="240" w:top="455" w:right="51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Retirement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21" w:lineRule="exact"/>
        <w:rPr>
          <w:sz w:val="20"/>
          <w:szCs w:val="20"/>
          <w:color w:val="auto"/>
        </w:rPr>
      </w:pPr>
    </w:p>
    <w:p>
      <w:pPr>
        <w:ind w:left="280" w:right="240"/>
        <w:spacing w:after="0" w:line="266" w:lineRule="auto"/>
        <w:rPr>
          <w:sz w:val="20"/>
          <w:szCs w:val="20"/>
          <w:color w:val="auto"/>
        </w:rPr>
      </w:pPr>
      <w:r>
        <w:rPr>
          <w:rFonts w:ascii="Arial" w:cs="Arial" w:eastAsia="Arial" w:hAnsi="Arial"/>
          <w:sz w:val="15"/>
          <w:szCs w:val="15"/>
          <w:color w:val="auto"/>
        </w:rPr>
        <w:t>Our Named Executive Officers participate in our retirement savings plan, qualified pension plan, pension equalization plan and supplemental savings plan, as eligible. The general terms of these plans and formulas for calculating benefits are summarized following the 2018 Summary Compensation Table, 2018 Pension Benefits table and 2018 Nonqualified Deferred Compensation table, respectively, in “Executive Compensation.” These benefits provide rewards for long-term service to the Company and an income source in an executive’s post-employment years. The various components of our retirement benefit program (including our frozen defined benefit pension plans) disclosed in this proxy statement are summarized in the table below.</w:t>
      </w:r>
    </w:p>
    <w:p>
      <w:pPr>
        <w:spacing w:after="0" w:line="18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FFFFFF"/>
        </w:rPr>
        <w:t>Summary of 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-106680</wp:posOffset>
            </wp:positionV>
            <wp:extent cx="6910070" cy="26644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10070" cy="2664460"/>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161"/>
        </w:trPr>
        <w:tc>
          <w:tcPr>
            <w:tcW w:w="16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3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E2231A"/>
              </w:rPr>
              <w:t>Pages for</w:t>
            </w:r>
          </w:p>
        </w:tc>
        <w:tc>
          <w:tcPr>
            <w:tcW w:w="0" w:type="dxa"/>
            <w:vAlign w:val="bottom"/>
          </w:tcPr>
          <w:p>
            <w:pPr>
              <w:spacing w:after="0"/>
              <w:rPr>
                <w:sz w:val="1"/>
                <w:szCs w:val="1"/>
                <w:color w:val="auto"/>
              </w:rPr>
            </w:pPr>
          </w:p>
        </w:tc>
      </w:tr>
      <w:tr>
        <w:trPr>
          <w:trHeight w:val="160"/>
        </w:trPr>
        <w:tc>
          <w:tcPr>
            <w:tcW w:w="16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Further</w:t>
            </w:r>
          </w:p>
        </w:tc>
        <w:tc>
          <w:tcPr>
            <w:tcW w:w="0" w:type="dxa"/>
            <w:vAlign w:val="bottom"/>
          </w:tcPr>
          <w:p>
            <w:pPr>
              <w:spacing w:after="0"/>
              <w:rPr>
                <w:sz w:val="1"/>
                <w:szCs w:val="1"/>
                <w:color w:val="auto"/>
              </w:rPr>
            </w:pPr>
          </w:p>
        </w:tc>
      </w:tr>
      <w:tr>
        <w:trPr>
          <w:trHeight w:val="186"/>
        </w:trPr>
        <w:tc>
          <w:tcPr>
            <w:tcW w:w="166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4"/>
                <w:szCs w:val="14"/>
                <w:b w:val="1"/>
                <w:bCs w:val="1"/>
                <w:color w:val="E2231A"/>
              </w:rPr>
              <w:t>Type</w:t>
            </w:r>
          </w:p>
        </w:tc>
        <w:tc>
          <w:tcPr>
            <w:tcW w:w="80" w:type="dxa"/>
            <w:vAlign w:val="bottom"/>
            <w:tcBorders>
              <w:bottom w:val="single" w:sz="8" w:color="auto"/>
            </w:tcBorders>
          </w:tcPr>
          <w:p>
            <w:pPr>
              <w:spacing w:after="0"/>
              <w:rPr>
                <w:sz w:val="16"/>
                <w:szCs w:val="16"/>
                <w:color w:val="auto"/>
              </w:rPr>
            </w:pPr>
          </w:p>
        </w:tc>
        <w:tc>
          <w:tcPr>
            <w:tcW w:w="33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4"/>
                <w:szCs w:val="14"/>
                <w:b w:val="1"/>
                <w:bCs w:val="1"/>
                <w:color w:val="E2231A"/>
              </w:rPr>
              <w:t>Plan/Program</w:t>
            </w: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E2231A"/>
              </w:rPr>
              <w:t>Component/Feature</w:t>
            </w: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E2231A"/>
              </w:rPr>
              <w:t>Purpose</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Details</w:t>
            </w:r>
          </w:p>
        </w:tc>
        <w:tc>
          <w:tcPr>
            <w:tcW w:w="0" w:type="dxa"/>
            <w:vAlign w:val="bottom"/>
          </w:tcPr>
          <w:p>
            <w:pPr>
              <w:spacing w:after="0"/>
              <w:rPr>
                <w:sz w:val="1"/>
                <w:szCs w:val="1"/>
                <w:color w:val="auto"/>
              </w:rPr>
            </w:pPr>
          </w:p>
        </w:tc>
      </w:tr>
      <w:tr>
        <w:trPr>
          <w:trHeight w:val="180"/>
        </w:trPr>
        <w:tc>
          <w:tcPr>
            <w:tcW w:w="1660" w:type="dxa"/>
            <w:vAlign w:val="bottom"/>
            <w:tcBorders>
              <w:bottom w:val="single" w:sz="8" w:color="FCE9E8"/>
              <w:right w:val="single" w:sz="8" w:color="auto"/>
            </w:tcBorders>
            <w:shd w:val="clear" w:color="auto" w:fill="FCE9E8"/>
          </w:tcPr>
          <w:p>
            <w:pPr>
              <w:ind w:left="240"/>
              <w:spacing w:after="0" w:line="180" w:lineRule="exact"/>
              <w:rPr>
                <w:sz w:val="20"/>
                <w:szCs w:val="20"/>
                <w:color w:val="auto"/>
              </w:rPr>
            </w:pPr>
            <w:r>
              <w:rPr>
                <w:rFonts w:ascii="Arial" w:cs="Arial" w:eastAsia="Arial" w:hAnsi="Arial"/>
                <w:sz w:val="16"/>
                <w:szCs w:val="16"/>
                <w:b w:val="1"/>
                <w:bCs w:val="1"/>
                <w:color w:val="auto"/>
              </w:rPr>
              <w:t>Defined</w:t>
            </w:r>
          </w:p>
        </w:tc>
        <w:tc>
          <w:tcPr>
            <w:tcW w:w="3460" w:type="dxa"/>
            <w:vAlign w:val="bottom"/>
            <w:tcBorders>
              <w:bottom w:val="single" w:sz="8" w:color="FCE9E8"/>
              <w:right w:val="single" w:sz="8" w:color="auto"/>
            </w:tcBorders>
            <w:gridSpan w:val="2"/>
            <w:shd w:val="clear" w:color="auto" w:fill="FCE9E8"/>
          </w:tcPr>
          <w:p>
            <w:pPr>
              <w:ind w:left="80"/>
              <w:spacing w:after="0" w:line="180" w:lineRule="exact"/>
              <w:rPr>
                <w:sz w:val="20"/>
                <w:szCs w:val="20"/>
                <w:color w:val="auto"/>
              </w:rPr>
            </w:pPr>
            <w:r>
              <w:rPr>
                <w:rFonts w:ascii="Arial" w:cs="Arial" w:eastAsia="Arial" w:hAnsi="Arial"/>
                <w:sz w:val="16"/>
                <w:szCs w:val="16"/>
                <w:color w:val="auto"/>
              </w:rPr>
              <w:t>Salaried Retirement</w:t>
            </w:r>
          </w:p>
        </w:tc>
        <w:tc>
          <w:tcPr>
            <w:tcW w:w="100" w:type="dxa"/>
            <w:vAlign w:val="bottom"/>
            <w:tcBorders>
              <w:bottom w:val="single" w:sz="8" w:color="auto"/>
            </w:tcBorders>
            <w:shd w:val="clear" w:color="auto" w:fill="FCE9E8"/>
          </w:tcPr>
          <w:p>
            <w:pPr>
              <w:spacing w:after="0"/>
              <w:rPr>
                <w:sz w:val="15"/>
                <w:szCs w:val="15"/>
                <w:color w:val="auto"/>
              </w:rPr>
            </w:pPr>
          </w:p>
        </w:tc>
        <w:tc>
          <w:tcPr>
            <w:tcW w:w="2080" w:type="dxa"/>
            <w:vAlign w:val="bottom"/>
            <w:tcBorders>
              <w:bottom w:val="single" w:sz="8" w:color="auto"/>
              <w:right w:val="single" w:sz="8" w:color="auto"/>
            </w:tcBorders>
            <w:shd w:val="clear" w:color="auto" w:fill="FCE9E8"/>
          </w:tcPr>
          <w:p>
            <w:pPr>
              <w:spacing w:after="0" w:line="180" w:lineRule="exact"/>
              <w:rPr>
                <w:sz w:val="20"/>
                <w:szCs w:val="20"/>
                <w:color w:val="auto"/>
              </w:rPr>
            </w:pPr>
            <w:r>
              <w:rPr>
                <w:rFonts w:ascii="Arial" w:cs="Arial" w:eastAsia="Arial" w:hAnsi="Arial"/>
                <w:sz w:val="16"/>
                <w:szCs w:val="16"/>
                <w:color w:val="auto"/>
              </w:rPr>
              <w:t>Deferral</w:t>
            </w:r>
          </w:p>
        </w:tc>
        <w:tc>
          <w:tcPr>
            <w:tcW w:w="100" w:type="dxa"/>
            <w:vAlign w:val="bottom"/>
            <w:tcBorders>
              <w:bottom w:val="single" w:sz="8" w:color="FCE9E8"/>
            </w:tcBorders>
            <w:shd w:val="clear" w:color="auto" w:fill="FCE9E8"/>
          </w:tcPr>
          <w:p>
            <w:pPr>
              <w:spacing w:after="0"/>
              <w:rPr>
                <w:sz w:val="15"/>
                <w:szCs w:val="15"/>
                <w:color w:val="auto"/>
              </w:rPr>
            </w:pPr>
          </w:p>
        </w:tc>
        <w:tc>
          <w:tcPr>
            <w:tcW w:w="2620" w:type="dxa"/>
            <w:vAlign w:val="bottom"/>
            <w:tcBorders>
              <w:bottom w:val="single" w:sz="8" w:color="FCE9E8"/>
              <w:right w:val="single" w:sz="8" w:color="auto"/>
            </w:tcBorders>
            <w:shd w:val="clear" w:color="auto" w:fill="FCE9E8"/>
          </w:tcPr>
          <w:p>
            <w:pPr>
              <w:jc w:val="center"/>
              <w:spacing w:after="0" w:line="180" w:lineRule="exact"/>
              <w:rPr>
                <w:sz w:val="20"/>
                <w:szCs w:val="20"/>
                <w:color w:val="auto"/>
              </w:rPr>
            </w:pPr>
            <w:r>
              <w:rPr>
                <w:rFonts w:ascii="Arial" w:cs="Arial" w:eastAsia="Arial" w:hAnsi="Arial"/>
                <w:sz w:val="16"/>
                <w:szCs w:val="16"/>
                <w:color w:val="auto"/>
              </w:rPr>
              <w:t>Standard 401(k) plan and</w:t>
            </w:r>
          </w:p>
        </w:tc>
        <w:tc>
          <w:tcPr>
            <w:tcW w:w="100" w:type="dxa"/>
            <w:vAlign w:val="bottom"/>
            <w:tcBorders>
              <w:bottom w:val="single" w:sz="8" w:color="FCE9E8"/>
            </w:tcBorders>
            <w:shd w:val="clear" w:color="auto" w:fill="FCE9E8"/>
          </w:tcPr>
          <w:p>
            <w:pPr>
              <w:spacing w:after="0"/>
              <w:rPr>
                <w:sz w:val="15"/>
                <w:szCs w:val="15"/>
                <w:color w:val="auto"/>
              </w:rPr>
            </w:pPr>
          </w:p>
        </w:tc>
        <w:tc>
          <w:tcPr>
            <w:tcW w:w="760" w:type="dxa"/>
            <w:vAlign w:val="bottom"/>
            <w:tcBorders>
              <w:bottom w:val="single" w:sz="8" w:color="FCE9E8"/>
            </w:tcBorders>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60" w:type="dxa"/>
            <w:vAlign w:val="bottom"/>
            <w:tcBorders>
              <w:bottom w:val="single" w:sz="8" w:color="FCE9E8"/>
              <w:right w:val="single" w:sz="8" w:color="auto"/>
            </w:tcBorders>
            <w:shd w:val="clear" w:color="auto" w:fill="FCE9E8"/>
          </w:tcPr>
          <w:p>
            <w:pPr>
              <w:ind w:left="240"/>
              <w:spacing w:after="0" w:line="180" w:lineRule="exact"/>
              <w:rPr>
                <w:sz w:val="20"/>
                <w:szCs w:val="20"/>
                <w:color w:val="auto"/>
              </w:rPr>
            </w:pPr>
            <w:r>
              <w:rPr>
                <w:rFonts w:ascii="Arial" w:cs="Arial" w:eastAsia="Arial" w:hAnsi="Arial"/>
                <w:sz w:val="16"/>
                <w:szCs w:val="16"/>
                <w:b w:val="1"/>
                <w:bCs w:val="1"/>
                <w:color w:val="auto"/>
              </w:rPr>
              <w:t>Contribution</w:t>
            </w:r>
          </w:p>
        </w:tc>
        <w:tc>
          <w:tcPr>
            <w:tcW w:w="3460" w:type="dxa"/>
            <w:vAlign w:val="bottom"/>
            <w:tcBorders>
              <w:bottom w:val="single" w:sz="8" w:color="FCE9E8"/>
              <w:right w:val="single" w:sz="8" w:color="auto"/>
            </w:tcBorders>
            <w:gridSpan w:val="2"/>
            <w:shd w:val="clear" w:color="auto" w:fill="FCE9E8"/>
          </w:tcPr>
          <w:p>
            <w:pPr>
              <w:ind w:left="80"/>
              <w:spacing w:after="0" w:line="175" w:lineRule="exact"/>
              <w:rPr>
                <w:sz w:val="20"/>
                <w:szCs w:val="20"/>
                <w:color w:val="auto"/>
              </w:rPr>
            </w:pPr>
            <w:r>
              <w:rPr>
                <w:rFonts w:ascii="Arial" w:cs="Arial" w:eastAsia="Arial" w:hAnsi="Arial"/>
                <w:sz w:val="16"/>
                <w:szCs w:val="16"/>
                <w:color w:val="auto"/>
              </w:rPr>
              <w:t>Program (Qualified)</w:t>
            </w:r>
          </w:p>
        </w:tc>
        <w:tc>
          <w:tcPr>
            <w:tcW w:w="100" w:type="dxa"/>
            <w:vAlign w:val="bottom"/>
            <w:tcBorders>
              <w:bottom w:val="single" w:sz="8" w:color="auto"/>
            </w:tcBorders>
            <w:shd w:val="clear" w:color="auto" w:fill="FCE9E8"/>
          </w:tcPr>
          <w:p>
            <w:pPr>
              <w:spacing w:after="0"/>
              <w:rPr>
                <w:sz w:val="15"/>
                <w:szCs w:val="15"/>
                <w:color w:val="auto"/>
              </w:rPr>
            </w:pPr>
          </w:p>
        </w:tc>
        <w:tc>
          <w:tcPr>
            <w:tcW w:w="2080" w:type="dxa"/>
            <w:vAlign w:val="bottom"/>
            <w:tcBorders>
              <w:bottom w:val="single" w:sz="8" w:color="auto"/>
              <w:right w:val="single" w:sz="8" w:color="auto"/>
            </w:tcBorders>
            <w:shd w:val="clear" w:color="auto" w:fill="FCE9E8"/>
          </w:tcPr>
          <w:p>
            <w:pPr>
              <w:spacing w:after="0" w:line="180" w:lineRule="exact"/>
              <w:rPr>
                <w:sz w:val="20"/>
                <w:szCs w:val="20"/>
                <w:color w:val="auto"/>
              </w:rPr>
            </w:pPr>
            <w:r>
              <w:rPr>
                <w:rFonts w:ascii="Arial" w:cs="Arial" w:eastAsia="Arial" w:hAnsi="Arial"/>
                <w:sz w:val="16"/>
                <w:szCs w:val="16"/>
                <w:color w:val="auto"/>
              </w:rPr>
              <w:t>Company Match</w:t>
            </w:r>
          </w:p>
        </w:tc>
        <w:tc>
          <w:tcPr>
            <w:tcW w:w="100" w:type="dxa"/>
            <w:vAlign w:val="bottom"/>
            <w:tcBorders>
              <w:bottom w:val="single" w:sz="8" w:color="auto"/>
            </w:tcBorders>
            <w:shd w:val="clear" w:color="auto" w:fill="FCE9E8"/>
          </w:tcPr>
          <w:p>
            <w:pPr>
              <w:spacing w:after="0"/>
              <w:rPr>
                <w:sz w:val="15"/>
                <w:szCs w:val="15"/>
                <w:color w:val="auto"/>
              </w:rPr>
            </w:pPr>
          </w:p>
        </w:tc>
        <w:tc>
          <w:tcPr>
            <w:tcW w:w="2620" w:type="dxa"/>
            <w:vAlign w:val="bottom"/>
            <w:tcBorders>
              <w:bottom w:val="single" w:sz="8" w:color="auto"/>
              <w:right w:val="single" w:sz="8" w:color="auto"/>
            </w:tcBorders>
            <w:shd w:val="clear" w:color="auto" w:fill="FCE9E8"/>
          </w:tcPr>
          <w:p>
            <w:pPr>
              <w:jc w:val="center"/>
              <w:spacing w:after="0" w:line="175" w:lineRule="exact"/>
              <w:rPr>
                <w:sz w:val="20"/>
                <w:szCs w:val="20"/>
                <w:color w:val="auto"/>
              </w:rPr>
            </w:pPr>
            <w:r>
              <w:rPr>
                <w:rFonts w:ascii="Arial" w:cs="Arial" w:eastAsia="Arial" w:hAnsi="Arial"/>
                <w:sz w:val="16"/>
                <w:szCs w:val="16"/>
                <w:color w:val="auto"/>
                <w:w w:val="99"/>
              </w:rPr>
              <w:t>matching contribution</w:t>
            </w:r>
          </w:p>
        </w:tc>
        <w:tc>
          <w:tcPr>
            <w:tcW w:w="100" w:type="dxa"/>
            <w:vAlign w:val="bottom"/>
            <w:tcBorders>
              <w:bottom w:val="single" w:sz="8" w:color="FCE9E8"/>
            </w:tcBorders>
            <w:shd w:val="clear" w:color="auto" w:fill="FCE9E8"/>
          </w:tcPr>
          <w:p>
            <w:pPr>
              <w:spacing w:after="0"/>
              <w:rPr>
                <w:sz w:val="15"/>
                <w:szCs w:val="15"/>
                <w:color w:val="auto"/>
              </w:rPr>
            </w:pPr>
          </w:p>
        </w:tc>
        <w:tc>
          <w:tcPr>
            <w:tcW w:w="760" w:type="dxa"/>
            <w:vAlign w:val="bottom"/>
            <w:tcBorders>
              <w:bottom w:val="single" w:sz="8" w:color="FCE9E8"/>
            </w:tcBorders>
            <w:shd w:val="clear" w:color="auto" w:fill="FCE9E8"/>
          </w:tcPr>
          <w:p>
            <w:pPr>
              <w:jc w:val="center"/>
              <w:spacing w:after="0" w:line="180"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0"/>
        </w:trPr>
        <w:tc>
          <w:tcPr>
            <w:tcW w:w="1660" w:type="dxa"/>
            <w:vAlign w:val="bottom"/>
            <w:tcBorders>
              <w:bottom w:val="single" w:sz="8" w:color="FCE9E8"/>
              <w:right w:val="single" w:sz="8" w:color="auto"/>
            </w:tcBorders>
            <w:shd w:val="clear" w:color="auto" w:fill="FCE9E8"/>
          </w:tcPr>
          <w:p>
            <w:pPr>
              <w:spacing w:after="0"/>
              <w:rPr>
                <w:sz w:val="15"/>
                <w:szCs w:val="15"/>
                <w:color w:val="auto"/>
              </w:rPr>
            </w:pPr>
          </w:p>
        </w:tc>
        <w:tc>
          <w:tcPr>
            <w:tcW w:w="80" w:type="dxa"/>
            <w:vAlign w:val="bottom"/>
            <w:tcBorders>
              <w:bottom w:val="single" w:sz="8" w:color="auto"/>
            </w:tcBorders>
            <w:shd w:val="clear" w:color="auto" w:fill="FCE9E8"/>
          </w:tcPr>
          <w:p>
            <w:pPr>
              <w:spacing w:after="0"/>
              <w:rPr>
                <w:sz w:val="15"/>
                <w:szCs w:val="15"/>
                <w:color w:val="auto"/>
              </w:rPr>
            </w:pPr>
          </w:p>
        </w:tc>
        <w:tc>
          <w:tcPr>
            <w:tcW w:w="3380" w:type="dxa"/>
            <w:vAlign w:val="bottom"/>
            <w:tcBorders>
              <w:bottom w:val="single" w:sz="8" w:color="auto"/>
              <w:right w:val="single" w:sz="8" w:color="auto"/>
            </w:tcBorders>
            <w:shd w:val="clear" w:color="auto" w:fill="FCE9E8"/>
          </w:tcPr>
          <w:p>
            <w:pPr>
              <w:spacing w:after="0"/>
              <w:rPr>
                <w:sz w:val="15"/>
                <w:szCs w:val="15"/>
                <w:color w:val="auto"/>
              </w:rPr>
            </w:pPr>
          </w:p>
        </w:tc>
        <w:tc>
          <w:tcPr>
            <w:tcW w:w="100" w:type="dxa"/>
            <w:vAlign w:val="bottom"/>
            <w:tcBorders>
              <w:bottom w:val="single" w:sz="8" w:color="auto"/>
            </w:tcBorders>
            <w:shd w:val="clear" w:color="auto" w:fill="FCE9E8"/>
          </w:tcPr>
          <w:p>
            <w:pPr>
              <w:spacing w:after="0"/>
              <w:rPr>
                <w:sz w:val="15"/>
                <w:szCs w:val="15"/>
                <w:color w:val="auto"/>
              </w:rPr>
            </w:pPr>
          </w:p>
        </w:tc>
        <w:tc>
          <w:tcPr>
            <w:tcW w:w="2080" w:type="dxa"/>
            <w:vAlign w:val="bottom"/>
            <w:tcBorders>
              <w:bottom w:val="single" w:sz="8" w:color="auto"/>
              <w:right w:val="single" w:sz="8" w:color="auto"/>
            </w:tcBorders>
            <w:shd w:val="clear" w:color="auto" w:fill="FCE9E8"/>
          </w:tcPr>
          <w:p>
            <w:pPr>
              <w:spacing w:after="0" w:line="180" w:lineRule="exact"/>
              <w:rPr>
                <w:sz w:val="20"/>
                <w:szCs w:val="20"/>
                <w:color w:val="auto"/>
              </w:rPr>
            </w:pPr>
            <w:r>
              <w:rPr>
                <w:rFonts w:ascii="Arial" w:cs="Arial" w:eastAsia="Arial" w:hAnsi="Arial"/>
                <w:sz w:val="16"/>
                <w:szCs w:val="16"/>
                <w:color w:val="auto"/>
              </w:rPr>
              <w:t>Pension Savings Plan</w:t>
            </w:r>
          </w:p>
        </w:tc>
        <w:tc>
          <w:tcPr>
            <w:tcW w:w="100" w:type="dxa"/>
            <w:vAlign w:val="bottom"/>
            <w:tcBorders>
              <w:bottom w:val="single" w:sz="8" w:color="auto"/>
            </w:tcBorders>
            <w:shd w:val="clear" w:color="auto" w:fill="FCE9E8"/>
          </w:tcPr>
          <w:p>
            <w:pPr>
              <w:spacing w:after="0"/>
              <w:rPr>
                <w:sz w:val="15"/>
                <w:szCs w:val="15"/>
                <w:color w:val="auto"/>
              </w:rPr>
            </w:pPr>
          </w:p>
        </w:tc>
        <w:tc>
          <w:tcPr>
            <w:tcW w:w="2620" w:type="dxa"/>
            <w:vAlign w:val="bottom"/>
            <w:tcBorders>
              <w:bottom w:val="single" w:sz="8" w:color="auto"/>
              <w:right w:val="single" w:sz="8" w:color="auto"/>
            </w:tcBorders>
            <w:shd w:val="clear" w:color="auto" w:fill="FCE9E8"/>
          </w:tcPr>
          <w:p>
            <w:pPr>
              <w:jc w:val="center"/>
              <w:spacing w:after="0" w:line="180" w:lineRule="exact"/>
              <w:rPr>
                <w:sz w:val="20"/>
                <w:szCs w:val="20"/>
                <w:color w:val="auto"/>
              </w:rPr>
            </w:pPr>
            <w:r>
              <w:rPr>
                <w:rFonts w:ascii="Arial" w:cs="Arial" w:eastAsia="Arial" w:hAnsi="Arial"/>
                <w:sz w:val="16"/>
                <w:szCs w:val="16"/>
                <w:color w:val="auto"/>
                <w:w w:val="98"/>
              </w:rPr>
              <w:t>Company contribution</w:t>
            </w:r>
          </w:p>
        </w:tc>
        <w:tc>
          <w:tcPr>
            <w:tcW w:w="100" w:type="dxa"/>
            <w:vAlign w:val="bottom"/>
            <w:tcBorders>
              <w:bottom w:val="single" w:sz="8" w:color="auto"/>
            </w:tcBorders>
            <w:shd w:val="clear" w:color="auto" w:fill="FCE9E8"/>
          </w:tcPr>
          <w:p>
            <w:pPr>
              <w:spacing w:after="0"/>
              <w:rPr>
                <w:sz w:val="15"/>
                <w:szCs w:val="15"/>
                <w:color w:val="auto"/>
              </w:rPr>
            </w:pPr>
          </w:p>
        </w:tc>
        <w:tc>
          <w:tcPr>
            <w:tcW w:w="760" w:type="dxa"/>
            <w:vAlign w:val="bottom"/>
            <w:tcBorders>
              <w:bottom w:val="single" w:sz="8" w:color="auto"/>
            </w:tcBorders>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60" w:type="dxa"/>
            <w:vAlign w:val="bottom"/>
            <w:tcBorders>
              <w:bottom w:val="single" w:sz="8" w:color="FCE9E8"/>
              <w:right w:val="single" w:sz="8" w:color="auto"/>
            </w:tcBorders>
            <w:shd w:val="clear" w:color="auto" w:fill="FCE9E8"/>
          </w:tcPr>
          <w:p>
            <w:pPr>
              <w:spacing w:after="0"/>
              <w:rPr>
                <w:sz w:val="15"/>
                <w:szCs w:val="15"/>
                <w:color w:val="auto"/>
              </w:rPr>
            </w:pPr>
          </w:p>
        </w:tc>
        <w:tc>
          <w:tcPr>
            <w:tcW w:w="80" w:type="dxa"/>
            <w:vAlign w:val="bottom"/>
            <w:tcBorders>
              <w:bottom w:val="single" w:sz="8" w:color="FCE9E8"/>
            </w:tcBorders>
            <w:shd w:val="clear" w:color="auto" w:fill="FCE9E8"/>
          </w:tcPr>
          <w:p>
            <w:pPr>
              <w:spacing w:after="0"/>
              <w:rPr>
                <w:sz w:val="15"/>
                <w:szCs w:val="15"/>
                <w:color w:val="auto"/>
              </w:rPr>
            </w:pPr>
          </w:p>
        </w:tc>
        <w:tc>
          <w:tcPr>
            <w:tcW w:w="3380" w:type="dxa"/>
            <w:vAlign w:val="bottom"/>
            <w:tcBorders>
              <w:bottom w:val="single" w:sz="8" w:color="FCE9E8"/>
              <w:right w:val="single" w:sz="8" w:color="auto"/>
            </w:tcBorders>
            <w:shd w:val="clear" w:color="auto" w:fill="FCE9E8"/>
          </w:tcPr>
          <w:p>
            <w:pPr>
              <w:spacing w:after="0" w:line="180" w:lineRule="exact"/>
              <w:rPr>
                <w:sz w:val="20"/>
                <w:szCs w:val="20"/>
                <w:color w:val="auto"/>
              </w:rPr>
            </w:pPr>
            <w:r>
              <w:rPr>
                <w:rFonts w:ascii="Arial" w:cs="Arial" w:eastAsia="Arial" w:hAnsi="Arial"/>
                <w:sz w:val="16"/>
                <w:szCs w:val="16"/>
                <w:color w:val="auto"/>
              </w:rPr>
              <w:t>Salaried Retirement Restoration Program</w:t>
            </w:r>
          </w:p>
        </w:tc>
        <w:tc>
          <w:tcPr>
            <w:tcW w:w="100" w:type="dxa"/>
            <w:vAlign w:val="bottom"/>
            <w:tcBorders>
              <w:bottom w:val="single" w:sz="8" w:color="auto"/>
            </w:tcBorders>
            <w:shd w:val="clear" w:color="auto" w:fill="FCE9E8"/>
          </w:tcPr>
          <w:p>
            <w:pPr>
              <w:spacing w:after="0"/>
              <w:rPr>
                <w:sz w:val="15"/>
                <w:szCs w:val="15"/>
                <w:color w:val="auto"/>
              </w:rPr>
            </w:pPr>
          </w:p>
        </w:tc>
        <w:tc>
          <w:tcPr>
            <w:tcW w:w="2080" w:type="dxa"/>
            <w:vAlign w:val="bottom"/>
            <w:tcBorders>
              <w:bottom w:val="single" w:sz="8" w:color="auto"/>
              <w:right w:val="single" w:sz="8" w:color="auto"/>
            </w:tcBorders>
            <w:shd w:val="clear" w:color="auto" w:fill="FCE9E8"/>
          </w:tcPr>
          <w:p>
            <w:pPr>
              <w:spacing w:after="0" w:line="180" w:lineRule="exact"/>
              <w:rPr>
                <w:sz w:val="20"/>
                <w:szCs w:val="20"/>
                <w:color w:val="auto"/>
              </w:rPr>
            </w:pPr>
            <w:r>
              <w:rPr>
                <w:rFonts w:ascii="Arial" w:cs="Arial" w:eastAsia="Arial" w:hAnsi="Arial"/>
                <w:sz w:val="16"/>
                <w:szCs w:val="16"/>
                <w:color w:val="auto"/>
              </w:rPr>
              <w:t>Deferral</w:t>
            </w:r>
          </w:p>
        </w:tc>
        <w:tc>
          <w:tcPr>
            <w:tcW w:w="100" w:type="dxa"/>
            <w:vAlign w:val="bottom"/>
            <w:tcBorders>
              <w:bottom w:val="single" w:sz="8" w:color="FCE9E8"/>
            </w:tcBorders>
            <w:shd w:val="clear" w:color="auto" w:fill="FCE9E8"/>
          </w:tcPr>
          <w:p>
            <w:pPr>
              <w:spacing w:after="0"/>
              <w:rPr>
                <w:sz w:val="15"/>
                <w:szCs w:val="15"/>
                <w:color w:val="auto"/>
              </w:rPr>
            </w:pPr>
          </w:p>
        </w:tc>
        <w:tc>
          <w:tcPr>
            <w:tcW w:w="2620" w:type="dxa"/>
            <w:vAlign w:val="bottom"/>
            <w:tcBorders>
              <w:bottom w:val="single" w:sz="8" w:color="FCE9E8"/>
              <w:right w:val="single" w:sz="8" w:color="auto"/>
            </w:tcBorders>
            <w:shd w:val="clear" w:color="auto" w:fill="FCE9E8"/>
          </w:tcPr>
          <w:p>
            <w:pPr>
              <w:jc w:val="center"/>
              <w:spacing w:after="0" w:line="180" w:lineRule="exact"/>
              <w:rPr>
                <w:sz w:val="20"/>
                <w:szCs w:val="20"/>
                <w:color w:val="auto"/>
              </w:rPr>
            </w:pPr>
            <w:r>
              <w:rPr>
                <w:rFonts w:ascii="Arial" w:cs="Arial" w:eastAsia="Arial" w:hAnsi="Arial"/>
                <w:sz w:val="16"/>
                <w:szCs w:val="16"/>
                <w:color w:val="auto"/>
                <w:w w:val="99"/>
              </w:rPr>
              <w:t>Excess programs for</w:t>
            </w:r>
          </w:p>
        </w:tc>
        <w:tc>
          <w:tcPr>
            <w:tcW w:w="100" w:type="dxa"/>
            <w:vAlign w:val="bottom"/>
            <w:tcBorders>
              <w:bottom w:val="single" w:sz="8" w:color="FCE9E8"/>
            </w:tcBorders>
            <w:shd w:val="clear" w:color="auto" w:fill="FCE9E8"/>
          </w:tcPr>
          <w:p>
            <w:pPr>
              <w:spacing w:after="0"/>
              <w:rPr>
                <w:sz w:val="15"/>
                <w:szCs w:val="15"/>
                <w:color w:val="auto"/>
              </w:rPr>
            </w:pPr>
          </w:p>
        </w:tc>
        <w:tc>
          <w:tcPr>
            <w:tcW w:w="760" w:type="dxa"/>
            <w:vAlign w:val="bottom"/>
            <w:tcBorders>
              <w:bottom w:val="single" w:sz="8" w:color="FCE9E8"/>
            </w:tcBorders>
            <w:vMerge w:val="restart"/>
            <w:shd w:val="clear" w:color="auto" w:fill="FCE9E8"/>
          </w:tcPr>
          <w:p>
            <w:pPr>
              <w:jc w:val="center"/>
              <w:spacing w:after="0"/>
              <w:rPr>
                <w:sz w:val="20"/>
                <w:szCs w:val="20"/>
                <w:color w:val="auto"/>
              </w:rPr>
            </w:pPr>
            <w:r>
              <w:rPr>
                <w:rFonts w:ascii="Arial" w:cs="Arial" w:eastAsia="Arial" w:hAnsi="Arial"/>
                <w:sz w:val="16"/>
                <w:szCs w:val="16"/>
                <w:color w:val="auto"/>
                <w:w w:val="99"/>
              </w:rPr>
              <w:t>51; 52 to</w:t>
            </w:r>
          </w:p>
        </w:tc>
        <w:tc>
          <w:tcPr>
            <w:tcW w:w="0" w:type="dxa"/>
            <w:vAlign w:val="bottom"/>
          </w:tcPr>
          <w:p>
            <w:pPr>
              <w:spacing w:after="0"/>
              <w:rPr>
                <w:sz w:val="1"/>
                <w:szCs w:val="1"/>
                <w:color w:val="auto"/>
              </w:rPr>
            </w:pPr>
          </w:p>
        </w:tc>
      </w:tr>
      <w:tr>
        <w:trPr>
          <w:trHeight w:val="88"/>
        </w:trPr>
        <w:tc>
          <w:tcPr>
            <w:tcW w:w="1660" w:type="dxa"/>
            <w:vAlign w:val="bottom"/>
            <w:tcBorders>
              <w:right w:val="single" w:sz="8" w:color="auto"/>
            </w:tcBorders>
            <w:shd w:val="clear" w:color="auto" w:fill="FCE9E8"/>
          </w:tcPr>
          <w:p>
            <w:pPr>
              <w:spacing w:after="0"/>
              <w:rPr>
                <w:sz w:val="7"/>
                <w:szCs w:val="7"/>
                <w:color w:val="auto"/>
              </w:rPr>
            </w:pPr>
          </w:p>
        </w:tc>
        <w:tc>
          <w:tcPr>
            <w:tcW w:w="80" w:type="dxa"/>
            <w:vAlign w:val="bottom"/>
            <w:shd w:val="clear" w:color="auto" w:fill="FCE9E8"/>
          </w:tcPr>
          <w:p>
            <w:pPr>
              <w:spacing w:after="0"/>
              <w:rPr>
                <w:sz w:val="7"/>
                <w:szCs w:val="7"/>
                <w:color w:val="auto"/>
              </w:rPr>
            </w:pPr>
          </w:p>
        </w:tc>
        <w:tc>
          <w:tcPr>
            <w:tcW w:w="3380" w:type="dxa"/>
            <w:vAlign w:val="bottom"/>
            <w:tcBorders>
              <w:right w:val="single" w:sz="8" w:color="auto"/>
            </w:tcBorders>
            <w:vMerge w:val="restart"/>
            <w:shd w:val="clear" w:color="auto" w:fill="FCE9E8"/>
          </w:tcPr>
          <w:p>
            <w:pPr>
              <w:spacing w:after="0" w:line="168" w:lineRule="exact"/>
              <w:rPr>
                <w:sz w:val="20"/>
                <w:szCs w:val="20"/>
                <w:color w:val="auto"/>
              </w:rPr>
            </w:pPr>
            <w:r>
              <w:rPr>
                <w:rFonts w:ascii="Arial" w:cs="Arial" w:eastAsia="Arial" w:hAnsi="Arial"/>
                <w:sz w:val="16"/>
                <w:szCs w:val="16"/>
                <w:color w:val="auto"/>
              </w:rPr>
              <w:t>(Non-Qualified)</w:t>
            </w:r>
          </w:p>
        </w:tc>
        <w:tc>
          <w:tcPr>
            <w:tcW w:w="100" w:type="dxa"/>
            <w:vAlign w:val="bottom"/>
            <w:shd w:val="clear" w:color="auto" w:fill="FCE9E8"/>
          </w:tcPr>
          <w:p>
            <w:pPr>
              <w:spacing w:after="0"/>
              <w:rPr>
                <w:sz w:val="7"/>
                <w:szCs w:val="7"/>
                <w:color w:val="auto"/>
              </w:rPr>
            </w:pPr>
          </w:p>
        </w:tc>
        <w:tc>
          <w:tcPr>
            <w:tcW w:w="2080" w:type="dxa"/>
            <w:vAlign w:val="bottom"/>
            <w:tcBorders>
              <w:right w:val="single" w:sz="8" w:color="auto"/>
            </w:tcBorders>
            <w:vMerge w:val="restart"/>
            <w:shd w:val="clear" w:color="auto" w:fill="FCE9E8"/>
          </w:tcPr>
          <w:p>
            <w:pPr>
              <w:spacing w:after="0" w:line="168" w:lineRule="exact"/>
              <w:rPr>
                <w:sz w:val="20"/>
                <w:szCs w:val="20"/>
                <w:color w:val="auto"/>
              </w:rPr>
            </w:pPr>
            <w:r>
              <w:rPr>
                <w:rFonts w:ascii="Arial" w:cs="Arial" w:eastAsia="Arial" w:hAnsi="Arial"/>
                <w:sz w:val="16"/>
                <w:szCs w:val="16"/>
                <w:color w:val="auto"/>
              </w:rPr>
              <w:t>Company Match</w:t>
            </w:r>
          </w:p>
        </w:tc>
        <w:tc>
          <w:tcPr>
            <w:tcW w:w="100" w:type="dxa"/>
            <w:vAlign w:val="bottom"/>
            <w:shd w:val="clear" w:color="auto" w:fill="FCE9E8"/>
          </w:tcPr>
          <w:p>
            <w:pPr>
              <w:spacing w:after="0"/>
              <w:rPr>
                <w:sz w:val="7"/>
                <w:szCs w:val="7"/>
                <w:color w:val="auto"/>
              </w:rPr>
            </w:pPr>
          </w:p>
        </w:tc>
        <w:tc>
          <w:tcPr>
            <w:tcW w:w="2620" w:type="dxa"/>
            <w:vAlign w:val="bottom"/>
            <w:tcBorders>
              <w:right w:val="single" w:sz="8" w:color="auto"/>
            </w:tcBorders>
            <w:vMerge w:val="restart"/>
            <w:shd w:val="clear" w:color="auto" w:fill="FCE9E8"/>
          </w:tcPr>
          <w:p>
            <w:pPr>
              <w:jc w:val="center"/>
              <w:spacing w:after="0" w:line="168" w:lineRule="exact"/>
              <w:rPr>
                <w:sz w:val="20"/>
                <w:szCs w:val="20"/>
                <w:color w:val="auto"/>
              </w:rPr>
            </w:pPr>
            <w:r>
              <w:rPr>
                <w:rFonts w:ascii="Arial" w:cs="Arial" w:eastAsia="Arial" w:hAnsi="Arial"/>
                <w:sz w:val="16"/>
                <w:szCs w:val="16"/>
                <w:color w:val="auto"/>
              </w:rPr>
              <w:t>amounts above</w:t>
            </w:r>
          </w:p>
        </w:tc>
        <w:tc>
          <w:tcPr>
            <w:tcW w:w="100" w:type="dxa"/>
            <w:vAlign w:val="bottom"/>
            <w:shd w:val="clear" w:color="auto" w:fill="FCE9E8"/>
          </w:tcPr>
          <w:p>
            <w:pPr>
              <w:spacing w:after="0"/>
              <w:rPr>
                <w:sz w:val="7"/>
                <w:szCs w:val="7"/>
                <w:color w:val="auto"/>
              </w:rPr>
            </w:pPr>
          </w:p>
        </w:tc>
        <w:tc>
          <w:tcPr>
            <w:tcW w:w="760" w:type="dxa"/>
            <w:vAlign w:val="bottom"/>
            <w:vMerge w:val="continue"/>
            <w:shd w:val="clear" w:color="auto" w:fill="FCE9E8"/>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660" w:type="dxa"/>
            <w:vAlign w:val="bottom"/>
            <w:tcBorders>
              <w:bottom w:val="single" w:sz="8" w:color="FCE9E8"/>
              <w:right w:val="single" w:sz="8" w:color="auto"/>
            </w:tcBorders>
            <w:shd w:val="clear" w:color="auto" w:fill="FCE9E8"/>
          </w:tcPr>
          <w:p>
            <w:pPr>
              <w:spacing w:after="0"/>
              <w:rPr>
                <w:sz w:val="7"/>
                <w:szCs w:val="7"/>
                <w:color w:val="auto"/>
              </w:rPr>
            </w:pPr>
          </w:p>
        </w:tc>
        <w:tc>
          <w:tcPr>
            <w:tcW w:w="80" w:type="dxa"/>
            <w:vAlign w:val="bottom"/>
            <w:tcBorders>
              <w:bottom w:val="single" w:sz="8" w:color="FCE9E8"/>
            </w:tcBorders>
            <w:shd w:val="clear" w:color="auto" w:fill="FCE9E8"/>
          </w:tcPr>
          <w:p>
            <w:pPr>
              <w:spacing w:after="0"/>
              <w:rPr>
                <w:sz w:val="7"/>
                <w:szCs w:val="7"/>
                <w:color w:val="auto"/>
              </w:rPr>
            </w:pPr>
          </w:p>
        </w:tc>
        <w:tc>
          <w:tcPr>
            <w:tcW w:w="3380" w:type="dxa"/>
            <w:vAlign w:val="bottom"/>
            <w:tcBorders>
              <w:bottom w:val="single" w:sz="8" w:color="FCE9E8"/>
              <w:right w:val="single" w:sz="8" w:color="auto"/>
            </w:tcBorders>
            <w:vMerge w:val="continue"/>
            <w:shd w:val="clear" w:color="auto" w:fill="FCE9E8"/>
          </w:tcPr>
          <w:p>
            <w:pPr>
              <w:spacing w:after="0"/>
              <w:rPr>
                <w:sz w:val="7"/>
                <w:szCs w:val="7"/>
                <w:color w:val="auto"/>
              </w:rPr>
            </w:pPr>
          </w:p>
        </w:tc>
        <w:tc>
          <w:tcPr>
            <w:tcW w:w="100" w:type="dxa"/>
            <w:vAlign w:val="bottom"/>
            <w:tcBorders>
              <w:bottom w:val="single" w:sz="8" w:color="auto"/>
            </w:tcBorders>
            <w:shd w:val="clear" w:color="auto" w:fill="FCE9E8"/>
          </w:tcPr>
          <w:p>
            <w:pPr>
              <w:spacing w:after="0"/>
              <w:rPr>
                <w:sz w:val="7"/>
                <w:szCs w:val="7"/>
                <w:color w:val="auto"/>
              </w:rPr>
            </w:pPr>
          </w:p>
        </w:tc>
        <w:tc>
          <w:tcPr>
            <w:tcW w:w="2080" w:type="dxa"/>
            <w:vAlign w:val="bottom"/>
            <w:tcBorders>
              <w:bottom w:val="single" w:sz="8" w:color="auto"/>
              <w:right w:val="single" w:sz="8" w:color="auto"/>
            </w:tcBorders>
            <w:vMerge w:val="continue"/>
            <w:shd w:val="clear" w:color="auto" w:fill="FCE9E8"/>
          </w:tcPr>
          <w:p>
            <w:pPr>
              <w:spacing w:after="0"/>
              <w:rPr>
                <w:sz w:val="7"/>
                <w:szCs w:val="7"/>
                <w:color w:val="auto"/>
              </w:rPr>
            </w:pPr>
          </w:p>
        </w:tc>
        <w:tc>
          <w:tcPr>
            <w:tcW w:w="100" w:type="dxa"/>
            <w:vAlign w:val="bottom"/>
            <w:tcBorders>
              <w:bottom w:val="single" w:sz="8" w:color="FCE9E8"/>
            </w:tcBorders>
            <w:shd w:val="clear" w:color="auto" w:fill="FCE9E8"/>
          </w:tcPr>
          <w:p>
            <w:pPr>
              <w:spacing w:after="0"/>
              <w:rPr>
                <w:sz w:val="7"/>
                <w:szCs w:val="7"/>
                <w:color w:val="auto"/>
              </w:rPr>
            </w:pPr>
          </w:p>
        </w:tc>
        <w:tc>
          <w:tcPr>
            <w:tcW w:w="2620" w:type="dxa"/>
            <w:vAlign w:val="bottom"/>
            <w:tcBorders>
              <w:bottom w:val="single" w:sz="8" w:color="FCE9E8"/>
              <w:right w:val="single" w:sz="8" w:color="auto"/>
            </w:tcBorders>
            <w:vMerge w:val="continue"/>
            <w:shd w:val="clear" w:color="auto" w:fill="FCE9E8"/>
          </w:tcPr>
          <w:p>
            <w:pPr>
              <w:spacing w:after="0"/>
              <w:rPr>
                <w:sz w:val="7"/>
                <w:szCs w:val="7"/>
                <w:color w:val="auto"/>
              </w:rPr>
            </w:pPr>
          </w:p>
        </w:tc>
        <w:tc>
          <w:tcPr>
            <w:tcW w:w="100" w:type="dxa"/>
            <w:vAlign w:val="bottom"/>
            <w:tcBorders>
              <w:bottom w:val="single" w:sz="8" w:color="FCE9E8"/>
            </w:tcBorders>
            <w:shd w:val="clear" w:color="auto" w:fill="FCE9E8"/>
          </w:tcPr>
          <w:p>
            <w:pPr>
              <w:spacing w:after="0"/>
              <w:rPr>
                <w:sz w:val="7"/>
                <w:szCs w:val="7"/>
                <w:color w:val="auto"/>
              </w:rPr>
            </w:pPr>
          </w:p>
        </w:tc>
        <w:tc>
          <w:tcPr>
            <w:tcW w:w="760" w:type="dxa"/>
            <w:vAlign w:val="bottom"/>
            <w:tcBorders>
              <w:bottom w:val="single" w:sz="8" w:color="FCE9E8"/>
            </w:tcBorders>
            <w:vMerge w:val="restart"/>
            <w:shd w:val="clear" w:color="auto" w:fill="FCE9E8"/>
          </w:tcPr>
          <w:p>
            <w:pPr>
              <w:jc w:val="center"/>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88"/>
        </w:trPr>
        <w:tc>
          <w:tcPr>
            <w:tcW w:w="1660" w:type="dxa"/>
            <w:vAlign w:val="bottom"/>
            <w:tcBorders>
              <w:right w:val="single" w:sz="8" w:color="auto"/>
            </w:tcBorders>
            <w:shd w:val="clear" w:color="auto" w:fill="FCE9E8"/>
          </w:tcPr>
          <w:p>
            <w:pPr>
              <w:spacing w:after="0"/>
              <w:rPr>
                <w:sz w:val="7"/>
                <w:szCs w:val="7"/>
                <w:color w:val="auto"/>
              </w:rPr>
            </w:pPr>
          </w:p>
        </w:tc>
        <w:tc>
          <w:tcPr>
            <w:tcW w:w="80" w:type="dxa"/>
            <w:vAlign w:val="bottom"/>
            <w:shd w:val="clear" w:color="auto" w:fill="FCE9E8"/>
          </w:tcPr>
          <w:p>
            <w:pPr>
              <w:spacing w:after="0"/>
              <w:rPr>
                <w:sz w:val="7"/>
                <w:szCs w:val="7"/>
                <w:color w:val="auto"/>
              </w:rPr>
            </w:pPr>
          </w:p>
        </w:tc>
        <w:tc>
          <w:tcPr>
            <w:tcW w:w="3380" w:type="dxa"/>
            <w:vAlign w:val="bottom"/>
            <w:tcBorders>
              <w:right w:val="single" w:sz="8" w:color="auto"/>
            </w:tcBorders>
            <w:shd w:val="clear" w:color="auto" w:fill="FCE9E8"/>
          </w:tcPr>
          <w:p>
            <w:pPr>
              <w:spacing w:after="0"/>
              <w:rPr>
                <w:sz w:val="7"/>
                <w:szCs w:val="7"/>
                <w:color w:val="auto"/>
              </w:rPr>
            </w:pPr>
          </w:p>
        </w:tc>
        <w:tc>
          <w:tcPr>
            <w:tcW w:w="100" w:type="dxa"/>
            <w:vAlign w:val="bottom"/>
            <w:shd w:val="clear" w:color="auto" w:fill="FCE9E8"/>
          </w:tcPr>
          <w:p>
            <w:pPr>
              <w:spacing w:after="0"/>
              <w:rPr>
                <w:sz w:val="7"/>
                <w:szCs w:val="7"/>
                <w:color w:val="auto"/>
              </w:rPr>
            </w:pPr>
          </w:p>
        </w:tc>
        <w:tc>
          <w:tcPr>
            <w:tcW w:w="2080" w:type="dxa"/>
            <w:vAlign w:val="bottom"/>
            <w:tcBorders>
              <w:right w:val="single" w:sz="8" w:color="auto"/>
            </w:tcBorders>
            <w:vMerge w:val="restart"/>
            <w:shd w:val="clear" w:color="auto" w:fill="FCE9E8"/>
          </w:tcPr>
          <w:p>
            <w:pPr>
              <w:spacing w:after="0"/>
              <w:rPr>
                <w:sz w:val="20"/>
                <w:szCs w:val="20"/>
                <w:color w:val="auto"/>
              </w:rPr>
            </w:pPr>
            <w:r>
              <w:rPr>
                <w:rFonts w:ascii="Arial" w:cs="Arial" w:eastAsia="Arial" w:hAnsi="Arial"/>
                <w:sz w:val="16"/>
                <w:szCs w:val="16"/>
                <w:color w:val="auto"/>
              </w:rPr>
              <w:t>Pension Savings Plan</w:t>
            </w:r>
          </w:p>
        </w:tc>
        <w:tc>
          <w:tcPr>
            <w:tcW w:w="100" w:type="dxa"/>
            <w:vAlign w:val="bottom"/>
            <w:shd w:val="clear" w:color="auto" w:fill="FCE9E8"/>
          </w:tcPr>
          <w:p>
            <w:pPr>
              <w:spacing w:after="0"/>
              <w:rPr>
                <w:sz w:val="7"/>
                <w:szCs w:val="7"/>
                <w:color w:val="auto"/>
              </w:rPr>
            </w:pPr>
          </w:p>
        </w:tc>
        <w:tc>
          <w:tcPr>
            <w:tcW w:w="2620" w:type="dxa"/>
            <w:vAlign w:val="bottom"/>
            <w:tcBorders>
              <w:right w:val="single" w:sz="8" w:color="auto"/>
            </w:tcBorders>
            <w:vMerge w:val="restart"/>
            <w:shd w:val="clear" w:color="auto" w:fill="FCE9E8"/>
          </w:tcPr>
          <w:p>
            <w:pPr>
              <w:jc w:val="center"/>
              <w:spacing w:after="0" w:line="168" w:lineRule="exact"/>
              <w:rPr>
                <w:sz w:val="20"/>
                <w:szCs w:val="20"/>
                <w:color w:val="auto"/>
              </w:rPr>
            </w:pPr>
            <w:r>
              <w:rPr>
                <w:rFonts w:ascii="Arial" w:cs="Arial" w:eastAsia="Arial" w:hAnsi="Arial"/>
                <w:sz w:val="16"/>
                <w:szCs w:val="16"/>
                <w:color w:val="auto"/>
                <w:w w:val="99"/>
              </w:rPr>
              <w:t>qualified plan limits</w:t>
            </w:r>
          </w:p>
        </w:tc>
        <w:tc>
          <w:tcPr>
            <w:tcW w:w="100" w:type="dxa"/>
            <w:vAlign w:val="bottom"/>
            <w:shd w:val="clear" w:color="auto" w:fill="FCE9E8"/>
          </w:tcPr>
          <w:p>
            <w:pPr>
              <w:spacing w:after="0"/>
              <w:rPr>
                <w:sz w:val="7"/>
                <w:szCs w:val="7"/>
                <w:color w:val="auto"/>
              </w:rPr>
            </w:pPr>
          </w:p>
        </w:tc>
        <w:tc>
          <w:tcPr>
            <w:tcW w:w="760" w:type="dxa"/>
            <w:vAlign w:val="bottom"/>
            <w:vMerge w:val="continue"/>
            <w:shd w:val="clear" w:color="auto" w:fill="FCE9E8"/>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660" w:type="dxa"/>
            <w:vAlign w:val="bottom"/>
            <w:tcBorders>
              <w:bottom w:val="single" w:sz="8" w:color="auto"/>
              <w:right w:val="single" w:sz="8" w:color="auto"/>
            </w:tcBorders>
            <w:shd w:val="clear" w:color="auto" w:fill="FCE9E8"/>
          </w:tcPr>
          <w:p>
            <w:pPr>
              <w:spacing w:after="0"/>
              <w:rPr>
                <w:sz w:val="8"/>
                <w:szCs w:val="8"/>
                <w:color w:val="auto"/>
              </w:rPr>
            </w:pPr>
          </w:p>
        </w:tc>
        <w:tc>
          <w:tcPr>
            <w:tcW w:w="80" w:type="dxa"/>
            <w:vAlign w:val="bottom"/>
            <w:tcBorders>
              <w:bottom w:val="single" w:sz="8" w:color="auto"/>
            </w:tcBorders>
            <w:shd w:val="clear" w:color="auto" w:fill="FCE9E8"/>
          </w:tcPr>
          <w:p>
            <w:pPr>
              <w:spacing w:after="0"/>
              <w:rPr>
                <w:sz w:val="8"/>
                <w:szCs w:val="8"/>
                <w:color w:val="auto"/>
              </w:rPr>
            </w:pPr>
          </w:p>
        </w:tc>
        <w:tc>
          <w:tcPr>
            <w:tcW w:w="3380" w:type="dxa"/>
            <w:vAlign w:val="bottom"/>
            <w:tcBorders>
              <w:bottom w:val="single" w:sz="8" w:color="auto"/>
              <w:right w:val="single" w:sz="8" w:color="auto"/>
            </w:tcBorders>
            <w:shd w:val="clear" w:color="auto" w:fill="FCE9E8"/>
          </w:tcPr>
          <w:p>
            <w:pPr>
              <w:spacing w:after="0"/>
              <w:rPr>
                <w:sz w:val="8"/>
                <w:szCs w:val="8"/>
                <w:color w:val="auto"/>
              </w:rPr>
            </w:pPr>
          </w:p>
        </w:tc>
        <w:tc>
          <w:tcPr>
            <w:tcW w:w="100" w:type="dxa"/>
            <w:vAlign w:val="bottom"/>
            <w:tcBorders>
              <w:bottom w:val="single" w:sz="8" w:color="auto"/>
            </w:tcBorders>
            <w:shd w:val="clear" w:color="auto" w:fill="FCE9E8"/>
          </w:tcPr>
          <w:p>
            <w:pPr>
              <w:spacing w:after="0"/>
              <w:rPr>
                <w:sz w:val="8"/>
                <w:szCs w:val="8"/>
                <w:color w:val="auto"/>
              </w:rPr>
            </w:pPr>
          </w:p>
        </w:tc>
        <w:tc>
          <w:tcPr>
            <w:tcW w:w="2080" w:type="dxa"/>
            <w:vAlign w:val="bottom"/>
            <w:tcBorders>
              <w:bottom w:val="single" w:sz="8" w:color="auto"/>
              <w:right w:val="single" w:sz="8" w:color="auto"/>
            </w:tcBorders>
            <w:vMerge w:val="continue"/>
            <w:shd w:val="clear" w:color="auto" w:fill="FCE9E8"/>
          </w:tcPr>
          <w:p>
            <w:pPr>
              <w:spacing w:after="0"/>
              <w:rPr>
                <w:sz w:val="8"/>
                <w:szCs w:val="8"/>
                <w:color w:val="auto"/>
              </w:rPr>
            </w:pPr>
          </w:p>
        </w:tc>
        <w:tc>
          <w:tcPr>
            <w:tcW w:w="100" w:type="dxa"/>
            <w:vAlign w:val="bottom"/>
            <w:tcBorders>
              <w:bottom w:val="single" w:sz="8" w:color="auto"/>
            </w:tcBorders>
            <w:shd w:val="clear" w:color="auto" w:fill="FCE9E8"/>
          </w:tcPr>
          <w:p>
            <w:pPr>
              <w:spacing w:after="0"/>
              <w:rPr>
                <w:sz w:val="8"/>
                <w:szCs w:val="8"/>
                <w:color w:val="auto"/>
              </w:rPr>
            </w:pPr>
          </w:p>
        </w:tc>
        <w:tc>
          <w:tcPr>
            <w:tcW w:w="2620" w:type="dxa"/>
            <w:vAlign w:val="bottom"/>
            <w:tcBorders>
              <w:bottom w:val="single" w:sz="8" w:color="auto"/>
              <w:right w:val="single" w:sz="8" w:color="auto"/>
            </w:tcBorders>
            <w:vMerge w:val="continue"/>
            <w:shd w:val="clear" w:color="auto" w:fill="FCE9E8"/>
          </w:tcPr>
          <w:p>
            <w:pPr>
              <w:spacing w:after="0"/>
              <w:rPr>
                <w:sz w:val="8"/>
                <w:szCs w:val="8"/>
                <w:color w:val="auto"/>
              </w:rPr>
            </w:pPr>
          </w:p>
        </w:tc>
        <w:tc>
          <w:tcPr>
            <w:tcW w:w="100" w:type="dxa"/>
            <w:vAlign w:val="bottom"/>
            <w:tcBorders>
              <w:bottom w:val="single" w:sz="8" w:color="auto"/>
            </w:tcBorders>
            <w:shd w:val="clear" w:color="auto" w:fill="FCE9E8"/>
          </w:tcPr>
          <w:p>
            <w:pPr>
              <w:spacing w:after="0"/>
              <w:rPr>
                <w:sz w:val="8"/>
                <w:szCs w:val="8"/>
                <w:color w:val="auto"/>
              </w:rPr>
            </w:pPr>
          </w:p>
        </w:tc>
        <w:tc>
          <w:tcPr>
            <w:tcW w:w="760" w:type="dxa"/>
            <w:vAlign w:val="bottom"/>
            <w:tcBorders>
              <w:bottom w:val="single" w:sz="8" w:color="auto"/>
            </w:tcBorders>
            <w:shd w:val="clear" w:color="auto" w:fill="FCE9E8"/>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660" w:type="dxa"/>
            <w:vAlign w:val="bottom"/>
            <w:tcBorders>
              <w:right w:val="single" w:sz="8" w:color="auto"/>
            </w:tcBorders>
          </w:tcPr>
          <w:p>
            <w:pPr>
              <w:ind w:left="240"/>
              <w:spacing w:after="0" w:line="164" w:lineRule="exact"/>
              <w:rPr>
                <w:sz w:val="20"/>
                <w:szCs w:val="20"/>
                <w:color w:val="auto"/>
              </w:rPr>
            </w:pPr>
            <w:r>
              <w:rPr>
                <w:rFonts w:ascii="Arial" w:cs="Arial" w:eastAsia="Arial" w:hAnsi="Arial"/>
                <w:sz w:val="16"/>
                <w:szCs w:val="16"/>
                <w:b w:val="1"/>
                <w:bCs w:val="1"/>
                <w:color w:val="auto"/>
              </w:rPr>
              <w:t>Defined Benefit</w:t>
            </w:r>
          </w:p>
        </w:tc>
        <w:tc>
          <w:tcPr>
            <w:tcW w:w="3460" w:type="dxa"/>
            <w:vAlign w:val="bottom"/>
            <w:tcBorders>
              <w:right w:val="single" w:sz="8" w:color="auto"/>
            </w:tcBorders>
            <w:gridSpan w:val="2"/>
          </w:tcPr>
          <w:p>
            <w:pPr>
              <w:ind w:left="80"/>
              <w:spacing w:after="0" w:line="164" w:lineRule="exact"/>
              <w:rPr>
                <w:sz w:val="20"/>
                <w:szCs w:val="20"/>
                <w:color w:val="auto"/>
              </w:rPr>
            </w:pPr>
            <w:r>
              <w:rPr>
                <w:rFonts w:ascii="Arial" w:cs="Arial" w:eastAsia="Arial" w:hAnsi="Arial"/>
                <w:sz w:val="16"/>
                <w:szCs w:val="16"/>
                <w:color w:val="auto"/>
              </w:rPr>
              <w:t>Lear Corporation Pension Plan</w:t>
            </w:r>
          </w:p>
        </w:tc>
        <w:tc>
          <w:tcPr>
            <w:tcW w:w="2180" w:type="dxa"/>
            <w:vAlign w:val="bottom"/>
            <w:tcBorders>
              <w:right w:val="single" w:sz="8" w:color="auto"/>
            </w:tcBorders>
            <w:gridSpan w:val="2"/>
          </w:tcPr>
          <w:p>
            <w:pPr>
              <w:ind w:left="80"/>
              <w:spacing w:after="0" w:line="164" w:lineRule="exact"/>
              <w:rPr>
                <w:sz w:val="20"/>
                <w:szCs w:val="20"/>
                <w:color w:val="auto"/>
              </w:rPr>
            </w:pPr>
            <w:r>
              <w:rPr>
                <w:rFonts w:ascii="Arial" w:cs="Arial" w:eastAsia="Arial" w:hAnsi="Arial"/>
                <w:sz w:val="16"/>
                <w:szCs w:val="16"/>
                <w:color w:val="auto"/>
              </w:rPr>
              <w:t>Qualified Pension Plan</w:t>
            </w:r>
          </w:p>
        </w:tc>
        <w:tc>
          <w:tcPr>
            <w:tcW w:w="100" w:type="dxa"/>
            <w:vAlign w:val="bottom"/>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rPr>
              <w:t>51 to 52</w:t>
            </w:r>
          </w:p>
        </w:tc>
        <w:tc>
          <w:tcPr>
            <w:tcW w:w="0" w:type="dxa"/>
            <w:vAlign w:val="bottom"/>
          </w:tcPr>
          <w:p>
            <w:pPr>
              <w:spacing w:after="0"/>
              <w:rPr>
                <w:sz w:val="1"/>
                <w:szCs w:val="1"/>
                <w:color w:val="auto"/>
              </w:rPr>
            </w:pPr>
          </w:p>
        </w:tc>
      </w:tr>
      <w:tr>
        <w:trPr>
          <w:trHeight w:val="104"/>
        </w:trPr>
        <w:tc>
          <w:tcPr>
            <w:tcW w:w="16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b w:val="1"/>
                <w:bCs w:val="1"/>
                <w:i w:val="1"/>
                <w:iCs w:val="1"/>
                <w:color w:val="auto"/>
              </w:rPr>
              <w:t>(frozen as</w:t>
            </w:r>
          </w:p>
        </w:tc>
        <w:tc>
          <w:tcPr>
            <w:tcW w:w="80" w:type="dxa"/>
            <w:vAlign w:val="bottom"/>
          </w:tcPr>
          <w:p>
            <w:pPr>
              <w:spacing w:after="0"/>
              <w:rPr>
                <w:sz w:val="9"/>
                <w:szCs w:val="9"/>
                <w:color w:val="auto"/>
              </w:rPr>
            </w:pPr>
          </w:p>
        </w:tc>
        <w:tc>
          <w:tcPr>
            <w:tcW w:w="3380" w:type="dxa"/>
            <w:vAlign w:val="bottom"/>
            <w:tcBorders>
              <w:right w:val="single" w:sz="8" w:color="auto"/>
            </w:tcBorders>
          </w:tcPr>
          <w:p>
            <w:pPr>
              <w:spacing w:after="0"/>
              <w:rPr>
                <w:sz w:val="9"/>
                <w:szCs w:val="9"/>
                <w:color w:val="auto"/>
              </w:rPr>
            </w:pPr>
          </w:p>
        </w:tc>
        <w:tc>
          <w:tcPr>
            <w:tcW w:w="2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i w:val="1"/>
                <w:iCs w:val="1"/>
                <w:color w:val="auto"/>
              </w:rPr>
              <w:t>(frozen)</w:t>
            </w:r>
          </w:p>
        </w:tc>
        <w:tc>
          <w:tcPr>
            <w:tcW w:w="100" w:type="dxa"/>
            <w:vAlign w:val="bottom"/>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660" w:type="dxa"/>
            <w:vAlign w:val="bottom"/>
            <w:tcBorders>
              <w:right w:val="single" w:sz="8" w:color="auto"/>
            </w:tcBorders>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380" w:type="dxa"/>
            <w:vAlign w:val="bottom"/>
            <w:tcBorders>
              <w:bottom w:val="single" w:sz="8" w:color="auto"/>
              <w:right w:val="single" w:sz="8" w:color="auto"/>
            </w:tcBorders>
          </w:tcPr>
          <w:p>
            <w:pPr>
              <w:spacing w:after="0"/>
              <w:rPr>
                <w:sz w:val="8"/>
                <w:szCs w:val="8"/>
                <w:color w:val="auto"/>
              </w:rPr>
            </w:pPr>
          </w:p>
        </w:tc>
        <w:tc>
          <w:tcPr>
            <w:tcW w:w="2180" w:type="dxa"/>
            <w:vAlign w:val="bottom"/>
            <w:tcBorders>
              <w:bottom w:val="single" w:sz="8" w:color="auto"/>
              <w:right w:val="single" w:sz="8" w:color="auto"/>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620" w:type="dxa"/>
            <w:vAlign w:val="bottom"/>
            <w:tcBorders>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660" w:type="dxa"/>
            <w:vAlign w:val="bottom"/>
            <w:tcBorders>
              <w:right w:val="single" w:sz="8" w:color="auto"/>
            </w:tcBorders>
          </w:tcPr>
          <w:p>
            <w:pPr>
              <w:ind w:left="240"/>
              <w:spacing w:after="0"/>
              <w:rPr>
                <w:sz w:val="20"/>
                <w:szCs w:val="20"/>
                <w:color w:val="auto"/>
              </w:rPr>
            </w:pPr>
            <w:r>
              <w:rPr>
                <w:rFonts w:ascii="Arial" w:cs="Arial" w:eastAsia="Arial" w:hAnsi="Arial"/>
                <w:sz w:val="16"/>
                <w:szCs w:val="16"/>
                <w:b w:val="1"/>
                <w:bCs w:val="1"/>
                <w:i w:val="1"/>
                <w:iCs w:val="1"/>
                <w:color w:val="auto"/>
              </w:rPr>
              <w:t>of 12/31/06)</w:t>
            </w:r>
          </w:p>
        </w:tc>
        <w:tc>
          <w:tcPr>
            <w:tcW w:w="34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6"/>
                <w:szCs w:val="16"/>
                <w:color w:val="auto"/>
              </w:rPr>
              <w:t>Pension Equalization Program</w:t>
            </w:r>
          </w:p>
        </w:tc>
        <w:tc>
          <w:tcPr>
            <w:tcW w:w="2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6"/>
                <w:szCs w:val="16"/>
                <w:color w:val="auto"/>
              </w:rPr>
              <w:t>Part of SERP (</w:t>
            </w:r>
            <w:r>
              <w:rPr>
                <w:rFonts w:ascii="Arial" w:cs="Arial" w:eastAsia="Arial" w:hAnsi="Arial"/>
                <w:sz w:val="16"/>
                <w:szCs w:val="16"/>
                <w:b w:val="1"/>
                <w:bCs w:val="1"/>
                <w:i w:val="1"/>
                <w:iCs w:val="1"/>
                <w:color w:val="auto"/>
              </w:rPr>
              <w:t>frozen</w:t>
            </w: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n/a</w:t>
            </w: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2"/>
        </w:trPr>
        <w:tc>
          <w:tcPr>
            <w:tcW w:w="166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gridSpan w:val="2"/>
          </w:tcPr>
          <w:p>
            <w:pPr>
              <w:ind w:left="80"/>
              <w:spacing w:after="0" w:line="181" w:lineRule="exact"/>
              <w:rPr>
                <w:sz w:val="20"/>
                <w:szCs w:val="20"/>
                <w:color w:val="auto"/>
              </w:rPr>
            </w:pPr>
            <w:r>
              <w:rPr>
                <w:rFonts w:ascii="Arial" w:cs="Arial" w:eastAsia="Arial" w:hAnsi="Arial"/>
                <w:sz w:val="16"/>
                <w:szCs w:val="16"/>
                <w:color w:val="auto"/>
              </w:rPr>
              <w:t>Salaried Retirement Restoration</w:t>
            </w:r>
          </w:p>
        </w:tc>
        <w:tc>
          <w:tcPr>
            <w:tcW w:w="2180" w:type="dxa"/>
            <w:vAlign w:val="bottom"/>
            <w:tcBorders>
              <w:right w:val="single" w:sz="8" w:color="auto"/>
            </w:tcBorders>
            <w:gridSpan w:val="2"/>
          </w:tcPr>
          <w:p>
            <w:pPr>
              <w:ind w:left="80"/>
              <w:spacing w:after="0" w:line="181" w:lineRule="exact"/>
              <w:rPr>
                <w:sz w:val="20"/>
                <w:szCs w:val="20"/>
                <w:color w:val="auto"/>
              </w:rPr>
            </w:pPr>
            <w:r>
              <w:rPr>
                <w:rFonts w:ascii="Arial" w:cs="Arial" w:eastAsia="Arial" w:hAnsi="Arial"/>
                <w:sz w:val="16"/>
                <w:szCs w:val="16"/>
                <w:color w:val="auto"/>
              </w:rPr>
              <w:t>Part of SERP (</w:t>
            </w:r>
            <w:r>
              <w:rPr>
                <w:rFonts w:ascii="Arial" w:cs="Arial" w:eastAsia="Arial" w:hAnsi="Arial"/>
                <w:sz w:val="16"/>
                <w:szCs w:val="16"/>
                <w:b w:val="1"/>
                <w:bCs w:val="1"/>
                <w:i w:val="1"/>
                <w:iCs w:val="1"/>
                <w:color w:val="auto"/>
              </w:rPr>
              <w:t>frozen</w:t>
            </w: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rPr>
              <w:t>52 to 53</w:t>
            </w:r>
          </w:p>
        </w:tc>
        <w:tc>
          <w:tcPr>
            <w:tcW w:w="0" w:type="dxa"/>
            <w:vAlign w:val="bottom"/>
          </w:tcPr>
          <w:p>
            <w:pPr>
              <w:spacing w:after="0"/>
              <w:rPr>
                <w:sz w:val="1"/>
                <w:szCs w:val="1"/>
                <w:color w:val="auto"/>
              </w:rPr>
            </w:pPr>
          </w:p>
        </w:tc>
      </w:tr>
      <w:tr>
        <w:trPr>
          <w:trHeight w:val="86"/>
        </w:trPr>
        <w:tc>
          <w:tcPr>
            <w:tcW w:w="1660" w:type="dxa"/>
            <w:vAlign w:val="bottom"/>
            <w:tcBorders>
              <w:right w:val="single" w:sz="8" w:color="auto"/>
            </w:tcBorders>
          </w:tcPr>
          <w:p>
            <w:pPr>
              <w:spacing w:after="0"/>
              <w:rPr>
                <w:sz w:val="7"/>
                <w:szCs w:val="7"/>
                <w:color w:val="auto"/>
              </w:rPr>
            </w:pPr>
          </w:p>
        </w:tc>
        <w:tc>
          <w:tcPr>
            <w:tcW w:w="34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Program (Pension Makeup)</w:t>
            </w:r>
          </w:p>
        </w:tc>
        <w:tc>
          <w:tcPr>
            <w:tcW w:w="10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660" w:type="dxa"/>
            <w:vAlign w:val="bottom"/>
            <w:tcBorders>
              <w:bottom w:val="single" w:sz="8" w:color="auto"/>
              <w:right w:val="single" w:sz="8" w:color="auto"/>
            </w:tcBorders>
          </w:tcPr>
          <w:p>
            <w:pPr>
              <w:spacing w:after="0"/>
              <w:rPr>
                <w:sz w:val="8"/>
                <w:szCs w:val="8"/>
                <w:color w:val="auto"/>
              </w:rPr>
            </w:pPr>
          </w:p>
        </w:tc>
        <w:tc>
          <w:tcPr>
            <w:tcW w:w="3460" w:type="dxa"/>
            <w:vAlign w:val="bottom"/>
            <w:tcBorders>
              <w:bottom w:val="single" w:sz="8" w:color="auto"/>
              <w:right w:val="single" w:sz="8" w:color="auto"/>
            </w:tcBorders>
            <w:gridSpan w:val="2"/>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60" w:type="dxa"/>
            <w:vAlign w:val="bottom"/>
            <w:tcBorders>
              <w:right w:val="single" w:sz="8" w:color="auto"/>
            </w:tcBorders>
            <w:shd w:val="clear" w:color="auto" w:fill="FCE9E8"/>
          </w:tcPr>
          <w:p>
            <w:pPr>
              <w:ind w:left="240"/>
              <w:spacing w:after="0" w:line="181" w:lineRule="exact"/>
              <w:rPr>
                <w:sz w:val="20"/>
                <w:szCs w:val="20"/>
                <w:color w:val="auto"/>
              </w:rPr>
            </w:pPr>
            <w:r>
              <w:rPr>
                <w:rFonts w:ascii="Arial" w:cs="Arial" w:eastAsia="Arial" w:hAnsi="Arial"/>
                <w:sz w:val="16"/>
                <w:szCs w:val="16"/>
                <w:b w:val="1"/>
                <w:bCs w:val="1"/>
                <w:color w:val="auto"/>
              </w:rPr>
              <w:t>Additional</w:t>
            </w:r>
          </w:p>
        </w:tc>
        <w:tc>
          <w:tcPr>
            <w:tcW w:w="3460" w:type="dxa"/>
            <w:vAlign w:val="bottom"/>
            <w:tcBorders>
              <w:right w:val="single" w:sz="8" w:color="auto"/>
            </w:tcBorders>
            <w:gridSpan w:val="2"/>
            <w:shd w:val="clear" w:color="auto" w:fill="FCE9E8"/>
          </w:tcPr>
          <w:p>
            <w:pPr>
              <w:ind w:left="80"/>
              <w:spacing w:after="0" w:line="181" w:lineRule="exact"/>
              <w:rPr>
                <w:sz w:val="20"/>
                <w:szCs w:val="20"/>
                <w:color w:val="auto"/>
              </w:rPr>
            </w:pPr>
            <w:r>
              <w:rPr>
                <w:rFonts w:ascii="Arial" w:cs="Arial" w:eastAsia="Arial" w:hAnsi="Arial"/>
                <w:sz w:val="16"/>
                <w:szCs w:val="16"/>
                <w:color w:val="auto"/>
              </w:rPr>
              <w:t>Career Share (RSUs)</w:t>
            </w:r>
          </w:p>
        </w:tc>
        <w:tc>
          <w:tcPr>
            <w:tcW w:w="2180" w:type="dxa"/>
            <w:vAlign w:val="bottom"/>
            <w:tcBorders>
              <w:right w:val="single" w:sz="8" w:color="auto"/>
            </w:tcBorders>
            <w:gridSpan w:val="2"/>
            <w:shd w:val="clear" w:color="auto" w:fill="FCE9E8"/>
          </w:tcPr>
          <w:p>
            <w:pPr>
              <w:ind w:left="80"/>
              <w:spacing w:after="0" w:line="181" w:lineRule="exact"/>
              <w:rPr>
                <w:sz w:val="20"/>
                <w:szCs w:val="20"/>
                <w:color w:val="auto"/>
              </w:rPr>
            </w:pPr>
            <w:r>
              <w:rPr>
                <w:rFonts w:ascii="Arial" w:cs="Arial" w:eastAsia="Arial" w:hAnsi="Arial"/>
                <w:sz w:val="16"/>
                <w:szCs w:val="16"/>
                <w:color w:val="auto"/>
              </w:rPr>
              <w:t>Shares not distributed until</w:t>
            </w:r>
          </w:p>
        </w:tc>
        <w:tc>
          <w:tcPr>
            <w:tcW w:w="100" w:type="dxa"/>
            <w:vAlign w:val="bottom"/>
            <w:shd w:val="clear" w:color="auto" w:fill="FCE9E8"/>
          </w:tcPr>
          <w:p>
            <w:pPr>
              <w:spacing w:after="0"/>
              <w:rPr>
                <w:sz w:val="15"/>
                <w:szCs w:val="15"/>
                <w:color w:val="auto"/>
              </w:rPr>
            </w:pPr>
          </w:p>
        </w:tc>
        <w:tc>
          <w:tcPr>
            <w:tcW w:w="2620" w:type="dxa"/>
            <w:vAlign w:val="bottom"/>
            <w:tcBorders>
              <w:right w:val="single" w:sz="8" w:color="auto"/>
            </w:tcBorders>
            <w:shd w:val="clear" w:color="auto" w:fill="FCE9E8"/>
          </w:tcPr>
          <w:p>
            <w:pPr>
              <w:jc w:val="center"/>
              <w:spacing w:after="0" w:line="181" w:lineRule="exact"/>
              <w:rPr>
                <w:sz w:val="20"/>
                <w:szCs w:val="20"/>
                <w:color w:val="auto"/>
              </w:rPr>
            </w:pPr>
            <w:r>
              <w:rPr>
                <w:rFonts w:ascii="Arial" w:cs="Arial" w:eastAsia="Arial" w:hAnsi="Arial"/>
                <w:sz w:val="16"/>
                <w:szCs w:val="16"/>
                <w:color w:val="auto"/>
              </w:rPr>
              <w:t>Intended to facilitate attraction and</w:t>
            </w:r>
          </w:p>
        </w:tc>
        <w:tc>
          <w:tcPr>
            <w:tcW w:w="100" w:type="dxa"/>
            <w:vAlign w:val="bottom"/>
            <w:shd w:val="clear" w:color="auto" w:fill="FCE9E8"/>
          </w:tcPr>
          <w:p>
            <w:pPr>
              <w:spacing w:after="0"/>
              <w:rPr>
                <w:sz w:val="15"/>
                <w:szCs w:val="15"/>
                <w:color w:val="auto"/>
              </w:rPr>
            </w:pPr>
          </w:p>
        </w:tc>
        <w:tc>
          <w:tcPr>
            <w:tcW w:w="760" w:type="dxa"/>
            <w:vAlign w:val="bottom"/>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660" w:type="dxa"/>
            <w:vAlign w:val="bottom"/>
            <w:tcBorders>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3380" w:type="dxa"/>
            <w:vAlign w:val="bottom"/>
            <w:tcBorders>
              <w:right w:val="single" w:sz="8" w:color="auto"/>
            </w:tcBorders>
            <w:shd w:val="clear" w:color="auto" w:fill="FCE9E8"/>
          </w:tcPr>
          <w:p>
            <w:pPr>
              <w:spacing w:after="0"/>
              <w:rPr>
                <w:sz w:val="16"/>
                <w:szCs w:val="16"/>
                <w:color w:val="auto"/>
              </w:rPr>
            </w:pPr>
          </w:p>
        </w:tc>
        <w:tc>
          <w:tcPr>
            <w:tcW w:w="2180" w:type="dxa"/>
            <w:vAlign w:val="bottom"/>
            <w:tcBorders>
              <w:right w:val="single" w:sz="8" w:color="auto"/>
            </w:tcBorders>
            <w:gridSpan w:val="2"/>
            <w:shd w:val="clear" w:color="auto" w:fill="FCE9E8"/>
          </w:tcPr>
          <w:p>
            <w:pPr>
              <w:ind w:left="80"/>
              <w:spacing w:after="0"/>
              <w:rPr>
                <w:sz w:val="20"/>
                <w:szCs w:val="20"/>
                <w:color w:val="auto"/>
              </w:rPr>
            </w:pPr>
            <w:r>
              <w:rPr>
                <w:rFonts w:ascii="Arial" w:cs="Arial" w:eastAsia="Arial" w:hAnsi="Arial"/>
                <w:sz w:val="16"/>
                <w:szCs w:val="16"/>
                <w:color w:val="auto"/>
              </w:rPr>
              <w:t>earlier of age 62 or 3 years</w:t>
            </w:r>
          </w:p>
        </w:tc>
        <w:tc>
          <w:tcPr>
            <w:tcW w:w="100" w:type="dxa"/>
            <w:vAlign w:val="bottom"/>
            <w:shd w:val="clear" w:color="auto" w:fill="FCE9E8"/>
          </w:tcPr>
          <w:p>
            <w:pPr>
              <w:spacing w:after="0"/>
              <w:rPr>
                <w:sz w:val="16"/>
                <w:szCs w:val="16"/>
                <w:color w:val="auto"/>
              </w:rPr>
            </w:pPr>
          </w:p>
        </w:tc>
        <w:tc>
          <w:tcPr>
            <w:tcW w:w="262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w w:val="99"/>
              </w:rPr>
              <w:t>retention, and reward key/high</w:t>
            </w:r>
          </w:p>
        </w:tc>
        <w:tc>
          <w:tcPr>
            <w:tcW w:w="10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Borders>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3380" w:type="dxa"/>
            <w:vAlign w:val="bottom"/>
            <w:tcBorders>
              <w:right w:val="single" w:sz="8" w:color="auto"/>
            </w:tcBorders>
            <w:shd w:val="clear" w:color="auto" w:fill="FCE9E8"/>
          </w:tcPr>
          <w:p>
            <w:pPr>
              <w:spacing w:after="0"/>
              <w:rPr>
                <w:sz w:val="16"/>
                <w:szCs w:val="16"/>
                <w:color w:val="auto"/>
              </w:rPr>
            </w:pPr>
          </w:p>
        </w:tc>
        <w:tc>
          <w:tcPr>
            <w:tcW w:w="2180" w:type="dxa"/>
            <w:vAlign w:val="bottom"/>
            <w:tcBorders>
              <w:right w:val="single" w:sz="8" w:color="auto"/>
            </w:tcBorders>
            <w:gridSpan w:val="2"/>
            <w:shd w:val="clear" w:color="auto" w:fill="FCE9E8"/>
          </w:tcPr>
          <w:p>
            <w:pPr>
              <w:ind w:left="80"/>
              <w:spacing w:after="0"/>
              <w:rPr>
                <w:sz w:val="20"/>
                <w:szCs w:val="20"/>
                <w:color w:val="auto"/>
              </w:rPr>
            </w:pPr>
            <w:r>
              <w:rPr>
                <w:rFonts w:ascii="Arial" w:cs="Arial" w:eastAsia="Arial" w:hAnsi="Arial"/>
                <w:sz w:val="16"/>
                <w:szCs w:val="16"/>
                <w:color w:val="auto"/>
              </w:rPr>
              <w:t>after retirement.</w:t>
            </w:r>
          </w:p>
        </w:tc>
        <w:tc>
          <w:tcPr>
            <w:tcW w:w="100" w:type="dxa"/>
            <w:vAlign w:val="bottom"/>
            <w:shd w:val="clear" w:color="auto" w:fill="FCE9E8"/>
          </w:tcPr>
          <w:p>
            <w:pPr>
              <w:spacing w:after="0"/>
              <w:rPr>
                <w:sz w:val="16"/>
                <w:szCs w:val="16"/>
                <w:color w:val="auto"/>
              </w:rPr>
            </w:pPr>
          </w:p>
        </w:tc>
        <w:tc>
          <w:tcPr>
            <w:tcW w:w="262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w w:val="99"/>
              </w:rPr>
              <w:t>performers with grant levels set</w:t>
            </w:r>
          </w:p>
        </w:tc>
        <w:tc>
          <w:tcPr>
            <w:tcW w:w="100" w:type="dxa"/>
            <w:vAlign w:val="bottom"/>
            <w:shd w:val="clear" w:color="auto" w:fill="FCE9E8"/>
          </w:tcPr>
          <w:p>
            <w:pPr>
              <w:spacing w:after="0"/>
              <w:rPr>
                <w:sz w:val="16"/>
                <w:szCs w:val="16"/>
                <w:color w:val="auto"/>
              </w:rPr>
            </w:pPr>
          </w:p>
        </w:tc>
        <w:tc>
          <w:tcPr>
            <w:tcW w:w="76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9"/>
              </w:rPr>
              <w:t>46 to 48;</w:t>
            </w:r>
          </w:p>
        </w:tc>
        <w:tc>
          <w:tcPr>
            <w:tcW w:w="0" w:type="dxa"/>
            <w:vAlign w:val="bottom"/>
          </w:tcPr>
          <w:p>
            <w:pPr>
              <w:spacing w:after="0"/>
              <w:rPr>
                <w:sz w:val="1"/>
                <w:szCs w:val="1"/>
                <w:color w:val="auto"/>
              </w:rPr>
            </w:pPr>
          </w:p>
        </w:tc>
      </w:tr>
      <w:tr>
        <w:trPr>
          <w:trHeight w:val="186"/>
        </w:trPr>
        <w:tc>
          <w:tcPr>
            <w:tcW w:w="1660" w:type="dxa"/>
            <w:vAlign w:val="bottom"/>
            <w:tcBorders>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3380" w:type="dxa"/>
            <w:vAlign w:val="bottom"/>
            <w:tcBorders>
              <w:right w:val="single" w:sz="8" w:color="auto"/>
            </w:tcBorders>
            <w:shd w:val="clear" w:color="auto" w:fill="FCE9E8"/>
          </w:tcPr>
          <w:p>
            <w:pPr>
              <w:spacing w:after="0"/>
              <w:rPr>
                <w:sz w:val="16"/>
                <w:szCs w:val="16"/>
                <w:color w:val="auto"/>
              </w:rPr>
            </w:pPr>
          </w:p>
        </w:tc>
        <w:tc>
          <w:tcPr>
            <w:tcW w:w="100" w:type="dxa"/>
            <w:vAlign w:val="bottom"/>
            <w:shd w:val="clear" w:color="auto" w:fill="FCE9E8"/>
          </w:tcPr>
          <w:p>
            <w:pPr>
              <w:spacing w:after="0"/>
              <w:rPr>
                <w:sz w:val="16"/>
                <w:szCs w:val="16"/>
                <w:color w:val="auto"/>
              </w:rPr>
            </w:pPr>
          </w:p>
        </w:tc>
        <w:tc>
          <w:tcPr>
            <w:tcW w:w="2080" w:type="dxa"/>
            <w:vAlign w:val="bottom"/>
            <w:tcBorders>
              <w:right w:val="single" w:sz="8" w:color="auto"/>
            </w:tcBorders>
            <w:shd w:val="clear" w:color="auto" w:fill="FCE9E8"/>
          </w:tcPr>
          <w:p>
            <w:pPr>
              <w:spacing w:after="0"/>
              <w:rPr>
                <w:sz w:val="16"/>
                <w:szCs w:val="16"/>
                <w:color w:val="auto"/>
              </w:rPr>
            </w:pPr>
          </w:p>
        </w:tc>
        <w:tc>
          <w:tcPr>
            <w:tcW w:w="100" w:type="dxa"/>
            <w:vAlign w:val="bottom"/>
            <w:shd w:val="clear" w:color="auto" w:fill="FCE9E8"/>
          </w:tcPr>
          <w:p>
            <w:pPr>
              <w:spacing w:after="0"/>
              <w:rPr>
                <w:sz w:val="16"/>
                <w:szCs w:val="16"/>
                <w:color w:val="auto"/>
              </w:rPr>
            </w:pPr>
          </w:p>
        </w:tc>
        <w:tc>
          <w:tcPr>
            <w:tcW w:w="262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w w:val="99"/>
              </w:rPr>
              <w:t>considering various factors,</w:t>
            </w:r>
          </w:p>
        </w:tc>
        <w:tc>
          <w:tcPr>
            <w:tcW w:w="100" w:type="dxa"/>
            <w:vAlign w:val="bottom"/>
            <w:shd w:val="clear" w:color="auto" w:fill="FCE9E8"/>
          </w:tcPr>
          <w:p>
            <w:pPr>
              <w:spacing w:after="0"/>
              <w:rPr>
                <w:sz w:val="16"/>
                <w:szCs w:val="16"/>
                <w:color w:val="auto"/>
              </w:rPr>
            </w:pPr>
          </w:p>
        </w:tc>
        <w:tc>
          <w:tcPr>
            <w:tcW w:w="76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9"/>
              </w:rPr>
              <w:t>54; 57 to</w:t>
            </w:r>
          </w:p>
        </w:tc>
        <w:tc>
          <w:tcPr>
            <w:tcW w:w="0" w:type="dxa"/>
            <w:vAlign w:val="bottom"/>
          </w:tcPr>
          <w:p>
            <w:pPr>
              <w:spacing w:after="0"/>
              <w:rPr>
                <w:sz w:val="1"/>
                <w:szCs w:val="1"/>
                <w:color w:val="auto"/>
              </w:rPr>
            </w:pPr>
          </w:p>
        </w:tc>
      </w:tr>
      <w:tr>
        <w:trPr>
          <w:trHeight w:val="186"/>
        </w:trPr>
        <w:tc>
          <w:tcPr>
            <w:tcW w:w="1660" w:type="dxa"/>
            <w:vAlign w:val="bottom"/>
            <w:tcBorders>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3380" w:type="dxa"/>
            <w:vAlign w:val="bottom"/>
            <w:tcBorders>
              <w:right w:val="single" w:sz="8" w:color="auto"/>
            </w:tcBorders>
            <w:shd w:val="clear" w:color="auto" w:fill="FCE9E8"/>
          </w:tcPr>
          <w:p>
            <w:pPr>
              <w:spacing w:after="0"/>
              <w:rPr>
                <w:sz w:val="16"/>
                <w:szCs w:val="16"/>
                <w:color w:val="auto"/>
              </w:rPr>
            </w:pPr>
          </w:p>
        </w:tc>
        <w:tc>
          <w:tcPr>
            <w:tcW w:w="100" w:type="dxa"/>
            <w:vAlign w:val="bottom"/>
            <w:shd w:val="clear" w:color="auto" w:fill="FCE9E8"/>
          </w:tcPr>
          <w:p>
            <w:pPr>
              <w:spacing w:after="0"/>
              <w:rPr>
                <w:sz w:val="16"/>
                <w:szCs w:val="16"/>
                <w:color w:val="auto"/>
              </w:rPr>
            </w:pPr>
          </w:p>
        </w:tc>
        <w:tc>
          <w:tcPr>
            <w:tcW w:w="2080" w:type="dxa"/>
            <w:vAlign w:val="bottom"/>
            <w:tcBorders>
              <w:right w:val="single" w:sz="8" w:color="auto"/>
            </w:tcBorders>
            <w:shd w:val="clear" w:color="auto" w:fill="FCE9E8"/>
          </w:tcPr>
          <w:p>
            <w:pPr>
              <w:spacing w:after="0"/>
              <w:rPr>
                <w:sz w:val="16"/>
                <w:szCs w:val="16"/>
                <w:color w:val="auto"/>
              </w:rPr>
            </w:pPr>
          </w:p>
        </w:tc>
        <w:tc>
          <w:tcPr>
            <w:tcW w:w="100" w:type="dxa"/>
            <w:vAlign w:val="bottom"/>
            <w:shd w:val="clear" w:color="auto" w:fill="FCE9E8"/>
          </w:tcPr>
          <w:p>
            <w:pPr>
              <w:spacing w:after="0"/>
              <w:rPr>
                <w:sz w:val="16"/>
                <w:szCs w:val="16"/>
                <w:color w:val="auto"/>
              </w:rPr>
            </w:pPr>
          </w:p>
        </w:tc>
        <w:tc>
          <w:tcPr>
            <w:tcW w:w="262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w w:val="99"/>
              </w:rPr>
              <w:t>including performance, future</w:t>
            </w:r>
          </w:p>
        </w:tc>
        <w:tc>
          <w:tcPr>
            <w:tcW w:w="860" w:type="dxa"/>
            <w:vAlign w:val="bottom"/>
            <w:gridSpan w:val="2"/>
            <w:shd w:val="clear" w:color="auto" w:fill="FCE9E8"/>
          </w:tcPr>
          <w:p>
            <w:pPr>
              <w:jc w:val="center"/>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6"/>
        </w:trPr>
        <w:tc>
          <w:tcPr>
            <w:tcW w:w="1660" w:type="dxa"/>
            <w:vAlign w:val="bottom"/>
            <w:tcBorders>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3380" w:type="dxa"/>
            <w:vAlign w:val="bottom"/>
            <w:tcBorders>
              <w:right w:val="single" w:sz="8" w:color="auto"/>
            </w:tcBorders>
            <w:shd w:val="clear" w:color="auto" w:fill="FCE9E8"/>
          </w:tcPr>
          <w:p>
            <w:pPr>
              <w:spacing w:after="0"/>
              <w:rPr>
                <w:sz w:val="16"/>
                <w:szCs w:val="16"/>
                <w:color w:val="auto"/>
              </w:rPr>
            </w:pPr>
          </w:p>
        </w:tc>
        <w:tc>
          <w:tcPr>
            <w:tcW w:w="100" w:type="dxa"/>
            <w:vAlign w:val="bottom"/>
            <w:shd w:val="clear" w:color="auto" w:fill="FCE9E8"/>
          </w:tcPr>
          <w:p>
            <w:pPr>
              <w:spacing w:after="0"/>
              <w:rPr>
                <w:sz w:val="16"/>
                <w:szCs w:val="16"/>
                <w:color w:val="auto"/>
              </w:rPr>
            </w:pPr>
          </w:p>
        </w:tc>
        <w:tc>
          <w:tcPr>
            <w:tcW w:w="2080" w:type="dxa"/>
            <w:vAlign w:val="bottom"/>
            <w:tcBorders>
              <w:right w:val="single" w:sz="8" w:color="auto"/>
            </w:tcBorders>
            <w:shd w:val="clear" w:color="auto" w:fill="FCE9E8"/>
          </w:tcPr>
          <w:p>
            <w:pPr>
              <w:spacing w:after="0"/>
              <w:rPr>
                <w:sz w:val="16"/>
                <w:szCs w:val="16"/>
                <w:color w:val="auto"/>
              </w:rPr>
            </w:pPr>
          </w:p>
        </w:tc>
        <w:tc>
          <w:tcPr>
            <w:tcW w:w="100" w:type="dxa"/>
            <w:vAlign w:val="bottom"/>
            <w:shd w:val="clear" w:color="auto" w:fill="FCE9E8"/>
          </w:tcPr>
          <w:p>
            <w:pPr>
              <w:spacing w:after="0"/>
              <w:rPr>
                <w:sz w:val="16"/>
                <w:szCs w:val="16"/>
                <w:color w:val="auto"/>
              </w:rPr>
            </w:pPr>
          </w:p>
        </w:tc>
        <w:tc>
          <w:tcPr>
            <w:tcW w:w="262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potential and competitiveness of</w:t>
            </w:r>
          </w:p>
        </w:tc>
        <w:tc>
          <w:tcPr>
            <w:tcW w:w="10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60" w:type="dxa"/>
            <w:vAlign w:val="bottom"/>
            <w:tcBorders>
              <w:bottom w:val="single" w:sz="8" w:color="auto"/>
              <w:right w:val="single" w:sz="8" w:color="auto"/>
            </w:tcBorders>
            <w:shd w:val="clear" w:color="auto" w:fill="FCE9E8"/>
          </w:tcPr>
          <w:p>
            <w:pPr>
              <w:spacing w:after="0"/>
              <w:rPr>
                <w:sz w:val="16"/>
                <w:szCs w:val="16"/>
                <w:color w:val="auto"/>
              </w:rPr>
            </w:pPr>
          </w:p>
        </w:tc>
        <w:tc>
          <w:tcPr>
            <w:tcW w:w="80" w:type="dxa"/>
            <w:vAlign w:val="bottom"/>
            <w:tcBorders>
              <w:bottom w:val="single" w:sz="8" w:color="auto"/>
            </w:tcBorders>
            <w:shd w:val="clear" w:color="auto" w:fill="FCE9E8"/>
          </w:tcPr>
          <w:p>
            <w:pPr>
              <w:spacing w:after="0"/>
              <w:rPr>
                <w:sz w:val="16"/>
                <w:szCs w:val="16"/>
                <w:color w:val="auto"/>
              </w:rPr>
            </w:pPr>
          </w:p>
        </w:tc>
        <w:tc>
          <w:tcPr>
            <w:tcW w:w="3380" w:type="dxa"/>
            <w:vAlign w:val="bottom"/>
            <w:tcBorders>
              <w:bottom w:val="single" w:sz="8" w:color="auto"/>
              <w:right w:val="single" w:sz="8" w:color="auto"/>
            </w:tcBorders>
            <w:shd w:val="clear" w:color="auto" w:fill="FCE9E8"/>
          </w:tcPr>
          <w:p>
            <w:pPr>
              <w:spacing w:after="0"/>
              <w:rPr>
                <w:sz w:val="16"/>
                <w:szCs w:val="16"/>
                <w:color w:val="auto"/>
              </w:rPr>
            </w:pPr>
          </w:p>
        </w:tc>
        <w:tc>
          <w:tcPr>
            <w:tcW w:w="100" w:type="dxa"/>
            <w:vAlign w:val="bottom"/>
            <w:tcBorders>
              <w:bottom w:val="single" w:sz="8" w:color="auto"/>
            </w:tcBorders>
            <w:shd w:val="clear" w:color="auto" w:fill="FCE9E8"/>
          </w:tcPr>
          <w:p>
            <w:pPr>
              <w:spacing w:after="0"/>
              <w:rPr>
                <w:sz w:val="16"/>
                <w:szCs w:val="16"/>
                <w:color w:val="auto"/>
              </w:rPr>
            </w:pPr>
          </w:p>
        </w:tc>
        <w:tc>
          <w:tcPr>
            <w:tcW w:w="2080" w:type="dxa"/>
            <w:vAlign w:val="bottom"/>
            <w:tcBorders>
              <w:bottom w:val="single" w:sz="8" w:color="auto"/>
              <w:right w:val="single" w:sz="8" w:color="auto"/>
            </w:tcBorders>
            <w:shd w:val="clear" w:color="auto" w:fill="FCE9E8"/>
          </w:tcPr>
          <w:p>
            <w:pPr>
              <w:spacing w:after="0"/>
              <w:rPr>
                <w:sz w:val="16"/>
                <w:szCs w:val="16"/>
                <w:color w:val="auto"/>
              </w:rPr>
            </w:pPr>
          </w:p>
        </w:tc>
        <w:tc>
          <w:tcPr>
            <w:tcW w:w="100" w:type="dxa"/>
            <w:vAlign w:val="bottom"/>
            <w:tcBorders>
              <w:bottom w:val="single" w:sz="8" w:color="auto"/>
            </w:tcBorders>
            <w:shd w:val="clear" w:color="auto" w:fill="FCE9E8"/>
          </w:tcPr>
          <w:p>
            <w:pPr>
              <w:spacing w:after="0"/>
              <w:rPr>
                <w:sz w:val="16"/>
                <w:szCs w:val="16"/>
                <w:color w:val="auto"/>
              </w:rPr>
            </w:pPr>
          </w:p>
        </w:tc>
        <w:tc>
          <w:tcPr>
            <w:tcW w:w="2620" w:type="dxa"/>
            <w:vAlign w:val="bottom"/>
            <w:tcBorders>
              <w:bottom w:val="single" w:sz="8" w:color="auto"/>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w w:val="98"/>
              </w:rPr>
              <w:t>retirement benefits and total pay.</w:t>
            </w:r>
          </w:p>
        </w:tc>
        <w:tc>
          <w:tcPr>
            <w:tcW w:w="100" w:type="dxa"/>
            <w:vAlign w:val="bottom"/>
            <w:tcBorders>
              <w:bottom w:val="single" w:sz="8" w:color="auto"/>
            </w:tcBorders>
            <w:shd w:val="clear" w:color="auto" w:fill="FCE9E8"/>
          </w:tcPr>
          <w:p>
            <w:pPr>
              <w:spacing w:after="0"/>
              <w:rPr>
                <w:sz w:val="16"/>
                <w:szCs w:val="16"/>
                <w:color w:val="auto"/>
              </w:rPr>
            </w:pPr>
          </w:p>
        </w:tc>
        <w:tc>
          <w:tcPr>
            <w:tcW w:w="760" w:type="dxa"/>
            <w:vAlign w:val="bottom"/>
            <w:tcBorders>
              <w:bottom w:val="single" w:sz="8" w:color="auto"/>
            </w:tcBorders>
            <w:shd w:val="clear" w:color="auto" w:fill="FCE9E8"/>
          </w:tcPr>
          <w:p>
            <w:pPr>
              <w:spacing w:after="0"/>
              <w:rPr>
                <w:sz w:val="16"/>
                <w:szCs w:val="16"/>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Employment Agreements/Termination/Change in 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p>
      <w:pPr>
        <w:spacing w:after="0" w:line="334"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As described in detail and quantified in “Executive Compensation — Potential Payments Upon Termination or Change in Control,” our Named Executive Officers receive certain benefits under their employment agreements upon their termination by the Company without “cause” or upon their resignation for “good reason,” including such terminations following a change in control of the Company. The employment agreements also provide for restrictive covenants relating to non-competition, confidential information and non-solicitation of the Company’s employees and customers.</w:t>
      </w:r>
    </w:p>
    <w:p>
      <w:pPr>
        <w:spacing w:after="0" w:line="250" w:lineRule="exact"/>
        <w:rPr>
          <w:sz w:val="20"/>
          <w:szCs w:val="20"/>
          <w:color w:val="auto"/>
        </w:rPr>
      </w:pPr>
    </w:p>
    <w:p>
      <w:pPr>
        <w:ind w:left="740" w:hanging="359"/>
        <w:spacing w:after="0"/>
        <w:tabs>
          <w:tab w:leader="none" w:pos="7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Our Named Executive Officers also receive, as do all employees who hold equity awards under the LTSIP (described below), accelerated vesting of equity awards if their employment is terminated without cause or for good reason in connection with a change in control of the Company. These benefits are intended to ensure that members of senior management are not influenced by their personal situations and are able to be objective in evaluating a potential change in control transaction. In addition, the benefits associated with “double-trigger” vesting of equity awards protect employees in</w:t>
      </w:r>
    </w:p>
    <w:p>
      <w:pPr>
        <w:sectPr>
          <w:pgSz w:w="11900" w:h="16838" w:orient="portrait"/>
          <w:cols w:equalWidth="0" w:num="2">
            <w:col w:w="5400" w:space="420"/>
            <w:col w:w="5340"/>
          </w:cols>
          <w:pgMar w:left="240" w:top="455" w:right="49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0"/>
        <w:spacing w:after="0" w:line="266" w:lineRule="auto"/>
        <w:rPr>
          <w:sz w:val="20"/>
          <w:szCs w:val="20"/>
          <w:color w:val="auto"/>
        </w:rPr>
      </w:pPr>
      <w:r>
        <w:rPr>
          <w:rFonts w:ascii="Arial" w:cs="Arial" w:eastAsia="Arial" w:hAnsi="Arial"/>
          <w:sz w:val="15"/>
          <w:szCs w:val="15"/>
          <w:color w:val="auto"/>
        </w:rPr>
        <w:t>the event of a change in control and ensure an orderly transition of leadership. The Compensation Committee regularly reviews termination and change in control benefits and continues to believe that the severance benefits in connection with certain terminations of employment constitute reasonable levels of protection for our executives. The LTSIP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1960"/>
        <w:spacing w:after="0"/>
        <w:rPr>
          <w:sz w:val="20"/>
          <w:szCs w:val="20"/>
          <w:color w:val="auto"/>
        </w:rPr>
      </w:pPr>
      <w:r>
        <w:rPr>
          <w:rFonts w:ascii="Arial" w:cs="Arial" w:eastAsia="Arial" w:hAnsi="Arial"/>
          <w:sz w:val="14"/>
          <w:szCs w:val="14"/>
          <w:b w:val="1"/>
          <w:bCs w:val="1"/>
          <w:u w:val="single" w:color="auto"/>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-621030</wp:posOffset>
            </wp:positionV>
            <wp:extent cx="729107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202"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provides for double-trigger vesting of equity awards (that are not assumed or replaced by the successor company) upon a change in control of the Company.</w:t>
      </w:r>
    </w:p>
    <w:p>
      <w:pPr>
        <w:spacing w:after="0" w:line="96" w:lineRule="exact"/>
        <w:rPr>
          <w:sz w:val="20"/>
          <w:szCs w:val="20"/>
          <w:color w:val="auto"/>
        </w:rPr>
      </w:pPr>
    </w:p>
    <w:p>
      <w:pPr>
        <w:ind w:right="540"/>
        <w:spacing w:after="0" w:line="254" w:lineRule="auto"/>
        <w:rPr>
          <w:sz w:val="20"/>
          <w:szCs w:val="20"/>
          <w:color w:val="auto"/>
        </w:rPr>
      </w:pPr>
      <w:r>
        <w:rPr>
          <w:rFonts w:ascii="Arial" w:cs="Arial" w:eastAsia="Arial" w:hAnsi="Arial"/>
          <w:sz w:val="16"/>
          <w:szCs w:val="16"/>
          <w:color w:val="auto"/>
        </w:rPr>
        <w:t>None of the employment agreements with the Company’s executive officers contains an excise tax gross-up provision.</w:t>
      </w:r>
    </w:p>
    <w:p>
      <w:pPr>
        <w:spacing w:after="0" w:line="200" w:lineRule="exact"/>
        <w:rPr>
          <w:sz w:val="20"/>
          <w:szCs w:val="20"/>
          <w:color w:val="auto"/>
        </w:rPr>
      </w:pPr>
    </w:p>
    <w:p>
      <w:pPr>
        <w:sectPr>
          <w:pgSz w:w="11900" w:h="16838" w:orient="portrait"/>
          <w:cols w:equalWidth="0" w:num="2">
            <w:col w:w="5460" w:space="360"/>
            <w:col w:w="5320"/>
          </w:cols>
          <w:pgMar w:left="240" w:top="455" w:right="519" w:bottom="1440" w:gutter="0" w:footer="0" w:header="0"/>
        </w:sectPr>
      </w:pPr>
    </w:p>
    <w:p>
      <w:pPr>
        <w:spacing w:after="0" w:line="144"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Health, Welfare and Certain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334"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To remain competitive in the market for a high-caliber management team, the Company has traditionally provided its executive officers, including our CEO, with health, welfare and other fringe benefits. In addition, personal use of our corporate aircraft has been eliminated except with respect to our CEO, with approval of the Chairman of the Board or Chairman of the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Compensation Committee. The Company does not provide tax gross-up payments for the imputed income associated with personal use of corporate aircraft. There was personal use of corporate aircraft in 2018 by our former CEO, Mr. Simoncini, on a limited basis.</w:t>
      </w:r>
    </w:p>
    <w:p>
      <w:pPr>
        <w:spacing w:after="0" w:line="569" w:lineRule="exact"/>
        <w:rPr>
          <w:sz w:val="20"/>
          <w:szCs w:val="20"/>
          <w:color w:val="auto"/>
        </w:rPr>
      </w:pPr>
    </w:p>
    <w:p>
      <w:pPr>
        <w:sectPr>
          <w:pgSz w:w="11900" w:h="16838" w:orient="portrait"/>
          <w:cols w:equalWidth="0" w:num="2">
            <w:col w:w="5460" w:space="360"/>
            <w:col w:w="5320"/>
          </w:cols>
          <w:pgMar w:left="240" w:top="455" w:right="519" w:bottom="1440" w:gutter="0" w:footer="0" w:header="0"/>
          <w:type w:val="continuous"/>
        </w:sectPr>
      </w:pPr>
    </w:p>
    <w:p>
      <w:pPr>
        <w:spacing w:after="0" w:line="153"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74295</wp:posOffset>
            </wp:positionV>
            <wp:extent cx="69018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345"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The Company maintains a formal clawback policy (the “Clawback Policy”) that applies to all incentive-based cash and equity compensation awards granted on or after February 7, 2013 (“Incentive Compensation”) to any current or former executive officer of the Company (collectively, the “Covered Recipients”). In the event that the Company is required by applicable U.S. federal securities laws to prepare an accounting restatement due to the material noncompliance of the Company with any financial reporting requirement under such securities laws where such accounting restatement was caused or substantially caused by the intentional misconduct of the Covered Recipient, the Company will recover from such Covered Recipient who received Incentive Compensation during the three-year period preceding the date on which the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Company is required to prepare an accounting restatement, based on the erroneous data, the amount, if any, in excess of what would have been paid to the Covered Recipient under the accounting restatement.</w:t>
      </w:r>
    </w:p>
    <w:p>
      <w:pPr>
        <w:spacing w:after="0" w:line="96"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The Clawback Policy is administered by the Compensation Committee, which has the sole discretion in making all determinations under the Clawback Policy. The Clawback Policy will be interpreted and administered (and, as necessary, amended to be) consistent with the applicable requirements of Section 10D of the Exchange Act, as added by</w:t>
      </w:r>
    </w:p>
    <w:p>
      <w:pPr>
        <w:spacing w:after="0" w:line="1" w:lineRule="exact"/>
        <w:rPr>
          <w:sz w:val="20"/>
          <w:szCs w:val="20"/>
          <w:color w:val="auto"/>
        </w:rPr>
      </w:pPr>
    </w:p>
    <w:p>
      <w:pPr>
        <w:ind w:right="660"/>
        <w:spacing w:after="0" w:line="287" w:lineRule="auto"/>
        <w:rPr>
          <w:sz w:val="20"/>
          <w:szCs w:val="20"/>
          <w:color w:val="auto"/>
        </w:rPr>
      </w:pPr>
      <w:r>
        <w:rPr>
          <w:rFonts w:ascii="Arial" w:cs="Arial" w:eastAsia="Arial" w:hAnsi="Arial"/>
          <w:sz w:val="15"/>
          <w:szCs w:val="15"/>
          <w:color w:val="auto"/>
        </w:rPr>
        <w:t>Section 954 of the Dodd-Frank Wall Street Reform and Consumer Protection Act, and any official guidance issued thereunder.</w:t>
      </w:r>
    </w:p>
    <w:p>
      <w:pPr>
        <w:spacing w:after="0" w:line="620" w:lineRule="exact"/>
        <w:rPr>
          <w:sz w:val="20"/>
          <w:szCs w:val="20"/>
          <w:color w:val="auto"/>
        </w:rPr>
      </w:pPr>
    </w:p>
    <w:p>
      <w:pPr>
        <w:sectPr>
          <w:pgSz w:w="11900" w:h="16838" w:orient="portrait"/>
          <w:cols w:equalWidth="0" w:num="2">
            <w:col w:w="5480" w:space="340"/>
            <w:col w:w="5320"/>
          </w:cols>
          <w:pgMar w:left="240" w:top="455" w:right="519" w:bottom="1440" w:gutter="0" w:footer="0" w:header="0"/>
          <w:type w:val="continuous"/>
        </w:sectPr>
      </w:pPr>
    </w:p>
    <w:p>
      <w:pPr>
        <w:spacing w:after="0" w:line="140"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Hedging/Pledging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334" w:lineRule="exact"/>
        <w:rPr>
          <w:sz w:val="20"/>
          <w:szCs w:val="20"/>
          <w:color w:val="auto"/>
        </w:rPr>
      </w:pPr>
    </w:p>
    <w:p>
      <w:pPr>
        <w:jc w:val="both"/>
        <w:ind w:left="280"/>
        <w:spacing w:after="0" w:line="247" w:lineRule="auto"/>
        <w:rPr>
          <w:sz w:val="20"/>
          <w:szCs w:val="20"/>
          <w:color w:val="auto"/>
        </w:rPr>
      </w:pPr>
      <w:r>
        <w:rPr>
          <w:rFonts w:ascii="Arial" w:cs="Arial" w:eastAsia="Arial" w:hAnsi="Arial"/>
          <w:sz w:val="16"/>
          <w:szCs w:val="16"/>
          <w:color w:val="auto"/>
        </w:rPr>
        <w:t>The Company maintains a formal policy prohibiting officers and directors from (i) entering into hedging or monetization transactions involving our Company stock and (ii) holding our Company stock in a margin account or pledging our Company</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stock as collateral for a loan. The policy was most recently revised effective September 13, 2017 to eliminate the General Counsel’s discretion to grant exceptions to the pledging prohibition.</w:t>
      </w:r>
    </w:p>
    <w:p>
      <w:pPr>
        <w:spacing w:after="0" w:line="387" w:lineRule="exact"/>
        <w:rPr>
          <w:sz w:val="20"/>
          <w:szCs w:val="20"/>
          <w:color w:val="auto"/>
        </w:rPr>
      </w:pPr>
    </w:p>
    <w:p>
      <w:pPr>
        <w:sectPr>
          <w:pgSz w:w="11900" w:h="16838" w:orient="portrait"/>
          <w:cols w:equalWidth="0" w:num="2">
            <w:col w:w="5400" w:space="420"/>
            <w:col w:w="5320"/>
          </w:cols>
          <w:pgMar w:left="240" w:top="455" w:right="519" w:bottom="1440" w:gutter="0" w:footer="0" w:header="0"/>
          <w:type w:val="continuous"/>
        </w:sectPr>
      </w:pPr>
    </w:p>
    <w:p>
      <w:pPr>
        <w:spacing w:after="0" w:line="14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Tax Treatment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74295</wp:posOffset>
            </wp:positionV>
            <wp:extent cx="69018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345"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One of the factors the Compensation Committee considers when determining executive compensation is the anticipated tax treatment to the Company and to the executives of the various payments and benefits. Section 162(m) of the Internal Revenue Code (“Section 162(m)”) generally provides that a publicly held company may not deduct compensation paid to certain covered executive officers to the extent that such compensation exceeds $1,000,000 per executive officer in any year. Limited exceptions to Section 162(m) apply with respect to “qualified performance-based compensation,” as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defined in the Internal Revenue Code, as well as certain other items of compensation, in each case, that qualify for transition relief applicable to certain arrangements in place as of November 2, 2017. While the Compensation Committee generally considers this limit when determining compensation, there are instances in which the Compensation Committee has concluded, and reserves the discretion to conclude in the future, that it is appropriate to exceed the limitation on deductibility under</w:t>
      </w:r>
    </w:p>
    <w:p>
      <w:pPr>
        <w:spacing w:after="0" w:line="1" w:lineRule="exact"/>
        <w:rPr>
          <w:sz w:val="20"/>
          <w:szCs w:val="20"/>
          <w:color w:val="auto"/>
        </w:rPr>
      </w:pPr>
    </w:p>
    <w:p>
      <w:pPr>
        <w:ind w:right="360"/>
        <w:spacing w:after="0" w:line="254" w:lineRule="auto"/>
        <w:rPr>
          <w:sz w:val="20"/>
          <w:szCs w:val="20"/>
          <w:color w:val="auto"/>
        </w:rPr>
      </w:pPr>
      <w:r>
        <w:rPr>
          <w:rFonts w:ascii="Arial" w:cs="Arial" w:eastAsia="Arial" w:hAnsi="Arial"/>
          <w:sz w:val="16"/>
          <w:szCs w:val="16"/>
          <w:color w:val="auto"/>
        </w:rPr>
        <w:t>Section 162(m) to ensure that executive officers are compensated in a manner that it believes to be</w:t>
      </w:r>
    </w:p>
    <w:p>
      <w:pPr>
        <w:spacing w:after="0" w:line="200" w:lineRule="exact"/>
        <w:rPr>
          <w:sz w:val="20"/>
          <w:szCs w:val="20"/>
          <w:color w:val="auto"/>
        </w:rPr>
      </w:pPr>
    </w:p>
    <w:p>
      <w:pPr>
        <w:sectPr>
          <w:pgSz w:w="11900" w:h="16838" w:orient="portrait"/>
          <w:cols w:equalWidth="0" w:num="2">
            <w:col w:w="5480" w:space="340"/>
            <w:col w:w="5320"/>
          </w:cols>
          <w:pgMar w:left="240" w:top="455" w:right="519" w:bottom="1440" w:gutter="0" w:footer="0" w:header="0"/>
          <w:type w:val="continuous"/>
        </w:sectPr>
      </w:pPr>
    </w:p>
    <w:p>
      <w:pPr>
        <w:spacing w:after="0" w:line="52"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41</w:t>
      </w:r>
    </w:p>
    <w:p>
      <w:pPr>
        <w:sectPr>
          <w:pgSz w:w="11900" w:h="16838" w:orient="portrait"/>
          <w:cols w:equalWidth="0" w:num="1">
            <w:col w:w="11140"/>
          </w:cols>
          <w:pgMar w:left="240" w:top="455" w:right="519" w:bottom="1440" w:gutter="0" w:footer="0" w:header="0"/>
          <w:type w:val="continuous"/>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0800"/>
          </w:cols>
          <w:pgMar w:left="240" w:top="455" w:right="859" w:bottom="1440" w:gutter="0" w:footer="0" w:header="0"/>
        </w:sectPr>
      </w:pPr>
    </w:p>
    <w:p>
      <w:pPr>
        <w:spacing w:after="0" w:line="330"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210" w:lineRule="exact"/>
        <w:rPr>
          <w:sz w:val="20"/>
          <w:szCs w:val="20"/>
          <w:color w:val="auto"/>
        </w:rPr>
      </w:pPr>
    </w:p>
    <w:p>
      <w:pPr>
        <w:ind w:left="280"/>
        <w:spacing w:after="0" w:line="248" w:lineRule="auto"/>
        <w:rPr>
          <w:sz w:val="20"/>
          <w:szCs w:val="20"/>
          <w:color w:val="auto"/>
        </w:rPr>
      </w:pPr>
      <w:r>
        <w:rPr>
          <w:rFonts w:ascii="Arial" w:cs="Arial" w:eastAsia="Arial" w:hAnsi="Arial"/>
          <w:sz w:val="16"/>
          <w:szCs w:val="16"/>
          <w:color w:val="auto"/>
        </w:rPr>
        <w:t>consistent with the Company’s best interests and those of its stockholders. Furthermore, interpretations of and changes in the tax laws, and other factors beyond the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Committee’s control, may also affect the deductibility of compensation.</w:t>
      </w:r>
    </w:p>
    <w:p>
      <w:pPr>
        <w:spacing w:after="0" w:line="597" w:lineRule="exact"/>
        <w:rPr>
          <w:sz w:val="20"/>
          <w:szCs w:val="20"/>
          <w:color w:val="auto"/>
        </w:rPr>
      </w:pPr>
    </w:p>
    <w:p>
      <w:pPr>
        <w:sectPr>
          <w:pgSz w:w="11900" w:h="16838" w:orient="portrait"/>
          <w:cols w:equalWidth="0" w:num="2">
            <w:col w:w="5480" w:space="340"/>
            <w:col w:w="4980"/>
          </w:cols>
          <w:pgMar w:left="240" w:top="455" w:right="859" w:bottom="1440" w:gutter="0" w:footer="0" w:header="0"/>
          <w:type w:val="continuous"/>
        </w:sectPr>
      </w:pPr>
    </w:p>
    <w:p>
      <w:pPr>
        <w:spacing w:after="0" w:line="150"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Impact of Accounting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74295</wp:posOffset>
            </wp:positionV>
            <wp:extent cx="69018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0800"/>
          </w:cols>
          <w:pgMar w:left="240" w:top="455" w:right="859" w:bottom="1440" w:gutter="0" w:footer="0" w:header="0"/>
          <w:type w:val="continuous"/>
        </w:sectPr>
      </w:pPr>
    </w:p>
    <w:p>
      <w:pPr>
        <w:spacing w:after="0" w:line="345" w:lineRule="exact"/>
        <w:rPr>
          <w:sz w:val="20"/>
          <w:szCs w:val="20"/>
          <w:color w:val="auto"/>
        </w:rPr>
      </w:pPr>
    </w:p>
    <w:p>
      <w:pPr>
        <w:ind w:left="280"/>
        <w:spacing w:after="0" w:line="247" w:lineRule="auto"/>
        <w:rPr>
          <w:sz w:val="20"/>
          <w:szCs w:val="20"/>
          <w:color w:val="auto"/>
        </w:rPr>
      </w:pPr>
      <w:r>
        <w:rPr>
          <w:rFonts w:ascii="Arial" w:cs="Arial" w:eastAsia="Arial" w:hAnsi="Arial"/>
          <w:sz w:val="16"/>
          <w:szCs w:val="16"/>
          <w:color w:val="auto"/>
        </w:rPr>
        <w:t>We have generally considered the accounting treatment of various forms of awards in determining the components of our overall compensation program. We have generally sought to grant stock-settled equity awards to executives, which receive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fixed accounting treatment, as opposed to cash-settled equity awards, which receive variable accounting treatment. We intend to continue to evaluate these factors in the future.</w:t>
      </w:r>
    </w:p>
    <w:p>
      <w:pPr>
        <w:spacing w:after="0" w:line="387" w:lineRule="exact"/>
        <w:rPr>
          <w:sz w:val="20"/>
          <w:szCs w:val="20"/>
          <w:color w:val="auto"/>
        </w:rPr>
      </w:pPr>
    </w:p>
    <w:p>
      <w:pPr>
        <w:sectPr>
          <w:pgSz w:w="11900" w:h="16838" w:orient="portrait"/>
          <w:cols w:equalWidth="0" w:num="2">
            <w:col w:w="5420" w:space="400"/>
            <w:col w:w="4980"/>
          </w:cols>
          <w:pgMar w:left="240" w:top="455" w:right="859" w:bottom="1440" w:gutter="0" w:footer="0" w:header="0"/>
          <w:type w:val="continuous"/>
        </w:sectPr>
      </w:pPr>
    </w:p>
    <w:p>
      <w:pPr>
        <w:spacing w:after="0" w:line="57" w:lineRule="exact"/>
        <w:rPr>
          <w:sz w:val="20"/>
          <w:szCs w:val="20"/>
          <w:color w:val="auto"/>
        </w:rPr>
      </w:pPr>
    </w:p>
    <w:p>
      <w:pPr>
        <w:ind w:left="740" w:hanging="359"/>
        <w:spacing w:after="0"/>
        <w:tabs>
          <w:tab w:leader="none" w:pos="7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800"/>
          </w:cols>
          <w:pgMar w:left="240" w:top="455" w:right="8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280"/>
        <w:spacing w:after="0"/>
        <w:rPr>
          <w:sz w:val="20"/>
          <w:szCs w:val="20"/>
          <w:color w:val="auto"/>
        </w:rPr>
      </w:pPr>
      <w:r>
        <w:rPr>
          <w:rFonts w:ascii="Arial" w:cs="Arial" w:eastAsia="Arial" w:hAnsi="Arial"/>
          <w:sz w:val="39"/>
          <w:szCs w:val="39"/>
          <w:b w:val="1"/>
          <w:bCs w:val="1"/>
          <w:color w:val="E2231A"/>
        </w:rPr>
        <w:t>EXECUTIVE COMPENSATION</w:t>
      </w:r>
    </w:p>
    <w:p>
      <w:pPr>
        <w:spacing w:after="0" w:line="263" w:lineRule="exact"/>
        <w:rPr>
          <w:sz w:val="20"/>
          <w:szCs w:val="20"/>
          <w:color w:val="auto"/>
        </w:rPr>
      </w:pPr>
    </w:p>
    <w:p>
      <w:pPr>
        <w:ind w:left="280" w:right="120"/>
        <w:spacing w:after="0" w:line="248" w:lineRule="auto"/>
        <w:rPr>
          <w:sz w:val="20"/>
          <w:szCs w:val="20"/>
          <w:color w:val="auto"/>
        </w:rPr>
      </w:pPr>
      <w:r>
        <w:rPr>
          <w:rFonts w:ascii="Arial" w:cs="Arial" w:eastAsia="Arial" w:hAnsi="Arial"/>
          <w:sz w:val="16"/>
          <w:szCs w:val="16"/>
          <w:color w:val="auto"/>
        </w:rPr>
        <w:t>The following table shows information concerning the annual compensation for services to the Company and its subsidiaries in all capacities of the CEO, CFO and the other Named Executive Officers during the last three completed fiscal years. The footnotes accompanying the 2018 Summary Compensation Table generally explain amounts reported for 2018,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144145</wp:posOffset>
            </wp:positionV>
            <wp:extent cx="6901815" cy="152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01815" cy="152400"/>
                    </a:xfrm>
                    <a:prstGeom prst="rect">
                      <a:avLst/>
                    </a:prstGeom>
                    <a:noFill/>
                  </pic:spPr>
                </pic:pic>
              </a:graphicData>
            </a:graphic>
          </wp:anchor>
        </w:drawing>
      </w: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FFFFFF"/>
        </w:rPr>
        <w:t>2018 Summary Compensation Table</w:t>
      </w:r>
    </w:p>
    <w:p>
      <w:pPr>
        <w:spacing w:after="0" w:line="27"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2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39"/>
              <w:spacing w:after="0"/>
              <w:rPr>
                <w:sz w:val="20"/>
                <w:szCs w:val="20"/>
                <w:color w:val="auto"/>
              </w:rPr>
            </w:pPr>
            <w:r>
              <w:rPr>
                <w:rFonts w:ascii="Arial" w:cs="Arial" w:eastAsia="Arial" w:hAnsi="Arial"/>
                <w:sz w:val="12"/>
                <w:szCs w:val="12"/>
                <w:b w:val="1"/>
                <w:bCs w:val="1"/>
                <w:color w:val="E2231A"/>
                <w:w w:val="96"/>
              </w:rPr>
              <w:t>Change in</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39"/>
              <w:spacing w:after="0" w:line="133" w:lineRule="exact"/>
              <w:rPr>
                <w:sz w:val="20"/>
                <w:szCs w:val="20"/>
                <w:color w:val="auto"/>
              </w:rPr>
            </w:pPr>
            <w:r>
              <w:rPr>
                <w:rFonts w:ascii="Arial" w:cs="Arial" w:eastAsia="Arial" w:hAnsi="Arial"/>
                <w:sz w:val="12"/>
                <w:szCs w:val="12"/>
                <w:b w:val="1"/>
                <w:bCs w:val="1"/>
                <w:color w:val="E2231A"/>
                <w:w w:val="94"/>
              </w:rPr>
              <w:t>Pension</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19"/>
              <w:spacing w:after="0" w:line="133" w:lineRule="exact"/>
              <w:rPr>
                <w:sz w:val="20"/>
                <w:szCs w:val="20"/>
                <w:color w:val="auto"/>
              </w:rPr>
            </w:pPr>
            <w:r>
              <w:rPr>
                <w:rFonts w:ascii="Arial" w:cs="Arial" w:eastAsia="Arial" w:hAnsi="Arial"/>
                <w:sz w:val="12"/>
                <w:szCs w:val="12"/>
                <w:b w:val="1"/>
                <w:bCs w:val="1"/>
                <w:color w:val="E2231A"/>
                <w:w w:val="95"/>
              </w:rPr>
              <w:t>Value and</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159"/>
              <w:spacing w:after="0" w:line="133" w:lineRule="exact"/>
              <w:rPr>
                <w:sz w:val="20"/>
                <w:szCs w:val="20"/>
                <w:color w:val="auto"/>
              </w:rPr>
            </w:pPr>
            <w:r>
              <w:rPr>
                <w:rFonts w:ascii="Arial" w:cs="Arial" w:eastAsia="Arial" w:hAnsi="Arial"/>
                <w:sz w:val="12"/>
                <w:szCs w:val="12"/>
                <w:b w:val="1"/>
                <w:bCs w:val="1"/>
                <w:color w:val="E2231A"/>
                <w:w w:val="96"/>
              </w:rPr>
              <w:t>Non-Equity</w:t>
            </w:r>
          </w:p>
        </w:tc>
        <w:tc>
          <w:tcPr>
            <w:tcW w:w="10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E2231A"/>
                <w:w w:val="96"/>
              </w:rPr>
              <w:t>Nonqualified</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20" w:type="dxa"/>
            <w:vAlign w:val="bottom"/>
            <w:vMerge w:val="restart"/>
          </w:tcPr>
          <w:p>
            <w:pPr>
              <w:ind w:left="60"/>
              <w:spacing w:after="0"/>
              <w:rPr>
                <w:sz w:val="20"/>
                <w:szCs w:val="20"/>
                <w:color w:val="auto"/>
              </w:rPr>
            </w:pPr>
            <w:r>
              <w:rPr>
                <w:rFonts w:ascii="Arial" w:cs="Arial" w:eastAsia="Arial" w:hAnsi="Arial"/>
                <w:sz w:val="12"/>
                <w:szCs w:val="12"/>
                <w:b w:val="1"/>
                <w:bCs w:val="1"/>
                <w:color w:val="E2231A"/>
              </w:rPr>
              <w:t>Name and</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ind w:right="198"/>
              <w:spacing w:after="0"/>
              <w:rPr>
                <w:sz w:val="20"/>
                <w:szCs w:val="20"/>
                <w:color w:val="auto"/>
              </w:rPr>
            </w:pPr>
            <w:r>
              <w:rPr>
                <w:rFonts w:ascii="Arial" w:cs="Arial" w:eastAsia="Arial" w:hAnsi="Arial"/>
                <w:sz w:val="12"/>
                <w:szCs w:val="12"/>
                <w:b w:val="1"/>
                <w:bCs w:val="1"/>
                <w:color w:val="E2231A"/>
              </w:rPr>
              <w:t>Stock</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159"/>
              <w:spacing w:after="0" w:line="133" w:lineRule="exact"/>
              <w:rPr>
                <w:sz w:val="20"/>
                <w:szCs w:val="20"/>
                <w:color w:val="auto"/>
              </w:rPr>
            </w:pPr>
            <w:r>
              <w:rPr>
                <w:rFonts w:ascii="Arial" w:cs="Arial" w:eastAsia="Arial" w:hAnsi="Arial"/>
                <w:sz w:val="12"/>
                <w:szCs w:val="12"/>
                <w:b w:val="1"/>
                <w:bCs w:val="1"/>
                <w:color w:val="E2231A"/>
                <w:w w:val="96"/>
              </w:rPr>
              <w:t>Incentive</w:t>
            </w:r>
          </w:p>
        </w:tc>
        <w:tc>
          <w:tcPr>
            <w:tcW w:w="200" w:type="dxa"/>
            <w:vAlign w:val="bottom"/>
          </w:tcPr>
          <w:p>
            <w:pPr>
              <w:spacing w:after="0"/>
              <w:rPr>
                <w:sz w:val="11"/>
                <w:szCs w:val="11"/>
                <w:color w:val="auto"/>
              </w:rPr>
            </w:pPr>
          </w:p>
        </w:tc>
        <w:tc>
          <w:tcPr>
            <w:tcW w:w="800" w:type="dxa"/>
            <w:vAlign w:val="bottom"/>
          </w:tcPr>
          <w:p>
            <w:pPr>
              <w:jc w:val="center"/>
              <w:ind w:right="139"/>
              <w:spacing w:after="0" w:line="133" w:lineRule="exact"/>
              <w:rPr>
                <w:sz w:val="20"/>
                <w:szCs w:val="20"/>
                <w:color w:val="auto"/>
              </w:rPr>
            </w:pPr>
            <w:r>
              <w:rPr>
                <w:rFonts w:ascii="Arial" w:cs="Arial" w:eastAsia="Arial" w:hAnsi="Arial"/>
                <w:sz w:val="12"/>
                <w:szCs w:val="12"/>
                <w:b w:val="1"/>
                <w:bCs w:val="1"/>
                <w:color w:val="E2231A"/>
                <w:w w:val="97"/>
              </w:rPr>
              <w:t>Deferred</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7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line="120" w:lineRule="exact"/>
              <w:rPr>
                <w:sz w:val="20"/>
                <w:szCs w:val="20"/>
                <w:color w:val="auto"/>
              </w:rPr>
            </w:pPr>
            <w:r>
              <w:rPr>
                <w:rFonts w:ascii="Arial" w:cs="Arial" w:eastAsia="Arial" w:hAnsi="Arial"/>
                <w:sz w:val="12"/>
                <w:szCs w:val="12"/>
                <w:b w:val="1"/>
                <w:bCs w:val="1"/>
                <w:color w:val="E2231A"/>
              </w:rPr>
              <w:t>Option</w:t>
            </w:r>
          </w:p>
        </w:tc>
        <w:tc>
          <w:tcPr>
            <w:tcW w:w="240" w:type="dxa"/>
            <w:vAlign w:val="bottom"/>
          </w:tcPr>
          <w:p>
            <w:pPr>
              <w:spacing w:after="0"/>
              <w:rPr>
                <w:sz w:val="10"/>
                <w:szCs w:val="10"/>
                <w:color w:val="auto"/>
              </w:rPr>
            </w:pPr>
          </w:p>
        </w:tc>
        <w:tc>
          <w:tcPr>
            <w:tcW w:w="1000" w:type="dxa"/>
            <w:vAlign w:val="bottom"/>
          </w:tcPr>
          <w:p>
            <w:pPr>
              <w:jc w:val="center"/>
              <w:ind w:right="179"/>
              <w:spacing w:after="0" w:line="120" w:lineRule="exact"/>
              <w:rPr>
                <w:sz w:val="20"/>
                <w:szCs w:val="20"/>
                <w:color w:val="auto"/>
              </w:rPr>
            </w:pPr>
            <w:r>
              <w:rPr>
                <w:rFonts w:ascii="Arial" w:cs="Arial" w:eastAsia="Arial" w:hAnsi="Arial"/>
                <w:sz w:val="12"/>
                <w:szCs w:val="12"/>
                <w:b w:val="1"/>
                <w:bCs w:val="1"/>
                <w:color w:val="E2231A"/>
                <w:w w:val="94"/>
              </w:rPr>
              <w:t>Plan</w:t>
            </w:r>
          </w:p>
        </w:tc>
        <w:tc>
          <w:tcPr>
            <w:tcW w:w="1000" w:type="dxa"/>
            <w:vAlign w:val="bottom"/>
            <w:gridSpan w:val="2"/>
          </w:tcPr>
          <w:p>
            <w:pPr>
              <w:ind w:left="100"/>
              <w:spacing w:after="0" w:line="120" w:lineRule="exact"/>
              <w:rPr>
                <w:sz w:val="20"/>
                <w:szCs w:val="20"/>
                <w:color w:val="auto"/>
              </w:rPr>
            </w:pPr>
            <w:r>
              <w:rPr>
                <w:rFonts w:ascii="Arial" w:cs="Arial" w:eastAsia="Arial" w:hAnsi="Arial"/>
                <w:sz w:val="12"/>
                <w:szCs w:val="12"/>
                <w:b w:val="1"/>
                <w:bCs w:val="1"/>
                <w:color w:val="E2231A"/>
              </w:rPr>
              <w:t>Compensation</w:t>
            </w:r>
          </w:p>
        </w:tc>
        <w:tc>
          <w:tcPr>
            <w:tcW w:w="260" w:type="dxa"/>
            <w:vAlign w:val="bottom"/>
          </w:tcPr>
          <w:p>
            <w:pPr>
              <w:spacing w:after="0"/>
              <w:rPr>
                <w:sz w:val="10"/>
                <w:szCs w:val="10"/>
                <w:color w:val="auto"/>
              </w:rPr>
            </w:pPr>
          </w:p>
        </w:tc>
        <w:tc>
          <w:tcPr>
            <w:tcW w:w="960" w:type="dxa"/>
            <w:vAlign w:val="bottom"/>
          </w:tcPr>
          <w:p>
            <w:pPr>
              <w:jc w:val="right"/>
              <w:ind w:right="298"/>
              <w:spacing w:after="0" w:line="120" w:lineRule="exact"/>
              <w:rPr>
                <w:sz w:val="20"/>
                <w:szCs w:val="20"/>
                <w:color w:val="auto"/>
              </w:rPr>
            </w:pPr>
            <w:r>
              <w:rPr>
                <w:rFonts w:ascii="Arial" w:cs="Arial" w:eastAsia="Arial" w:hAnsi="Arial"/>
                <w:sz w:val="12"/>
                <w:szCs w:val="12"/>
                <w:b w:val="1"/>
                <w:bCs w:val="1"/>
                <w:color w:val="E2231A"/>
              </w:rPr>
              <w:t>All Other</w:t>
            </w:r>
          </w:p>
        </w:tc>
        <w:tc>
          <w:tcPr>
            <w:tcW w:w="260" w:type="dxa"/>
            <w:vAlign w:val="bottom"/>
          </w:tcPr>
          <w:p>
            <w:pPr>
              <w:spacing w:after="0"/>
              <w:rPr>
                <w:sz w:val="10"/>
                <w:szCs w:val="10"/>
                <w:color w:val="auto"/>
              </w:rPr>
            </w:pPr>
          </w:p>
        </w:tc>
        <w:tc>
          <w:tcPr>
            <w:tcW w:w="840" w:type="dxa"/>
            <w:vAlign w:val="bottom"/>
          </w:tcPr>
          <w:p>
            <w:pPr>
              <w:jc w:val="right"/>
              <w:ind w:right="358"/>
              <w:spacing w:after="0" w:line="120" w:lineRule="exact"/>
              <w:rPr>
                <w:sz w:val="20"/>
                <w:szCs w:val="20"/>
                <w:color w:val="auto"/>
              </w:rPr>
            </w:pPr>
            <w:r>
              <w:rPr>
                <w:rFonts w:ascii="Arial" w:cs="Arial" w:eastAsia="Arial" w:hAnsi="Arial"/>
                <w:sz w:val="12"/>
                <w:szCs w:val="12"/>
                <w:b w:val="1"/>
                <w:bCs w:val="1"/>
                <w:color w:val="E2231A"/>
              </w:rPr>
              <w:t>Total</w:t>
            </w:r>
          </w:p>
        </w:tc>
        <w:tc>
          <w:tcPr>
            <w:tcW w:w="0" w:type="dxa"/>
            <w:vAlign w:val="bottom"/>
          </w:tcPr>
          <w:p>
            <w:pPr>
              <w:spacing w:after="0"/>
              <w:rPr>
                <w:sz w:val="1"/>
                <w:szCs w:val="1"/>
                <w:color w:val="auto"/>
              </w:rPr>
            </w:pPr>
          </w:p>
        </w:tc>
      </w:tr>
      <w:tr>
        <w:trPr>
          <w:trHeight w:val="158"/>
        </w:trPr>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E2231A"/>
              </w:rPr>
              <w:t>Principal Position</w:t>
            </w:r>
            <w:r>
              <w:rPr>
                <w:rFonts w:ascii="Arial" w:cs="Arial" w:eastAsia="Arial" w:hAnsi="Arial"/>
                <w:sz w:val="9"/>
                <w:szCs w:val="9"/>
                <w:b w:val="1"/>
                <w:bCs w:val="1"/>
                <w:color w:val="E2231A"/>
              </w:rPr>
              <w:t>(a)</w:t>
            </w:r>
          </w:p>
        </w:tc>
        <w:tc>
          <w:tcPr>
            <w:tcW w:w="5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E2231A"/>
              </w:rPr>
              <w:t>Year</w:t>
            </w:r>
            <w:r>
              <w:rPr>
                <w:rFonts w:ascii="Arial" w:cs="Arial" w:eastAsia="Arial" w:hAnsi="Arial"/>
                <w:sz w:val="9"/>
                <w:szCs w:val="9"/>
                <w:b w:val="1"/>
                <w:bCs w:val="1"/>
                <w:color w:val="E2231A"/>
              </w:rPr>
              <w:t>(b)</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E2231A"/>
                <w:w w:val="93"/>
              </w:rPr>
              <w:t>Salary</w:t>
            </w:r>
            <w:r>
              <w:rPr>
                <w:rFonts w:ascii="Arial" w:cs="Arial" w:eastAsia="Arial" w:hAnsi="Arial"/>
                <w:sz w:val="9"/>
                <w:szCs w:val="9"/>
                <w:b w:val="1"/>
                <w:bCs w:val="1"/>
                <w:color w:val="E2231A"/>
                <w:w w:val="93"/>
              </w:rPr>
              <w:t>(c)</w:t>
            </w: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E2231A"/>
              </w:rPr>
              <w:t>Bonus</w:t>
            </w:r>
            <w:r>
              <w:rPr>
                <w:rFonts w:ascii="Arial" w:cs="Arial" w:eastAsia="Arial" w:hAnsi="Arial"/>
                <w:sz w:val="9"/>
                <w:szCs w:val="9"/>
                <w:b w:val="1"/>
                <w:bCs w:val="1"/>
                <w:color w:val="E2231A"/>
              </w:rPr>
              <w:t>(d)</w:t>
            </w: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E2231A"/>
              </w:rPr>
              <w:t>Awards</w:t>
            </w:r>
            <w:r>
              <w:rPr>
                <w:rFonts w:ascii="Arial" w:cs="Arial" w:eastAsia="Arial" w:hAnsi="Arial"/>
                <w:sz w:val="9"/>
                <w:szCs w:val="9"/>
                <w:b w:val="1"/>
                <w:bCs w:val="1"/>
                <w:color w:val="E2231A"/>
              </w:rPr>
              <w:t>(1)(e)</w:t>
            </w: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E2231A"/>
              </w:rPr>
              <w:t>Awards</w:t>
            </w:r>
            <w:r>
              <w:rPr>
                <w:rFonts w:ascii="Arial" w:cs="Arial" w:eastAsia="Arial" w:hAnsi="Arial"/>
                <w:sz w:val="9"/>
                <w:szCs w:val="9"/>
                <w:b w:val="1"/>
                <w:bCs w:val="1"/>
                <w:color w:val="E2231A"/>
              </w:rPr>
              <w:t>(f)</w:t>
            </w: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E2231A"/>
              </w:rPr>
              <w:t>Compensation</w:t>
            </w:r>
            <w:r>
              <w:rPr>
                <w:rFonts w:ascii="Arial" w:cs="Arial" w:eastAsia="Arial" w:hAnsi="Arial"/>
                <w:sz w:val="9"/>
                <w:szCs w:val="9"/>
                <w:b w:val="1"/>
                <w:bCs w:val="1"/>
                <w:color w:val="E2231A"/>
              </w:rPr>
              <w:t>(2)(g)</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E2231A"/>
              </w:rPr>
              <w:t>Earnings</w:t>
            </w:r>
            <w:r>
              <w:rPr>
                <w:rFonts w:ascii="Arial" w:cs="Arial" w:eastAsia="Arial" w:hAnsi="Arial"/>
                <w:sz w:val="9"/>
                <w:szCs w:val="9"/>
                <w:b w:val="1"/>
                <w:bCs w:val="1"/>
                <w:color w:val="E2231A"/>
              </w:rPr>
              <w:t>(3)(h)</w:t>
            </w: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E2231A"/>
              </w:rPr>
              <w:t>Compensation</w:t>
            </w:r>
            <w:r>
              <w:rPr>
                <w:rFonts w:ascii="Arial" w:cs="Arial" w:eastAsia="Arial" w:hAnsi="Arial"/>
                <w:sz w:val="9"/>
                <w:szCs w:val="9"/>
                <w:b w:val="1"/>
                <w:bCs w:val="1"/>
                <w:color w:val="E2231A"/>
              </w:rPr>
              <w:t>(4)(i)</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E2231A"/>
              </w:rPr>
              <w:t>Compensation</w:t>
            </w:r>
            <w:r>
              <w:rPr>
                <w:rFonts w:ascii="Arial" w:cs="Arial" w:eastAsia="Arial" w:hAnsi="Arial"/>
                <w:sz w:val="9"/>
                <w:szCs w:val="9"/>
                <w:b w:val="1"/>
                <w:bCs w:val="1"/>
                <w:color w:val="E2231A"/>
              </w:rPr>
              <w:t>(j)</w:t>
            </w:r>
          </w:p>
        </w:tc>
        <w:tc>
          <w:tcPr>
            <w:tcW w:w="0" w:type="dxa"/>
            <w:vAlign w:val="bottom"/>
          </w:tcPr>
          <w:p>
            <w:pPr>
              <w:spacing w:after="0"/>
              <w:rPr>
                <w:sz w:val="1"/>
                <w:szCs w:val="1"/>
                <w:color w:val="auto"/>
              </w:rPr>
            </w:pPr>
          </w:p>
        </w:tc>
      </w:tr>
      <w:tr>
        <w:trPr>
          <w:trHeight w:val="121"/>
        </w:trPr>
        <w:tc>
          <w:tcPr>
            <w:tcW w:w="2720" w:type="dxa"/>
            <w:vAlign w:val="bottom"/>
            <w:shd w:val="clear" w:color="auto" w:fill="FCE9E8"/>
          </w:tcPr>
          <w:p>
            <w:pPr>
              <w:ind w:left="60"/>
              <w:spacing w:after="0" w:line="121" w:lineRule="exact"/>
              <w:rPr>
                <w:sz w:val="20"/>
                <w:szCs w:val="20"/>
                <w:color w:val="auto"/>
              </w:rPr>
            </w:pPr>
            <w:r>
              <w:rPr>
                <w:rFonts w:ascii="Arial" w:cs="Arial" w:eastAsia="Arial" w:hAnsi="Arial"/>
                <w:sz w:val="12"/>
                <w:szCs w:val="12"/>
                <w:color w:val="auto"/>
              </w:rPr>
              <w:t>Raymond E. Scott,</w:t>
            </w:r>
          </w:p>
        </w:tc>
        <w:tc>
          <w:tcPr>
            <w:tcW w:w="540" w:type="dxa"/>
            <w:vAlign w:val="bottom"/>
            <w:shd w:val="clear" w:color="auto" w:fill="FCE9E8"/>
          </w:tcPr>
          <w:p>
            <w:pPr>
              <w:jc w:val="right"/>
              <w:ind w:right="38"/>
              <w:spacing w:after="0" w:line="121" w:lineRule="exact"/>
              <w:rPr>
                <w:sz w:val="20"/>
                <w:szCs w:val="20"/>
                <w:color w:val="auto"/>
              </w:rPr>
            </w:pPr>
            <w:r>
              <w:rPr>
                <w:rFonts w:ascii="Arial" w:cs="Arial" w:eastAsia="Arial" w:hAnsi="Arial"/>
                <w:sz w:val="12"/>
                <w:szCs w:val="12"/>
                <w:color w:val="auto"/>
              </w:rPr>
              <w:t>2018</w:t>
            </w:r>
          </w:p>
        </w:tc>
        <w:tc>
          <w:tcPr>
            <w:tcW w:w="180" w:type="dxa"/>
            <w:vAlign w:val="bottom"/>
            <w:shd w:val="clear" w:color="auto" w:fill="FCE9E8"/>
          </w:tcPr>
          <w:p>
            <w:pPr>
              <w:jc w:val="right"/>
              <w:spacing w:after="0" w:line="121" w:lineRule="exact"/>
              <w:rPr>
                <w:sz w:val="20"/>
                <w:szCs w:val="20"/>
                <w:color w:val="auto"/>
              </w:rPr>
            </w:pPr>
            <w:r>
              <w:rPr>
                <w:rFonts w:ascii="Arial" w:cs="Arial" w:eastAsia="Arial" w:hAnsi="Arial"/>
                <w:sz w:val="12"/>
                <w:szCs w:val="12"/>
                <w:color w:val="auto"/>
              </w:rPr>
              <w:t>$</w:t>
            </w:r>
          </w:p>
        </w:tc>
        <w:tc>
          <w:tcPr>
            <w:tcW w:w="640" w:type="dxa"/>
            <w:vAlign w:val="bottom"/>
            <w:shd w:val="clear" w:color="auto" w:fill="FCE9E8"/>
          </w:tcPr>
          <w:p>
            <w:pPr>
              <w:jc w:val="right"/>
              <w:ind w:right="18"/>
              <w:spacing w:after="0" w:line="121" w:lineRule="exact"/>
              <w:rPr>
                <w:sz w:val="20"/>
                <w:szCs w:val="20"/>
                <w:color w:val="auto"/>
              </w:rPr>
            </w:pPr>
            <w:r>
              <w:rPr>
                <w:rFonts w:ascii="Arial" w:cs="Arial" w:eastAsia="Arial" w:hAnsi="Arial"/>
                <w:sz w:val="12"/>
                <w:szCs w:val="12"/>
                <w:color w:val="auto"/>
              </w:rPr>
              <w:t>1,109,183</w:t>
            </w:r>
          </w:p>
        </w:tc>
        <w:tc>
          <w:tcPr>
            <w:tcW w:w="320" w:type="dxa"/>
            <w:vAlign w:val="bottom"/>
            <w:shd w:val="clear" w:color="auto" w:fill="FCE9E8"/>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shd w:val="clear" w:color="auto" w:fill="FCE9E8"/>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shd w:val="clear" w:color="auto" w:fill="FCE9E8"/>
          </w:tcPr>
          <w:p>
            <w:pPr>
              <w:ind w:left="100"/>
              <w:spacing w:after="0" w:line="121" w:lineRule="exact"/>
              <w:rPr>
                <w:sz w:val="20"/>
                <w:szCs w:val="20"/>
                <w:color w:val="auto"/>
              </w:rPr>
            </w:pPr>
            <w:r>
              <w:rPr>
                <w:rFonts w:ascii="Arial" w:cs="Arial" w:eastAsia="Arial" w:hAnsi="Arial"/>
                <w:sz w:val="12"/>
                <w:szCs w:val="12"/>
                <w:color w:val="auto"/>
              </w:rPr>
              <w:t>$</w:t>
            </w:r>
          </w:p>
        </w:tc>
        <w:tc>
          <w:tcPr>
            <w:tcW w:w="660" w:type="dxa"/>
            <w:vAlign w:val="bottom"/>
            <w:shd w:val="clear" w:color="auto" w:fill="FCE9E8"/>
          </w:tcPr>
          <w:p>
            <w:pPr>
              <w:jc w:val="right"/>
              <w:ind w:right="38"/>
              <w:spacing w:after="0" w:line="121" w:lineRule="exact"/>
              <w:rPr>
                <w:sz w:val="20"/>
                <w:szCs w:val="20"/>
                <w:color w:val="auto"/>
              </w:rPr>
            </w:pPr>
            <w:r>
              <w:rPr>
                <w:rFonts w:ascii="Arial" w:cs="Arial" w:eastAsia="Arial" w:hAnsi="Arial"/>
                <w:sz w:val="12"/>
                <w:szCs w:val="12"/>
                <w:color w:val="auto"/>
              </w:rPr>
              <w:t>6,968,803</w:t>
            </w:r>
          </w:p>
        </w:tc>
        <w:tc>
          <w:tcPr>
            <w:tcW w:w="160" w:type="dxa"/>
            <w:vAlign w:val="bottom"/>
            <w:shd w:val="clear" w:color="auto" w:fill="FCE9E8"/>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FCE9E8"/>
          </w:tcPr>
          <w:p>
            <w:pPr>
              <w:ind w:left="320"/>
              <w:spacing w:after="0" w:line="121" w:lineRule="exact"/>
              <w:rPr>
                <w:sz w:val="20"/>
                <w:szCs w:val="20"/>
                <w:color w:val="auto"/>
              </w:rPr>
            </w:pPr>
            <w:r>
              <w:rPr>
                <w:rFonts w:ascii="Arial" w:cs="Arial" w:eastAsia="Arial" w:hAnsi="Arial"/>
                <w:sz w:val="12"/>
                <w:szCs w:val="12"/>
                <w:color w:val="auto"/>
              </w:rPr>
              <w:t>—</w:t>
            </w:r>
          </w:p>
        </w:tc>
        <w:tc>
          <w:tcPr>
            <w:tcW w:w="240" w:type="dxa"/>
            <w:vAlign w:val="bottom"/>
            <w:shd w:val="clear" w:color="auto" w:fill="FCE9E8"/>
          </w:tcPr>
          <w:p>
            <w:pPr>
              <w:ind w:left="100"/>
              <w:spacing w:after="0" w:line="121" w:lineRule="exact"/>
              <w:rPr>
                <w:sz w:val="20"/>
                <w:szCs w:val="20"/>
                <w:color w:val="auto"/>
              </w:rPr>
            </w:pPr>
            <w:r>
              <w:rPr>
                <w:rFonts w:ascii="Arial" w:cs="Arial" w:eastAsia="Arial" w:hAnsi="Arial"/>
                <w:sz w:val="12"/>
                <w:szCs w:val="12"/>
                <w:color w:val="auto"/>
              </w:rPr>
              <w:t>$</w:t>
            </w:r>
          </w:p>
        </w:tc>
        <w:tc>
          <w:tcPr>
            <w:tcW w:w="1000" w:type="dxa"/>
            <w:vAlign w:val="bottom"/>
            <w:shd w:val="clear" w:color="auto" w:fill="FCE9E8"/>
          </w:tcPr>
          <w:p>
            <w:pPr>
              <w:jc w:val="right"/>
              <w:ind w:right="19"/>
              <w:spacing w:after="0" w:line="121" w:lineRule="exact"/>
              <w:rPr>
                <w:sz w:val="20"/>
                <w:szCs w:val="20"/>
                <w:color w:val="auto"/>
              </w:rPr>
            </w:pPr>
            <w:r>
              <w:rPr>
                <w:rFonts w:ascii="Arial" w:cs="Arial" w:eastAsia="Arial" w:hAnsi="Arial"/>
                <w:sz w:val="12"/>
                <w:szCs w:val="12"/>
                <w:color w:val="auto"/>
              </w:rPr>
              <w:t>1,429,734</w:t>
            </w:r>
          </w:p>
        </w:tc>
        <w:tc>
          <w:tcPr>
            <w:tcW w:w="200" w:type="dxa"/>
            <w:vAlign w:val="bottom"/>
            <w:shd w:val="clear" w:color="auto" w:fill="FCE9E8"/>
          </w:tcPr>
          <w:p>
            <w:pPr>
              <w:ind w:left="100"/>
              <w:spacing w:after="0" w:line="121" w:lineRule="exact"/>
              <w:rPr>
                <w:sz w:val="20"/>
                <w:szCs w:val="20"/>
                <w:color w:val="auto"/>
              </w:rPr>
            </w:pPr>
            <w:r>
              <w:rPr>
                <w:rFonts w:ascii="Arial" w:cs="Arial" w:eastAsia="Arial" w:hAnsi="Arial"/>
                <w:sz w:val="12"/>
                <w:szCs w:val="12"/>
                <w:color w:val="auto"/>
              </w:rPr>
              <w:t>$</w:t>
            </w:r>
          </w:p>
        </w:tc>
        <w:tc>
          <w:tcPr>
            <w:tcW w:w="800" w:type="dxa"/>
            <w:vAlign w:val="bottom"/>
            <w:shd w:val="clear" w:color="auto" w:fill="FCE9E8"/>
          </w:tcPr>
          <w:p>
            <w:pPr>
              <w:jc w:val="right"/>
              <w:ind w:right="19"/>
              <w:spacing w:after="0" w:line="121" w:lineRule="exact"/>
              <w:rPr>
                <w:sz w:val="20"/>
                <w:szCs w:val="20"/>
                <w:color w:val="auto"/>
              </w:rPr>
            </w:pPr>
            <w:r>
              <w:rPr>
                <w:rFonts w:ascii="Arial" w:cs="Arial" w:eastAsia="Arial" w:hAnsi="Arial"/>
                <w:sz w:val="12"/>
                <w:szCs w:val="12"/>
                <w:color w:val="auto"/>
              </w:rPr>
              <w:t>—</w:t>
            </w:r>
          </w:p>
        </w:tc>
        <w:tc>
          <w:tcPr>
            <w:tcW w:w="260" w:type="dxa"/>
            <w:vAlign w:val="bottom"/>
            <w:shd w:val="clear" w:color="auto" w:fill="FCE9E8"/>
          </w:tcPr>
          <w:p>
            <w:pPr>
              <w:ind w:left="100"/>
              <w:spacing w:after="0" w:line="121" w:lineRule="exact"/>
              <w:rPr>
                <w:sz w:val="20"/>
                <w:szCs w:val="20"/>
                <w:color w:val="auto"/>
              </w:rPr>
            </w:pPr>
            <w:r>
              <w:rPr>
                <w:rFonts w:ascii="Arial" w:cs="Arial" w:eastAsia="Arial" w:hAnsi="Arial"/>
                <w:sz w:val="12"/>
                <w:szCs w:val="12"/>
                <w:color w:val="auto"/>
              </w:rPr>
              <w:t>$</w:t>
            </w:r>
          </w:p>
        </w:tc>
        <w:tc>
          <w:tcPr>
            <w:tcW w:w="960" w:type="dxa"/>
            <w:vAlign w:val="bottom"/>
            <w:shd w:val="clear" w:color="auto" w:fill="FCE9E8"/>
          </w:tcPr>
          <w:p>
            <w:pPr>
              <w:jc w:val="right"/>
              <w:ind w:right="38"/>
              <w:spacing w:after="0" w:line="121" w:lineRule="exact"/>
              <w:rPr>
                <w:sz w:val="20"/>
                <w:szCs w:val="20"/>
                <w:color w:val="auto"/>
              </w:rPr>
            </w:pPr>
            <w:r>
              <w:rPr>
                <w:rFonts w:ascii="Arial" w:cs="Arial" w:eastAsia="Arial" w:hAnsi="Arial"/>
                <w:sz w:val="12"/>
                <w:szCs w:val="12"/>
                <w:color w:val="auto"/>
              </w:rPr>
              <w:t>428,585</w:t>
            </w:r>
          </w:p>
        </w:tc>
        <w:tc>
          <w:tcPr>
            <w:tcW w:w="260" w:type="dxa"/>
            <w:vAlign w:val="bottom"/>
            <w:shd w:val="clear" w:color="auto" w:fill="FCE9E8"/>
          </w:tcPr>
          <w:p>
            <w:pPr>
              <w:ind w:left="80"/>
              <w:spacing w:after="0" w:line="121" w:lineRule="exact"/>
              <w:rPr>
                <w:sz w:val="20"/>
                <w:szCs w:val="20"/>
                <w:color w:val="auto"/>
              </w:rPr>
            </w:pPr>
            <w:r>
              <w:rPr>
                <w:rFonts w:ascii="Arial" w:cs="Arial" w:eastAsia="Arial" w:hAnsi="Arial"/>
                <w:sz w:val="12"/>
                <w:szCs w:val="12"/>
                <w:color w:val="auto"/>
              </w:rPr>
              <w:t>$</w:t>
            </w:r>
          </w:p>
        </w:tc>
        <w:tc>
          <w:tcPr>
            <w:tcW w:w="840" w:type="dxa"/>
            <w:vAlign w:val="bottom"/>
            <w:shd w:val="clear" w:color="auto" w:fill="FCE9E8"/>
          </w:tcPr>
          <w:p>
            <w:pPr>
              <w:jc w:val="right"/>
              <w:ind w:right="38"/>
              <w:spacing w:after="0" w:line="121" w:lineRule="exact"/>
              <w:rPr>
                <w:sz w:val="20"/>
                <w:szCs w:val="20"/>
                <w:color w:val="auto"/>
              </w:rPr>
            </w:pPr>
            <w:r>
              <w:rPr>
                <w:rFonts w:ascii="Arial" w:cs="Arial" w:eastAsia="Arial" w:hAnsi="Arial"/>
                <w:sz w:val="12"/>
                <w:szCs w:val="12"/>
                <w:color w:val="auto"/>
              </w:rPr>
              <w:t>9,936,305</w:t>
            </w:r>
          </w:p>
        </w:tc>
        <w:tc>
          <w:tcPr>
            <w:tcW w:w="0" w:type="dxa"/>
            <w:vAlign w:val="bottom"/>
          </w:tcPr>
          <w:p>
            <w:pPr>
              <w:spacing w:after="0"/>
              <w:rPr>
                <w:sz w:val="1"/>
                <w:szCs w:val="1"/>
                <w:color w:val="auto"/>
              </w:rPr>
            </w:pPr>
          </w:p>
        </w:tc>
      </w:tr>
      <w:tr>
        <w:trPr>
          <w:trHeight w:val="133"/>
        </w:trPr>
        <w:tc>
          <w:tcPr>
            <w:tcW w:w="2720" w:type="dxa"/>
            <w:vAlign w:val="bottom"/>
            <w:shd w:val="clear" w:color="auto" w:fill="FCE9E8"/>
          </w:tcPr>
          <w:p>
            <w:pPr>
              <w:ind w:left="60"/>
              <w:spacing w:after="0" w:line="133" w:lineRule="exact"/>
              <w:rPr>
                <w:sz w:val="20"/>
                <w:szCs w:val="20"/>
                <w:color w:val="auto"/>
              </w:rPr>
            </w:pPr>
            <w:r>
              <w:rPr>
                <w:rFonts w:ascii="Arial" w:cs="Arial" w:eastAsia="Arial" w:hAnsi="Arial"/>
                <w:sz w:val="12"/>
                <w:szCs w:val="12"/>
                <w:color w:val="auto"/>
              </w:rPr>
              <w:t>President, Chief Executive</w:t>
            </w:r>
          </w:p>
        </w:tc>
        <w:tc>
          <w:tcPr>
            <w:tcW w:w="540" w:type="dxa"/>
            <w:vAlign w:val="bottom"/>
            <w:shd w:val="clear" w:color="auto" w:fill="FCE9E8"/>
          </w:tcPr>
          <w:p>
            <w:pPr>
              <w:jc w:val="right"/>
              <w:ind w:right="38"/>
              <w:spacing w:after="0" w:line="133" w:lineRule="exact"/>
              <w:rPr>
                <w:sz w:val="20"/>
                <w:szCs w:val="20"/>
                <w:color w:val="auto"/>
              </w:rPr>
            </w:pPr>
            <w:r>
              <w:rPr>
                <w:rFonts w:ascii="Arial" w:cs="Arial" w:eastAsia="Arial" w:hAnsi="Arial"/>
                <w:sz w:val="12"/>
                <w:szCs w:val="12"/>
                <w:color w:val="auto"/>
              </w:rPr>
              <w:t>2017</w:t>
            </w:r>
          </w:p>
        </w:tc>
        <w:tc>
          <w:tcPr>
            <w:tcW w:w="180" w:type="dxa"/>
            <w:vAlign w:val="bottom"/>
            <w:shd w:val="clear" w:color="auto" w:fill="FCE9E8"/>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FCE9E8"/>
          </w:tcPr>
          <w:p>
            <w:pPr>
              <w:jc w:val="right"/>
              <w:ind w:right="18"/>
              <w:spacing w:after="0" w:line="133" w:lineRule="exact"/>
              <w:rPr>
                <w:sz w:val="20"/>
                <w:szCs w:val="20"/>
                <w:color w:val="auto"/>
              </w:rPr>
            </w:pPr>
            <w:r>
              <w:rPr>
                <w:rFonts w:ascii="Arial" w:cs="Arial" w:eastAsia="Arial" w:hAnsi="Arial"/>
                <w:sz w:val="12"/>
                <w:szCs w:val="12"/>
                <w:color w:val="auto"/>
              </w:rPr>
              <w:t>855,098</w:t>
            </w:r>
          </w:p>
        </w:tc>
        <w:tc>
          <w:tcPr>
            <w:tcW w:w="32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360" w:type="dxa"/>
            <w:vAlign w:val="bottom"/>
            <w:shd w:val="clear" w:color="auto" w:fill="FCE9E8"/>
          </w:tcPr>
          <w:p>
            <w:pPr>
              <w:ind w:left="160"/>
              <w:spacing w:after="0" w:line="133" w:lineRule="exact"/>
              <w:rPr>
                <w:sz w:val="20"/>
                <w:szCs w:val="20"/>
                <w:color w:val="auto"/>
              </w:rPr>
            </w:pPr>
            <w:r>
              <w:rPr>
                <w:rFonts w:ascii="Arial" w:cs="Arial" w:eastAsia="Arial" w:hAnsi="Arial"/>
                <w:sz w:val="12"/>
                <w:szCs w:val="12"/>
                <w:color w:val="auto"/>
              </w:rPr>
              <w:t>—</w:t>
            </w:r>
          </w:p>
        </w:tc>
        <w:tc>
          <w:tcPr>
            <w:tcW w:w="20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660" w:type="dxa"/>
            <w:vAlign w:val="bottom"/>
            <w:shd w:val="clear" w:color="auto" w:fill="FCE9E8"/>
          </w:tcPr>
          <w:p>
            <w:pPr>
              <w:jc w:val="right"/>
              <w:ind w:right="38"/>
              <w:spacing w:after="0" w:line="133" w:lineRule="exact"/>
              <w:rPr>
                <w:sz w:val="20"/>
                <w:szCs w:val="20"/>
                <w:color w:val="auto"/>
              </w:rPr>
            </w:pPr>
            <w:r>
              <w:rPr>
                <w:rFonts w:ascii="Arial" w:cs="Arial" w:eastAsia="Arial" w:hAnsi="Arial"/>
                <w:sz w:val="12"/>
                <w:szCs w:val="12"/>
                <w:color w:val="auto"/>
              </w:rPr>
              <w:t>2,686,101</w:t>
            </w:r>
          </w:p>
        </w:tc>
        <w:tc>
          <w:tcPr>
            <w:tcW w:w="160" w:type="dxa"/>
            <w:vAlign w:val="bottom"/>
            <w:shd w:val="clear" w:color="auto" w:fill="FCE9E8"/>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FCE9E8"/>
          </w:tcPr>
          <w:p>
            <w:pPr>
              <w:ind w:left="320"/>
              <w:spacing w:after="0" w:line="133" w:lineRule="exact"/>
              <w:rPr>
                <w:sz w:val="20"/>
                <w:szCs w:val="20"/>
                <w:color w:val="auto"/>
              </w:rPr>
            </w:pPr>
            <w:r>
              <w:rPr>
                <w:rFonts w:ascii="Arial" w:cs="Arial" w:eastAsia="Arial" w:hAnsi="Arial"/>
                <w:sz w:val="12"/>
                <w:szCs w:val="12"/>
                <w:color w:val="auto"/>
              </w:rPr>
              <w:t>—</w:t>
            </w:r>
          </w:p>
        </w:tc>
        <w:tc>
          <w:tcPr>
            <w:tcW w:w="24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1000" w:type="dxa"/>
            <w:vAlign w:val="bottom"/>
            <w:shd w:val="clear" w:color="auto" w:fill="FCE9E8"/>
          </w:tcPr>
          <w:p>
            <w:pPr>
              <w:jc w:val="right"/>
              <w:ind w:right="19"/>
              <w:spacing w:after="0" w:line="133" w:lineRule="exact"/>
              <w:rPr>
                <w:sz w:val="20"/>
                <w:szCs w:val="20"/>
                <w:color w:val="auto"/>
              </w:rPr>
            </w:pPr>
            <w:r>
              <w:rPr>
                <w:rFonts w:ascii="Arial" w:cs="Arial" w:eastAsia="Arial" w:hAnsi="Arial"/>
                <w:sz w:val="12"/>
                <w:szCs w:val="12"/>
                <w:color w:val="auto"/>
              </w:rPr>
              <w:t>1,496,422</w:t>
            </w:r>
          </w:p>
        </w:tc>
        <w:tc>
          <w:tcPr>
            <w:tcW w:w="20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800" w:type="dxa"/>
            <w:vAlign w:val="bottom"/>
            <w:shd w:val="clear" w:color="auto" w:fill="FCE9E8"/>
          </w:tcPr>
          <w:p>
            <w:pPr>
              <w:jc w:val="right"/>
              <w:ind w:right="19"/>
              <w:spacing w:after="0" w:line="133" w:lineRule="exact"/>
              <w:rPr>
                <w:sz w:val="20"/>
                <w:szCs w:val="20"/>
                <w:color w:val="auto"/>
              </w:rPr>
            </w:pPr>
            <w:r>
              <w:rPr>
                <w:rFonts w:ascii="Arial" w:cs="Arial" w:eastAsia="Arial" w:hAnsi="Arial"/>
                <w:sz w:val="12"/>
                <w:szCs w:val="12"/>
                <w:color w:val="auto"/>
              </w:rPr>
              <w:t>130,687</w:t>
            </w:r>
          </w:p>
        </w:tc>
        <w:tc>
          <w:tcPr>
            <w:tcW w:w="26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960" w:type="dxa"/>
            <w:vAlign w:val="bottom"/>
            <w:shd w:val="clear" w:color="auto" w:fill="FCE9E8"/>
          </w:tcPr>
          <w:p>
            <w:pPr>
              <w:jc w:val="right"/>
              <w:ind w:right="38"/>
              <w:spacing w:after="0" w:line="133" w:lineRule="exact"/>
              <w:rPr>
                <w:sz w:val="20"/>
                <w:szCs w:val="20"/>
                <w:color w:val="auto"/>
              </w:rPr>
            </w:pPr>
            <w:r>
              <w:rPr>
                <w:rFonts w:ascii="Arial" w:cs="Arial" w:eastAsia="Arial" w:hAnsi="Arial"/>
                <w:sz w:val="12"/>
                <w:szCs w:val="12"/>
                <w:color w:val="auto"/>
              </w:rPr>
              <w:t>307,014</w:t>
            </w:r>
          </w:p>
        </w:tc>
        <w:tc>
          <w:tcPr>
            <w:tcW w:w="260" w:type="dxa"/>
            <w:vAlign w:val="bottom"/>
            <w:shd w:val="clear" w:color="auto" w:fill="FCE9E8"/>
          </w:tcPr>
          <w:p>
            <w:pPr>
              <w:ind w:left="80"/>
              <w:spacing w:after="0" w:line="133" w:lineRule="exact"/>
              <w:rPr>
                <w:sz w:val="20"/>
                <w:szCs w:val="20"/>
                <w:color w:val="auto"/>
              </w:rPr>
            </w:pPr>
            <w:r>
              <w:rPr>
                <w:rFonts w:ascii="Arial" w:cs="Arial" w:eastAsia="Arial" w:hAnsi="Arial"/>
                <w:sz w:val="12"/>
                <w:szCs w:val="12"/>
                <w:color w:val="auto"/>
              </w:rPr>
              <w:t>$</w:t>
            </w:r>
          </w:p>
        </w:tc>
        <w:tc>
          <w:tcPr>
            <w:tcW w:w="840" w:type="dxa"/>
            <w:vAlign w:val="bottom"/>
            <w:shd w:val="clear" w:color="auto" w:fill="FCE9E8"/>
          </w:tcPr>
          <w:p>
            <w:pPr>
              <w:jc w:val="right"/>
              <w:ind w:right="38"/>
              <w:spacing w:after="0" w:line="133" w:lineRule="exact"/>
              <w:rPr>
                <w:sz w:val="20"/>
                <w:szCs w:val="20"/>
                <w:color w:val="auto"/>
              </w:rPr>
            </w:pPr>
            <w:r>
              <w:rPr>
                <w:rFonts w:ascii="Arial" w:cs="Arial" w:eastAsia="Arial" w:hAnsi="Arial"/>
                <w:sz w:val="12"/>
                <w:szCs w:val="12"/>
                <w:color w:val="auto"/>
              </w:rPr>
              <w:t>5,475,322</w:t>
            </w:r>
          </w:p>
        </w:tc>
        <w:tc>
          <w:tcPr>
            <w:tcW w:w="0" w:type="dxa"/>
            <w:vAlign w:val="bottom"/>
          </w:tcPr>
          <w:p>
            <w:pPr>
              <w:spacing w:after="0"/>
              <w:rPr>
                <w:sz w:val="1"/>
                <w:szCs w:val="1"/>
                <w:color w:val="auto"/>
              </w:rPr>
            </w:pPr>
          </w:p>
        </w:tc>
      </w:tr>
      <w:tr>
        <w:trPr>
          <w:trHeight w:val="133"/>
        </w:trPr>
        <w:tc>
          <w:tcPr>
            <w:tcW w:w="2720" w:type="dxa"/>
            <w:vAlign w:val="bottom"/>
            <w:shd w:val="clear" w:color="auto" w:fill="FCE9E8"/>
          </w:tcPr>
          <w:p>
            <w:pPr>
              <w:ind w:left="60"/>
              <w:spacing w:after="0" w:line="133" w:lineRule="exact"/>
              <w:rPr>
                <w:sz w:val="20"/>
                <w:szCs w:val="20"/>
                <w:color w:val="auto"/>
              </w:rPr>
            </w:pPr>
            <w:r>
              <w:rPr>
                <w:rFonts w:ascii="Arial" w:cs="Arial" w:eastAsia="Arial" w:hAnsi="Arial"/>
                <w:sz w:val="12"/>
                <w:szCs w:val="12"/>
                <w:color w:val="auto"/>
              </w:rPr>
              <w:t>Officer and Interim</w:t>
            </w:r>
          </w:p>
        </w:tc>
        <w:tc>
          <w:tcPr>
            <w:tcW w:w="540" w:type="dxa"/>
            <w:vAlign w:val="bottom"/>
            <w:shd w:val="clear" w:color="auto" w:fill="FCE9E8"/>
          </w:tcPr>
          <w:p>
            <w:pPr>
              <w:jc w:val="right"/>
              <w:ind w:right="38"/>
              <w:spacing w:after="0" w:line="133" w:lineRule="exact"/>
              <w:rPr>
                <w:sz w:val="20"/>
                <w:szCs w:val="20"/>
                <w:color w:val="auto"/>
              </w:rPr>
            </w:pPr>
            <w:r>
              <w:rPr>
                <w:rFonts w:ascii="Arial" w:cs="Arial" w:eastAsia="Arial" w:hAnsi="Arial"/>
                <w:sz w:val="12"/>
                <w:szCs w:val="12"/>
                <w:color w:val="auto"/>
              </w:rPr>
              <w:t>2016</w:t>
            </w:r>
          </w:p>
        </w:tc>
        <w:tc>
          <w:tcPr>
            <w:tcW w:w="180" w:type="dxa"/>
            <w:vAlign w:val="bottom"/>
            <w:shd w:val="clear" w:color="auto" w:fill="FCE9E8"/>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FCE9E8"/>
          </w:tcPr>
          <w:p>
            <w:pPr>
              <w:jc w:val="right"/>
              <w:ind w:right="18"/>
              <w:spacing w:after="0" w:line="133" w:lineRule="exact"/>
              <w:rPr>
                <w:sz w:val="20"/>
                <w:szCs w:val="20"/>
                <w:color w:val="auto"/>
              </w:rPr>
            </w:pPr>
            <w:r>
              <w:rPr>
                <w:rFonts w:ascii="Arial" w:cs="Arial" w:eastAsia="Arial" w:hAnsi="Arial"/>
                <w:sz w:val="12"/>
                <w:szCs w:val="12"/>
                <w:color w:val="auto"/>
              </w:rPr>
              <w:t>855,098</w:t>
            </w:r>
          </w:p>
        </w:tc>
        <w:tc>
          <w:tcPr>
            <w:tcW w:w="32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360" w:type="dxa"/>
            <w:vAlign w:val="bottom"/>
            <w:shd w:val="clear" w:color="auto" w:fill="FCE9E8"/>
          </w:tcPr>
          <w:p>
            <w:pPr>
              <w:ind w:left="160"/>
              <w:spacing w:after="0" w:line="133" w:lineRule="exact"/>
              <w:rPr>
                <w:sz w:val="20"/>
                <w:szCs w:val="20"/>
                <w:color w:val="auto"/>
              </w:rPr>
            </w:pPr>
            <w:r>
              <w:rPr>
                <w:rFonts w:ascii="Arial" w:cs="Arial" w:eastAsia="Arial" w:hAnsi="Arial"/>
                <w:sz w:val="12"/>
                <w:szCs w:val="12"/>
                <w:color w:val="auto"/>
              </w:rPr>
              <w:t>—</w:t>
            </w:r>
          </w:p>
        </w:tc>
        <w:tc>
          <w:tcPr>
            <w:tcW w:w="20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660" w:type="dxa"/>
            <w:vAlign w:val="bottom"/>
            <w:shd w:val="clear" w:color="auto" w:fill="FCE9E8"/>
          </w:tcPr>
          <w:p>
            <w:pPr>
              <w:jc w:val="right"/>
              <w:ind w:right="38"/>
              <w:spacing w:after="0" w:line="133" w:lineRule="exact"/>
              <w:rPr>
                <w:sz w:val="20"/>
                <w:szCs w:val="20"/>
                <w:color w:val="auto"/>
              </w:rPr>
            </w:pPr>
            <w:r>
              <w:rPr>
                <w:rFonts w:ascii="Arial" w:cs="Arial" w:eastAsia="Arial" w:hAnsi="Arial"/>
                <w:sz w:val="12"/>
                <w:szCs w:val="12"/>
                <w:color w:val="auto"/>
              </w:rPr>
              <w:t>2,422,618</w:t>
            </w:r>
          </w:p>
        </w:tc>
        <w:tc>
          <w:tcPr>
            <w:tcW w:w="160" w:type="dxa"/>
            <w:vAlign w:val="bottom"/>
            <w:shd w:val="clear" w:color="auto" w:fill="FCE9E8"/>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FCE9E8"/>
          </w:tcPr>
          <w:p>
            <w:pPr>
              <w:ind w:left="320"/>
              <w:spacing w:after="0" w:line="133" w:lineRule="exact"/>
              <w:rPr>
                <w:sz w:val="20"/>
                <w:szCs w:val="20"/>
                <w:color w:val="auto"/>
              </w:rPr>
            </w:pPr>
            <w:r>
              <w:rPr>
                <w:rFonts w:ascii="Arial" w:cs="Arial" w:eastAsia="Arial" w:hAnsi="Arial"/>
                <w:sz w:val="12"/>
                <w:szCs w:val="12"/>
                <w:color w:val="auto"/>
              </w:rPr>
              <w:t>—</w:t>
            </w:r>
          </w:p>
        </w:tc>
        <w:tc>
          <w:tcPr>
            <w:tcW w:w="24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1000" w:type="dxa"/>
            <w:vAlign w:val="bottom"/>
            <w:shd w:val="clear" w:color="auto" w:fill="FCE9E8"/>
          </w:tcPr>
          <w:p>
            <w:pPr>
              <w:jc w:val="right"/>
              <w:ind w:right="19"/>
              <w:spacing w:after="0" w:line="133" w:lineRule="exact"/>
              <w:rPr>
                <w:sz w:val="20"/>
                <w:szCs w:val="20"/>
                <w:color w:val="auto"/>
              </w:rPr>
            </w:pPr>
            <w:r>
              <w:rPr>
                <w:rFonts w:ascii="Arial" w:cs="Arial" w:eastAsia="Arial" w:hAnsi="Arial"/>
                <w:sz w:val="12"/>
                <w:szCs w:val="12"/>
                <w:color w:val="auto"/>
              </w:rPr>
              <w:t>1,202,705</w:t>
            </w:r>
          </w:p>
        </w:tc>
        <w:tc>
          <w:tcPr>
            <w:tcW w:w="20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800" w:type="dxa"/>
            <w:vAlign w:val="bottom"/>
            <w:shd w:val="clear" w:color="auto" w:fill="FCE9E8"/>
          </w:tcPr>
          <w:p>
            <w:pPr>
              <w:jc w:val="right"/>
              <w:ind w:right="19"/>
              <w:spacing w:after="0" w:line="133" w:lineRule="exact"/>
              <w:rPr>
                <w:sz w:val="20"/>
                <w:szCs w:val="20"/>
                <w:color w:val="auto"/>
              </w:rPr>
            </w:pPr>
            <w:r>
              <w:rPr>
                <w:rFonts w:ascii="Arial" w:cs="Arial" w:eastAsia="Arial" w:hAnsi="Arial"/>
                <w:sz w:val="12"/>
                <w:szCs w:val="12"/>
                <w:color w:val="auto"/>
              </w:rPr>
              <w:t>91,341</w:t>
            </w:r>
          </w:p>
        </w:tc>
        <w:tc>
          <w:tcPr>
            <w:tcW w:w="26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960" w:type="dxa"/>
            <w:vAlign w:val="bottom"/>
            <w:shd w:val="clear" w:color="auto" w:fill="FCE9E8"/>
          </w:tcPr>
          <w:p>
            <w:pPr>
              <w:jc w:val="right"/>
              <w:ind w:right="38"/>
              <w:spacing w:after="0" w:line="133" w:lineRule="exact"/>
              <w:rPr>
                <w:sz w:val="20"/>
                <w:szCs w:val="20"/>
                <w:color w:val="auto"/>
              </w:rPr>
            </w:pPr>
            <w:r>
              <w:rPr>
                <w:rFonts w:ascii="Arial" w:cs="Arial" w:eastAsia="Arial" w:hAnsi="Arial"/>
                <w:sz w:val="12"/>
                <w:szCs w:val="12"/>
                <w:color w:val="auto"/>
              </w:rPr>
              <w:t>292,048</w:t>
            </w:r>
          </w:p>
        </w:tc>
        <w:tc>
          <w:tcPr>
            <w:tcW w:w="260" w:type="dxa"/>
            <w:vAlign w:val="bottom"/>
            <w:shd w:val="clear" w:color="auto" w:fill="FCE9E8"/>
          </w:tcPr>
          <w:p>
            <w:pPr>
              <w:ind w:left="80"/>
              <w:spacing w:after="0" w:line="133" w:lineRule="exact"/>
              <w:rPr>
                <w:sz w:val="20"/>
                <w:szCs w:val="20"/>
                <w:color w:val="auto"/>
              </w:rPr>
            </w:pPr>
            <w:r>
              <w:rPr>
                <w:rFonts w:ascii="Arial" w:cs="Arial" w:eastAsia="Arial" w:hAnsi="Arial"/>
                <w:sz w:val="12"/>
                <w:szCs w:val="12"/>
                <w:color w:val="auto"/>
              </w:rPr>
              <w:t>$</w:t>
            </w:r>
          </w:p>
        </w:tc>
        <w:tc>
          <w:tcPr>
            <w:tcW w:w="840" w:type="dxa"/>
            <w:vAlign w:val="bottom"/>
            <w:shd w:val="clear" w:color="auto" w:fill="FCE9E8"/>
          </w:tcPr>
          <w:p>
            <w:pPr>
              <w:jc w:val="right"/>
              <w:ind w:right="38"/>
              <w:spacing w:after="0" w:line="133" w:lineRule="exact"/>
              <w:rPr>
                <w:sz w:val="20"/>
                <w:szCs w:val="20"/>
                <w:color w:val="auto"/>
              </w:rPr>
            </w:pPr>
            <w:r>
              <w:rPr>
                <w:rFonts w:ascii="Arial" w:cs="Arial" w:eastAsia="Arial" w:hAnsi="Arial"/>
                <w:sz w:val="12"/>
                <w:szCs w:val="12"/>
                <w:color w:val="auto"/>
              </w:rPr>
              <w:t>4,863,810</w:t>
            </w:r>
          </w:p>
        </w:tc>
        <w:tc>
          <w:tcPr>
            <w:tcW w:w="0" w:type="dxa"/>
            <w:vAlign w:val="bottom"/>
          </w:tcPr>
          <w:p>
            <w:pPr>
              <w:spacing w:after="0"/>
              <w:rPr>
                <w:sz w:val="1"/>
                <w:szCs w:val="1"/>
                <w:color w:val="auto"/>
              </w:rPr>
            </w:pPr>
          </w:p>
        </w:tc>
      </w:tr>
      <w:tr>
        <w:trPr>
          <w:trHeight w:val="133"/>
        </w:trPr>
        <w:tc>
          <w:tcPr>
            <w:tcW w:w="2720" w:type="dxa"/>
            <w:vAlign w:val="bottom"/>
            <w:shd w:val="clear" w:color="auto" w:fill="FCE9E8"/>
          </w:tcPr>
          <w:p>
            <w:pPr>
              <w:ind w:left="60"/>
              <w:spacing w:after="0" w:line="133" w:lineRule="exact"/>
              <w:rPr>
                <w:sz w:val="20"/>
                <w:szCs w:val="20"/>
                <w:color w:val="auto"/>
              </w:rPr>
            </w:pPr>
            <w:r>
              <w:rPr>
                <w:rFonts w:ascii="Arial" w:cs="Arial" w:eastAsia="Arial" w:hAnsi="Arial"/>
                <w:sz w:val="12"/>
                <w:szCs w:val="12"/>
                <w:color w:val="auto"/>
              </w:rPr>
              <w:t>President, E-Systems,</w:t>
            </w:r>
          </w:p>
        </w:tc>
        <w:tc>
          <w:tcPr>
            <w:tcW w:w="540" w:type="dxa"/>
            <w:vAlign w:val="bottom"/>
            <w:shd w:val="clear" w:color="auto" w:fill="FCE9E8"/>
          </w:tcPr>
          <w:p>
            <w:pPr>
              <w:spacing w:after="0"/>
              <w:rPr>
                <w:sz w:val="11"/>
                <w:szCs w:val="11"/>
                <w:color w:val="auto"/>
              </w:rPr>
            </w:pPr>
          </w:p>
        </w:tc>
        <w:tc>
          <w:tcPr>
            <w:tcW w:w="18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320" w:type="dxa"/>
            <w:vAlign w:val="bottom"/>
            <w:shd w:val="clear" w:color="auto" w:fill="FCE9E8"/>
          </w:tcPr>
          <w:p>
            <w:pPr>
              <w:spacing w:after="0"/>
              <w:rPr>
                <w:sz w:val="11"/>
                <w:szCs w:val="11"/>
                <w:color w:val="auto"/>
              </w:rPr>
            </w:pPr>
          </w:p>
        </w:tc>
        <w:tc>
          <w:tcPr>
            <w:tcW w:w="360" w:type="dxa"/>
            <w:vAlign w:val="bottom"/>
            <w:shd w:val="clear" w:color="auto" w:fill="FCE9E8"/>
          </w:tcPr>
          <w:p>
            <w:pPr>
              <w:spacing w:after="0"/>
              <w:rPr>
                <w:sz w:val="11"/>
                <w:szCs w:val="11"/>
                <w:color w:val="auto"/>
              </w:rPr>
            </w:pPr>
          </w:p>
        </w:tc>
        <w:tc>
          <w:tcPr>
            <w:tcW w:w="200" w:type="dxa"/>
            <w:vAlign w:val="bottom"/>
            <w:shd w:val="clear" w:color="auto" w:fill="FCE9E8"/>
          </w:tcPr>
          <w:p>
            <w:pPr>
              <w:spacing w:after="0"/>
              <w:rPr>
                <w:sz w:val="11"/>
                <w:szCs w:val="11"/>
                <w:color w:val="auto"/>
              </w:rPr>
            </w:pPr>
          </w:p>
        </w:tc>
        <w:tc>
          <w:tcPr>
            <w:tcW w:w="660" w:type="dxa"/>
            <w:vAlign w:val="bottom"/>
            <w:shd w:val="clear" w:color="auto" w:fill="FCE9E8"/>
          </w:tcPr>
          <w:p>
            <w:pPr>
              <w:spacing w:after="0"/>
              <w:rPr>
                <w:sz w:val="11"/>
                <w:szCs w:val="11"/>
                <w:color w:val="auto"/>
              </w:rPr>
            </w:pPr>
          </w:p>
        </w:tc>
        <w:tc>
          <w:tcPr>
            <w:tcW w:w="160" w:type="dxa"/>
            <w:vAlign w:val="bottom"/>
            <w:shd w:val="clear" w:color="auto" w:fill="FCE9E8"/>
          </w:tcPr>
          <w:p>
            <w:pPr>
              <w:spacing w:after="0"/>
              <w:rPr>
                <w:sz w:val="11"/>
                <w:szCs w:val="11"/>
                <w:color w:val="auto"/>
              </w:rPr>
            </w:pPr>
          </w:p>
        </w:tc>
        <w:tc>
          <w:tcPr>
            <w:tcW w:w="540" w:type="dxa"/>
            <w:vAlign w:val="bottom"/>
            <w:shd w:val="clear" w:color="auto" w:fill="FCE9E8"/>
          </w:tcPr>
          <w:p>
            <w:pPr>
              <w:spacing w:after="0"/>
              <w:rPr>
                <w:sz w:val="11"/>
                <w:szCs w:val="11"/>
                <w:color w:val="auto"/>
              </w:rPr>
            </w:pPr>
          </w:p>
        </w:tc>
        <w:tc>
          <w:tcPr>
            <w:tcW w:w="240" w:type="dxa"/>
            <w:vAlign w:val="bottom"/>
            <w:shd w:val="clear" w:color="auto" w:fill="FCE9E8"/>
          </w:tcPr>
          <w:p>
            <w:pPr>
              <w:spacing w:after="0"/>
              <w:rPr>
                <w:sz w:val="11"/>
                <w:szCs w:val="11"/>
                <w:color w:val="auto"/>
              </w:rPr>
            </w:pPr>
          </w:p>
        </w:tc>
        <w:tc>
          <w:tcPr>
            <w:tcW w:w="1000" w:type="dxa"/>
            <w:vAlign w:val="bottom"/>
            <w:shd w:val="clear" w:color="auto" w:fill="FCE9E8"/>
          </w:tcPr>
          <w:p>
            <w:pPr>
              <w:spacing w:after="0"/>
              <w:rPr>
                <w:sz w:val="11"/>
                <w:szCs w:val="11"/>
                <w:color w:val="auto"/>
              </w:rPr>
            </w:pPr>
          </w:p>
        </w:tc>
        <w:tc>
          <w:tcPr>
            <w:tcW w:w="200" w:type="dxa"/>
            <w:vAlign w:val="bottom"/>
            <w:shd w:val="clear" w:color="auto" w:fill="FCE9E8"/>
          </w:tcPr>
          <w:p>
            <w:pPr>
              <w:spacing w:after="0"/>
              <w:rPr>
                <w:sz w:val="11"/>
                <w:szCs w:val="11"/>
                <w:color w:val="auto"/>
              </w:rPr>
            </w:pPr>
          </w:p>
        </w:tc>
        <w:tc>
          <w:tcPr>
            <w:tcW w:w="80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96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840" w:type="dxa"/>
            <w:vAlign w:val="bottom"/>
            <w:shd w:val="clear" w:color="auto" w:fill="FCE9E8"/>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20" w:type="dxa"/>
            <w:vAlign w:val="bottom"/>
            <w:shd w:val="clear" w:color="auto" w:fill="FCE9E8"/>
          </w:tcPr>
          <w:p>
            <w:pPr>
              <w:ind w:left="60"/>
              <w:spacing w:after="0" w:line="133" w:lineRule="exact"/>
              <w:rPr>
                <w:sz w:val="20"/>
                <w:szCs w:val="20"/>
                <w:color w:val="auto"/>
              </w:rPr>
            </w:pPr>
            <w:r>
              <w:rPr>
                <w:rFonts w:ascii="Arial" w:cs="Arial" w:eastAsia="Arial" w:hAnsi="Arial"/>
                <w:sz w:val="12"/>
                <w:szCs w:val="12"/>
                <w:color w:val="auto"/>
              </w:rPr>
              <w:t>Former Executive</w:t>
            </w:r>
          </w:p>
        </w:tc>
        <w:tc>
          <w:tcPr>
            <w:tcW w:w="540" w:type="dxa"/>
            <w:vAlign w:val="bottom"/>
            <w:shd w:val="clear" w:color="auto" w:fill="FCE9E8"/>
          </w:tcPr>
          <w:p>
            <w:pPr>
              <w:spacing w:after="0"/>
              <w:rPr>
                <w:sz w:val="11"/>
                <w:szCs w:val="11"/>
                <w:color w:val="auto"/>
              </w:rPr>
            </w:pPr>
          </w:p>
        </w:tc>
        <w:tc>
          <w:tcPr>
            <w:tcW w:w="18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320" w:type="dxa"/>
            <w:vAlign w:val="bottom"/>
            <w:shd w:val="clear" w:color="auto" w:fill="FCE9E8"/>
          </w:tcPr>
          <w:p>
            <w:pPr>
              <w:spacing w:after="0"/>
              <w:rPr>
                <w:sz w:val="11"/>
                <w:szCs w:val="11"/>
                <w:color w:val="auto"/>
              </w:rPr>
            </w:pPr>
          </w:p>
        </w:tc>
        <w:tc>
          <w:tcPr>
            <w:tcW w:w="360" w:type="dxa"/>
            <w:vAlign w:val="bottom"/>
            <w:shd w:val="clear" w:color="auto" w:fill="FCE9E8"/>
          </w:tcPr>
          <w:p>
            <w:pPr>
              <w:spacing w:after="0"/>
              <w:rPr>
                <w:sz w:val="11"/>
                <w:szCs w:val="11"/>
                <w:color w:val="auto"/>
              </w:rPr>
            </w:pPr>
          </w:p>
        </w:tc>
        <w:tc>
          <w:tcPr>
            <w:tcW w:w="200" w:type="dxa"/>
            <w:vAlign w:val="bottom"/>
            <w:shd w:val="clear" w:color="auto" w:fill="FCE9E8"/>
          </w:tcPr>
          <w:p>
            <w:pPr>
              <w:spacing w:after="0"/>
              <w:rPr>
                <w:sz w:val="11"/>
                <w:szCs w:val="11"/>
                <w:color w:val="auto"/>
              </w:rPr>
            </w:pPr>
          </w:p>
        </w:tc>
        <w:tc>
          <w:tcPr>
            <w:tcW w:w="660" w:type="dxa"/>
            <w:vAlign w:val="bottom"/>
            <w:shd w:val="clear" w:color="auto" w:fill="FCE9E8"/>
          </w:tcPr>
          <w:p>
            <w:pPr>
              <w:spacing w:after="0"/>
              <w:rPr>
                <w:sz w:val="11"/>
                <w:szCs w:val="11"/>
                <w:color w:val="auto"/>
              </w:rPr>
            </w:pPr>
          </w:p>
        </w:tc>
        <w:tc>
          <w:tcPr>
            <w:tcW w:w="160" w:type="dxa"/>
            <w:vAlign w:val="bottom"/>
            <w:shd w:val="clear" w:color="auto" w:fill="FCE9E8"/>
          </w:tcPr>
          <w:p>
            <w:pPr>
              <w:spacing w:after="0"/>
              <w:rPr>
                <w:sz w:val="11"/>
                <w:szCs w:val="11"/>
                <w:color w:val="auto"/>
              </w:rPr>
            </w:pPr>
          </w:p>
        </w:tc>
        <w:tc>
          <w:tcPr>
            <w:tcW w:w="540" w:type="dxa"/>
            <w:vAlign w:val="bottom"/>
            <w:shd w:val="clear" w:color="auto" w:fill="FCE9E8"/>
          </w:tcPr>
          <w:p>
            <w:pPr>
              <w:spacing w:after="0"/>
              <w:rPr>
                <w:sz w:val="11"/>
                <w:szCs w:val="11"/>
                <w:color w:val="auto"/>
              </w:rPr>
            </w:pPr>
          </w:p>
        </w:tc>
        <w:tc>
          <w:tcPr>
            <w:tcW w:w="240" w:type="dxa"/>
            <w:vAlign w:val="bottom"/>
            <w:shd w:val="clear" w:color="auto" w:fill="FCE9E8"/>
          </w:tcPr>
          <w:p>
            <w:pPr>
              <w:spacing w:after="0"/>
              <w:rPr>
                <w:sz w:val="11"/>
                <w:szCs w:val="11"/>
                <w:color w:val="auto"/>
              </w:rPr>
            </w:pPr>
          </w:p>
        </w:tc>
        <w:tc>
          <w:tcPr>
            <w:tcW w:w="1000" w:type="dxa"/>
            <w:vAlign w:val="bottom"/>
            <w:shd w:val="clear" w:color="auto" w:fill="FCE9E8"/>
          </w:tcPr>
          <w:p>
            <w:pPr>
              <w:spacing w:after="0"/>
              <w:rPr>
                <w:sz w:val="11"/>
                <w:szCs w:val="11"/>
                <w:color w:val="auto"/>
              </w:rPr>
            </w:pPr>
          </w:p>
        </w:tc>
        <w:tc>
          <w:tcPr>
            <w:tcW w:w="200" w:type="dxa"/>
            <w:vAlign w:val="bottom"/>
            <w:shd w:val="clear" w:color="auto" w:fill="FCE9E8"/>
          </w:tcPr>
          <w:p>
            <w:pPr>
              <w:spacing w:after="0"/>
              <w:rPr>
                <w:sz w:val="11"/>
                <w:szCs w:val="11"/>
                <w:color w:val="auto"/>
              </w:rPr>
            </w:pPr>
          </w:p>
        </w:tc>
        <w:tc>
          <w:tcPr>
            <w:tcW w:w="80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96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840" w:type="dxa"/>
            <w:vAlign w:val="bottom"/>
            <w:shd w:val="clear" w:color="auto" w:fill="FCE9E8"/>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20" w:type="dxa"/>
            <w:vAlign w:val="bottom"/>
            <w:shd w:val="clear" w:color="auto" w:fill="FCE9E8"/>
          </w:tcPr>
          <w:p>
            <w:pPr>
              <w:ind w:left="60"/>
              <w:spacing w:after="0" w:line="133" w:lineRule="exact"/>
              <w:rPr>
                <w:sz w:val="20"/>
                <w:szCs w:val="20"/>
                <w:color w:val="auto"/>
              </w:rPr>
            </w:pPr>
            <w:r>
              <w:rPr>
                <w:rFonts w:ascii="Arial" w:cs="Arial" w:eastAsia="Arial" w:hAnsi="Arial"/>
                <w:sz w:val="12"/>
                <w:szCs w:val="12"/>
                <w:color w:val="auto"/>
              </w:rPr>
              <w:t>Vice President and</w:t>
            </w:r>
          </w:p>
        </w:tc>
        <w:tc>
          <w:tcPr>
            <w:tcW w:w="540" w:type="dxa"/>
            <w:vAlign w:val="bottom"/>
            <w:shd w:val="clear" w:color="auto" w:fill="FCE9E8"/>
          </w:tcPr>
          <w:p>
            <w:pPr>
              <w:spacing w:after="0"/>
              <w:rPr>
                <w:sz w:val="11"/>
                <w:szCs w:val="11"/>
                <w:color w:val="auto"/>
              </w:rPr>
            </w:pPr>
          </w:p>
        </w:tc>
        <w:tc>
          <w:tcPr>
            <w:tcW w:w="18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320" w:type="dxa"/>
            <w:vAlign w:val="bottom"/>
            <w:shd w:val="clear" w:color="auto" w:fill="FCE9E8"/>
          </w:tcPr>
          <w:p>
            <w:pPr>
              <w:spacing w:after="0"/>
              <w:rPr>
                <w:sz w:val="11"/>
                <w:szCs w:val="11"/>
                <w:color w:val="auto"/>
              </w:rPr>
            </w:pPr>
          </w:p>
        </w:tc>
        <w:tc>
          <w:tcPr>
            <w:tcW w:w="360" w:type="dxa"/>
            <w:vAlign w:val="bottom"/>
            <w:shd w:val="clear" w:color="auto" w:fill="FCE9E8"/>
          </w:tcPr>
          <w:p>
            <w:pPr>
              <w:spacing w:after="0"/>
              <w:rPr>
                <w:sz w:val="11"/>
                <w:szCs w:val="11"/>
                <w:color w:val="auto"/>
              </w:rPr>
            </w:pPr>
          </w:p>
        </w:tc>
        <w:tc>
          <w:tcPr>
            <w:tcW w:w="200" w:type="dxa"/>
            <w:vAlign w:val="bottom"/>
            <w:shd w:val="clear" w:color="auto" w:fill="FCE9E8"/>
          </w:tcPr>
          <w:p>
            <w:pPr>
              <w:spacing w:after="0"/>
              <w:rPr>
                <w:sz w:val="11"/>
                <w:szCs w:val="11"/>
                <w:color w:val="auto"/>
              </w:rPr>
            </w:pPr>
          </w:p>
        </w:tc>
        <w:tc>
          <w:tcPr>
            <w:tcW w:w="660" w:type="dxa"/>
            <w:vAlign w:val="bottom"/>
            <w:shd w:val="clear" w:color="auto" w:fill="FCE9E8"/>
          </w:tcPr>
          <w:p>
            <w:pPr>
              <w:spacing w:after="0"/>
              <w:rPr>
                <w:sz w:val="11"/>
                <w:szCs w:val="11"/>
                <w:color w:val="auto"/>
              </w:rPr>
            </w:pPr>
          </w:p>
        </w:tc>
        <w:tc>
          <w:tcPr>
            <w:tcW w:w="160" w:type="dxa"/>
            <w:vAlign w:val="bottom"/>
            <w:shd w:val="clear" w:color="auto" w:fill="FCE9E8"/>
          </w:tcPr>
          <w:p>
            <w:pPr>
              <w:spacing w:after="0"/>
              <w:rPr>
                <w:sz w:val="11"/>
                <w:szCs w:val="11"/>
                <w:color w:val="auto"/>
              </w:rPr>
            </w:pPr>
          </w:p>
        </w:tc>
        <w:tc>
          <w:tcPr>
            <w:tcW w:w="540" w:type="dxa"/>
            <w:vAlign w:val="bottom"/>
            <w:shd w:val="clear" w:color="auto" w:fill="FCE9E8"/>
          </w:tcPr>
          <w:p>
            <w:pPr>
              <w:spacing w:after="0"/>
              <w:rPr>
                <w:sz w:val="11"/>
                <w:szCs w:val="11"/>
                <w:color w:val="auto"/>
              </w:rPr>
            </w:pPr>
          </w:p>
        </w:tc>
        <w:tc>
          <w:tcPr>
            <w:tcW w:w="240" w:type="dxa"/>
            <w:vAlign w:val="bottom"/>
            <w:shd w:val="clear" w:color="auto" w:fill="FCE9E8"/>
          </w:tcPr>
          <w:p>
            <w:pPr>
              <w:spacing w:after="0"/>
              <w:rPr>
                <w:sz w:val="11"/>
                <w:szCs w:val="11"/>
                <w:color w:val="auto"/>
              </w:rPr>
            </w:pPr>
          </w:p>
        </w:tc>
        <w:tc>
          <w:tcPr>
            <w:tcW w:w="1000" w:type="dxa"/>
            <w:vAlign w:val="bottom"/>
            <w:shd w:val="clear" w:color="auto" w:fill="FCE9E8"/>
          </w:tcPr>
          <w:p>
            <w:pPr>
              <w:spacing w:after="0"/>
              <w:rPr>
                <w:sz w:val="11"/>
                <w:szCs w:val="11"/>
                <w:color w:val="auto"/>
              </w:rPr>
            </w:pPr>
          </w:p>
        </w:tc>
        <w:tc>
          <w:tcPr>
            <w:tcW w:w="200" w:type="dxa"/>
            <w:vAlign w:val="bottom"/>
            <w:shd w:val="clear" w:color="auto" w:fill="FCE9E8"/>
          </w:tcPr>
          <w:p>
            <w:pPr>
              <w:spacing w:after="0"/>
              <w:rPr>
                <w:sz w:val="11"/>
                <w:szCs w:val="11"/>
                <w:color w:val="auto"/>
              </w:rPr>
            </w:pPr>
          </w:p>
        </w:tc>
        <w:tc>
          <w:tcPr>
            <w:tcW w:w="80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96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840" w:type="dxa"/>
            <w:vAlign w:val="bottom"/>
            <w:shd w:val="clear" w:color="auto" w:fill="FCE9E8"/>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720" w:type="dxa"/>
            <w:vAlign w:val="bottom"/>
            <w:tcBorders>
              <w:bottom w:val="single" w:sz="8" w:color="auto"/>
            </w:tcBorders>
            <w:shd w:val="clear" w:color="auto" w:fill="FCE9E8"/>
          </w:tcPr>
          <w:p>
            <w:pPr>
              <w:ind w:left="60"/>
              <w:spacing w:after="0"/>
              <w:rPr>
                <w:sz w:val="20"/>
                <w:szCs w:val="20"/>
                <w:color w:val="auto"/>
              </w:rPr>
            </w:pPr>
            <w:r>
              <w:rPr>
                <w:rFonts w:ascii="Arial" w:cs="Arial" w:eastAsia="Arial" w:hAnsi="Arial"/>
                <w:sz w:val="12"/>
                <w:szCs w:val="12"/>
                <w:color w:val="auto"/>
              </w:rPr>
              <w:t>President, Seating</w:t>
            </w:r>
          </w:p>
        </w:tc>
        <w:tc>
          <w:tcPr>
            <w:tcW w:w="540" w:type="dxa"/>
            <w:vAlign w:val="bottom"/>
            <w:tcBorders>
              <w:bottom w:val="single" w:sz="8" w:color="auto"/>
            </w:tcBorders>
            <w:shd w:val="clear" w:color="auto" w:fill="FCE9E8"/>
          </w:tcPr>
          <w:p>
            <w:pPr>
              <w:spacing w:after="0"/>
              <w:rPr>
                <w:sz w:val="13"/>
                <w:szCs w:val="13"/>
                <w:color w:val="auto"/>
              </w:rPr>
            </w:pPr>
          </w:p>
        </w:tc>
        <w:tc>
          <w:tcPr>
            <w:tcW w:w="180" w:type="dxa"/>
            <w:vAlign w:val="bottom"/>
            <w:tcBorders>
              <w:bottom w:val="single" w:sz="8" w:color="auto"/>
            </w:tcBorders>
            <w:shd w:val="clear" w:color="auto" w:fill="FCE9E8"/>
          </w:tcPr>
          <w:p>
            <w:pPr>
              <w:spacing w:after="0"/>
              <w:rPr>
                <w:sz w:val="13"/>
                <w:szCs w:val="13"/>
                <w:color w:val="auto"/>
              </w:rPr>
            </w:pPr>
          </w:p>
        </w:tc>
        <w:tc>
          <w:tcPr>
            <w:tcW w:w="640" w:type="dxa"/>
            <w:vAlign w:val="bottom"/>
            <w:tcBorders>
              <w:bottom w:val="single" w:sz="8" w:color="auto"/>
            </w:tcBorders>
            <w:shd w:val="clear" w:color="auto" w:fill="FCE9E8"/>
          </w:tcPr>
          <w:p>
            <w:pPr>
              <w:spacing w:after="0"/>
              <w:rPr>
                <w:sz w:val="13"/>
                <w:szCs w:val="13"/>
                <w:color w:val="auto"/>
              </w:rPr>
            </w:pPr>
          </w:p>
        </w:tc>
        <w:tc>
          <w:tcPr>
            <w:tcW w:w="320" w:type="dxa"/>
            <w:vAlign w:val="bottom"/>
            <w:tcBorders>
              <w:bottom w:val="single" w:sz="8" w:color="auto"/>
            </w:tcBorders>
            <w:shd w:val="clear" w:color="auto" w:fill="FCE9E8"/>
          </w:tcPr>
          <w:p>
            <w:pPr>
              <w:spacing w:after="0"/>
              <w:rPr>
                <w:sz w:val="13"/>
                <w:szCs w:val="13"/>
                <w:color w:val="auto"/>
              </w:rPr>
            </w:pPr>
          </w:p>
        </w:tc>
        <w:tc>
          <w:tcPr>
            <w:tcW w:w="360" w:type="dxa"/>
            <w:vAlign w:val="bottom"/>
            <w:tcBorders>
              <w:bottom w:val="single" w:sz="8" w:color="auto"/>
            </w:tcBorders>
            <w:shd w:val="clear" w:color="auto" w:fill="FCE9E8"/>
          </w:tcPr>
          <w:p>
            <w:pPr>
              <w:spacing w:after="0"/>
              <w:rPr>
                <w:sz w:val="13"/>
                <w:szCs w:val="13"/>
                <w:color w:val="auto"/>
              </w:rPr>
            </w:pPr>
          </w:p>
        </w:tc>
        <w:tc>
          <w:tcPr>
            <w:tcW w:w="200" w:type="dxa"/>
            <w:vAlign w:val="bottom"/>
            <w:tcBorders>
              <w:bottom w:val="single" w:sz="8" w:color="auto"/>
            </w:tcBorders>
            <w:shd w:val="clear" w:color="auto" w:fill="FCE9E8"/>
          </w:tcPr>
          <w:p>
            <w:pPr>
              <w:spacing w:after="0"/>
              <w:rPr>
                <w:sz w:val="13"/>
                <w:szCs w:val="13"/>
                <w:color w:val="auto"/>
              </w:rPr>
            </w:pPr>
          </w:p>
        </w:tc>
        <w:tc>
          <w:tcPr>
            <w:tcW w:w="660" w:type="dxa"/>
            <w:vAlign w:val="bottom"/>
            <w:tcBorders>
              <w:bottom w:val="single" w:sz="8" w:color="auto"/>
            </w:tcBorders>
            <w:shd w:val="clear" w:color="auto" w:fill="FCE9E8"/>
          </w:tcPr>
          <w:p>
            <w:pPr>
              <w:spacing w:after="0"/>
              <w:rPr>
                <w:sz w:val="13"/>
                <w:szCs w:val="13"/>
                <w:color w:val="auto"/>
              </w:rPr>
            </w:pPr>
          </w:p>
        </w:tc>
        <w:tc>
          <w:tcPr>
            <w:tcW w:w="160" w:type="dxa"/>
            <w:vAlign w:val="bottom"/>
            <w:tcBorders>
              <w:bottom w:val="single" w:sz="8" w:color="auto"/>
            </w:tcBorders>
            <w:shd w:val="clear" w:color="auto" w:fill="FCE9E8"/>
          </w:tcPr>
          <w:p>
            <w:pPr>
              <w:spacing w:after="0"/>
              <w:rPr>
                <w:sz w:val="13"/>
                <w:szCs w:val="13"/>
                <w:color w:val="auto"/>
              </w:rPr>
            </w:pPr>
          </w:p>
        </w:tc>
        <w:tc>
          <w:tcPr>
            <w:tcW w:w="540" w:type="dxa"/>
            <w:vAlign w:val="bottom"/>
            <w:tcBorders>
              <w:bottom w:val="single" w:sz="8" w:color="auto"/>
            </w:tcBorders>
            <w:shd w:val="clear" w:color="auto" w:fill="FCE9E8"/>
          </w:tcPr>
          <w:p>
            <w:pPr>
              <w:spacing w:after="0"/>
              <w:rPr>
                <w:sz w:val="13"/>
                <w:szCs w:val="13"/>
                <w:color w:val="auto"/>
              </w:rPr>
            </w:pPr>
          </w:p>
        </w:tc>
        <w:tc>
          <w:tcPr>
            <w:tcW w:w="240" w:type="dxa"/>
            <w:vAlign w:val="bottom"/>
            <w:tcBorders>
              <w:bottom w:val="single" w:sz="8" w:color="auto"/>
            </w:tcBorders>
            <w:shd w:val="clear" w:color="auto" w:fill="FCE9E8"/>
          </w:tcPr>
          <w:p>
            <w:pPr>
              <w:spacing w:after="0"/>
              <w:rPr>
                <w:sz w:val="13"/>
                <w:szCs w:val="13"/>
                <w:color w:val="auto"/>
              </w:rPr>
            </w:pPr>
          </w:p>
        </w:tc>
        <w:tc>
          <w:tcPr>
            <w:tcW w:w="1000" w:type="dxa"/>
            <w:vAlign w:val="bottom"/>
            <w:tcBorders>
              <w:bottom w:val="single" w:sz="8" w:color="auto"/>
            </w:tcBorders>
            <w:shd w:val="clear" w:color="auto" w:fill="FCE9E8"/>
          </w:tcPr>
          <w:p>
            <w:pPr>
              <w:spacing w:after="0"/>
              <w:rPr>
                <w:sz w:val="13"/>
                <w:szCs w:val="13"/>
                <w:color w:val="auto"/>
              </w:rPr>
            </w:pPr>
          </w:p>
        </w:tc>
        <w:tc>
          <w:tcPr>
            <w:tcW w:w="200" w:type="dxa"/>
            <w:vAlign w:val="bottom"/>
            <w:tcBorders>
              <w:bottom w:val="single" w:sz="8" w:color="auto"/>
            </w:tcBorders>
            <w:shd w:val="clear" w:color="auto" w:fill="FCE9E8"/>
          </w:tcPr>
          <w:p>
            <w:pPr>
              <w:spacing w:after="0"/>
              <w:rPr>
                <w:sz w:val="13"/>
                <w:szCs w:val="13"/>
                <w:color w:val="auto"/>
              </w:rPr>
            </w:pPr>
          </w:p>
        </w:tc>
        <w:tc>
          <w:tcPr>
            <w:tcW w:w="800" w:type="dxa"/>
            <w:vAlign w:val="bottom"/>
            <w:tcBorders>
              <w:bottom w:val="single" w:sz="8" w:color="auto"/>
            </w:tcBorders>
            <w:shd w:val="clear" w:color="auto" w:fill="FCE9E8"/>
          </w:tcPr>
          <w:p>
            <w:pPr>
              <w:spacing w:after="0"/>
              <w:rPr>
                <w:sz w:val="13"/>
                <w:szCs w:val="13"/>
                <w:color w:val="auto"/>
              </w:rPr>
            </w:pPr>
          </w:p>
        </w:tc>
        <w:tc>
          <w:tcPr>
            <w:tcW w:w="260" w:type="dxa"/>
            <w:vAlign w:val="bottom"/>
            <w:tcBorders>
              <w:bottom w:val="single" w:sz="8" w:color="auto"/>
            </w:tcBorders>
            <w:shd w:val="clear" w:color="auto" w:fill="FCE9E8"/>
          </w:tcPr>
          <w:p>
            <w:pPr>
              <w:spacing w:after="0"/>
              <w:rPr>
                <w:sz w:val="13"/>
                <w:szCs w:val="13"/>
                <w:color w:val="auto"/>
              </w:rPr>
            </w:pPr>
          </w:p>
        </w:tc>
        <w:tc>
          <w:tcPr>
            <w:tcW w:w="960" w:type="dxa"/>
            <w:vAlign w:val="bottom"/>
            <w:tcBorders>
              <w:bottom w:val="single" w:sz="8" w:color="auto"/>
            </w:tcBorders>
            <w:shd w:val="clear" w:color="auto" w:fill="FCE9E8"/>
          </w:tcPr>
          <w:p>
            <w:pPr>
              <w:spacing w:after="0"/>
              <w:rPr>
                <w:sz w:val="13"/>
                <w:szCs w:val="13"/>
                <w:color w:val="auto"/>
              </w:rPr>
            </w:pPr>
          </w:p>
        </w:tc>
        <w:tc>
          <w:tcPr>
            <w:tcW w:w="260" w:type="dxa"/>
            <w:vAlign w:val="bottom"/>
            <w:tcBorders>
              <w:bottom w:val="single" w:sz="8" w:color="auto"/>
            </w:tcBorders>
            <w:shd w:val="clear" w:color="auto" w:fill="FCE9E8"/>
          </w:tcPr>
          <w:p>
            <w:pPr>
              <w:spacing w:after="0"/>
              <w:rPr>
                <w:sz w:val="13"/>
                <w:szCs w:val="13"/>
                <w:color w:val="auto"/>
              </w:rPr>
            </w:pPr>
          </w:p>
        </w:tc>
        <w:tc>
          <w:tcPr>
            <w:tcW w:w="84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720" w:type="dxa"/>
            <w:vAlign w:val="bottom"/>
          </w:tcPr>
          <w:p>
            <w:pPr>
              <w:ind w:left="60"/>
              <w:spacing w:after="0" w:line="123" w:lineRule="exact"/>
              <w:rPr>
                <w:sz w:val="20"/>
                <w:szCs w:val="20"/>
                <w:color w:val="auto"/>
              </w:rPr>
            </w:pPr>
            <w:r>
              <w:rPr>
                <w:rFonts w:ascii="Arial" w:cs="Arial" w:eastAsia="Arial" w:hAnsi="Arial"/>
                <w:sz w:val="12"/>
                <w:szCs w:val="12"/>
                <w:color w:val="auto"/>
              </w:rPr>
              <w:t>Jeffrey H. Vanneste,</w:t>
            </w:r>
          </w:p>
        </w:tc>
        <w:tc>
          <w:tcPr>
            <w:tcW w:w="540" w:type="dxa"/>
            <w:vAlign w:val="bottom"/>
          </w:tcPr>
          <w:p>
            <w:pPr>
              <w:jc w:val="right"/>
              <w:ind w:right="38"/>
              <w:spacing w:after="0" w:line="123" w:lineRule="exact"/>
              <w:rPr>
                <w:sz w:val="20"/>
                <w:szCs w:val="20"/>
                <w:color w:val="auto"/>
              </w:rPr>
            </w:pPr>
            <w:r>
              <w:rPr>
                <w:rFonts w:ascii="Arial" w:cs="Arial" w:eastAsia="Arial" w:hAnsi="Arial"/>
                <w:sz w:val="12"/>
                <w:szCs w:val="12"/>
                <w:color w:val="auto"/>
              </w:rPr>
              <w:t>2018</w:t>
            </w:r>
          </w:p>
        </w:tc>
        <w:tc>
          <w:tcPr>
            <w:tcW w:w="180" w:type="dxa"/>
            <w:vAlign w:val="bottom"/>
          </w:tcPr>
          <w:p>
            <w:pPr>
              <w:jc w:val="right"/>
              <w:spacing w:after="0" w:line="123"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line="123" w:lineRule="exact"/>
              <w:rPr>
                <w:sz w:val="20"/>
                <w:szCs w:val="20"/>
                <w:color w:val="auto"/>
              </w:rPr>
            </w:pPr>
            <w:r>
              <w:rPr>
                <w:rFonts w:ascii="Arial" w:cs="Arial" w:eastAsia="Arial" w:hAnsi="Arial"/>
                <w:sz w:val="12"/>
                <w:szCs w:val="12"/>
                <w:color w:val="auto"/>
              </w:rPr>
              <w:t>827,750</w:t>
            </w:r>
          </w:p>
        </w:tc>
        <w:tc>
          <w:tcPr>
            <w:tcW w:w="320" w:type="dxa"/>
            <w:vAlign w:val="bottom"/>
          </w:tcPr>
          <w:p>
            <w:pPr>
              <w:ind w:left="100"/>
              <w:spacing w:after="0" w:line="123" w:lineRule="exact"/>
              <w:rPr>
                <w:sz w:val="20"/>
                <w:szCs w:val="20"/>
                <w:color w:val="auto"/>
              </w:rPr>
            </w:pPr>
            <w:r>
              <w:rPr>
                <w:rFonts w:ascii="Arial" w:cs="Arial" w:eastAsia="Arial" w:hAnsi="Arial"/>
                <w:sz w:val="12"/>
                <w:szCs w:val="12"/>
                <w:color w:val="auto"/>
              </w:rPr>
              <w:t>$</w:t>
            </w:r>
          </w:p>
        </w:tc>
        <w:tc>
          <w:tcPr>
            <w:tcW w:w="360" w:type="dxa"/>
            <w:vAlign w:val="bottom"/>
          </w:tcPr>
          <w:p>
            <w:pPr>
              <w:ind w:left="160"/>
              <w:spacing w:after="0" w:line="123" w:lineRule="exact"/>
              <w:rPr>
                <w:sz w:val="20"/>
                <w:szCs w:val="20"/>
                <w:color w:val="auto"/>
              </w:rPr>
            </w:pPr>
            <w:r>
              <w:rPr>
                <w:rFonts w:ascii="Arial" w:cs="Arial" w:eastAsia="Arial" w:hAnsi="Arial"/>
                <w:sz w:val="12"/>
                <w:szCs w:val="12"/>
                <w:color w:val="auto"/>
              </w:rPr>
              <w:t>—</w:t>
            </w:r>
          </w:p>
        </w:tc>
        <w:tc>
          <w:tcPr>
            <w:tcW w:w="200" w:type="dxa"/>
            <w:vAlign w:val="bottom"/>
          </w:tcPr>
          <w:p>
            <w:pPr>
              <w:ind w:left="100"/>
              <w:spacing w:after="0" w:line="12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38"/>
              <w:spacing w:after="0" w:line="123" w:lineRule="exact"/>
              <w:rPr>
                <w:sz w:val="20"/>
                <w:szCs w:val="20"/>
                <w:color w:val="auto"/>
              </w:rPr>
            </w:pPr>
            <w:r>
              <w:rPr>
                <w:rFonts w:ascii="Arial" w:cs="Arial" w:eastAsia="Arial" w:hAnsi="Arial"/>
                <w:sz w:val="12"/>
                <w:szCs w:val="12"/>
                <w:color w:val="auto"/>
              </w:rPr>
              <w:t>2,534,641</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20"/>
              <w:spacing w:after="0" w:line="123" w:lineRule="exact"/>
              <w:rPr>
                <w:sz w:val="20"/>
                <w:szCs w:val="20"/>
                <w:color w:val="auto"/>
              </w:rPr>
            </w:pPr>
            <w:r>
              <w:rPr>
                <w:rFonts w:ascii="Arial" w:cs="Arial" w:eastAsia="Arial" w:hAnsi="Arial"/>
                <w:sz w:val="12"/>
                <w:szCs w:val="12"/>
                <w:color w:val="auto"/>
              </w:rPr>
              <w:t>—</w:t>
            </w:r>
          </w:p>
        </w:tc>
        <w:tc>
          <w:tcPr>
            <w:tcW w:w="240" w:type="dxa"/>
            <w:vAlign w:val="bottom"/>
          </w:tcPr>
          <w:p>
            <w:pPr>
              <w:ind w:left="100"/>
              <w:spacing w:after="0" w:line="123"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19"/>
              <w:spacing w:after="0" w:line="123" w:lineRule="exact"/>
              <w:rPr>
                <w:sz w:val="20"/>
                <w:szCs w:val="20"/>
                <w:color w:val="auto"/>
              </w:rPr>
            </w:pPr>
            <w:r>
              <w:rPr>
                <w:rFonts w:ascii="Arial" w:cs="Arial" w:eastAsia="Arial" w:hAnsi="Arial"/>
                <w:sz w:val="12"/>
                <w:szCs w:val="12"/>
                <w:color w:val="auto"/>
              </w:rPr>
              <w:t>648,128</w:t>
            </w:r>
          </w:p>
        </w:tc>
        <w:tc>
          <w:tcPr>
            <w:tcW w:w="200" w:type="dxa"/>
            <w:vAlign w:val="bottom"/>
          </w:tcPr>
          <w:p>
            <w:pPr>
              <w:ind w:left="100"/>
              <w:spacing w:after="0" w:line="12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9"/>
              <w:spacing w:after="0" w:line="123" w:lineRule="exact"/>
              <w:rPr>
                <w:sz w:val="20"/>
                <w:szCs w:val="20"/>
                <w:color w:val="auto"/>
              </w:rPr>
            </w:pPr>
            <w:r>
              <w:rPr>
                <w:rFonts w:ascii="Arial" w:cs="Arial" w:eastAsia="Arial" w:hAnsi="Arial"/>
                <w:sz w:val="12"/>
                <w:szCs w:val="12"/>
                <w:color w:val="auto"/>
              </w:rPr>
              <w:t>—</w:t>
            </w:r>
          </w:p>
        </w:tc>
        <w:tc>
          <w:tcPr>
            <w:tcW w:w="260" w:type="dxa"/>
            <w:vAlign w:val="bottom"/>
          </w:tcPr>
          <w:p>
            <w:pPr>
              <w:ind w:left="100"/>
              <w:spacing w:after="0" w:line="12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38"/>
              <w:spacing w:after="0" w:line="123" w:lineRule="exact"/>
              <w:rPr>
                <w:sz w:val="20"/>
                <w:szCs w:val="20"/>
                <w:color w:val="auto"/>
              </w:rPr>
            </w:pPr>
            <w:r>
              <w:rPr>
                <w:rFonts w:ascii="Arial" w:cs="Arial" w:eastAsia="Arial" w:hAnsi="Arial"/>
                <w:sz w:val="12"/>
                <w:szCs w:val="12"/>
                <w:color w:val="auto"/>
              </w:rPr>
              <w:t>351,031</w:t>
            </w:r>
          </w:p>
        </w:tc>
        <w:tc>
          <w:tcPr>
            <w:tcW w:w="260" w:type="dxa"/>
            <w:vAlign w:val="bottom"/>
          </w:tcPr>
          <w:p>
            <w:pPr>
              <w:ind w:left="80"/>
              <w:spacing w:after="0" w:line="12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line="123" w:lineRule="exact"/>
              <w:rPr>
                <w:sz w:val="20"/>
                <w:szCs w:val="20"/>
                <w:color w:val="auto"/>
              </w:rPr>
            </w:pPr>
            <w:r>
              <w:rPr>
                <w:rFonts w:ascii="Arial" w:cs="Arial" w:eastAsia="Arial" w:hAnsi="Arial"/>
                <w:sz w:val="12"/>
                <w:szCs w:val="12"/>
                <w:color w:val="auto"/>
              </w:rPr>
              <w:t>4,361,550</w:t>
            </w:r>
          </w:p>
        </w:tc>
        <w:tc>
          <w:tcPr>
            <w:tcW w:w="0" w:type="dxa"/>
            <w:vAlign w:val="bottom"/>
          </w:tcPr>
          <w:p>
            <w:pPr>
              <w:spacing w:after="0"/>
              <w:rPr>
                <w:sz w:val="1"/>
                <w:szCs w:val="1"/>
                <w:color w:val="auto"/>
              </w:rPr>
            </w:pPr>
          </w:p>
        </w:tc>
      </w:tr>
      <w:tr>
        <w:trPr>
          <w:trHeight w:val="133"/>
        </w:trPr>
        <w:tc>
          <w:tcPr>
            <w:tcW w:w="2720" w:type="dxa"/>
            <w:vAlign w:val="bottom"/>
          </w:tcPr>
          <w:p>
            <w:pPr>
              <w:ind w:left="60"/>
              <w:spacing w:after="0" w:line="133" w:lineRule="exact"/>
              <w:rPr>
                <w:sz w:val="20"/>
                <w:szCs w:val="20"/>
                <w:color w:val="auto"/>
              </w:rPr>
            </w:pPr>
            <w:r>
              <w:rPr>
                <w:rFonts w:ascii="Arial" w:cs="Arial" w:eastAsia="Arial" w:hAnsi="Arial"/>
                <w:sz w:val="12"/>
                <w:szCs w:val="12"/>
                <w:color w:val="auto"/>
              </w:rPr>
              <w:t>Senior Vice President</w:t>
            </w:r>
          </w:p>
        </w:tc>
        <w:tc>
          <w:tcPr>
            <w:tcW w:w="5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2017</w:t>
            </w:r>
          </w:p>
        </w:tc>
        <w:tc>
          <w:tcPr>
            <w:tcW w:w="1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827,750</w:t>
            </w:r>
          </w:p>
        </w:tc>
        <w:tc>
          <w:tcPr>
            <w:tcW w:w="32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360" w:type="dxa"/>
            <w:vAlign w:val="bottom"/>
          </w:tcPr>
          <w:p>
            <w:pPr>
              <w:ind w:left="160"/>
              <w:spacing w:after="0" w:line="133" w:lineRule="exact"/>
              <w:rPr>
                <w:sz w:val="20"/>
                <w:szCs w:val="20"/>
                <w:color w:val="auto"/>
              </w:rPr>
            </w:pPr>
            <w:r>
              <w:rPr>
                <w:rFonts w:ascii="Arial" w:cs="Arial" w:eastAsia="Arial" w:hAnsi="Arial"/>
                <w:sz w:val="12"/>
                <w:szCs w:val="12"/>
                <w:color w:val="auto"/>
              </w:rPr>
              <w:t>—</w:t>
            </w:r>
          </w:p>
        </w:tc>
        <w:tc>
          <w:tcPr>
            <w:tcW w:w="20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2,378,790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20"/>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19"/>
              <w:spacing w:after="0" w:line="133" w:lineRule="exact"/>
              <w:rPr>
                <w:sz w:val="20"/>
                <w:szCs w:val="20"/>
                <w:color w:val="auto"/>
              </w:rPr>
            </w:pPr>
            <w:r>
              <w:rPr>
                <w:rFonts w:ascii="Arial" w:cs="Arial" w:eastAsia="Arial" w:hAnsi="Arial"/>
                <w:sz w:val="12"/>
                <w:szCs w:val="12"/>
                <w:color w:val="auto"/>
              </w:rPr>
              <w:t>1,303,706</w:t>
            </w:r>
          </w:p>
        </w:tc>
        <w:tc>
          <w:tcPr>
            <w:tcW w:w="20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9"/>
              <w:spacing w:after="0" w:line="133" w:lineRule="exact"/>
              <w:rPr>
                <w:sz w:val="20"/>
                <w:szCs w:val="20"/>
                <w:color w:val="auto"/>
              </w:rPr>
            </w:pPr>
            <w:r>
              <w:rPr>
                <w:rFonts w:ascii="Arial" w:cs="Arial" w:eastAsia="Arial" w:hAnsi="Arial"/>
                <w:sz w:val="12"/>
                <w:szCs w:val="12"/>
                <w:color w:val="auto"/>
              </w:rPr>
              <w:t>87,771</w:t>
            </w:r>
          </w:p>
        </w:tc>
        <w:tc>
          <w:tcPr>
            <w:tcW w:w="26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298,823</w:t>
            </w:r>
          </w:p>
        </w:tc>
        <w:tc>
          <w:tcPr>
            <w:tcW w:w="260" w:type="dxa"/>
            <w:vAlign w:val="bottom"/>
          </w:tcPr>
          <w:p>
            <w:pPr>
              <w:ind w:left="80"/>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4,896,840</w:t>
            </w:r>
          </w:p>
        </w:tc>
        <w:tc>
          <w:tcPr>
            <w:tcW w:w="0" w:type="dxa"/>
            <w:vAlign w:val="bottom"/>
          </w:tcPr>
          <w:p>
            <w:pPr>
              <w:spacing w:after="0"/>
              <w:rPr>
                <w:sz w:val="1"/>
                <w:szCs w:val="1"/>
                <w:color w:val="auto"/>
              </w:rPr>
            </w:pPr>
          </w:p>
        </w:tc>
      </w:tr>
      <w:tr>
        <w:trPr>
          <w:trHeight w:val="133"/>
        </w:trPr>
        <w:tc>
          <w:tcPr>
            <w:tcW w:w="2720" w:type="dxa"/>
            <w:vAlign w:val="bottom"/>
          </w:tcPr>
          <w:p>
            <w:pPr>
              <w:ind w:left="60"/>
              <w:spacing w:after="0" w:line="133" w:lineRule="exact"/>
              <w:rPr>
                <w:sz w:val="20"/>
                <w:szCs w:val="20"/>
                <w:color w:val="auto"/>
              </w:rPr>
            </w:pPr>
            <w:r>
              <w:rPr>
                <w:rFonts w:ascii="Arial" w:cs="Arial" w:eastAsia="Arial" w:hAnsi="Arial"/>
                <w:sz w:val="12"/>
                <w:szCs w:val="12"/>
                <w:color w:val="auto"/>
              </w:rPr>
              <w:t>and Chief Financial</w:t>
            </w:r>
          </w:p>
        </w:tc>
        <w:tc>
          <w:tcPr>
            <w:tcW w:w="5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2016</w:t>
            </w:r>
          </w:p>
        </w:tc>
        <w:tc>
          <w:tcPr>
            <w:tcW w:w="1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787,437</w:t>
            </w:r>
          </w:p>
        </w:tc>
        <w:tc>
          <w:tcPr>
            <w:tcW w:w="32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360" w:type="dxa"/>
            <w:vAlign w:val="bottom"/>
          </w:tcPr>
          <w:p>
            <w:pPr>
              <w:ind w:left="160"/>
              <w:spacing w:after="0" w:line="133" w:lineRule="exact"/>
              <w:rPr>
                <w:sz w:val="20"/>
                <w:szCs w:val="20"/>
                <w:color w:val="auto"/>
              </w:rPr>
            </w:pPr>
            <w:r>
              <w:rPr>
                <w:rFonts w:ascii="Arial" w:cs="Arial" w:eastAsia="Arial" w:hAnsi="Arial"/>
                <w:sz w:val="12"/>
                <w:szCs w:val="12"/>
                <w:color w:val="auto"/>
              </w:rPr>
              <w:t>—</w:t>
            </w:r>
          </w:p>
        </w:tc>
        <w:tc>
          <w:tcPr>
            <w:tcW w:w="20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2,218,859</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20"/>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19"/>
              <w:spacing w:after="0" w:line="133" w:lineRule="exact"/>
              <w:rPr>
                <w:sz w:val="20"/>
                <w:szCs w:val="20"/>
                <w:color w:val="auto"/>
              </w:rPr>
            </w:pPr>
            <w:r>
              <w:rPr>
                <w:rFonts w:ascii="Arial" w:cs="Arial" w:eastAsia="Arial" w:hAnsi="Arial"/>
                <w:sz w:val="12"/>
                <w:szCs w:val="12"/>
                <w:color w:val="auto"/>
              </w:rPr>
              <w:t>1,164,240</w:t>
            </w:r>
          </w:p>
        </w:tc>
        <w:tc>
          <w:tcPr>
            <w:tcW w:w="20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9"/>
              <w:spacing w:after="0" w:line="133" w:lineRule="exact"/>
              <w:rPr>
                <w:sz w:val="20"/>
                <w:szCs w:val="20"/>
                <w:color w:val="auto"/>
              </w:rPr>
            </w:pPr>
            <w:r>
              <w:rPr>
                <w:rFonts w:ascii="Arial" w:cs="Arial" w:eastAsia="Arial" w:hAnsi="Arial"/>
                <w:sz w:val="12"/>
                <w:szCs w:val="12"/>
                <w:color w:val="auto"/>
              </w:rPr>
              <w:t>59,150</w:t>
            </w:r>
          </w:p>
        </w:tc>
        <w:tc>
          <w:tcPr>
            <w:tcW w:w="26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267,917</w:t>
            </w:r>
          </w:p>
        </w:tc>
        <w:tc>
          <w:tcPr>
            <w:tcW w:w="260" w:type="dxa"/>
            <w:vAlign w:val="bottom"/>
          </w:tcPr>
          <w:p>
            <w:pPr>
              <w:ind w:left="80"/>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4,497,603</w:t>
            </w:r>
          </w:p>
        </w:tc>
        <w:tc>
          <w:tcPr>
            <w:tcW w:w="0" w:type="dxa"/>
            <w:vAlign w:val="bottom"/>
          </w:tcPr>
          <w:p>
            <w:pPr>
              <w:spacing w:after="0"/>
              <w:rPr>
                <w:sz w:val="1"/>
                <w:szCs w:val="1"/>
                <w:color w:val="auto"/>
              </w:rPr>
            </w:pPr>
          </w:p>
        </w:tc>
      </w:tr>
      <w:tr>
        <w:trPr>
          <w:trHeight w:val="139"/>
        </w:trPr>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Officer</w:t>
            </w: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20" w:type="dxa"/>
            <w:vAlign w:val="bottom"/>
            <w:shd w:val="clear" w:color="auto" w:fill="FCE9E8"/>
          </w:tcPr>
          <w:p>
            <w:pPr>
              <w:ind w:left="60"/>
              <w:spacing w:after="0" w:line="121" w:lineRule="exact"/>
              <w:rPr>
                <w:sz w:val="20"/>
                <w:szCs w:val="20"/>
                <w:color w:val="auto"/>
              </w:rPr>
            </w:pPr>
            <w:r>
              <w:rPr>
                <w:rFonts w:ascii="Arial" w:cs="Arial" w:eastAsia="Arial" w:hAnsi="Arial"/>
                <w:sz w:val="12"/>
                <w:szCs w:val="12"/>
                <w:color w:val="auto"/>
              </w:rPr>
              <w:t>Terrence B. Larkin,</w:t>
            </w:r>
          </w:p>
        </w:tc>
        <w:tc>
          <w:tcPr>
            <w:tcW w:w="540" w:type="dxa"/>
            <w:vAlign w:val="bottom"/>
            <w:shd w:val="clear" w:color="auto" w:fill="FCE9E8"/>
          </w:tcPr>
          <w:p>
            <w:pPr>
              <w:jc w:val="right"/>
              <w:ind w:right="38"/>
              <w:spacing w:after="0" w:line="121" w:lineRule="exact"/>
              <w:rPr>
                <w:sz w:val="20"/>
                <w:szCs w:val="20"/>
                <w:color w:val="auto"/>
              </w:rPr>
            </w:pPr>
            <w:r>
              <w:rPr>
                <w:rFonts w:ascii="Arial" w:cs="Arial" w:eastAsia="Arial" w:hAnsi="Arial"/>
                <w:sz w:val="12"/>
                <w:szCs w:val="12"/>
                <w:color w:val="auto"/>
              </w:rPr>
              <w:t>2018</w:t>
            </w:r>
          </w:p>
        </w:tc>
        <w:tc>
          <w:tcPr>
            <w:tcW w:w="180" w:type="dxa"/>
            <w:vAlign w:val="bottom"/>
            <w:shd w:val="clear" w:color="auto" w:fill="FCE9E8"/>
          </w:tcPr>
          <w:p>
            <w:pPr>
              <w:jc w:val="right"/>
              <w:spacing w:after="0" w:line="121" w:lineRule="exact"/>
              <w:rPr>
                <w:sz w:val="20"/>
                <w:szCs w:val="20"/>
                <w:color w:val="auto"/>
              </w:rPr>
            </w:pPr>
            <w:r>
              <w:rPr>
                <w:rFonts w:ascii="Arial" w:cs="Arial" w:eastAsia="Arial" w:hAnsi="Arial"/>
                <w:sz w:val="12"/>
                <w:szCs w:val="12"/>
                <w:color w:val="auto"/>
              </w:rPr>
              <w:t>$</w:t>
            </w:r>
          </w:p>
        </w:tc>
        <w:tc>
          <w:tcPr>
            <w:tcW w:w="640" w:type="dxa"/>
            <w:vAlign w:val="bottom"/>
            <w:shd w:val="clear" w:color="auto" w:fill="FCE9E8"/>
          </w:tcPr>
          <w:p>
            <w:pPr>
              <w:jc w:val="right"/>
              <w:ind w:right="18"/>
              <w:spacing w:after="0" w:line="121" w:lineRule="exact"/>
              <w:rPr>
                <w:sz w:val="20"/>
                <w:szCs w:val="20"/>
                <w:color w:val="auto"/>
              </w:rPr>
            </w:pPr>
            <w:r>
              <w:rPr>
                <w:rFonts w:ascii="Arial" w:cs="Arial" w:eastAsia="Arial" w:hAnsi="Arial"/>
                <w:sz w:val="12"/>
                <w:szCs w:val="12"/>
                <w:color w:val="auto"/>
              </w:rPr>
              <w:t>855,098</w:t>
            </w:r>
          </w:p>
        </w:tc>
        <w:tc>
          <w:tcPr>
            <w:tcW w:w="320" w:type="dxa"/>
            <w:vAlign w:val="bottom"/>
            <w:shd w:val="clear" w:color="auto" w:fill="FCE9E8"/>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shd w:val="clear" w:color="auto" w:fill="FCE9E8"/>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shd w:val="clear" w:color="auto" w:fill="FCE9E8"/>
          </w:tcPr>
          <w:p>
            <w:pPr>
              <w:ind w:left="100"/>
              <w:spacing w:after="0" w:line="121" w:lineRule="exact"/>
              <w:rPr>
                <w:sz w:val="20"/>
                <w:szCs w:val="20"/>
                <w:color w:val="auto"/>
              </w:rPr>
            </w:pPr>
            <w:r>
              <w:rPr>
                <w:rFonts w:ascii="Arial" w:cs="Arial" w:eastAsia="Arial" w:hAnsi="Arial"/>
                <w:sz w:val="12"/>
                <w:szCs w:val="12"/>
                <w:color w:val="auto"/>
              </w:rPr>
              <w:t>$</w:t>
            </w:r>
          </w:p>
        </w:tc>
        <w:tc>
          <w:tcPr>
            <w:tcW w:w="660" w:type="dxa"/>
            <w:vAlign w:val="bottom"/>
            <w:shd w:val="clear" w:color="auto" w:fill="FCE9E8"/>
          </w:tcPr>
          <w:p>
            <w:pPr>
              <w:jc w:val="right"/>
              <w:ind w:right="38"/>
              <w:spacing w:after="0" w:line="121" w:lineRule="exact"/>
              <w:rPr>
                <w:sz w:val="20"/>
                <w:szCs w:val="20"/>
                <w:color w:val="auto"/>
              </w:rPr>
            </w:pPr>
            <w:r>
              <w:rPr>
                <w:rFonts w:ascii="Arial" w:cs="Arial" w:eastAsia="Arial" w:hAnsi="Arial"/>
                <w:sz w:val="12"/>
                <w:szCs w:val="12"/>
                <w:color w:val="auto"/>
              </w:rPr>
              <w:t>2,436,866</w:t>
            </w:r>
          </w:p>
        </w:tc>
        <w:tc>
          <w:tcPr>
            <w:tcW w:w="160" w:type="dxa"/>
            <w:vAlign w:val="bottom"/>
            <w:shd w:val="clear" w:color="auto" w:fill="FCE9E8"/>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FCE9E8"/>
          </w:tcPr>
          <w:p>
            <w:pPr>
              <w:ind w:left="320"/>
              <w:spacing w:after="0" w:line="121" w:lineRule="exact"/>
              <w:rPr>
                <w:sz w:val="20"/>
                <w:szCs w:val="20"/>
                <w:color w:val="auto"/>
              </w:rPr>
            </w:pPr>
            <w:r>
              <w:rPr>
                <w:rFonts w:ascii="Arial" w:cs="Arial" w:eastAsia="Arial" w:hAnsi="Arial"/>
                <w:sz w:val="12"/>
                <w:szCs w:val="12"/>
                <w:color w:val="auto"/>
              </w:rPr>
              <w:t>—</w:t>
            </w:r>
          </w:p>
        </w:tc>
        <w:tc>
          <w:tcPr>
            <w:tcW w:w="240" w:type="dxa"/>
            <w:vAlign w:val="bottom"/>
            <w:shd w:val="clear" w:color="auto" w:fill="FCE9E8"/>
          </w:tcPr>
          <w:p>
            <w:pPr>
              <w:ind w:left="100"/>
              <w:spacing w:after="0" w:line="121" w:lineRule="exact"/>
              <w:rPr>
                <w:sz w:val="20"/>
                <w:szCs w:val="20"/>
                <w:color w:val="auto"/>
              </w:rPr>
            </w:pPr>
            <w:r>
              <w:rPr>
                <w:rFonts w:ascii="Arial" w:cs="Arial" w:eastAsia="Arial" w:hAnsi="Arial"/>
                <w:sz w:val="12"/>
                <w:szCs w:val="12"/>
                <w:color w:val="auto"/>
              </w:rPr>
              <w:t>$</w:t>
            </w:r>
          </w:p>
        </w:tc>
        <w:tc>
          <w:tcPr>
            <w:tcW w:w="1000" w:type="dxa"/>
            <w:vAlign w:val="bottom"/>
            <w:shd w:val="clear" w:color="auto" w:fill="FCE9E8"/>
          </w:tcPr>
          <w:p>
            <w:pPr>
              <w:jc w:val="right"/>
              <w:ind w:right="19"/>
              <w:spacing w:after="0" w:line="121" w:lineRule="exact"/>
              <w:rPr>
                <w:sz w:val="20"/>
                <w:szCs w:val="20"/>
                <w:color w:val="auto"/>
              </w:rPr>
            </w:pPr>
            <w:r>
              <w:rPr>
                <w:rFonts w:ascii="Arial" w:cs="Arial" w:eastAsia="Arial" w:hAnsi="Arial"/>
                <w:sz w:val="12"/>
                <w:szCs w:val="12"/>
                <w:color w:val="auto"/>
              </w:rPr>
              <w:t>595,148</w:t>
            </w:r>
          </w:p>
        </w:tc>
        <w:tc>
          <w:tcPr>
            <w:tcW w:w="200" w:type="dxa"/>
            <w:vAlign w:val="bottom"/>
            <w:shd w:val="clear" w:color="auto" w:fill="FCE9E8"/>
          </w:tcPr>
          <w:p>
            <w:pPr>
              <w:ind w:left="100"/>
              <w:spacing w:after="0" w:line="121" w:lineRule="exact"/>
              <w:rPr>
                <w:sz w:val="20"/>
                <w:szCs w:val="20"/>
                <w:color w:val="auto"/>
              </w:rPr>
            </w:pPr>
            <w:r>
              <w:rPr>
                <w:rFonts w:ascii="Arial" w:cs="Arial" w:eastAsia="Arial" w:hAnsi="Arial"/>
                <w:sz w:val="12"/>
                <w:szCs w:val="12"/>
                <w:color w:val="auto"/>
              </w:rPr>
              <w:t>$</w:t>
            </w:r>
          </w:p>
        </w:tc>
        <w:tc>
          <w:tcPr>
            <w:tcW w:w="800" w:type="dxa"/>
            <w:vAlign w:val="bottom"/>
            <w:shd w:val="clear" w:color="auto" w:fill="FCE9E8"/>
          </w:tcPr>
          <w:p>
            <w:pPr>
              <w:jc w:val="right"/>
              <w:ind w:right="19"/>
              <w:spacing w:after="0" w:line="121" w:lineRule="exact"/>
              <w:rPr>
                <w:sz w:val="20"/>
                <w:szCs w:val="20"/>
                <w:color w:val="auto"/>
              </w:rPr>
            </w:pPr>
            <w:r>
              <w:rPr>
                <w:rFonts w:ascii="Arial" w:cs="Arial" w:eastAsia="Arial" w:hAnsi="Arial"/>
                <w:sz w:val="12"/>
                <w:szCs w:val="12"/>
                <w:color w:val="auto"/>
              </w:rPr>
              <w:t>—</w:t>
            </w:r>
          </w:p>
        </w:tc>
        <w:tc>
          <w:tcPr>
            <w:tcW w:w="260" w:type="dxa"/>
            <w:vAlign w:val="bottom"/>
            <w:shd w:val="clear" w:color="auto" w:fill="FCE9E8"/>
          </w:tcPr>
          <w:p>
            <w:pPr>
              <w:ind w:left="100"/>
              <w:spacing w:after="0" w:line="121" w:lineRule="exact"/>
              <w:rPr>
                <w:sz w:val="20"/>
                <w:szCs w:val="20"/>
                <w:color w:val="auto"/>
              </w:rPr>
            </w:pPr>
            <w:r>
              <w:rPr>
                <w:rFonts w:ascii="Arial" w:cs="Arial" w:eastAsia="Arial" w:hAnsi="Arial"/>
                <w:sz w:val="12"/>
                <w:szCs w:val="12"/>
                <w:color w:val="auto"/>
              </w:rPr>
              <w:t>$</w:t>
            </w:r>
          </w:p>
        </w:tc>
        <w:tc>
          <w:tcPr>
            <w:tcW w:w="960" w:type="dxa"/>
            <w:vAlign w:val="bottom"/>
            <w:shd w:val="clear" w:color="auto" w:fill="FCE9E8"/>
          </w:tcPr>
          <w:p>
            <w:pPr>
              <w:jc w:val="right"/>
              <w:ind w:right="38"/>
              <w:spacing w:after="0" w:line="121" w:lineRule="exact"/>
              <w:rPr>
                <w:sz w:val="20"/>
                <w:szCs w:val="20"/>
                <w:color w:val="auto"/>
              </w:rPr>
            </w:pPr>
            <w:r>
              <w:rPr>
                <w:rFonts w:ascii="Arial" w:cs="Arial" w:eastAsia="Arial" w:hAnsi="Arial"/>
                <w:sz w:val="12"/>
                <w:szCs w:val="12"/>
                <w:color w:val="auto"/>
              </w:rPr>
              <w:t>309,750</w:t>
            </w:r>
          </w:p>
        </w:tc>
        <w:tc>
          <w:tcPr>
            <w:tcW w:w="260" w:type="dxa"/>
            <w:vAlign w:val="bottom"/>
            <w:shd w:val="clear" w:color="auto" w:fill="FCE9E8"/>
          </w:tcPr>
          <w:p>
            <w:pPr>
              <w:ind w:left="80"/>
              <w:spacing w:after="0" w:line="121" w:lineRule="exact"/>
              <w:rPr>
                <w:sz w:val="20"/>
                <w:szCs w:val="20"/>
                <w:color w:val="auto"/>
              </w:rPr>
            </w:pPr>
            <w:r>
              <w:rPr>
                <w:rFonts w:ascii="Arial" w:cs="Arial" w:eastAsia="Arial" w:hAnsi="Arial"/>
                <w:sz w:val="12"/>
                <w:szCs w:val="12"/>
                <w:color w:val="auto"/>
              </w:rPr>
              <w:t>$</w:t>
            </w:r>
          </w:p>
        </w:tc>
        <w:tc>
          <w:tcPr>
            <w:tcW w:w="840" w:type="dxa"/>
            <w:vAlign w:val="bottom"/>
            <w:shd w:val="clear" w:color="auto" w:fill="FCE9E8"/>
          </w:tcPr>
          <w:p>
            <w:pPr>
              <w:jc w:val="right"/>
              <w:ind w:right="38"/>
              <w:spacing w:after="0" w:line="121" w:lineRule="exact"/>
              <w:rPr>
                <w:sz w:val="20"/>
                <w:szCs w:val="20"/>
                <w:color w:val="auto"/>
              </w:rPr>
            </w:pPr>
            <w:r>
              <w:rPr>
                <w:rFonts w:ascii="Arial" w:cs="Arial" w:eastAsia="Arial" w:hAnsi="Arial"/>
                <w:sz w:val="12"/>
                <w:szCs w:val="12"/>
                <w:color w:val="auto"/>
              </w:rPr>
              <w:t>4,196,862</w:t>
            </w:r>
          </w:p>
        </w:tc>
        <w:tc>
          <w:tcPr>
            <w:tcW w:w="0" w:type="dxa"/>
            <w:vAlign w:val="bottom"/>
          </w:tcPr>
          <w:p>
            <w:pPr>
              <w:spacing w:after="0"/>
              <w:rPr>
                <w:sz w:val="1"/>
                <w:szCs w:val="1"/>
                <w:color w:val="auto"/>
              </w:rPr>
            </w:pPr>
          </w:p>
        </w:tc>
      </w:tr>
      <w:tr>
        <w:trPr>
          <w:trHeight w:val="133"/>
        </w:trPr>
        <w:tc>
          <w:tcPr>
            <w:tcW w:w="2720" w:type="dxa"/>
            <w:vAlign w:val="bottom"/>
            <w:shd w:val="clear" w:color="auto" w:fill="FCE9E8"/>
          </w:tcPr>
          <w:p>
            <w:pPr>
              <w:ind w:left="60"/>
              <w:spacing w:after="0" w:line="133" w:lineRule="exact"/>
              <w:rPr>
                <w:sz w:val="20"/>
                <w:szCs w:val="20"/>
                <w:color w:val="auto"/>
              </w:rPr>
            </w:pPr>
            <w:r>
              <w:rPr>
                <w:rFonts w:ascii="Arial" w:cs="Arial" w:eastAsia="Arial" w:hAnsi="Arial"/>
                <w:sz w:val="12"/>
                <w:szCs w:val="12"/>
                <w:color w:val="auto"/>
              </w:rPr>
              <w:t>Executive Vice President,</w:t>
            </w:r>
          </w:p>
        </w:tc>
        <w:tc>
          <w:tcPr>
            <w:tcW w:w="540" w:type="dxa"/>
            <w:vAlign w:val="bottom"/>
            <w:shd w:val="clear" w:color="auto" w:fill="FCE9E8"/>
          </w:tcPr>
          <w:p>
            <w:pPr>
              <w:jc w:val="right"/>
              <w:ind w:right="38"/>
              <w:spacing w:after="0" w:line="133" w:lineRule="exact"/>
              <w:rPr>
                <w:sz w:val="20"/>
                <w:szCs w:val="20"/>
                <w:color w:val="auto"/>
              </w:rPr>
            </w:pPr>
            <w:r>
              <w:rPr>
                <w:rFonts w:ascii="Arial" w:cs="Arial" w:eastAsia="Arial" w:hAnsi="Arial"/>
                <w:sz w:val="12"/>
                <w:szCs w:val="12"/>
                <w:color w:val="auto"/>
              </w:rPr>
              <w:t>2017</w:t>
            </w:r>
          </w:p>
        </w:tc>
        <w:tc>
          <w:tcPr>
            <w:tcW w:w="180" w:type="dxa"/>
            <w:vAlign w:val="bottom"/>
            <w:shd w:val="clear" w:color="auto" w:fill="FCE9E8"/>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FCE9E8"/>
          </w:tcPr>
          <w:p>
            <w:pPr>
              <w:jc w:val="right"/>
              <w:ind w:right="18"/>
              <w:spacing w:after="0" w:line="133" w:lineRule="exact"/>
              <w:rPr>
                <w:sz w:val="20"/>
                <w:szCs w:val="20"/>
                <w:color w:val="auto"/>
              </w:rPr>
            </w:pPr>
            <w:r>
              <w:rPr>
                <w:rFonts w:ascii="Arial" w:cs="Arial" w:eastAsia="Arial" w:hAnsi="Arial"/>
                <w:sz w:val="12"/>
                <w:szCs w:val="12"/>
                <w:color w:val="auto"/>
              </w:rPr>
              <w:t>855,098</w:t>
            </w:r>
          </w:p>
        </w:tc>
        <w:tc>
          <w:tcPr>
            <w:tcW w:w="32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360" w:type="dxa"/>
            <w:vAlign w:val="bottom"/>
            <w:shd w:val="clear" w:color="auto" w:fill="FCE9E8"/>
          </w:tcPr>
          <w:p>
            <w:pPr>
              <w:ind w:left="160"/>
              <w:spacing w:after="0" w:line="133" w:lineRule="exact"/>
              <w:rPr>
                <w:sz w:val="20"/>
                <w:szCs w:val="20"/>
                <w:color w:val="auto"/>
              </w:rPr>
            </w:pPr>
            <w:r>
              <w:rPr>
                <w:rFonts w:ascii="Arial" w:cs="Arial" w:eastAsia="Arial" w:hAnsi="Arial"/>
                <w:sz w:val="12"/>
                <w:szCs w:val="12"/>
                <w:color w:val="auto"/>
              </w:rPr>
              <w:t>—</w:t>
            </w:r>
          </w:p>
        </w:tc>
        <w:tc>
          <w:tcPr>
            <w:tcW w:w="20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660" w:type="dxa"/>
            <w:vAlign w:val="bottom"/>
            <w:shd w:val="clear" w:color="auto" w:fill="FCE9E8"/>
          </w:tcPr>
          <w:p>
            <w:pPr>
              <w:jc w:val="right"/>
              <w:ind w:right="38"/>
              <w:spacing w:after="0" w:line="133" w:lineRule="exact"/>
              <w:rPr>
                <w:sz w:val="20"/>
                <w:szCs w:val="20"/>
                <w:color w:val="auto"/>
              </w:rPr>
            </w:pPr>
            <w:r>
              <w:rPr>
                <w:rFonts w:ascii="Arial" w:cs="Arial" w:eastAsia="Arial" w:hAnsi="Arial"/>
                <w:sz w:val="12"/>
                <w:szCs w:val="12"/>
                <w:color w:val="auto"/>
              </w:rPr>
              <w:t>2,566,739</w:t>
            </w:r>
          </w:p>
        </w:tc>
        <w:tc>
          <w:tcPr>
            <w:tcW w:w="160" w:type="dxa"/>
            <w:vAlign w:val="bottom"/>
            <w:shd w:val="clear" w:color="auto" w:fill="FCE9E8"/>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FCE9E8"/>
          </w:tcPr>
          <w:p>
            <w:pPr>
              <w:ind w:left="320"/>
              <w:spacing w:after="0" w:line="133" w:lineRule="exact"/>
              <w:rPr>
                <w:sz w:val="20"/>
                <w:szCs w:val="20"/>
                <w:color w:val="auto"/>
              </w:rPr>
            </w:pPr>
            <w:r>
              <w:rPr>
                <w:rFonts w:ascii="Arial" w:cs="Arial" w:eastAsia="Arial" w:hAnsi="Arial"/>
                <w:sz w:val="12"/>
                <w:szCs w:val="12"/>
                <w:color w:val="auto"/>
              </w:rPr>
              <w:t>—</w:t>
            </w:r>
          </w:p>
        </w:tc>
        <w:tc>
          <w:tcPr>
            <w:tcW w:w="24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1000" w:type="dxa"/>
            <w:vAlign w:val="bottom"/>
            <w:shd w:val="clear" w:color="auto" w:fill="FCE9E8"/>
          </w:tcPr>
          <w:p>
            <w:pPr>
              <w:jc w:val="right"/>
              <w:ind w:right="19"/>
              <w:spacing w:after="0" w:line="133" w:lineRule="exact"/>
              <w:rPr>
                <w:sz w:val="20"/>
                <w:szCs w:val="20"/>
                <w:color w:val="auto"/>
              </w:rPr>
            </w:pPr>
            <w:r>
              <w:rPr>
                <w:rFonts w:ascii="Arial" w:cs="Arial" w:eastAsia="Arial" w:hAnsi="Arial"/>
                <w:sz w:val="12"/>
                <w:szCs w:val="12"/>
                <w:color w:val="auto"/>
              </w:rPr>
              <w:t>1,197,137</w:t>
            </w:r>
          </w:p>
        </w:tc>
        <w:tc>
          <w:tcPr>
            <w:tcW w:w="20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800" w:type="dxa"/>
            <w:vAlign w:val="bottom"/>
            <w:shd w:val="clear" w:color="auto" w:fill="FCE9E8"/>
          </w:tcPr>
          <w:p>
            <w:pPr>
              <w:jc w:val="right"/>
              <w:ind w:right="19"/>
              <w:spacing w:after="0" w:line="133" w:lineRule="exact"/>
              <w:rPr>
                <w:sz w:val="20"/>
                <w:szCs w:val="20"/>
                <w:color w:val="auto"/>
              </w:rPr>
            </w:pPr>
            <w:r>
              <w:rPr>
                <w:rFonts w:ascii="Arial" w:cs="Arial" w:eastAsia="Arial" w:hAnsi="Arial"/>
                <w:sz w:val="12"/>
                <w:szCs w:val="12"/>
                <w:color w:val="auto"/>
              </w:rPr>
              <w:t>—</w:t>
            </w:r>
          </w:p>
        </w:tc>
        <w:tc>
          <w:tcPr>
            <w:tcW w:w="26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960" w:type="dxa"/>
            <w:vAlign w:val="bottom"/>
            <w:shd w:val="clear" w:color="auto" w:fill="FCE9E8"/>
          </w:tcPr>
          <w:p>
            <w:pPr>
              <w:jc w:val="right"/>
              <w:ind w:right="38"/>
              <w:spacing w:after="0" w:line="133" w:lineRule="exact"/>
              <w:rPr>
                <w:sz w:val="20"/>
                <w:szCs w:val="20"/>
                <w:color w:val="auto"/>
              </w:rPr>
            </w:pPr>
            <w:r>
              <w:rPr>
                <w:rFonts w:ascii="Arial" w:cs="Arial" w:eastAsia="Arial" w:hAnsi="Arial"/>
                <w:sz w:val="12"/>
                <w:szCs w:val="12"/>
                <w:color w:val="auto"/>
              </w:rPr>
              <w:t>310,626</w:t>
            </w:r>
          </w:p>
        </w:tc>
        <w:tc>
          <w:tcPr>
            <w:tcW w:w="260" w:type="dxa"/>
            <w:vAlign w:val="bottom"/>
            <w:shd w:val="clear" w:color="auto" w:fill="FCE9E8"/>
          </w:tcPr>
          <w:p>
            <w:pPr>
              <w:ind w:left="80"/>
              <w:spacing w:after="0" w:line="133" w:lineRule="exact"/>
              <w:rPr>
                <w:sz w:val="20"/>
                <w:szCs w:val="20"/>
                <w:color w:val="auto"/>
              </w:rPr>
            </w:pPr>
            <w:r>
              <w:rPr>
                <w:rFonts w:ascii="Arial" w:cs="Arial" w:eastAsia="Arial" w:hAnsi="Arial"/>
                <w:sz w:val="12"/>
                <w:szCs w:val="12"/>
                <w:color w:val="auto"/>
              </w:rPr>
              <w:t>$</w:t>
            </w:r>
          </w:p>
        </w:tc>
        <w:tc>
          <w:tcPr>
            <w:tcW w:w="840" w:type="dxa"/>
            <w:vAlign w:val="bottom"/>
            <w:shd w:val="clear" w:color="auto" w:fill="FCE9E8"/>
          </w:tcPr>
          <w:p>
            <w:pPr>
              <w:jc w:val="right"/>
              <w:ind w:right="38"/>
              <w:spacing w:after="0" w:line="133" w:lineRule="exact"/>
              <w:rPr>
                <w:sz w:val="20"/>
                <w:szCs w:val="20"/>
                <w:color w:val="auto"/>
              </w:rPr>
            </w:pPr>
            <w:r>
              <w:rPr>
                <w:rFonts w:ascii="Arial" w:cs="Arial" w:eastAsia="Arial" w:hAnsi="Arial"/>
                <w:sz w:val="12"/>
                <w:szCs w:val="12"/>
                <w:color w:val="auto"/>
              </w:rPr>
              <w:t>4,929,600</w:t>
            </w:r>
          </w:p>
        </w:tc>
        <w:tc>
          <w:tcPr>
            <w:tcW w:w="0" w:type="dxa"/>
            <w:vAlign w:val="bottom"/>
          </w:tcPr>
          <w:p>
            <w:pPr>
              <w:spacing w:after="0"/>
              <w:rPr>
                <w:sz w:val="1"/>
                <w:szCs w:val="1"/>
                <w:color w:val="auto"/>
              </w:rPr>
            </w:pPr>
          </w:p>
        </w:tc>
      </w:tr>
      <w:tr>
        <w:trPr>
          <w:trHeight w:val="133"/>
        </w:trPr>
        <w:tc>
          <w:tcPr>
            <w:tcW w:w="2720" w:type="dxa"/>
            <w:vAlign w:val="bottom"/>
            <w:shd w:val="clear" w:color="auto" w:fill="FCE9E8"/>
          </w:tcPr>
          <w:p>
            <w:pPr>
              <w:ind w:left="60"/>
              <w:spacing w:after="0" w:line="133" w:lineRule="exact"/>
              <w:rPr>
                <w:sz w:val="20"/>
                <w:szCs w:val="20"/>
                <w:color w:val="auto"/>
              </w:rPr>
            </w:pPr>
            <w:r>
              <w:rPr>
                <w:rFonts w:ascii="Arial" w:cs="Arial" w:eastAsia="Arial" w:hAnsi="Arial"/>
                <w:sz w:val="12"/>
                <w:szCs w:val="12"/>
                <w:color w:val="auto"/>
              </w:rPr>
              <w:t>Business Development</w:t>
            </w:r>
          </w:p>
        </w:tc>
        <w:tc>
          <w:tcPr>
            <w:tcW w:w="540" w:type="dxa"/>
            <w:vAlign w:val="bottom"/>
            <w:shd w:val="clear" w:color="auto" w:fill="FCE9E8"/>
          </w:tcPr>
          <w:p>
            <w:pPr>
              <w:jc w:val="right"/>
              <w:ind w:right="38"/>
              <w:spacing w:after="0" w:line="133" w:lineRule="exact"/>
              <w:rPr>
                <w:sz w:val="20"/>
                <w:szCs w:val="20"/>
                <w:color w:val="auto"/>
              </w:rPr>
            </w:pPr>
            <w:r>
              <w:rPr>
                <w:rFonts w:ascii="Arial" w:cs="Arial" w:eastAsia="Arial" w:hAnsi="Arial"/>
                <w:sz w:val="12"/>
                <w:szCs w:val="12"/>
                <w:color w:val="auto"/>
              </w:rPr>
              <w:t>2016</w:t>
            </w:r>
          </w:p>
        </w:tc>
        <w:tc>
          <w:tcPr>
            <w:tcW w:w="180" w:type="dxa"/>
            <w:vAlign w:val="bottom"/>
            <w:shd w:val="clear" w:color="auto" w:fill="FCE9E8"/>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FCE9E8"/>
          </w:tcPr>
          <w:p>
            <w:pPr>
              <w:jc w:val="right"/>
              <w:ind w:right="18"/>
              <w:spacing w:after="0" w:line="133" w:lineRule="exact"/>
              <w:rPr>
                <w:sz w:val="20"/>
                <w:szCs w:val="20"/>
                <w:color w:val="auto"/>
              </w:rPr>
            </w:pPr>
            <w:r>
              <w:rPr>
                <w:rFonts w:ascii="Arial" w:cs="Arial" w:eastAsia="Arial" w:hAnsi="Arial"/>
                <w:sz w:val="12"/>
                <w:szCs w:val="12"/>
                <w:color w:val="auto"/>
              </w:rPr>
              <w:t>855,098</w:t>
            </w:r>
          </w:p>
        </w:tc>
        <w:tc>
          <w:tcPr>
            <w:tcW w:w="32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360" w:type="dxa"/>
            <w:vAlign w:val="bottom"/>
            <w:shd w:val="clear" w:color="auto" w:fill="FCE9E8"/>
          </w:tcPr>
          <w:p>
            <w:pPr>
              <w:ind w:left="160"/>
              <w:spacing w:after="0" w:line="133" w:lineRule="exact"/>
              <w:rPr>
                <w:sz w:val="20"/>
                <w:szCs w:val="20"/>
                <w:color w:val="auto"/>
              </w:rPr>
            </w:pPr>
            <w:r>
              <w:rPr>
                <w:rFonts w:ascii="Arial" w:cs="Arial" w:eastAsia="Arial" w:hAnsi="Arial"/>
                <w:sz w:val="12"/>
                <w:szCs w:val="12"/>
                <w:color w:val="auto"/>
              </w:rPr>
              <w:t>—</w:t>
            </w:r>
          </w:p>
        </w:tc>
        <w:tc>
          <w:tcPr>
            <w:tcW w:w="20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660" w:type="dxa"/>
            <w:vAlign w:val="bottom"/>
            <w:shd w:val="clear" w:color="auto" w:fill="FCE9E8"/>
          </w:tcPr>
          <w:p>
            <w:pPr>
              <w:jc w:val="right"/>
              <w:ind w:right="38"/>
              <w:spacing w:after="0" w:line="133" w:lineRule="exact"/>
              <w:rPr>
                <w:sz w:val="20"/>
                <w:szCs w:val="20"/>
                <w:color w:val="auto"/>
              </w:rPr>
            </w:pPr>
            <w:r>
              <w:rPr>
                <w:rFonts w:ascii="Arial" w:cs="Arial" w:eastAsia="Arial" w:hAnsi="Arial"/>
                <w:sz w:val="12"/>
                <w:szCs w:val="12"/>
                <w:color w:val="auto"/>
              </w:rPr>
              <w:t>2,422,618</w:t>
            </w:r>
          </w:p>
        </w:tc>
        <w:tc>
          <w:tcPr>
            <w:tcW w:w="160" w:type="dxa"/>
            <w:vAlign w:val="bottom"/>
            <w:shd w:val="clear" w:color="auto" w:fill="FCE9E8"/>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FCE9E8"/>
          </w:tcPr>
          <w:p>
            <w:pPr>
              <w:ind w:left="320"/>
              <w:spacing w:after="0" w:line="133" w:lineRule="exact"/>
              <w:rPr>
                <w:sz w:val="20"/>
                <w:szCs w:val="20"/>
                <w:color w:val="auto"/>
              </w:rPr>
            </w:pPr>
            <w:r>
              <w:rPr>
                <w:rFonts w:ascii="Arial" w:cs="Arial" w:eastAsia="Arial" w:hAnsi="Arial"/>
                <w:sz w:val="12"/>
                <w:szCs w:val="12"/>
                <w:color w:val="auto"/>
              </w:rPr>
              <w:t>—</w:t>
            </w:r>
          </w:p>
        </w:tc>
        <w:tc>
          <w:tcPr>
            <w:tcW w:w="24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1000" w:type="dxa"/>
            <w:vAlign w:val="bottom"/>
            <w:shd w:val="clear" w:color="auto" w:fill="FCE9E8"/>
          </w:tcPr>
          <w:p>
            <w:pPr>
              <w:jc w:val="right"/>
              <w:ind w:right="19"/>
              <w:spacing w:after="0" w:line="133" w:lineRule="exact"/>
              <w:rPr>
                <w:sz w:val="20"/>
                <w:szCs w:val="20"/>
                <w:color w:val="auto"/>
              </w:rPr>
            </w:pPr>
            <w:r>
              <w:rPr>
                <w:rFonts w:ascii="Arial" w:cs="Arial" w:eastAsia="Arial" w:hAnsi="Arial"/>
                <w:sz w:val="12"/>
                <w:szCs w:val="12"/>
                <w:color w:val="auto"/>
              </w:rPr>
              <w:t>1,202,705</w:t>
            </w:r>
          </w:p>
        </w:tc>
        <w:tc>
          <w:tcPr>
            <w:tcW w:w="20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800" w:type="dxa"/>
            <w:vAlign w:val="bottom"/>
            <w:shd w:val="clear" w:color="auto" w:fill="FCE9E8"/>
          </w:tcPr>
          <w:p>
            <w:pPr>
              <w:jc w:val="right"/>
              <w:ind w:right="19"/>
              <w:spacing w:after="0" w:line="133" w:lineRule="exact"/>
              <w:rPr>
                <w:sz w:val="20"/>
                <w:szCs w:val="20"/>
                <w:color w:val="auto"/>
              </w:rPr>
            </w:pPr>
            <w:r>
              <w:rPr>
                <w:rFonts w:ascii="Arial" w:cs="Arial" w:eastAsia="Arial" w:hAnsi="Arial"/>
                <w:sz w:val="12"/>
                <w:szCs w:val="12"/>
                <w:color w:val="auto"/>
              </w:rPr>
              <w:t>—</w:t>
            </w:r>
          </w:p>
        </w:tc>
        <w:tc>
          <w:tcPr>
            <w:tcW w:w="260" w:type="dxa"/>
            <w:vAlign w:val="bottom"/>
            <w:shd w:val="clear" w:color="auto" w:fill="FCE9E8"/>
          </w:tcPr>
          <w:p>
            <w:pPr>
              <w:ind w:left="100"/>
              <w:spacing w:after="0" w:line="133" w:lineRule="exact"/>
              <w:rPr>
                <w:sz w:val="20"/>
                <w:szCs w:val="20"/>
                <w:color w:val="auto"/>
              </w:rPr>
            </w:pPr>
            <w:r>
              <w:rPr>
                <w:rFonts w:ascii="Arial" w:cs="Arial" w:eastAsia="Arial" w:hAnsi="Arial"/>
                <w:sz w:val="12"/>
                <w:szCs w:val="12"/>
                <w:color w:val="auto"/>
              </w:rPr>
              <w:t>$</w:t>
            </w:r>
          </w:p>
        </w:tc>
        <w:tc>
          <w:tcPr>
            <w:tcW w:w="960" w:type="dxa"/>
            <w:vAlign w:val="bottom"/>
            <w:shd w:val="clear" w:color="auto" w:fill="FCE9E8"/>
          </w:tcPr>
          <w:p>
            <w:pPr>
              <w:jc w:val="right"/>
              <w:ind w:right="38"/>
              <w:spacing w:after="0" w:line="133" w:lineRule="exact"/>
              <w:rPr>
                <w:sz w:val="20"/>
                <w:szCs w:val="20"/>
                <w:color w:val="auto"/>
              </w:rPr>
            </w:pPr>
            <w:r>
              <w:rPr>
                <w:rFonts w:ascii="Arial" w:cs="Arial" w:eastAsia="Arial" w:hAnsi="Arial"/>
                <w:sz w:val="12"/>
                <w:szCs w:val="12"/>
                <w:color w:val="auto"/>
              </w:rPr>
              <w:t>266,911</w:t>
            </w:r>
          </w:p>
        </w:tc>
        <w:tc>
          <w:tcPr>
            <w:tcW w:w="260" w:type="dxa"/>
            <w:vAlign w:val="bottom"/>
            <w:shd w:val="clear" w:color="auto" w:fill="FCE9E8"/>
          </w:tcPr>
          <w:p>
            <w:pPr>
              <w:ind w:left="80"/>
              <w:spacing w:after="0" w:line="133" w:lineRule="exact"/>
              <w:rPr>
                <w:sz w:val="20"/>
                <w:szCs w:val="20"/>
                <w:color w:val="auto"/>
              </w:rPr>
            </w:pPr>
            <w:r>
              <w:rPr>
                <w:rFonts w:ascii="Arial" w:cs="Arial" w:eastAsia="Arial" w:hAnsi="Arial"/>
                <w:sz w:val="12"/>
                <w:szCs w:val="12"/>
                <w:color w:val="auto"/>
              </w:rPr>
              <w:t>$</w:t>
            </w:r>
          </w:p>
        </w:tc>
        <w:tc>
          <w:tcPr>
            <w:tcW w:w="840" w:type="dxa"/>
            <w:vAlign w:val="bottom"/>
            <w:shd w:val="clear" w:color="auto" w:fill="FCE9E8"/>
          </w:tcPr>
          <w:p>
            <w:pPr>
              <w:jc w:val="right"/>
              <w:ind w:right="38"/>
              <w:spacing w:after="0" w:line="133" w:lineRule="exact"/>
              <w:rPr>
                <w:sz w:val="20"/>
                <w:szCs w:val="20"/>
                <w:color w:val="auto"/>
              </w:rPr>
            </w:pPr>
            <w:r>
              <w:rPr>
                <w:rFonts w:ascii="Arial" w:cs="Arial" w:eastAsia="Arial" w:hAnsi="Arial"/>
                <w:sz w:val="12"/>
                <w:szCs w:val="12"/>
                <w:color w:val="auto"/>
              </w:rPr>
              <w:t>4,747,332</w:t>
            </w:r>
          </w:p>
        </w:tc>
        <w:tc>
          <w:tcPr>
            <w:tcW w:w="0" w:type="dxa"/>
            <w:vAlign w:val="bottom"/>
          </w:tcPr>
          <w:p>
            <w:pPr>
              <w:spacing w:after="0"/>
              <w:rPr>
                <w:sz w:val="1"/>
                <w:szCs w:val="1"/>
                <w:color w:val="auto"/>
              </w:rPr>
            </w:pPr>
          </w:p>
        </w:tc>
      </w:tr>
      <w:tr>
        <w:trPr>
          <w:trHeight w:val="133"/>
        </w:trPr>
        <w:tc>
          <w:tcPr>
            <w:tcW w:w="2720" w:type="dxa"/>
            <w:vAlign w:val="bottom"/>
            <w:shd w:val="clear" w:color="auto" w:fill="FCE9E8"/>
          </w:tcPr>
          <w:p>
            <w:pPr>
              <w:ind w:left="60"/>
              <w:spacing w:after="0" w:line="133" w:lineRule="exact"/>
              <w:rPr>
                <w:sz w:val="20"/>
                <w:szCs w:val="20"/>
                <w:color w:val="auto"/>
              </w:rPr>
            </w:pPr>
            <w:r>
              <w:rPr>
                <w:rFonts w:ascii="Arial" w:cs="Arial" w:eastAsia="Arial" w:hAnsi="Arial"/>
                <w:sz w:val="12"/>
                <w:szCs w:val="12"/>
                <w:color w:val="auto"/>
              </w:rPr>
              <w:t>General Counsel and</w:t>
            </w:r>
          </w:p>
        </w:tc>
        <w:tc>
          <w:tcPr>
            <w:tcW w:w="540" w:type="dxa"/>
            <w:vAlign w:val="bottom"/>
            <w:shd w:val="clear" w:color="auto" w:fill="FCE9E8"/>
          </w:tcPr>
          <w:p>
            <w:pPr>
              <w:spacing w:after="0"/>
              <w:rPr>
                <w:sz w:val="11"/>
                <w:szCs w:val="11"/>
                <w:color w:val="auto"/>
              </w:rPr>
            </w:pPr>
          </w:p>
        </w:tc>
        <w:tc>
          <w:tcPr>
            <w:tcW w:w="18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320" w:type="dxa"/>
            <w:vAlign w:val="bottom"/>
            <w:shd w:val="clear" w:color="auto" w:fill="FCE9E8"/>
          </w:tcPr>
          <w:p>
            <w:pPr>
              <w:spacing w:after="0"/>
              <w:rPr>
                <w:sz w:val="11"/>
                <w:szCs w:val="11"/>
                <w:color w:val="auto"/>
              </w:rPr>
            </w:pPr>
          </w:p>
        </w:tc>
        <w:tc>
          <w:tcPr>
            <w:tcW w:w="360" w:type="dxa"/>
            <w:vAlign w:val="bottom"/>
            <w:shd w:val="clear" w:color="auto" w:fill="FCE9E8"/>
          </w:tcPr>
          <w:p>
            <w:pPr>
              <w:spacing w:after="0"/>
              <w:rPr>
                <w:sz w:val="11"/>
                <w:szCs w:val="11"/>
                <w:color w:val="auto"/>
              </w:rPr>
            </w:pPr>
          </w:p>
        </w:tc>
        <w:tc>
          <w:tcPr>
            <w:tcW w:w="200" w:type="dxa"/>
            <w:vAlign w:val="bottom"/>
            <w:shd w:val="clear" w:color="auto" w:fill="FCE9E8"/>
          </w:tcPr>
          <w:p>
            <w:pPr>
              <w:spacing w:after="0"/>
              <w:rPr>
                <w:sz w:val="11"/>
                <w:szCs w:val="11"/>
                <w:color w:val="auto"/>
              </w:rPr>
            </w:pPr>
          </w:p>
        </w:tc>
        <w:tc>
          <w:tcPr>
            <w:tcW w:w="660" w:type="dxa"/>
            <w:vAlign w:val="bottom"/>
            <w:shd w:val="clear" w:color="auto" w:fill="FCE9E8"/>
          </w:tcPr>
          <w:p>
            <w:pPr>
              <w:spacing w:after="0"/>
              <w:rPr>
                <w:sz w:val="11"/>
                <w:szCs w:val="11"/>
                <w:color w:val="auto"/>
              </w:rPr>
            </w:pPr>
          </w:p>
        </w:tc>
        <w:tc>
          <w:tcPr>
            <w:tcW w:w="160" w:type="dxa"/>
            <w:vAlign w:val="bottom"/>
            <w:shd w:val="clear" w:color="auto" w:fill="FCE9E8"/>
          </w:tcPr>
          <w:p>
            <w:pPr>
              <w:spacing w:after="0"/>
              <w:rPr>
                <w:sz w:val="11"/>
                <w:szCs w:val="11"/>
                <w:color w:val="auto"/>
              </w:rPr>
            </w:pPr>
          </w:p>
        </w:tc>
        <w:tc>
          <w:tcPr>
            <w:tcW w:w="540" w:type="dxa"/>
            <w:vAlign w:val="bottom"/>
            <w:shd w:val="clear" w:color="auto" w:fill="FCE9E8"/>
          </w:tcPr>
          <w:p>
            <w:pPr>
              <w:spacing w:after="0"/>
              <w:rPr>
                <w:sz w:val="11"/>
                <w:szCs w:val="11"/>
                <w:color w:val="auto"/>
              </w:rPr>
            </w:pPr>
          </w:p>
        </w:tc>
        <w:tc>
          <w:tcPr>
            <w:tcW w:w="240" w:type="dxa"/>
            <w:vAlign w:val="bottom"/>
            <w:shd w:val="clear" w:color="auto" w:fill="FCE9E8"/>
          </w:tcPr>
          <w:p>
            <w:pPr>
              <w:spacing w:after="0"/>
              <w:rPr>
                <w:sz w:val="11"/>
                <w:szCs w:val="11"/>
                <w:color w:val="auto"/>
              </w:rPr>
            </w:pPr>
          </w:p>
        </w:tc>
        <w:tc>
          <w:tcPr>
            <w:tcW w:w="1000" w:type="dxa"/>
            <w:vAlign w:val="bottom"/>
            <w:shd w:val="clear" w:color="auto" w:fill="FCE9E8"/>
          </w:tcPr>
          <w:p>
            <w:pPr>
              <w:spacing w:after="0"/>
              <w:rPr>
                <w:sz w:val="11"/>
                <w:szCs w:val="11"/>
                <w:color w:val="auto"/>
              </w:rPr>
            </w:pPr>
          </w:p>
        </w:tc>
        <w:tc>
          <w:tcPr>
            <w:tcW w:w="200" w:type="dxa"/>
            <w:vAlign w:val="bottom"/>
            <w:shd w:val="clear" w:color="auto" w:fill="FCE9E8"/>
          </w:tcPr>
          <w:p>
            <w:pPr>
              <w:spacing w:after="0"/>
              <w:rPr>
                <w:sz w:val="11"/>
                <w:szCs w:val="11"/>
                <w:color w:val="auto"/>
              </w:rPr>
            </w:pPr>
          </w:p>
        </w:tc>
        <w:tc>
          <w:tcPr>
            <w:tcW w:w="80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96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840" w:type="dxa"/>
            <w:vAlign w:val="bottom"/>
            <w:shd w:val="clear" w:color="auto" w:fill="FCE9E8"/>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720" w:type="dxa"/>
            <w:vAlign w:val="bottom"/>
            <w:tcBorders>
              <w:bottom w:val="single" w:sz="8" w:color="auto"/>
            </w:tcBorders>
            <w:shd w:val="clear" w:color="auto" w:fill="FCE9E8"/>
          </w:tcPr>
          <w:p>
            <w:pPr>
              <w:ind w:left="60"/>
              <w:spacing w:after="0"/>
              <w:rPr>
                <w:sz w:val="20"/>
                <w:szCs w:val="20"/>
                <w:color w:val="auto"/>
              </w:rPr>
            </w:pPr>
            <w:r>
              <w:rPr>
                <w:rFonts w:ascii="Arial" w:cs="Arial" w:eastAsia="Arial" w:hAnsi="Arial"/>
                <w:sz w:val="12"/>
                <w:szCs w:val="12"/>
                <w:color w:val="auto"/>
              </w:rPr>
              <w:t>Corporate Secretary</w:t>
            </w:r>
          </w:p>
        </w:tc>
        <w:tc>
          <w:tcPr>
            <w:tcW w:w="540" w:type="dxa"/>
            <w:vAlign w:val="bottom"/>
            <w:tcBorders>
              <w:bottom w:val="single" w:sz="8" w:color="auto"/>
            </w:tcBorders>
            <w:shd w:val="clear" w:color="auto" w:fill="FCE9E8"/>
          </w:tcPr>
          <w:p>
            <w:pPr>
              <w:spacing w:after="0"/>
              <w:rPr>
                <w:sz w:val="13"/>
                <w:szCs w:val="13"/>
                <w:color w:val="auto"/>
              </w:rPr>
            </w:pPr>
          </w:p>
        </w:tc>
        <w:tc>
          <w:tcPr>
            <w:tcW w:w="180" w:type="dxa"/>
            <w:vAlign w:val="bottom"/>
            <w:tcBorders>
              <w:bottom w:val="single" w:sz="8" w:color="auto"/>
            </w:tcBorders>
            <w:shd w:val="clear" w:color="auto" w:fill="FCE9E8"/>
          </w:tcPr>
          <w:p>
            <w:pPr>
              <w:spacing w:after="0"/>
              <w:rPr>
                <w:sz w:val="13"/>
                <w:szCs w:val="13"/>
                <w:color w:val="auto"/>
              </w:rPr>
            </w:pPr>
          </w:p>
        </w:tc>
        <w:tc>
          <w:tcPr>
            <w:tcW w:w="640" w:type="dxa"/>
            <w:vAlign w:val="bottom"/>
            <w:tcBorders>
              <w:bottom w:val="single" w:sz="8" w:color="auto"/>
            </w:tcBorders>
            <w:shd w:val="clear" w:color="auto" w:fill="FCE9E8"/>
          </w:tcPr>
          <w:p>
            <w:pPr>
              <w:spacing w:after="0"/>
              <w:rPr>
                <w:sz w:val="13"/>
                <w:szCs w:val="13"/>
                <w:color w:val="auto"/>
              </w:rPr>
            </w:pPr>
          </w:p>
        </w:tc>
        <w:tc>
          <w:tcPr>
            <w:tcW w:w="320" w:type="dxa"/>
            <w:vAlign w:val="bottom"/>
            <w:tcBorders>
              <w:bottom w:val="single" w:sz="8" w:color="auto"/>
            </w:tcBorders>
            <w:shd w:val="clear" w:color="auto" w:fill="FCE9E8"/>
          </w:tcPr>
          <w:p>
            <w:pPr>
              <w:spacing w:after="0"/>
              <w:rPr>
                <w:sz w:val="13"/>
                <w:szCs w:val="13"/>
                <w:color w:val="auto"/>
              </w:rPr>
            </w:pPr>
          </w:p>
        </w:tc>
        <w:tc>
          <w:tcPr>
            <w:tcW w:w="360" w:type="dxa"/>
            <w:vAlign w:val="bottom"/>
            <w:tcBorders>
              <w:bottom w:val="single" w:sz="8" w:color="auto"/>
            </w:tcBorders>
            <w:shd w:val="clear" w:color="auto" w:fill="FCE9E8"/>
          </w:tcPr>
          <w:p>
            <w:pPr>
              <w:spacing w:after="0"/>
              <w:rPr>
                <w:sz w:val="13"/>
                <w:szCs w:val="13"/>
                <w:color w:val="auto"/>
              </w:rPr>
            </w:pPr>
          </w:p>
        </w:tc>
        <w:tc>
          <w:tcPr>
            <w:tcW w:w="200" w:type="dxa"/>
            <w:vAlign w:val="bottom"/>
            <w:tcBorders>
              <w:bottom w:val="single" w:sz="8" w:color="auto"/>
            </w:tcBorders>
            <w:shd w:val="clear" w:color="auto" w:fill="FCE9E8"/>
          </w:tcPr>
          <w:p>
            <w:pPr>
              <w:spacing w:after="0"/>
              <w:rPr>
                <w:sz w:val="13"/>
                <w:szCs w:val="13"/>
                <w:color w:val="auto"/>
              </w:rPr>
            </w:pPr>
          </w:p>
        </w:tc>
        <w:tc>
          <w:tcPr>
            <w:tcW w:w="660" w:type="dxa"/>
            <w:vAlign w:val="bottom"/>
            <w:tcBorders>
              <w:bottom w:val="single" w:sz="8" w:color="auto"/>
            </w:tcBorders>
            <w:shd w:val="clear" w:color="auto" w:fill="FCE9E8"/>
          </w:tcPr>
          <w:p>
            <w:pPr>
              <w:spacing w:after="0"/>
              <w:rPr>
                <w:sz w:val="13"/>
                <w:szCs w:val="13"/>
                <w:color w:val="auto"/>
              </w:rPr>
            </w:pPr>
          </w:p>
        </w:tc>
        <w:tc>
          <w:tcPr>
            <w:tcW w:w="160" w:type="dxa"/>
            <w:vAlign w:val="bottom"/>
            <w:tcBorders>
              <w:bottom w:val="single" w:sz="8" w:color="auto"/>
            </w:tcBorders>
            <w:shd w:val="clear" w:color="auto" w:fill="FCE9E8"/>
          </w:tcPr>
          <w:p>
            <w:pPr>
              <w:spacing w:after="0"/>
              <w:rPr>
                <w:sz w:val="13"/>
                <w:szCs w:val="13"/>
                <w:color w:val="auto"/>
              </w:rPr>
            </w:pPr>
          </w:p>
        </w:tc>
        <w:tc>
          <w:tcPr>
            <w:tcW w:w="540" w:type="dxa"/>
            <w:vAlign w:val="bottom"/>
            <w:tcBorders>
              <w:bottom w:val="single" w:sz="8" w:color="auto"/>
            </w:tcBorders>
            <w:shd w:val="clear" w:color="auto" w:fill="FCE9E8"/>
          </w:tcPr>
          <w:p>
            <w:pPr>
              <w:spacing w:after="0"/>
              <w:rPr>
                <w:sz w:val="13"/>
                <w:szCs w:val="13"/>
                <w:color w:val="auto"/>
              </w:rPr>
            </w:pPr>
          </w:p>
        </w:tc>
        <w:tc>
          <w:tcPr>
            <w:tcW w:w="240" w:type="dxa"/>
            <w:vAlign w:val="bottom"/>
            <w:tcBorders>
              <w:bottom w:val="single" w:sz="8" w:color="auto"/>
            </w:tcBorders>
            <w:shd w:val="clear" w:color="auto" w:fill="FCE9E8"/>
          </w:tcPr>
          <w:p>
            <w:pPr>
              <w:spacing w:after="0"/>
              <w:rPr>
                <w:sz w:val="13"/>
                <w:szCs w:val="13"/>
                <w:color w:val="auto"/>
              </w:rPr>
            </w:pPr>
          </w:p>
        </w:tc>
        <w:tc>
          <w:tcPr>
            <w:tcW w:w="1000" w:type="dxa"/>
            <w:vAlign w:val="bottom"/>
            <w:tcBorders>
              <w:bottom w:val="single" w:sz="8" w:color="auto"/>
            </w:tcBorders>
            <w:shd w:val="clear" w:color="auto" w:fill="FCE9E8"/>
          </w:tcPr>
          <w:p>
            <w:pPr>
              <w:spacing w:after="0"/>
              <w:rPr>
                <w:sz w:val="13"/>
                <w:szCs w:val="13"/>
                <w:color w:val="auto"/>
              </w:rPr>
            </w:pPr>
          </w:p>
        </w:tc>
        <w:tc>
          <w:tcPr>
            <w:tcW w:w="200" w:type="dxa"/>
            <w:vAlign w:val="bottom"/>
            <w:tcBorders>
              <w:bottom w:val="single" w:sz="8" w:color="auto"/>
            </w:tcBorders>
            <w:shd w:val="clear" w:color="auto" w:fill="FCE9E8"/>
          </w:tcPr>
          <w:p>
            <w:pPr>
              <w:spacing w:after="0"/>
              <w:rPr>
                <w:sz w:val="13"/>
                <w:szCs w:val="13"/>
                <w:color w:val="auto"/>
              </w:rPr>
            </w:pPr>
          </w:p>
        </w:tc>
        <w:tc>
          <w:tcPr>
            <w:tcW w:w="800" w:type="dxa"/>
            <w:vAlign w:val="bottom"/>
            <w:tcBorders>
              <w:bottom w:val="single" w:sz="8" w:color="auto"/>
            </w:tcBorders>
            <w:shd w:val="clear" w:color="auto" w:fill="FCE9E8"/>
          </w:tcPr>
          <w:p>
            <w:pPr>
              <w:spacing w:after="0"/>
              <w:rPr>
                <w:sz w:val="13"/>
                <w:szCs w:val="13"/>
                <w:color w:val="auto"/>
              </w:rPr>
            </w:pPr>
          </w:p>
        </w:tc>
        <w:tc>
          <w:tcPr>
            <w:tcW w:w="260" w:type="dxa"/>
            <w:vAlign w:val="bottom"/>
            <w:tcBorders>
              <w:bottom w:val="single" w:sz="8" w:color="auto"/>
            </w:tcBorders>
            <w:shd w:val="clear" w:color="auto" w:fill="FCE9E8"/>
          </w:tcPr>
          <w:p>
            <w:pPr>
              <w:spacing w:after="0"/>
              <w:rPr>
                <w:sz w:val="13"/>
                <w:szCs w:val="13"/>
                <w:color w:val="auto"/>
              </w:rPr>
            </w:pPr>
          </w:p>
        </w:tc>
        <w:tc>
          <w:tcPr>
            <w:tcW w:w="960" w:type="dxa"/>
            <w:vAlign w:val="bottom"/>
            <w:tcBorders>
              <w:bottom w:val="single" w:sz="8" w:color="auto"/>
            </w:tcBorders>
            <w:shd w:val="clear" w:color="auto" w:fill="FCE9E8"/>
          </w:tcPr>
          <w:p>
            <w:pPr>
              <w:spacing w:after="0"/>
              <w:rPr>
                <w:sz w:val="13"/>
                <w:szCs w:val="13"/>
                <w:color w:val="auto"/>
              </w:rPr>
            </w:pPr>
          </w:p>
        </w:tc>
        <w:tc>
          <w:tcPr>
            <w:tcW w:w="260" w:type="dxa"/>
            <w:vAlign w:val="bottom"/>
            <w:tcBorders>
              <w:bottom w:val="single" w:sz="8" w:color="auto"/>
            </w:tcBorders>
            <w:shd w:val="clear" w:color="auto" w:fill="FCE9E8"/>
          </w:tcPr>
          <w:p>
            <w:pPr>
              <w:spacing w:after="0"/>
              <w:rPr>
                <w:sz w:val="13"/>
                <w:szCs w:val="13"/>
                <w:color w:val="auto"/>
              </w:rPr>
            </w:pPr>
          </w:p>
        </w:tc>
        <w:tc>
          <w:tcPr>
            <w:tcW w:w="84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720" w:type="dxa"/>
            <w:vAlign w:val="bottom"/>
          </w:tcPr>
          <w:p>
            <w:pPr>
              <w:ind w:left="60"/>
              <w:spacing w:after="0" w:line="123" w:lineRule="exact"/>
              <w:rPr>
                <w:sz w:val="20"/>
                <w:szCs w:val="20"/>
                <w:color w:val="auto"/>
              </w:rPr>
            </w:pPr>
            <w:r>
              <w:rPr>
                <w:rFonts w:ascii="Arial" w:cs="Arial" w:eastAsia="Arial" w:hAnsi="Arial"/>
                <w:sz w:val="12"/>
                <w:szCs w:val="12"/>
                <w:color w:val="auto"/>
              </w:rPr>
              <w:t>Frank C. Orsini,</w:t>
            </w:r>
          </w:p>
        </w:tc>
        <w:tc>
          <w:tcPr>
            <w:tcW w:w="540" w:type="dxa"/>
            <w:vAlign w:val="bottom"/>
          </w:tcPr>
          <w:p>
            <w:pPr>
              <w:jc w:val="right"/>
              <w:ind w:right="38"/>
              <w:spacing w:after="0" w:line="123" w:lineRule="exact"/>
              <w:rPr>
                <w:sz w:val="20"/>
                <w:szCs w:val="20"/>
                <w:color w:val="auto"/>
              </w:rPr>
            </w:pPr>
            <w:r>
              <w:rPr>
                <w:rFonts w:ascii="Arial" w:cs="Arial" w:eastAsia="Arial" w:hAnsi="Arial"/>
                <w:sz w:val="12"/>
                <w:szCs w:val="12"/>
                <w:color w:val="auto"/>
              </w:rPr>
              <w:t>2018</w:t>
            </w:r>
          </w:p>
        </w:tc>
        <w:tc>
          <w:tcPr>
            <w:tcW w:w="180" w:type="dxa"/>
            <w:vAlign w:val="bottom"/>
          </w:tcPr>
          <w:p>
            <w:pPr>
              <w:jc w:val="right"/>
              <w:spacing w:after="0" w:line="123"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line="123" w:lineRule="exact"/>
              <w:rPr>
                <w:sz w:val="20"/>
                <w:szCs w:val="20"/>
                <w:color w:val="auto"/>
              </w:rPr>
            </w:pPr>
            <w:r>
              <w:rPr>
                <w:rFonts w:ascii="Arial" w:cs="Arial" w:eastAsia="Arial" w:hAnsi="Arial"/>
                <w:sz w:val="12"/>
                <w:szCs w:val="12"/>
                <w:color w:val="auto"/>
              </w:rPr>
              <w:t>764,396</w:t>
            </w:r>
          </w:p>
        </w:tc>
        <w:tc>
          <w:tcPr>
            <w:tcW w:w="320" w:type="dxa"/>
            <w:vAlign w:val="bottom"/>
          </w:tcPr>
          <w:p>
            <w:pPr>
              <w:ind w:left="100"/>
              <w:spacing w:after="0" w:line="123" w:lineRule="exact"/>
              <w:rPr>
                <w:sz w:val="20"/>
                <w:szCs w:val="20"/>
                <w:color w:val="auto"/>
              </w:rPr>
            </w:pPr>
            <w:r>
              <w:rPr>
                <w:rFonts w:ascii="Arial" w:cs="Arial" w:eastAsia="Arial" w:hAnsi="Arial"/>
                <w:sz w:val="12"/>
                <w:szCs w:val="12"/>
                <w:color w:val="auto"/>
              </w:rPr>
              <w:t>$</w:t>
            </w:r>
          </w:p>
        </w:tc>
        <w:tc>
          <w:tcPr>
            <w:tcW w:w="360" w:type="dxa"/>
            <w:vAlign w:val="bottom"/>
          </w:tcPr>
          <w:p>
            <w:pPr>
              <w:ind w:left="160"/>
              <w:spacing w:after="0" w:line="123" w:lineRule="exact"/>
              <w:rPr>
                <w:sz w:val="20"/>
                <w:szCs w:val="20"/>
                <w:color w:val="auto"/>
              </w:rPr>
            </w:pPr>
            <w:r>
              <w:rPr>
                <w:rFonts w:ascii="Arial" w:cs="Arial" w:eastAsia="Arial" w:hAnsi="Arial"/>
                <w:sz w:val="12"/>
                <w:szCs w:val="12"/>
                <w:color w:val="auto"/>
              </w:rPr>
              <w:t>—</w:t>
            </w:r>
          </w:p>
        </w:tc>
        <w:tc>
          <w:tcPr>
            <w:tcW w:w="200" w:type="dxa"/>
            <w:vAlign w:val="bottom"/>
          </w:tcPr>
          <w:p>
            <w:pPr>
              <w:ind w:left="100"/>
              <w:spacing w:after="0" w:line="12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38"/>
              <w:spacing w:after="0" w:line="123" w:lineRule="exact"/>
              <w:rPr>
                <w:sz w:val="20"/>
                <w:szCs w:val="20"/>
                <w:color w:val="auto"/>
              </w:rPr>
            </w:pPr>
            <w:r>
              <w:rPr>
                <w:rFonts w:ascii="Arial" w:cs="Arial" w:eastAsia="Arial" w:hAnsi="Arial"/>
                <w:sz w:val="12"/>
                <w:szCs w:val="12"/>
                <w:color w:val="auto"/>
              </w:rPr>
              <w:t>2,474,496</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20"/>
              <w:spacing w:after="0" w:line="123" w:lineRule="exact"/>
              <w:rPr>
                <w:sz w:val="20"/>
                <w:szCs w:val="20"/>
                <w:color w:val="auto"/>
              </w:rPr>
            </w:pPr>
            <w:r>
              <w:rPr>
                <w:rFonts w:ascii="Arial" w:cs="Arial" w:eastAsia="Arial" w:hAnsi="Arial"/>
                <w:sz w:val="12"/>
                <w:szCs w:val="12"/>
                <w:color w:val="auto"/>
              </w:rPr>
              <w:t>—</w:t>
            </w:r>
          </w:p>
        </w:tc>
        <w:tc>
          <w:tcPr>
            <w:tcW w:w="240" w:type="dxa"/>
            <w:vAlign w:val="bottom"/>
          </w:tcPr>
          <w:p>
            <w:pPr>
              <w:ind w:left="100"/>
              <w:spacing w:after="0" w:line="123"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19"/>
              <w:spacing w:after="0" w:line="123" w:lineRule="exact"/>
              <w:rPr>
                <w:sz w:val="20"/>
                <w:szCs w:val="20"/>
                <w:color w:val="auto"/>
              </w:rPr>
            </w:pPr>
            <w:r>
              <w:rPr>
                <w:rFonts w:ascii="Arial" w:cs="Arial" w:eastAsia="Arial" w:hAnsi="Arial"/>
                <w:sz w:val="12"/>
                <w:szCs w:val="12"/>
                <w:color w:val="auto"/>
              </w:rPr>
              <w:t>658,713</w:t>
            </w:r>
          </w:p>
        </w:tc>
        <w:tc>
          <w:tcPr>
            <w:tcW w:w="200" w:type="dxa"/>
            <w:vAlign w:val="bottom"/>
          </w:tcPr>
          <w:p>
            <w:pPr>
              <w:ind w:left="100"/>
              <w:spacing w:after="0" w:line="12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9"/>
              <w:spacing w:after="0" w:line="123" w:lineRule="exact"/>
              <w:rPr>
                <w:sz w:val="20"/>
                <w:szCs w:val="20"/>
                <w:color w:val="auto"/>
              </w:rPr>
            </w:pPr>
            <w:r>
              <w:rPr>
                <w:rFonts w:ascii="Arial" w:cs="Arial" w:eastAsia="Arial" w:hAnsi="Arial"/>
                <w:sz w:val="12"/>
                <w:szCs w:val="12"/>
                <w:color w:val="auto"/>
              </w:rPr>
              <w:t>—</w:t>
            </w:r>
          </w:p>
        </w:tc>
        <w:tc>
          <w:tcPr>
            <w:tcW w:w="260" w:type="dxa"/>
            <w:vAlign w:val="bottom"/>
          </w:tcPr>
          <w:p>
            <w:pPr>
              <w:ind w:left="100"/>
              <w:spacing w:after="0" w:line="12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38"/>
              <w:spacing w:after="0" w:line="123" w:lineRule="exact"/>
              <w:rPr>
                <w:sz w:val="20"/>
                <w:szCs w:val="20"/>
                <w:color w:val="auto"/>
              </w:rPr>
            </w:pPr>
            <w:r>
              <w:rPr>
                <w:rFonts w:ascii="Arial" w:cs="Arial" w:eastAsia="Arial" w:hAnsi="Arial"/>
                <w:sz w:val="12"/>
                <w:szCs w:val="12"/>
                <w:color w:val="auto"/>
              </w:rPr>
              <w:t>258,037</w:t>
            </w:r>
          </w:p>
        </w:tc>
        <w:tc>
          <w:tcPr>
            <w:tcW w:w="260" w:type="dxa"/>
            <w:vAlign w:val="bottom"/>
          </w:tcPr>
          <w:p>
            <w:pPr>
              <w:ind w:left="80"/>
              <w:spacing w:after="0" w:line="12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line="123" w:lineRule="exact"/>
              <w:rPr>
                <w:sz w:val="20"/>
                <w:szCs w:val="20"/>
                <w:color w:val="auto"/>
              </w:rPr>
            </w:pPr>
            <w:r>
              <w:rPr>
                <w:rFonts w:ascii="Arial" w:cs="Arial" w:eastAsia="Arial" w:hAnsi="Arial"/>
                <w:sz w:val="12"/>
                <w:szCs w:val="12"/>
                <w:color w:val="auto"/>
              </w:rPr>
              <w:t>4,155,642</w:t>
            </w:r>
          </w:p>
        </w:tc>
        <w:tc>
          <w:tcPr>
            <w:tcW w:w="0" w:type="dxa"/>
            <w:vAlign w:val="bottom"/>
          </w:tcPr>
          <w:p>
            <w:pPr>
              <w:spacing w:after="0"/>
              <w:rPr>
                <w:sz w:val="1"/>
                <w:szCs w:val="1"/>
                <w:color w:val="auto"/>
              </w:rPr>
            </w:pPr>
          </w:p>
        </w:tc>
      </w:tr>
      <w:tr>
        <w:trPr>
          <w:trHeight w:val="133"/>
        </w:trPr>
        <w:tc>
          <w:tcPr>
            <w:tcW w:w="2720" w:type="dxa"/>
            <w:vAlign w:val="bottom"/>
          </w:tcPr>
          <w:p>
            <w:pPr>
              <w:ind w:left="60"/>
              <w:spacing w:after="0" w:line="133" w:lineRule="exact"/>
              <w:rPr>
                <w:sz w:val="20"/>
                <w:szCs w:val="20"/>
                <w:color w:val="auto"/>
              </w:rPr>
            </w:pPr>
            <w:r>
              <w:rPr>
                <w:rFonts w:ascii="Arial" w:cs="Arial" w:eastAsia="Arial" w:hAnsi="Arial"/>
                <w:sz w:val="12"/>
                <w:szCs w:val="12"/>
                <w:color w:val="auto"/>
              </w:rPr>
              <w:t>Executive Vice President,</w:t>
            </w:r>
          </w:p>
        </w:tc>
        <w:tc>
          <w:tcPr>
            <w:tcW w:w="5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2017</w:t>
            </w:r>
          </w:p>
        </w:tc>
        <w:tc>
          <w:tcPr>
            <w:tcW w:w="1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736,375</w:t>
            </w:r>
          </w:p>
        </w:tc>
        <w:tc>
          <w:tcPr>
            <w:tcW w:w="32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360" w:type="dxa"/>
            <w:vAlign w:val="bottom"/>
          </w:tcPr>
          <w:p>
            <w:pPr>
              <w:ind w:left="160"/>
              <w:spacing w:after="0" w:line="133" w:lineRule="exact"/>
              <w:rPr>
                <w:sz w:val="20"/>
                <w:szCs w:val="20"/>
                <w:color w:val="auto"/>
              </w:rPr>
            </w:pPr>
            <w:r>
              <w:rPr>
                <w:rFonts w:ascii="Arial" w:cs="Arial" w:eastAsia="Arial" w:hAnsi="Arial"/>
                <w:sz w:val="12"/>
                <w:szCs w:val="12"/>
                <w:color w:val="auto"/>
              </w:rPr>
              <w:t>—</w:t>
            </w:r>
          </w:p>
        </w:tc>
        <w:tc>
          <w:tcPr>
            <w:tcW w:w="20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2,151,892</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20"/>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19"/>
              <w:spacing w:after="0" w:line="133" w:lineRule="exact"/>
              <w:rPr>
                <w:sz w:val="20"/>
                <w:szCs w:val="20"/>
                <w:color w:val="auto"/>
              </w:rPr>
            </w:pPr>
            <w:r>
              <w:rPr>
                <w:rFonts w:ascii="Arial" w:cs="Arial" w:eastAsia="Arial" w:hAnsi="Arial"/>
                <w:sz w:val="12"/>
                <w:szCs w:val="12"/>
                <w:color w:val="auto"/>
              </w:rPr>
              <w:t>1,159,791</w:t>
            </w:r>
          </w:p>
        </w:tc>
        <w:tc>
          <w:tcPr>
            <w:tcW w:w="20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9"/>
              <w:spacing w:after="0" w:line="133" w:lineRule="exact"/>
              <w:rPr>
                <w:sz w:val="20"/>
                <w:szCs w:val="20"/>
                <w:color w:val="auto"/>
              </w:rPr>
            </w:pPr>
            <w:r>
              <w:rPr>
                <w:rFonts w:ascii="Arial" w:cs="Arial" w:eastAsia="Arial" w:hAnsi="Arial"/>
                <w:sz w:val="12"/>
                <w:szCs w:val="12"/>
                <w:color w:val="auto"/>
              </w:rPr>
              <w:t>61,174</w:t>
            </w:r>
          </w:p>
        </w:tc>
        <w:tc>
          <w:tcPr>
            <w:tcW w:w="26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237,541</w:t>
            </w:r>
          </w:p>
        </w:tc>
        <w:tc>
          <w:tcPr>
            <w:tcW w:w="260" w:type="dxa"/>
            <w:vAlign w:val="bottom"/>
          </w:tcPr>
          <w:p>
            <w:pPr>
              <w:ind w:left="80"/>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4,346,773</w:t>
            </w:r>
          </w:p>
        </w:tc>
        <w:tc>
          <w:tcPr>
            <w:tcW w:w="0" w:type="dxa"/>
            <w:vAlign w:val="bottom"/>
          </w:tcPr>
          <w:p>
            <w:pPr>
              <w:spacing w:after="0"/>
              <w:rPr>
                <w:sz w:val="1"/>
                <w:szCs w:val="1"/>
                <w:color w:val="auto"/>
              </w:rPr>
            </w:pPr>
          </w:p>
        </w:tc>
      </w:tr>
      <w:tr>
        <w:trPr>
          <w:trHeight w:val="133"/>
        </w:trPr>
        <w:tc>
          <w:tcPr>
            <w:tcW w:w="2720" w:type="dxa"/>
            <w:vAlign w:val="bottom"/>
          </w:tcPr>
          <w:p>
            <w:pPr>
              <w:ind w:left="60"/>
              <w:spacing w:after="0" w:line="133" w:lineRule="exact"/>
              <w:rPr>
                <w:sz w:val="20"/>
                <w:szCs w:val="20"/>
                <w:color w:val="auto"/>
              </w:rPr>
            </w:pPr>
            <w:r>
              <w:rPr>
                <w:rFonts w:ascii="Arial" w:cs="Arial" w:eastAsia="Arial" w:hAnsi="Arial"/>
                <w:sz w:val="12"/>
                <w:szCs w:val="12"/>
                <w:color w:val="auto"/>
              </w:rPr>
              <w:t>and President, Seating;</w:t>
            </w:r>
          </w:p>
        </w:tc>
        <w:tc>
          <w:tcPr>
            <w:tcW w:w="5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2016</w:t>
            </w:r>
          </w:p>
        </w:tc>
        <w:tc>
          <w:tcPr>
            <w:tcW w:w="1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736,375</w:t>
            </w:r>
          </w:p>
        </w:tc>
        <w:tc>
          <w:tcPr>
            <w:tcW w:w="32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360" w:type="dxa"/>
            <w:vAlign w:val="bottom"/>
          </w:tcPr>
          <w:p>
            <w:pPr>
              <w:ind w:left="160"/>
              <w:spacing w:after="0" w:line="133" w:lineRule="exact"/>
              <w:rPr>
                <w:sz w:val="20"/>
                <w:szCs w:val="20"/>
                <w:color w:val="auto"/>
              </w:rPr>
            </w:pPr>
            <w:r>
              <w:rPr>
                <w:rFonts w:ascii="Arial" w:cs="Arial" w:eastAsia="Arial" w:hAnsi="Arial"/>
                <w:sz w:val="12"/>
                <w:szCs w:val="12"/>
                <w:color w:val="auto"/>
              </w:rPr>
              <w:t>—</w:t>
            </w:r>
          </w:p>
        </w:tc>
        <w:tc>
          <w:tcPr>
            <w:tcW w:w="20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2,024,162</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20"/>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19"/>
              <w:spacing w:after="0" w:line="133" w:lineRule="exact"/>
              <w:rPr>
                <w:sz w:val="20"/>
                <w:szCs w:val="20"/>
                <w:color w:val="auto"/>
              </w:rPr>
            </w:pPr>
            <w:r>
              <w:rPr>
                <w:rFonts w:ascii="Arial" w:cs="Arial" w:eastAsia="Arial" w:hAnsi="Arial"/>
                <w:sz w:val="12"/>
                <w:szCs w:val="12"/>
                <w:color w:val="auto"/>
              </w:rPr>
              <w:t>1,035,720</w:t>
            </w:r>
          </w:p>
        </w:tc>
        <w:tc>
          <w:tcPr>
            <w:tcW w:w="20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9"/>
              <w:spacing w:after="0" w:line="133" w:lineRule="exact"/>
              <w:rPr>
                <w:sz w:val="20"/>
                <w:szCs w:val="20"/>
                <w:color w:val="auto"/>
              </w:rPr>
            </w:pPr>
            <w:r>
              <w:rPr>
                <w:rFonts w:ascii="Arial" w:cs="Arial" w:eastAsia="Arial" w:hAnsi="Arial"/>
                <w:sz w:val="12"/>
                <w:szCs w:val="12"/>
                <w:color w:val="auto"/>
              </w:rPr>
              <w:t>42,188</w:t>
            </w:r>
          </w:p>
        </w:tc>
        <w:tc>
          <w:tcPr>
            <w:tcW w:w="26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225,545</w:t>
            </w:r>
          </w:p>
        </w:tc>
        <w:tc>
          <w:tcPr>
            <w:tcW w:w="260" w:type="dxa"/>
            <w:vAlign w:val="bottom"/>
          </w:tcPr>
          <w:p>
            <w:pPr>
              <w:ind w:left="80"/>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4,063,990</w:t>
            </w:r>
          </w:p>
        </w:tc>
        <w:tc>
          <w:tcPr>
            <w:tcW w:w="0" w:type="dxa"/>
            <w:vAlign w:val="bottom"/>
          </w:tcPr>
          <w:p>
            <w:pPr>
              <w:spacing w:after="0"/>
              <w:rPr>
                <w:sz w:val="1"/>
                <w:szCs w:val="1"/>
                <w:color w:val="auto"/>
              </w:rPr>
            </w:pPr>
          </w:p>
        </w:tc>
      </w:tr>
      <w:tr>
        <w:trPr>
          <w:trHeight w:val="133"/>
        </w:trPr>
        <w:tc>
          <w:tcPr>
            <w:tcW w:w="2720" w:type="dxa"/>
            <w:vAlign w:val="bottom"/>
          </w:tcPr>
          <w:p>
            <w:pPr>
              <w:ind w:left="60"/>
              <w:spacing w:after="0" w:line="133" w:lineRule="exact"/>
              <w:rPr>
                <w:sz w:val="20"/>
                <w:szCs w:val="20"/>
                <w:color w:val="auto"/>
              </w:rPr>
            </w:pPr>
            <w:r>
              <w:rPr>
                <w:rFonts w:ascii="Arial" w:cs="Arial" w:eastAsia="Arial" w:hAnsi="Arial"/>
                <w:sz w:val="12"/>
                <w:szCs w:val="12"/>
                <w:color w:val="auto"/>
              </w:rPr>
              <w:t>Former Senior Vice</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20" w:type="dxa"/>
            <w:vAlign w:val="bottom"/>
          </w:tcPr>
          <w:p>
            <w:pPr>
              <w:ind w:left="60"/>
              <w:spacing w:after="0" w:line="133" w:lineRule="exact"/>
              <w:rPr>
                <w:sz w:val="20"/>
                <w:szCs w:val="20"/>
                <w:color w:val="auto"/>
              </w:rPr>
            </w:pPr>
            <w:r>
              <w:rPr>
                <w:rFonts w:ascii="Arial" w:cs="Arial" w:eastAsia="Arial" w:hAnsi="Arial"/>
                <w:sz w:val="12"/>
                <w:szCs w:val="12"/>
                <w:color w:val="auto"/>
              </w:rPr>
              <w:t>President and President,</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E-Systems</w:t>
            </w: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720" w:type="dxa"/>
            <w:vAlign w:val="bottom"/>
            <w:shd w:val="clear" w:color="auto" w:fill="FCE9E8"/>
          </w:tcPr>
          <w:p>
            <w:pPr>
              <w:ind w:left="60"/>
              <w:spacing w:after="0" w:line="123" w:lineRule="exact"/>
              <w:rPr>
                <w:sz w:val="20"/>
                <w:szCs w:val="20"/>
                <w:color w:val="auto"/>
              </w:rPr>
            </w:pPr>
            <w:r>
              <w:rPr>
                <w:rFonts w:ascii="Arial" w:cs="Arial" w:eastAsia="Arial" w:hAnsi="Arial"/>
                <w:sz w:val="12"/>
                <w:szCs w:val="12"/>
                <w:color w:val="auto"/>
              </w:rPr>
              <w:t>Thomas A. DiDonato,</w:t>
            </w:r>
            <w:r>
              <w:rPr>
                <w:rFonts w:ascii="Arial" w:cs="Arial" w:eastAsia="Arial" w:hAnsi="Arial"/>
                <w:sz w:val="10"/>
                <w:szCs w:val="10"/>
                <w:color w:val="auto"/>
              </w:rPr>
              <w:t>(5)</w:t>
            </w:r>
          </w:p>
        </w:tc>
        <w:tc>
          <w:tcPr>
            <w:tcW w:w="540" w:type="dxa"/>
            <w:vAlign w:val="bottom"/>
            <w:shd w:val="clear" w:color="auto" w:fill="FCE9E8"/>
          </w:tcPr>
          <w:p>
            <w:pPr>
              <w:jc w:val="right"/>
              <w:ind w:right="38"/>
              <w:spacing w:after="0" w:line="123" w:lineRule="exact"/>
              <w:rPr>
                <w:sz w:val="20"/>
                <w:szCs w:val="20"/>
                <w:color w:val="auto"/>
              </w:rPr>
            </w:pPr>
            <w:r>
              <w:rPr>
                <w:rFonts w:ascii="Arial" w:cs="Arial" w:eastAsia="Arial" w:hAnsi="Arial"/>
                <w:sz w:val="12"/>
                <w:szCs w:val="12"/>
                <w:color w:val="auto"/>
              </w:rPr>
              <w:t>2018</w:t>
            </w:r>
          </w:p>
        </w:tc>
        <w:tc>
          <w:tcPr>
            <w:tcW w:w="180" w:type="dxa"/>
            <w:vAlign w:val="bottom"/>
            <w:shd w:val="clear" w:color="auto" w:fill="FCE9E8"/>
          </w:tcPr>
          <w:p>
            <w:pPr>
              <w:jc w:val="right"/>
              <w:spacing w:after="0" w:line="123" w:lineRule="exact"/>
              <w:rPr>
                <w:sz w:val="20"/>
                <w:szCs w:val="20"/>
                <w:color w:val="auto"/>
              </w:rPr>
            </w:pPr>
            <w:r>
              <w:rPr>
                <w:rFonts w:ascii="Arial" w:cs="Arial" w:eastAsia="Arial" w:hAnsi="Arial"/>
                <w:sz w:val="12"/>
                <w:szCs w:val="12"/>
                <w:color w:val="auto"/>
              </w:rPr>
              <w:t>$</w:t>
            </w:r>
          </w:p>
        </w:tc>
        <w:tc>
          <w:tcPr>
            <w:tcW w:w="640" w:type="dxa"/>
            <w:vAlign w:val="bottom"/>
            <w:shd w:val="clear" w:color="auto" w:fill="FCE9E8"/>
          </w:tcPr>
          <w:p>
            <w:pPr>
              <w:jc w:val="right"/>
              <w:ind w:right="18"/>
              <w:spacing w:after="0" w:line="123" w:lineRule="exact"/>
              <w:rPr>
                <w:sz w:val="20"/>
                <w:szCs w:val="20"/>
                <w:color w:val="auto"/>
              </w:rPr>
            </w:pPr>
            <w:r>
              <w:rPr>
                <w:rFonts w:ascii="Arial" w:cs="Arial" w:eastAsia="Arial" w:hAnsi="Arial"/>
                <w:sz w:val="12"/>
                <w:szCs w:val="12"/>
                <w:color w:val="auto"/>
              </w:rPr>
              <w:t>671,875</w:t>
            </w:r>
          </w:p>
        </w:tc>
        <w:tc>
          <w:tcPr>
            <w:tcW w:w="320" w:type="dxa"/>
            <w:vAlign w:val="bottom"/>
            <w:shd w:val="clear" w:color="auto" w:fill="FCE9E8"/>
          </w:tcPr>
          <w:p>
            <w:pPr>
              <w:ind w:left="100"/>
              <w:spacing w:after="0" w:line="123" w:lineRule="exact"/>
              <w:rPr>
                <w:sz w:val="20"/>
                <w:szCs w:val="20"/>
                <w:color w:val="auto"/>
              </w:rPr>
            </w:pPr>
            <w:r>
              <w:rPr>
                <w:rFonts w:ascii="Arial" w:cs="Arial" w:eastAsia="Arial" w:hAnsi="Arial"/>
                <w:sz w:val="12"/>
                <w:szCs w:val="12"/>
                <w:color w:val="auto"/>
              </w:rPr>
              <w:t>$</w:t>
            </w:r>
          </w:p>
        </w:tc>
        <w:tc>
          <w:tcPr>
            <w:tcW w:w="360" w:type="dxa"/>
            <w:vAlign w:val="bottom"/>
            <w:shd w:val="clear" w:color="auto" w:fill="FCE9E8"/>
          </w:tcPr>
          <w:p>
            <w:pPr>
              <w:ind w:left="160"/>
              <w:spacing w:after="0" w:line="123" w:lineRule="exact"/>
              <w:rPr>
                <w:sz w:val="20"/>
                <w:szCs w:val="20"/>
                <w:color w:val="auto"/>
              </w:rPr>
            </w:pPr>
            <w:r>
              <w:rPr>
                <w:rFonts w:ascii="Arial" w:cs="Arial" w:eastAsia="Arial" w:hAnsi="Arial"/>
                <w:sz w:val="12"/>
                <w:szCs w:val="12"/>
                <w:color w:val="auto"/>
              </w:rPr>
              <w:t>—</w:t>
            </w:r>
          </w:p>
        </w:tc>
        <w:tc>
          <w:tcPr>
            <w:tcW w:w="200" w:type="dxa"/>
            <w:vAlign w:val="bottom"/>
            <w:shd w:val="clear" w:color="auto" w:fill="FCE9E8"/>
          </w:tcPr>
          <w:p>
            <w:pPr>
              <w:ind w:left="100"/>
              <w:spacing w:after="0" w:line="123" w:lineRule="exact"/>
              <w:rPr>
                <w:sz w:val="20"/>
                <w:szCs w:val="20"/>
                <w:color w:val="auto"/>
              </w:rPr>
            </w:pPr>
            <w:r>
              <w:rPr>
                <w:rFonts w:ascii="Arial" w:cs="Arial" w:eastAsia="Arial" w:hAnsi="Arial"/>
                <w:sz w:val="12"/>
                <w:szCs w:val="12"/>
                <w:color w:val="auto"/>
              </w:rPr>
              <w:t>$</w:t>
            </w:r>
          </w:p>
        </w:tc>
        <w:tc>
          <w:tcPr>
            <w:tcW w:w="660" w:type="dxa"/>
            <w:vAlign w:val="bottom"/>
            <w:shd w:val="clear" w:color="auto" w:fill="FCE9E8"/>
          </w:tcPr>
          <w:p>
            <w:pPr>
              <w:jc w:val="right"/>
              <w:ind w:right="38"/>
              <w:spacing w:after="0" w:line="123" w:lineRule="exact"/>
              <w:rPr>
                <w:sz w:val="20"/>
                <w:szCs w:val="20"/>
                <w:color w:val="auto"/>
              </w:rPr>
            </w:pPr>
            <w:r>
              <w:rPr>
                <w:rFonts w:ascii="Arial" w:cs="Arial" w:eastAsia="Arial" w:hAnsi="Arial"/>
                <w:sz w:val="12"/>
                <w:szCs w:val="12"/>
                <w:color w:val="auto"/>
              </w:rPr>
              <w:t>2,113,925</w:t>
            </w:r>
          </w:p>
        </w:tc>
        <w:tc>
          <w:tcPr>
            <w:tcW w:w="160" w:type="dxa"/>
            <w:vAlign w:val="bottom"/>
            <w:shd w:val="clear" w:color="auto" w:fill="FCE9E8"/>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FCE9E8"/>
          </w:tcPr>
          <w:p>
            <w:pPr>
              <w:ind w:left="320"/>
              <w:spacing w:after="0" w:line="123" w:lineRule="exact"/>
              <w:rPr>
                <w:sz w:val="20"/>
                <w:szCs w:val="20"/>
                <w:color w:val="auto"/>
              </w:rPr>
            </w:pPr>
            <w:r>
              <w:rPr>
                <w:rFonts w:ascii="Arial" w:cs="Arial" w:eastAsia="Arial" w:hAnsi="Arial"/>
                <w:sz w:val="12"/>
                <w:szCs w:val="12"/>
                <w:color w:val="auto"/>
              </w:rPr>
              <w:t>—</w:t>
            </w:r>
          </w:p>
        </w:tc>
        <w:tc>
          <w:tcPr>
            <w:tcW w:w="240" w:type="dxa"/>
            <w:vAlign w:val="bottom"/>
            <w:shd w:val="clear" w:color="auto" w:fill="FCE9E8"/>
          </w:tcPr>
          <w:p>
            <w:pPr>
              <w:ind w:left="100"/>
              <w:spacing w:after="0" w:line="123" w:lineRule="exact"/>
              <w:rPr>
                <w:sz w:val="20"/>
                <w:szCs w:val="20"/>
                <w:color w:val="auto"/>
              </w:rPr>
            </w:pPr>
            <w:r>
              <w:rPr>
                <w:rFonts w:ascii="Arial" w:cs="Arial" w:eastAsia="Arial" w:hAnsi="Arial"/>
                <w:sz w:val="12"/>
                <w:szCs w:val="12"/>
                <w:color w:val="auto"/>
              </w:rPr>
              <w:t>$</w:t>
            </w:r>
          </w:p>
        </w:tc>
        <w:tc>
          <w:tcPr>
            <w:tcW w:w="1000" w:type="dxa"/>
            <w:vAlign w:val="bottom"/>
            <w:shd w:val="clear" w:color="auto" w:fill="FCE9E8"/>
          </w:tcPr>
          <w:p>
            <w:pPr>
              <w:jc w:val="right"/>
              <w:ind w:right="19"/>
              <w:spacing w:after="0" w:line="123" w:lineRule="exact"/>
              <w:rPr>
                <w:sz w:val="20"/>
                <w:szCs w:val="20"/>
                <w:color w:val="auto"/>
              </w:rPr>
            </w:pPr>
            <w:r>
              <w:rPr>
                <w:rFonts w:ascii="Arial" w:cs="Arial" w:eastAsia="Arial" w:hAnsi="Arial"/>
                <w:sz w:val="12"/>
                <w:szCs w:val="12"/>
                <w:color w:val="auto"/>
              </w:rPr>
              <w:t>467,625</w:t>
            </w:r>
          </w:p>
        </w:tc>
        <w:tc>
          <w:tcPr>
            <w:tcW w:w="200" w:type="dxa"/>
            <w:vAlign w:val="bottom"/>
            <w:shd w:val="clear" w:color="auto" w:fill="FCE9E8"/>
          </w:tcPr>
          <w:p>
            <w:pPr>
              <w:ind w:left="100"/>
              <w:spacing w:after="0" w:line="123" w:lineRule="exact"/>
              <w:rPr>
                <w:sz w:val="20"/>
                <w:szCs w:val="20"/>
                <w:color w:val="auto"/>
              </w:rPr>
            </w:pPr>
            <w:r>
              <w:rPr>
                <w:rFonts w:ascii="Arial" w:cs="Arial" w:eastAsia="Arial" w:hAnsi="Arial"/>
                <w:sz w:val="12"/>
                <w:szCs w:val="12"/>
                <w:color w:val="auto"/>
              </w:rPr>
              <w:t>$</w:t>
            </w:r>
          </w:p>
        </w:tc>
        <w:tc>
          <w:tcPr>
            <w:tcW w:w="800" w:type="dxa"/>
            <w:vAlign w:val="bottom"/>
            <w:shd w:val="clear" w:color="auto" w:fill="FCE9E8"/>
          </w:tcPr>
          <w:p>
            <w:pPr>
              <w:jc w:val="right"/>
              <w:ind w:right="19"/>
              <w:spacing w:after="0" w:line="123" w:lineRule="exact"/>
              <w:rPr>
                <w:sz w:val="20"/>
                <w:szCs w:val="20"/>
                <w:color w:val="auto"/>
              </w:rPr>
            </w:pPr>
            <w:r>
              <w:rPr>
                <w:rFonts w:ascii="Arial" w:cs="Arial" w:eastAsia="Arial" w:hAnsi="Arial"/>
                <w:sz w:val="12"/>
                <w:szCs w:val="12"/>
                <w:color w:val="auto"/>
              </w:rPr>
              <w:t>—</w:t>
            </w:r>
          </w:p>
        </w:tc>
        <w:tc>
          <w:tcPr>
            <w:tcW w:w="260" w:type="dxa"/>
            <w:vAlign w:val="bottom"/>
            <w:shd w:val="clear" w:color="auto" w:fill="FCE9E8"/>
          </w:tcPr>
          <w:p>
            <w:pPr>
              <w:ind w:left="100"/>
              <w:spacing w:after="0" w:line="123" w:lineRule="exact"/>
              <w:rPr>
                <w:sz w:val="20"/>
                <w:szCs w:val="20"/>
                <w:color w:val="auto"/>
              </w:rPr>
            </w:pPr>
            <w:r>
              <w:rPr>
                <w:rFonts w:ascii="Arial" w:cs="Arial" w:eastAsia="Arial" w:hAnsi="Arial"/>
                <w:sz w:val="12"/>
                <w:szCs w:val="12"/>
                <w:color w:val="auto"/>
              </w:rPr>
              <w:t>$</w:t>
            </w:r>
          </w:p>
        </w:tc>
        <w:tc>
          <w:tcPr>
            <w:tcW w:w="960" w:type="dxa"/>
            <w:vAlign w:val="bottom"/>
            <w:shd w:val="clear" w:color="auto" w:fill="FCE9E8"/>
          </w:tcPr>
          <w:p>
            <w:pPr>
              <w:jc w:val="right"/>
              <w:ind w:right="38"/>
              <w:spacing w:after="0" w:line="123" w:lineRule="exact"/>
              <w:rPr>
                <w:sz w:val="20"/>
                <w:szCs w:val="20"/>
                <w:color w:val="auto"/>
              </w:rPr>
            </w:pPr>
            <w:r>
              <w:rPr>
                <w:rFonts w:ascii="Arial" w:cs="Arial" w:eastAsia="Arial" w:hAnsi="Arial"/>
                <w:sz w:val="12"/>
                <w:szCs w:val="12"/>
                <w:color w:val="auto"/>
              </w:rPr>
              <w:t>220,244</w:t>
            </w:r>
          </w:p>
        </w:tc>
        <w:tc>
          <w:tcPr>
            <w:tcW w:w="260" w:type="dxa"/>
            <w:vAlign w:val="bottom"/>
            <w:shd w:val="clear" w:color="auto" w:fill="FCE9E8"/>
          </w:tcPr>
          <w:p>
            <w:pPr>
              <w:ind w:left="80"/>
              <w:spacing w:after="0" w:line="123" w:lineRule="exact"/>
              <w:rPr>
                <w:sz w:val="20"/>
                <w:szCs w:val="20"/>
                <w:color w:val="auto"/>
              </w:rPr>
            </w:pPr>
            <w:r>
              <w:rPr>
                <w:rFonts w:ascii="Arial" w:cs="Arial" w:eastAsia="Arial" w:hAnsi="Arial"/>
                <w:sz w:val="12"/>
                <w:szCs w:val="12"/>
                <w:color w:val="auto"/>
              </w:rPr>
              <w:t>$</w:t>
            </w:r>
          </w:p>
        </w:tc>
        <w:tc>
          <w:tcPr>
            <w:tcW w:w="840" w:type="dxa"/>
            <w:vAlign w:val="bottom"/>
            <w:shd w:val="clear" w:color="auto" w:fill="FCE9E8"/>
          </w:tcPr>
          <w:p>
            <w:pPr>
              <w:jc w:val="right"/>
              <w:ind w:right="38"/>
              <w:spacing w:after="0" w:line="123" w:lineRule="exact"/>
              <w:rPr>
                <w:sz w:val="20"/>
                <w:szCs w:val="20"/>
                <w:color w:val="auto"/>
              </w:rPr>
            </w:pPr>
            <w:r>
              <w:rPr>
                <w:rFonts w:ascii="Arial" w:cs="Arial" w:eastAsia="Arial" w:hAnsi="Arial"/>
                <w:sz w:val="12"/>
                <w:szCs w:val="12"/>
                <w:color w:val="auto"/>
              </w:rPr>
              <w:t>3,473,669</w:t>
            </w:r>
          </w:p>
        </w:tc>
        <w:tc>
          <w:tcPr>
            <w:tcW w:w="0" w:type="dxa"/>
            <w:vAlign w:val="bottom"/>
          </w:tcPr>
          <w:p>
            <w:pPr>
              <w:spacing w:after="0"/>
              <w:rPr>
                <w:sz w:val="1"/>
                <w:szCs w:val="1"/>
                <w:color w:val="auto"/>
              </w:rPr>
            </w:pPr>
          </w:p>
        </w:tc>
      </w:tr>
      <w:tr>
        <w:trPr>
          <w:trHeight w:val="133"/>
        </w:trPr>
        <w:tc>
          <w:tcPr>
            <w:tcW w:w="2720" w:type="dxa"/>
            <w:vAlign w:val="bottom"/>
            <w:shd w:val="clear" w:color="auto" w:fill="FCE9E8"/>
          </w:tcPr>
          <w:p>
            <w:pPr>
              <w:ind w:left="60"/>
              <w:spacing w:after="0" w:line="133" w:lineRule="exact"/>
              <w:rPr>
                <w:sz w:val="20"/>
                <w:szCs w:val="20"/>
                <w:color w:val="auto"/>
              </w:rPr>
            </w:pPr>
            <w:r>
              <w:rPr>
                <w:rFonts w:ascii="Arial" w:cs="Arial" w:eastAsia="Arial" w:hAnsi="Arial"/>
                <w:sz w:val="12"/>
                <w:szCs w:val="12"/>
                <w:color w:val="auto"/>
              </w:rPr>
              <w:t>Senior Vice President and</w:t>
            </w:r>
          </w:p>
        </w:tc>
        <w:tc>
          <w:tcPr>
            <w:tcW w:w="540" w:type="dxa"/>
            <w:vAlign w:val="bottom"/>
            <w:shd w:val="clear" w:color="auto" w:fill="FCE9E8"/>
          </w:tcPr>
          <w:p>
            <w:pPr>
              <w:spacing w:after="0"/>
              <w:rPr>
                <w:sz w:val="11"/>
                <w:szCs w:val="11"/>
                <w:color w:val="auto"/>
              </w:rPr>
            </w:pPr>
          </w:p>
        </w:tc>
        <w:tc>
          <w:tcPr>
            <w:tcW w:w="18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320" w:type="dxa"/>
            <w:vAlign w:val="bottom"/>
            <w:shd w:val="clear" w:color="auto" w:fill="FCE9E8"/>
          </w:tcPr>
          <w:p>
            <w:pPr>
              <w:spacing w:after="0"/>
              <w:rPr>
                <w:sz w:val="11"/>
                <w:szCs w:val="11"/>
                <w:color w:val="auto"/>
              </w:rPr>
            </w:pPr>
          </w:p>
        </w:tc>
        <w:tc>
          <w:tcPr>
            <w:tcW w:w="360" w:type="dxa"/>
            <w:vAlign w:val="bottom"/>
            <w:shd w:val="clear" w:color="auto" w:fill="FCE9E8"/>
          </w:tcPr>
          <w:p>
            <w:pPr>
              <w:spacing w:after="0"/>
              <w:rPr>
                <w:sz w:val="11"/>
                <w:szCs w:val="11"/>
                <w:color w:val="auto"/>
              </w:rPr>
            </w:pPr>
          </w:p>
        </w:tc>
        <w:tc>
          <w:tcPr>
            <w:tcW w:w="200" w:type="dxa"/>
            <w:vAlign w:val="bottom"/>
            <w:shd w:val="clear" w:color="auto" w:fill="FCE9E8"/>
          </w:tcPr>
          <w:p>
            <w:pPr>
              <w:spacing w:after="0"/>
              <w:rPr>
                <w:sz w:val="11"/>
                <w:szCs w:val="11"/>
                <w:color w:val="auto"/>
              </w:rPr>
            </w:pPr>
          </w:p>
        </w:tc>
        <w:tc>
          <w:tcPr>
            <w:tcW w:w="660" w:type="dxa"/>
            <w:vAlign w:val="bottom"/>
            <w:shd w:val="clear" w:color="auto" w:fill="FCE9E8"/>
          </w:tcPr>
          <w:p>
            <w:pPr>
              <w:spacing w:after="0"/>
              <w:rPr>
                <w:sz w:val="11"/>
                <w:szCs w:val="11"/>
                <w:color w:val="auto"/>
              </w:rPr>
            </w:pPr>
          </w:p>
        </w:tc>
        <w:tc>
          <w:tcPr>
            <w:tcW w:w="160" w:type="dxa"/>
            <w:vAlign w:val="bottom"/>
            <w:shd w:val="clear" w:color="auto" w:fill="FCE9E8"/>
          </w:tcPr>
          <w:p>
            <w:pPr>
              <w:spacing w:after="0"/>
              <w:rPr>
                <w:sz w:val="11"/>
                <w:szCs w:val="11"/>
                <w:color w:val="auto"/>
              </w:rPr>
            </w:pPr>
          </w:p>
        </w:tc>
        <w:tc>
          <w:tcPr>
            <w:tcW w:w="540" w:type="dxa"/>
            <w:vAlign w:val="bottom"/>
            <w:shd w:val="clear" w:color="auto" w:fill="FCE9E8"/>
          </w:tcPr>
          <w:p>
            <w:pPr>
              <w:spacing w:after="0"/>
              <w:rPr>
                <w:sz w:val="11"/>
                <w:szCs w:val="11"/>
                <w:color w:val="auto"/>
              </w:rPr>
            </w:pPr>
          </w:p>
        </w:tc>
        <w:tc>
          <w:tcPr>
            <w:tcW w:w="240" w:type="dxa"/>
            <w:vAlign w:val="bottom"/>
            <w:shd w:val="clear" w:color="auto" w:fill="FCE9E8"/>
          </w:tcPr>
          <w:p>
            <w:pPr>
              <w:spacing w:after="0"/>
              <w:rPr>
                <w:sz w:val="11"/>
                <w:szCs w:val="11"/>
                <w:color w:val="auto"/>
              </w:rPr>
            </w:pPr>
          </w:p>
        </w:tc>
        <w:tc>
          <w:tcPr>
            <w:tcW w:w="1000" w:type="dxa"/>
            <w:vAlign w:val="bottom"/>
            <w:shd w:val="clear" w:color="auto" w:fill="FCE9E8"/>
          </w:tcPr>
          <w:p>
            <w:pPr>
              <w:spacing w:after="0"/>
              <w:rPr>
                <w:sz w:val="11"/>
                <w:szCs w:val="11"/>
                <w:color w:val="auto"/>
              </w:rPr>
            </w:pPr>
          </w:p>
        </w:tc>
        <w:tc>
          <w:tcPr>
            <w:tcW w:w="200" w:type="dxa"/>
            <w:vAlign w:val="bottom"/>
            <w:shd w:val="clear" w:color="auto" w:fill="FCE9E8"/>
          </w:tcPr>
          <w:p>
            <w:pPr>
              <w:spacing w:after="0"/>
              <w:rPr>
                <w:sz w:val="11"/>
                <w:szCs w:val="11"/>
                <w:color w:val="auto"/>
              </w:rPr>
            </w:pPr>
          </w:p>
        </w:tc>
        <w:tc>
          <w:tcPr>
            <w:tcW w:w="80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96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840" w:type="dxa"/>
            <w:vAlign w:val="bottom"/>
            <w:shd w:val="clear" w:color="auto" w:fill="FCE9E8"/>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20" w:type="dxa"/>
            <w:vAlign w:val="bottom"/>
            <w:shd w:val="clear" w:color="auto" w:fill="FCE9E8"/>
          </w:tcPr>
          <w:p>
            <w:pPr>
              <w:ind w:left="60"/>
              <w:spacing w:after="0" w:line="133" w:lineRule="exact"/>
              <w:rPr>
                <w:sz w:val="20"/>
                <w:szCs w:val="20"/>
                <w:color w:val="auto"/>
              </w:rPr>
            </w:pPr>
            <w:r>
              <w:rPr>
                <w:rFonts w:ascii="Arial" w:cs="Arial" w:eastAsia="Arial" w:hAnsi="Arial"/>
                <w:sz w:val="12"/>
                <w:szCs w:val="12"/>
                <w:color w:val="auto"/>
              </w:rPr>
              <w:t>Chief Administrative</w:t>
            </w:r>
          </w:p>
        </w:tc>
        <w:tc>
          <w:tcPr>
            <w:tcW w:w="540" w:type="dxa"/>
            <w:vAlign w:val="bottom"/>
            <w:shd w:val="clear" w:color="auto" w:fill="FCE9E8"/>
          </w:tcPr>
          <w:p>
            <w:pPr>
              <w:spacing w:after="0"/>
              <w:rPr>
                <w:sz w:val="11"/>
                <w:szCs w:val="11"/>
                <w:color w:val="auto"/>
              </w:rPr>
            </w:pPr>
          </w:p>
        </w:tc>
        <w:tc>
          <w:tcPr>
            <w:tcW w:w="18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320" w:type="dxa"/>
            <w:vAlign w:val="bottom"/>
            <w:shd w:val="clear" w:color="auto" w:fill="FCE9E8"/>
          </w:tcPr>
          <w:p>
            <w:pPr>
              <w:spacing w:after="0"/>
              <w:rPr>
                <w:sz w:val="11"/>
                <w:szCs w:val="11"/>
                <w:color w:val="auto"/>
              </w:rPr>
            </w:pPr>
          </w:p>
        </w:tc>
        <w:tc>
          <w:tcPr>
            <w:tcW w:w="360" w:type="dxa"/>
            <w:vAlign w:val="bottom"/>
            <w:shd w:val="clear" w:color="auto" w:fill="FCE9E8"/>
          </w:tcPr>
          <w:p>
            <w:pPr>
              <w:spacing w:after="0"/>
              <w:rPr>
                <w:sz w:val="11"/>
                <w:szCs w:val="11"/>
                <w:color w:val="auto"/>
              </w:rPr>
            </w:pPr>
          </w:p>
        </w:tc>
        <w:tc>
          <w:tcPr>
            <w:tcW w:w="200" w:type="dxa"/>
            <w:vAlign w:val="bottom"/>
            <w:shd w:val="clear" w:color="auto" w:fill="FCE9E8"/>
          </w:tcPr>
          <w:p>
            <w:pPr>
              <w:spacing w:after="0"/>
              <w:rPr>
                <w:sz w:val="11"/>
                <w:szCs w:val="11"/>
                <w:color w:val="auto"/>
              </w:rPr>
            </w:pPr>
          </w:p>
        </w:tc>
        <w:tc>
          <w:tcPr>
            <w:tcW w:w="660" w:type="dxa"/>
            <w:vAlign w:val="bottom"/>
            <w:shd w:val="clear" w:color="auto" w:fill="FCE9E8"/>
          </w:tcPr>
          <w:p>
            <w:pPr>
              <w:spacing w:after="0"/>
              <w:rPr>
                <w:sz w:val="11"/>
                <w:szCs w:val="11"/>
                <w:color w:val="auto"/>
              </w:rPr>
            </w:pPr>
          </w:p>
        </w:tc>
        <w:tc>
          <w:tcPr>
            <w:tcW w:w="160" w:type="dxa"/>
            <w:vAlign w:val="bottom"/>
            <w:shd w:val="clear" w:color="auto" w:fill="FCE9E8"/>
          </w:tcPr>
          <w:p>
            <w:pPr>
              <w:spacing w:after="0"/>
              <w:rPr>
                <w:sz w:val="11"/>
                <w:szCs w:val="11"/>
                <w:color w:val="auto"/>
              </w:rPr>
            </w:pPr>
          </w:p>
        </w:tc>
        <w:tc>
          <w:tcPr>
            <w:tcW w:w="540" w:type="dxa"/>
            <w:vAlign w:val="bottom"/>
            <w:shd w:val="clear" w:color="auto" w:fill="FCE9E8"/>
          </w:tcPr>
          <w:p>
            <w:pPr>
              <w:spacing w:after="0"/>
              <w:rPr>
                <w:sz w:val="11"/>
                <w:szCs w:val="11"/>
                <w:color w:val="auto"/>
              </w:rPr>
            </w:pPr>
          </w:p>
        </w:tc>
        <w:tc>
          <w:tcPr>
            <w:tcW w:w="240" w:type="dxa"/>
            <w:vAlign w:val="bottom"/>
            <w:shd w:val="clear" w:color="auto" w:fill="FCE9E8"/>
          </w:tcPr>
          <w:p>
            <w:pPr>
              <w:spacing w:after="0"/>
              <w:rPr>
                <w:sz w:val="11"/>
                <w:szCs w:val="11"/>
                <w:color w:val="auto"/>
              </w:rPr>
            </w:pPr>
          </w:p>
        </w:tc>
        <w:tc>
          <w:tcPr>
            <w:tcW w:w="1000" w:type="dxa"/>
            <w:vAlign w:val="bottom"/>
            <w:shd w:val="clear" w:color="auto" w:fill="FCE9E8"/>
          </w:tcPr>
          <w:p>
            <w:pPr>
              <w:spacing w:after="0"/>
              <w:rPr>
                <w:sz w:val="11"/>
                <w:szCs w:val="11"/>
                <w:color w:val="auto"/>
              </w:rPr>
            </w:pPr>
          </w:p>
        </w:tc>
        <w:tc>
          <w:tcPr>
            <w:tcW w:w="200" w:type="dxa"/>
            <w:vAlign w:val="bottom"/>
            <w:shd w:val="clear" w:color="auto" w:fill="FCE9E8"/>
          </w:tcPr>
          <w:p>
            <w:pPr>
              <w:spacing w:after="0"/>
              <w:rPr>
                <w:sz w:val="11"/>
                <w:szCs w:val="11"/>
                <w:color w:val="auto"/>
              </w:rPr>
            </w:pPr>
          </w:p>
        </w:tc>
        <w:tc>
          <w:tcPr>
            <w:tcW w:w="80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96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840" w:type="dxa"/>
            <w:vAlign w:val="bottom"/>
            <w:shd w:val="clear" w:color="auto" w:fill="FCE9E8"/>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20" w:type="dxa"/>
            <w:vAlign w:val="bottom"/>
            <w:shd w:val="clear" w:color="auto" w:fill="FCE9E8"/>
          </w:tcPr>
          <w:p>
            <w:pPr>
              <w:ind w:left="60"/>
              <w:spacing w:after="0" w:line="133" w:lineRule="exact"/>
              <w:rPr>
                <w:sz w:val="20"/>
                <w:szCs w:val="20"/>
                <w:color w:val="auto"/>
              </w:rPr>
            </w:pPr>
            <w:r>
              <w:rPr>
                <w:rFonts w:ascii="Arial" w:cs="Arial" w:eastAsia="Arial" w:hAnsi="Arial"/>
                <w:sz w:val="12"/>
                <w:szCs w:val="12"/>
                <w:color w:val="auto"/>
              </w:rPr>
              <w:t>Officer; Former Senior</w:t>
            </w:r>
          </w:p>
        </w:tc>
        <w:tc>
          <w:tcPr>
            <w:tcW w:w="540" w:type="dxa"/>
            <w:vAlign w:val="bottom"/>
            <w:shd w:val="clear" w:color="auto" w:fill="FCE9E8"/>
          </w:tcPr>
          <w:p>
            <w:pPr>
              <w:spacing w:after="0"/>
              <w:rPr>
                <w:sz w:val="11"/>
                <w:szCs w:val="11"/>
                <w:color w:val="auto"/>
              </w:rPr>
            </w:pPr>
          </w:p>
        </w:tc>
        <w:tc>
          <w:tcPr>
            <w:tcW w:w="18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320" w:type="dxa"/>
            <w:vAlign w:val="bottom"/>
            <w:shd w:val="clear" w:color="auto" w:fill="FCE9E8"/>
          </w:tcPr>
          <w:p>
            <w:pPr>
              <w:spacing w:after="0"/>
              <w:rPr>
                <w:sz w:val="11"/>
                <w:szCs w:val="11"/>
                <w:color w:val="auto"/>
              </w:rPr>
            </w:pPr>
          </w:p>
        </w:tc>
        <w:tc>
          <w:tcPr>
            <w:tcW w:w="360" w:type="dxa"/>
            <w:vAlign w:val="bottom"/>
            <w:shd w:val="clear" w:color="auto" w:fill="FCE9E8"/>
          </w:tcPr>
          <w:p>
            <w:pPr>
              <w:spacing w:after="0"/>
              <w:rPr>
                <w:sz w:val="11"/>
                <w:szCs w:val="11"/>
                <w:color w:val="auto"/>
              </w:rPr>
            </w:pPr>
          </w:p>
        </w:tc>
        <w:tc>
          <w:tcPr>
            <w:tcW w:w="200" w:type="dxa"/>
            <w:vAlign w:val="bottom"/>
            <w:shd w:val="clear" w:color="auto" w:fill="FCE9E8"/>
          </w:tcPr>
          <w:p>
            <w:pPr>
              <w:spacing w:after="0"/>
              <w:rPr>
                <w:sz w:val="11"/>
                <w:szCs w:val="11"/>
                <w:color w:val="auto"/>
              </w:rPr>
            </w:pPr>
          </w:p>
        </w:tc>
        <w:tc>
          <w:tcPr>
            <w:tcW w:w="660" w:type="dxa"/>
            <w:vAlign w:val="bottom"/>
            <w:shd w:val="clear" w:color="auto" w:fill="FCE9E8"/>
          </w:tcPr>
          <w:p>
            <w:pPr>
              <w:spacing w:after="0"/>
              <w:rPr>
                <w:sz w:val="11"/>
                <w:szCs w:val="11"/>
                <w:color w:val="auto"/>
              </w:rPr>
            </w:pPr>
          </w:p>
        </w:tc>
        <w:tc>
          <w:tcPr>
            <w:tcW w:w="160" w:type="dxa"/>
            <w:vAlign w:val="bottom"/>
            <w:shd w:val="clear" w:color="auto" w:fill="FCE9E8"/>
          </w:tcPr>
          <w:p>
            <w:pPr>
              <w:spacing w:after="0"/>
              <w:rPr>
                <w:sz w:val="11"/>
                <w:szCs w:val="11"/>
                <w:color w:val="auto"/>
              </w:rPr>
            </w:pPr>
          </w:p>
        </w:tc>
        <w:tc>
          <w:tcPr>
            <w:tcW w:w="540" w:type="dxa"/>
            <w:vAlign w:val="bottom"/>
            <w:shd w:val="clear" w:color="auto" w:fill="FCE9E8"/>
          </w:tcPr>
          <w:p>
            <w:pPr>
              <w:spacing w:after="0"/>
              <w:rPr>
                <w:sz w:val="11"/>
                <w:szCs w:val="11"/>
                <w:color w:val="auto"/>
              </w:rPr>
            </w:pPr>
          </w:p>
        </w:tc>
        <w:tc>
          <w:tcPr>
            <w:tcW w:w="240" w:type="dxa"/>
            <w:vAlign w:val="bottom"/>
            <w:shd w:val="clear" w:color="auto" w:fill="FCE9E8"/>
          </w:tcPr>
          <w:p>
            <w:pPr>
              <w:spacing w:after="0"/>
              <w:rPr>
                <w:sz w:val="11"/>
                <w:szCs w:val="11"/>
                <w:color w:val="auto"/>
              </w:rPr>
            </w:pPr>
          </w:p>
        </w:tc>
        <w:tc>
          <w:tcPr>
            <w:tcW w:w="1000" w:type="dxa"/>
            <w:vAlign w:val="bottom"/>
            <w:shd w:val="clear" w:color="auto" w:fill="FCE9E8"/>
          </w:tcPr>
          <w:p>
            <w:pPr>
              <w:spacing w:after="0"/>
              <w:rPr>
                <w:sz w:val="11"/>
                <w:szCs w:val="11"/>
                <w:color w:val="auto"/>
              </w:rPr>
            </w:pPr>
          </w:p>
        </w:tc>
        <w:tc>
          <w:tcPr>
            <w:tcW w:w="200" w:type="dxa"/>
            <w:vAlign w:val="bottom"/>
            <w:shd w:val="clear" w:color="auto" w:fill="FCE9E8"/>
          </w:tcPr>
          <w:p>
            <w:pPr>
              <w:spacing w:after="0"/>
              <w:rPr>
                <w:sz w:val="11"/>
                <w:szCs w:val="11"/>
                <w:color w:val="auto"/>
              </w:rPr>
            </w:pPr>
          </w:p>
        </w:tc>
        <w:tc>
          <w:tcPr>
            <w:tcW w:w="80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96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840" w:type="dxa"/>
            <w:vAlign w:val="bottom"/>
            <w:shd w:val="clear" w:color="auto" w:fill="FCE9E8"/>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20" w:type="dxa"/>
            <w:vAlign w:val="bottom"/>
            <w:shd w:val="clear" w:color="auto" w:fill="FCE9E8"/>
          </w:tcPr>
          <w:p>
            <w:pPr>
              <w:ind w:left="60"/>
              <w:spacing w:after="0" w:line="133" w:lineRule="exact"/>
              <w:rPr>
                <w:sz w:val="20"/>
                <w:szCs w:val="20"/>
                <w:color w:val="auto"/>
              </w:rPr>
            </w:pPr>
            <w:r>
              <w:rPr>
                <w:rFonts w:ascii="Arial" w:cs="Arial" w:eastAsia="Arial" w:hAnsi="Arial"/>
                <w:sz w:val="12"/>
                <w:szCs w:val="12"/>
                <w:color w:val="auto"/>
              </w:rPr>
              <w:t>Vice President,</w:t>
            </w:r>
          </w:p>
        </w:tc>
        <w:tc>
          <w:tcPr>
            <w:tcW w:w="540" w:type="dxa"/>
            <w:vAlign w:val="bottom"/>
            <w:shd w:val="clear" w:color="auto" w:fill="FCE9E8"/>
          </w:tcPr>
          <w:p>
            <w:pPr>
              <w:spacing w:after="0"/>
              <w:rPr>
                <w:sz w:val="11"/>
                <w:szCs w:val="11"/>
                <w:color w:val="auto"/>
              </w:rPr>
            </w:pPr>
          </w:p>
        </w:tc>
        <w:tc>
          <w:tcPr>
            <w:tcW w:w="18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320" w:type="dxa"/>
            <w:vAlign w:val="bottom"/>
            <w:shd w:val="clear" w:color="auto" w:fill="FCE9E8"/>
          </w:tcPr>
          <w:p>
            <w:pPr>
              <w:spacing w:after="0"/>
              <w:rPr>
                <w:sz w:val="11"/>
                <w:szCs w:val="11"/>
                <w:color w:val="auto"/>
              </w:rPr>
            </w:pPr>
          </w:p>
        </w:tc>
        <w:tc>
          <w:tcPr>
            <w:tcW w:w="360" w:type="dxa"/>
            <w:vAlign w:val="bottom"/>
            <w:shd w:val="clear" w:color="auto" w:fill="FCE9E8"/>
          </w:tcPr>
          <w:p>
            <w:pPr>
              <w:spacing w:after="0"/>
              <w:rPr>
                <w:sz w:val="11"/>
                <w:szCs w:val="11"/>
                <w:color w:val="auto"/>
              </w:rPr>
            </w:pPr>
          </w:p>
        </w:tc>
        <w:tc>
          <w:tcPr>
            <w:tcW w:w="200" w:type="dxa"/>
            <w:vAlign w:val="bottom"/>
            <w:shd w:val="clear" w:color="auto" w:fill="FCE9E8"/>
          </w:tcPr>
          <w:p>
            <w:pPr>
              <w:spacing w:after="0"/>
              <w:rPr>
                <w:sz w:val="11"/>
                <w:szCs w:val="11"/>
                <w:color w:val="auto"/>
              </w:rPr>
            </w:pPr>
          </w:p>
        </w:tc>
        <w:tc>
          <w:tcPr>
            <w:tcW w:w="660" w:type="dxa"/>
            <w:vAlign w:val="bottom"/>
            <w:shd w:val="clear" w:color="auto" w:fill="FCE9E8"/>
          </w:tcPr>
          <w:p>
            <w:pPr>
              <w:spacing w:after="0"/>
              <w:rPr>
                <w:sz w:val="11"/>
                <w:szCs w:val="11"/>
                <w:color w:val="auto"/>
              </w:rPr>
            </w:pPr>
          </w:p>
        </w:tc>
        <w:tc>
          <w:tcPr>
            <w:tcW w:w="160" w:type="dxa"/>
            <w:vAlign w:val="bottom"/>
            <w:shd w:val="clear" w:color="auto" w:fill="FCE9E8"/>
          </w:tcPr>
          <w:p>
            <w:pPr>
              <w:spacing w:after="0"/>
              <w:rPr>
                <w:sz w:val="11"/>
                <w:szCs w:val="11"/>
                <w:color w:val="auto"/>
              </w:rPr>
            </w:pPr>
          </w:p>
        </w:tc>
        <w:tc>
          <w:tcPr>
            <w:tcW w:w="540" w:type="dxa"/>
            <w:vAlign w:val="bottom"/>
            <w:shd w:val="clear" w:color="auto" w:fill="FCE9E8"/>
          </w:tcPr>
          <w:p>
            <w:pPr>
              <w:spacing w:after="0"/>
              <w:rPr>
                <w:sz w:val="11"/>
                <w:szCs w:val="11"/>
                <w:color w:val="auto"/>
              </w:rPr>
            </w:pPr>
          </w:p>
        </w:tc>
        <w:tc>
          <w:tcPr>
            <w:tcW w:w="240" w:type="dxa"/>
            <w:vAlign w:val="bottom"/>
            <w:shd w:val="clear" w:color="auto" w:fill="FCE9E8"/>
          </w:tcPr>
          <w:p>
            <w:pPr>
              <w:spacing w:after="0"/>
              <w:rPr>
                <w:sz w:val="11"/>
                <w:szCs w:val="11"/>
                <w:color w:val="auto"/>
              </w:rPr>
            </w:pPr>
          </w:p>
        </w:tc>
        <w:tc>
          <w:tcPr>
            <w:tcW w:w="1000" w:type="dxa"/>
            <w:vAlign w:val="bottom"/>
            <w:shd w:val="clear" w:color="auto" w:fill="FCE9E8"/>
          </w:tcPr>
          <w:p>
            <w:pPr>
              <w:spacing w:after="0"/>
              <w:rPr>
                <w:sz w:val="11"/>
                <w:szCs w:val="11"/>
                <w:color w:val="auto"/>
              </w:rPr>
            </w:pPr>
          </w:p>
        </w:tc>
        <w:tc>
          <w:tcPr>
            <w:tcW w:w="200" w:type="dxa"/>
            <w:vAlign w:val="bottom"/>
            <w:shd w:val="clear" w:color="auto" w:fill="FCE9E8"/>
          </w:tcPr>
          <w:p>
            <w:pPr>
              <w:spacing w:after="0"/>
              <w:rPr>
                <w:sz w:val="11"/>
                <w:szCs w:val="11"/>
                <w:color w:val="auto"/>
              </w:rPr>
            </w:pPr>
          </w:p>
        </w:tc>
        <w:tc>
          <w:tcPr>
            <w:tcW w:w="80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96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840" w:type="dxa"/>
            <w:vAlign w:val="bottom"/>
            <w:shd w:val="clear" w:color="auto" w:fill="FCE9E8"/>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720" w:type="dxa"/>
            <w:vAlign w:val="bottom"/>
            <w:tcBorders>
              <w:bottom w:val="single" w:sz="8" w:color="auto"/>
            </w:tcBorders>
            <w:shd w:val="clear" w:color="auto" w:fill="FCE9E8"/>
          </w:tcPr>
          <w:p>
            <w:pPr>
              <w:ind w:left="60"/>
              <w:spacing w:after="0"/>
              <w:rPr>
                <w:sz w:val="20"/>
                <w:szCs w:val="20"/>
                <w:color w:val="auto"/>
              </w:rPr>
            </w:pPr>
            <w:r>
              <w:rPr>
                <w:rFonts w:ascii="Arial" w:cs="Arial" w:eastAsia="Arial" w:hAnsi="Arial"/>
                <w:sz w:val="12"/>
                <w:szCs w:val="12"/>
                <w:color w:val="auto"/>
              </w:rPr>
              <w:t>Human Resources</w:t>
            </w:r>
          </w:p>
        </w:tc>
        <w:tc>
          <w:tcPr>
            <w:tcW w:w="540" w:type="dxa"/>
            <w:vAlign w:val="bottom"/>
            <w:tcBorders>
              <w:bottom w:val="single" w:sz="8" w:color="auto"/>
            </w:tcBorders>
            <w:shd w:val="clear" w:color="auto" w:fill="FCE9E8"/>
          </w:tcPr>
          <w:p>
            <w:pPr>
              <w:spacing w:after="0"/>
              <w:rPr>
                <w:sz w:val="13"/>
                <w:szCs w:val="13"/>
                <w:color w:val="auto"/>
              </w:rPr>
            </w:pPr>
          </w:p>
        </w:tc>
        <w:tc>
          <w:tcPr>
            <w:tcW w:w="180" w:type="dxa"/>
            <w:vAlign w:val="bottom"/>
            <w:tcBorders>
              <w:bottom w:val="single" w:sz="8" w:color="auto"/>
            </w:tcBorders>
            <w:shd w:val="clear" w:color="auto" w:fill="FCE9E8"/>
          </w:tcPr>
          <w:p>
            <w:pPr>
              <w:spacing w:after="0"/>
              <w:rPr>
                <w:sz w:val="13"/>
                <w:szCs w:val="13"/>
                <w:color w:val="auto"/>
              </w:rPr>
            </w:pPr>
          </w:p>
        </w:tc>
        <w:tc>
          <w:tcPr>
            <w:tcW w:w="640" w:type="dxa"/>
            <w:vAlign w:val="bottom"/>
            <w:tcBorders>
              <w:bottom w:val="single" w:sz="8" w:color="auto"/>
            </w:tcBorders>
            <w:shd w:val="clear" w:color="auto" w:fill="FCE9E8"/>
          </w:tcPr>
          <w:p>
            <w:pPr>
              <w:spacing w:after="0"/>
              <w:rPr>
                <w:sz w:val="13"/>
                <w:szCs w:val="13"/>
                <w:color w:val="auto"/>
              </w:rPr>
            </w:pPr>
          </w:p>
        </w:tc>
        <w:tc>
          <w:tcPr>
            <w:tcW w:w="320" w:type="dxa"/>
            <w:vAlign w:val="bottom"/>
            <w:tcBorders>
              <w:bottom w:val="single" w:sz="8" w:color="auto"/>
            </w:tcBorders>
            <w:shd w:val="clear" w:color="auto" w:fill="FCE9E8"/>
          </w:tcPr>
          <w:p>
            <w:pPr>
              <w:spacing w:after="0"/>
              <w:rPr>
                <w:sz w:val="13"/>
                <w:szCs w:val="13"/>
                <w:color w:val="auto"/>
              </w:rPr>
            </w:pPr>
          </w:p>
        </w:tc>
        <w:tc>
          <w:tcPr>
            <w:tcW w:w="360" w:type="dxa"/>
            <w:vAlign w:val="bottom"/>
            <w:tcBorders>
              <w:bottom w:val="single" w:sz="8" w:color="auto"/>
            </w:tcBorders>
            <w:shd w:val="clear" w:color="auto" w:fill="FCE9E8"/>
          </w:tcPr>
          <w:p>
            <w:pPr>
              <w:spacing w:after="0"/>
              <w:rPr>
                <w:sz w:val="13"/>
                <w:szCs w:val="13"/>
                <w:color w:val="auto"/>
              </w:rPr>
            </w:pPr>
          </w:p>
        </w:tc>
        <w:tc>
          <w:tcPr>
            <w:tcW w:w="200" w:type="dxa"/>
            <w:vAlign w:val="bottom"/>
            <w:tcBorders>
              <w:bottom w:val="single" w:sz="8" w:color="auto"/>
            </w:tcBorders>
            <w:shd w:val="clear" w:color="auto" w:fill="FCE9E8"/>
          </w:tcPr>
          <w:p>
            <w:pPr>
              <w:spacing w:after="0"/>
              <w:rPr>
                <w:sz w:val="13"/>
                <w:szCs w:val="13"/>
                <w:color w:val="auto"/>
              </w:rPr>
            </w:pPr>
          </w:p>
        </w:tc>
        <w:tc>
          <w:tcPr>
            <w:tcW w:w="660" w:type="dxa"/>
            <w:vAlign w:val="bottom"/>
            <w:tcBorders>
              <w:bottom w:val="single" w:sz="8" w:color="auto"/>
            </w:tcBorders>
            <w:shd w:val="clear" w:color="auto" w:fill="FCE9E8"/>
          </w:tcPr>
          <w:p>
            <w:pPr>
              <w:spacing w:after="0"/>
              <w:rPr>
                <w:sz w:val="13"/>
                <w:szCs w:val="13"/>
                <w:color w:val="auto"/>
              </w:rPr>
            </w:pPr>
          </w:p>
        </w:tc>
        <w:tc>
          <w:tcPr>
            <w:tcW w:w="160" w:type="dxa"/>
            <w:vAlign w:val="bottom"/>
            <w:tcBorders>
              <w:bottom w:val="single" w:sz="8" w:color="auto"/>
            </w:tcBorders>
            <w:shd w:val="clear" w:color="auto" w:fill="FCE9E8"/>
          </w:tcPr>
          <w:p>
            <w:pPr>
              <w:spacing w:after="0"/>
              <w:rPr>
                <w:sz w:val="13"/>
                <w:szCs w:val="13"/>
                <w:color w:val="auto"/>
              </w:rPr>
            </w:pPr>
          </w:p>
        </w:tc>
        <w:tc>
          <w:tcPr>
            <w:tcW w:w="540" w:type="dxa"/>
            <w:vAlign w:val="bottom"/>
            <w:tcBorders>
              <w:bottom w:val="single" w:sz="8" w:color="auto"/>
            </w:tcBorders>
            <w:shd w:val="clear" w:color="auto" w:fill="FCE9E8"/>
          </w:tcPr>
          <w:p>
            <w:pPr>
              <w:spacing w:after="0"/>
              <w:rPr>
                <w:sz w:val="13"/>
                <w:szCs w:val="13"/>
                <w:color w:val="auto"/>
              </w:rPr>
            </w:pPr>
          </w:p>
        </w:tc>
        <w:tc>
          <w:tcPr>
            <w:tcW w:w="240" w:type="dxa"/>
            <w:vAlign w:val="bottom"/>
            <w:tcBorders>
              <w:bottom w:val="single" w:sz="8" w:color="auto"/>
            </w:tcBorders>
            <w:shd w:val="clear" w:color="auto" w:fill="FCE9E8"/>
          </w:tcPr>
          <w:p>
            <w:pPr>
              <w:spacing w:after="0"/>
              <w:rPr>
                <w:sz w:val="13"/>
                <w:szCs w:val="13"/>
                <w:color w:val="auto"/>
              </w:rPr>
            </w:pPr>
          </w:p>
        </w:tc>
        <w:tc>
          <w:tcPr>
            <w:tcW w:w="1000" w:type="dxa"/>
            <w:vAlign w:val="bottom"/>
            <w:tcBorders>
              <w:bottom w:val="single" w:sz="8" w:color="auto"/>
            </w:tcBorders>
            <w:shd w:val="clear" w:color="auto" w:fill="FCE9E8"/>
          </w:tcPr>
          <w:p>
            <w:pPr>
              <w:spacing w:after="0"/>
              <w:rPr>
                <w:sz w:val="13"/>
                <w:szCs w:val="13"/>
                <w:color w:val="auto"/>
              </w:rPr>
            </w:pPr>
          </w:p>
        </w:tc>
        <w:tc>
          <w:tcPr>
            <w:tcW w:w="200" w:type="dxa"/>
            <w:vAlign w:val="bottom"/>
            <w:tcBorders>
              <w:bottom w:val="single" w:sz="8" w:color="auto"/>
            </w:tcBorders>
            <w:shd w:val="clear" w:color="auto" w:fill="FCE9E8"/>
          </w:tcPr>
          <w:p>
            <w:pPr>
              <w:spacing w:after="0"/>
              <w:rPr>
                <w:sz w:val="13"/>
                <w:szCs w:val="13"/>
                <w:color w:val="auto"/>
              </w:rPr>
            </w:pPr>
          </w:p>
        </w:tc>
        <w:tc>
          <w:tcPr>
            <w:tcW w:w="800" w:type="dxa"/>
            <w:vAlign w:val="bottom"/>
            <w:tcBorders>
              <w:bottom w:val="single" w:sz="8" w:color="auto"/>
            </w:tcBorders>
            <w:shd w:val="clear" w:color="auto" w:fill="FCE9E8"/>
          </w:tcPr>
          <w:p>
            <w:pPr>
              <w:spacing w:after="0"/>
              <w:rPr>
                <w:sz w:val="13"/>
                <w:szCs w:val="13"/>
                <w:color w:val="auto"/>
              </w:rPr>
            </w:pPr>
          </w:p>
        </w:tc>
        <w:tc>
          <w:tcPr>
            <w:tcW w:w="260" w:type="dxa"/>
            <w:vAlign w:val="bottom"/>
            <w:tcBorders>
              <w:bottom w:val="single" w:sz="8" w:color="auto"/>
            </w:tcBorders>
            <w:shd w:val="clear" w:color="auto" w:fill="FCE9E8"/>
          </w:tcPr>
          <w:p>
            <w:pPr>
              <w:spacing w:after="0"/>
              <w:rPr>
                <w:sz w:val="13"/>
                <w:szCs w:val="13"/>
                <w:color w:val="auto"/>
              </w:rPr>
            </w:pPr>
          </w:p>
        </w:tc>
        <w:tc>
          <w:tcPr>
            <w:tcW w:w="960" w:type="dxa"/>
            <w:vAlign w:val="bottom"/>
            <w:tcBorders>
              <w:bottom w:val="single" w:sz="8" w:color="auto"/>
            </w:tcBorders>
            <w:shd w:val="clear" w:color="auto" w:fill="FCE9E8"/>
          </w:tcPr>
          <w:p>
            <w:pPr>
              <w:spacing w:after="0"/>
              <w:rPr>
                <w:sz w:val="13"/>
                <w:szCs w:val="13"/>
                <w:color w:val="auto"/>
              </w:rPr>
            </w:pPr>
          </w:p>
        </w:tc>
        <w:tc>
          <w:tcPr>
            <w:tcW w:w="260" w:type="dxa"/>
            <w:vAlign w:val="bottom"/>
            <w:tcBorders>
              <w:bottom w:val="single" w:sz="8" w:color="auto"/>
            </w:tcBorders>
            <w:shd w:val="clear" w:color="auto" w:fill="FCE9E8"/>
          </w:tcPr>
          <w:p>
            <w:pPr>
              <w:spacing w:after="0"/>
              <w:rPr>
                <w:sz w:val="13"/>
                <w:szCs w:val="13"/>
                <w:color w:val="auto"/>
              </w:rPr>
            </w:pPr>
          </w:p>
        </w:tc>
        <w:tc>
          <w:tcPr>
            <w:tcW w:w="84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720" w:type="dxa"/>
            <w:vAlign w:val="bottom"/>
          </w:tcPr>
          <w:p>
            <w:pPr>
              <w:ind w:left="60"/>
              <w:spacing w:after="0" w:line="123" w:lineRule="exact"/>
              <w:rPr>
                <w:sz w:val="20"/>
                <w:szCs w:val="20"/>
                <w:color w:val="auto"/>
              </w:rPr>
            </w:pPr>
            <w:r>
              <w:rPr>
                <w:rFonts w:ascii="Arial" w:cs="Arial" w:eastAsia="Arial" w:hAnsi="Arial"/>
                <w:sz w:val="12"/>
                <w:szCs w:val="12"/>
                <w:color w:val="auto"/>
              </w:rPr>
              <w:t>Matthew J. Simoncini,</w:t>
            </w:r>
            <w:r>
              <w:rPr>
                <w:rFonts w:ascii="Arial" w:cs="Arial" w:eastAsia="Arial" w:hAnsi="Arial"/>
                <w:sz w:val="10"/>
                <w:szCs w:val="10"/>
                <w:color w:val="auto"/>
              </w:rPr>
              <w:t>(6)</w:t>
            </w:r>
          </w:p>
        </w:tc>
        <w:tc>
          <w:tcPr>
            <w:tcW w:w="540" w:type="dxa"/>
            <w:vAlign w:val="bottom"/>
          </w:tcPr>
          <w:p>
            <w:pPr>
              <w:jc w:val="right"/>
              <w:ind w:right="38"/>
              <w:spacing w:after="0" w:line="123" w:lineRule="exact"/>
              <w:rPr>
                <w:sz w:val="20"/>
                <w:szCs w:val="20"/>
                <w:color w:val="auto"/>
              </w:rPr>
            </w:pPr>
            <w:r>
              <w:rPr>
                <w:rFonts w:ascii="Arial" w:cs="Arial" w:eastAsia="Arial" w:hAnsi="Arial"/>
                <w:sz w:val="12"/>
                <w:szCs w:val="12"/>
                <w:color w:val="auto"/>
              </w:rPr>
              <w:t>2018</w:t>
            </w:r>
          </w:p>
        </w:tc>
        <w:tc>
          <w:tcPr>
            <w:tcW w:w="180" w:type="dxa"/>
            <w:vAlign w:val="bottom"/>
          </w:tcPr>
          <w:p>
            <w:pPr>
              <w:jc w:val="right"/>
              <w:spacing w:after="0" w:line="123"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line="123" w:lineRule="exact"/>
              <w:rPr>
                <w:sz w:val="20"/>
                <w:szCs w:val="20"/>
                <w:color w:val="auto"/>
              </w:rPr>
            </w:pPr>
            <w:r>
              <w:rPr>
                <w:rFonts w:ascii="Arial" w:cs="Arial" w:eastAsia="Arial" w:hAnsi="Arial"/>
                <w:sz w:val="12"/>
                <w:szCs w:val="12"/>
                <w:color w:val="auto"/>
              </w:rPr>
              <w:t>375,750</w:t>
            </w:r>
          </w:p>
        </w:tc>
        <w:tc>
          <w:tcPr>
            <w:tcW w:w="320" w:type="dxa"/>
            <w:vAlign w:val="bottom"/>
          </w:tcPr>
          <w:p>
            <w:pPr>
              <w:ind w:left="100"/>
              <w:spacing w:after="0" w:line="123" w:lineRule="exact"/>
              <w:rPr>
                <w:sz w:val="20"/>
                <w:szCs w:val="20"/>
                <w:color w:val="auto"/>
              </w:rPr>
            </w:pPr>
            <w:r>
              <w:rPr>
                <w:rFonts w:ascii="Arial" w:cs="Arial" w:eastAsia="Arial" w:hAnsi="Arial"/>
                <w:sz w:val="12"/>
                <w:szCs w:val="12"/>
                <w:color w:val="auto"/>
              </w:rPr>
              <w:t>$</w:t>
            </w:r>
          </w:p>
        </w:tc>
        <w:tc>
          <w:tcPr>
            <w:tcW w:w="360" w:type="dxa"/>
            <w:vAlign w:val="bottom"/>
          </w:tcPr>
          <w:p>
            <w:pPr>
              <w:ind w:left="160"/>
              <w:spacing w:after="0" w:line="123" w:lineRule="exact"/>
              <w:rPr>
                <w:sz w:val="20"/>
                <w:szCs w:val="20"/>
                <w:color w:val="auto"/>
              </w:rPr>
            </w:pPr>
            <w:r>
              <w:rPr>
                <w:rFonts w:ascii="Arial" w:cs="Arial" w:eastAsia="Arial" w:hAnsi="Arial"/>
                <w:sz w:val="12"/>
                <w:szCs w:val="12"/>
                <w:color w:val="auto"/>
              </w:rPr>
              <w:t>—</w:t>
            </w:r>
          </w:p>
        </w:tc>
        <w:tc>
          <w:tcPr>
            <w:tcW w:w="200" w:type="dxa"/>
            <w:vAlign w:val="bottom"/>
          </w:tcPr>
          <w:p>
            <w:pPr>
              <w:ind w:left="100"/>
              <w:spacing w:after="0" w:line="12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38"/>
              <w:spacing w:after="0" w:line="123" w:lineRule="exact"/>
              <w:rPr>
                <w:sz w:val="20"/>
                <w:szCs w:val="20"/>
                <w:color w:val="auto"/>
              </w:rPr>
            </w:pPr>
            <w:r>
              <w:rPr>
                <w:rFonts w:ascii="Arial" w:cs="Arial" w:eastAsia="Arial" w:hAnsi="Arial"/>
                <w:sz w:val="12"/>
                <w:szCs w:val="12"/>
                <w:color w:val="auto"/>
              </w:rPr>
              <w:t>—</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20"/>
              <w:spacing w:after="0" w:line="123" w:lineRule="exact"/>
              <w:rPr>
                <w:sz w:val="20"/>
                <w:szCs w:val="20"/>
                <w:color w:val="auto"/>
              </w:rPr>
            </w:pPr>
            <w:r>
              <w:rPr>
                <w:rFonts w:ascii="Arial" w:cs="Arial" w:eastAsia="Arial" w:hAnsi="Arial"/>
                <w:sz w:val="12"/>
                <w:szCs w:val="12"/>
                <w:color w:val="auto"/>
              </w:rPr>
              <w:t>—</w:t>
            </w:r>
          </w:p>
        </w:tc>
        <w:tc>
          <w:tcPr>
            <w:tcW w:w="240" w:type="dxa"/>
            <w:vAlign w:val="bottom"/>
          </w:tcPr>
          <w:p>
            <w:pPr>
              <w:ind w:left="100"/>
              <w:spacing w:after="0" w:line="123"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19"/>
              <w:spacing w:after="0" w:line="123" w:lineRule="exact"/>
              <w:rPr>
                <w:sz w:val="20"/>
                <w:szCs w:val="20"/>
                <w:color w:val="auto"/>
              </w:rPr>
            </w:pPr>
            <w:r>
              <w:rPr>
                <w:rFonts w:ascii="Arial" w:cs="Arial" w:eastAsia="Arial" w:hAnsi="Arial"/>
                <w:sz w:val="12"/>
                <w:szCs w:val="12"/>
                <w:color w:val="auto"/>
              </w:rPr>
              <w:t>314,252</w:t>
            </w:r>
          </w:p>
        </w:tc>
        <w:tc>
          <w:tcPr>
            <w:tcW w:w="200" w:type="dxa"/>
            <w:vAlign w:val="bottom"/>
          </w:tcPr>
          <w:p>
            <w:pPr>
              <w:ind w:left="100"/>
              <w:spacing w:after="0" w:line="12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9"/>
              <w:spacing w:after="0" w:line="123" w:lineRule="exact"/>
              <w:rPr>
                <w:sz w:val="20"/>
                <w:szCs w:val="20"/>
                <w:color w:val="auto"/>
              </w:rPr>
            </w:pPr>
            <w:r>
              <w:rPr>
                <w:rFonts w:ascii="Arial" w:cs="Arial" w:eastAsia="Arial" w:hAnsi="Arial"/>
                <w:sz w:val="12"/>
                <w:szCs w:val="12"/>
                <w:color w:val="auto"/>
              </w:rPr>
              <w:t>—</w:t>
            </w:r>
          </w:p>
        </w:tc>
        <w:tc>
          <w:tcPr>
            <w:tcW w:w="260" w:type="dxa"/>
            <w:vAlign w:val="bottom"/>
          </w:tcPr>
          <w:p>
            <w:pPr>
              <w:ind w:left="100"/>
              <w:spacing w:after="0" w:line="12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38"/>
              <w:spacing w:after="0" w:line="123" w:lineRule="exact"/>
              <w:rPr>
                <w:sz w:val="20"/>
                <w:szCs w:val="20"/>
                <w:color w:val="auto"/>
              </w:rPr>
            </w:pPr>
            <w:r>
              <w:rPr>
                <w:rFonts w:ascii="Arial" w:cs="Arial" w:eastAsia="Arial" w:hAnsi="Arial"/>
                <w:sz w:val="12"/>
                <w:szCs w:val="12"/>
                <w:color w:val="auto"/>
              </w:rPr>
              <w:t>669,240</w:t>
            </w:r>
          </w:p>
        </w:tc>
        <w:tc>
          <w:tcPr>
            <w:tcW w:w="260" w:type="dxa"/>
            <w:vAlign w:val="bottom"/>
          </w:tcPr>
          <w:p>
            <w:pPr>
              <w:ind w:left="80"/>
              <w:spacing w:after="0" w:line="12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line="123" w:lineRule="exact"/>
              <w:rPr>
                <w:sz w:val="20"/>
                <w:szCs w:val="20"/>
                <w:color w:val="auto"/>
              </w:rPr>
            </w:pPr>
            <w:r>
              <w:rPr>
                <w:rFonts w:ascii="Arial" w:cs="Arial" w:eastAsia="Arial" w:hAnsi="Arial"/>
                <w:sz w:val="12"/>
                <w:szCs w:val="12"/>
                <w:color w:val="auto"/>
              </w:rPr>
              <w:t>1,359,242</w:t>
            </w:r>
          </w:p>
        </w:tc>
        <w:tc>
          <w:tcPr>
            <w:tcW w:w="0" w:type="dxa"/>
            <w:vAlign w:val="bottom"/>
          </w:tcPr>
          <w:p>
            <w:pPr>
              <w:spacing w:after="0"/>
              <w:rPr>
                <w:sz w:val="1"/>
                <w:szCs w:val="1"/>
                <w:color w:val="auto"/>
              </w:rPr>
            </w:pPr>
          </w:p>
        </w:tc>
      </w:tr>
      <w:tr>
        <w:trPr>
          <w:trHeight w:val="133"/>
        </w:trPr>
        <w:tc>
          <w:tcPr>
            <w:tcW w:w="2720" w:type="dxa"/>
            <w:vAlign w:val="bottom"/>
          </w:tcPr>
          <w:p>
            <w:pPr>
              <w:ind w:left="60"/>
              <w:spacing w:after="0" w:line="133" w:lineRule="exact"/>
              <w:rPr>
                <w:sz w:val="20"/>
                <w:szCs w:val="20"/>
                <w:color w:val="auto"/>
              </w:rPr>
            </w:pPr>
            <w:r>
              <w:rPr>
                <w:rFonts w:ascii="Arial" w:cs="Arial" w:eastAsia="Arial" w:hAnsi="Arial"/>
                <w:sz w:val="12"/>
                <w:szCs w:val="12"/>
                <w:color w:val="auto"/>
              </w:rPr>
              <w:t>Former President and Chief</w:t>
            </w:r>
          </w:p>
        </w:tc>
        <w:tc>
          <w:tcPr>
            <w:tcW w:w="5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2017</w:t>
            </w:r>
          </w:p>
        </w:tc>
        <w:tc>
          <w:tcPr>
            <w:tcW w:w="1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1,354,500</w:t>
            </w:r>
          </w:p>
        </w:tc>
        <w:tc>
          <w:tcPr>
            <w:tcW w:w="32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360" w:type="dxa"/>
            <w:vAlign w:val="bottom"/>
          </w:tcPr>
          <w:p>
            <w:pPr>
              <w:ind w:left="160"/>
              <w:spacing w:after="0" w:line="133" w:lineRule="exact"/>
              <w:rPr>
                <w:sz w:val="20"/>
                <w:szCs w:val="20"/>
                <w:color w:val="auto"/>
              </w:rPr>
            </w:pPr>
            <w:r>
              <w:rPr>
                <w:rFonts w:ascii="Arial" w:cs="Arial" w:eastAsia="Arial" w:hAnsi="Arial"/>
                <w:sz w:val="12"/>
                <w:szCs w:val="12"/>
                <w:color w:val="auto"/>
              </w:rPr>
              <w:t>—</w:t>
            </w:r>
          </w:p>
        </w:tc>
        <w:tc>
          <w:tcPr>
            <w:tcW w:w="20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8,819,774</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20"/>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19"/>
              <w:spacing w:after="0" w:line="133" w:lineRule="exact"/>
              <w:rPr>
                <w:sz w:val="20"/>
                <w:szCs w:val="20"/>
                <w:color w:val="auto"/>
              </w:rPr>
            </w:pPr>
            <w:r>
              <w:rPr>
                <w:rFonts w:ascii="Arial" w:cs="Arial" w:eastAsia="Arial" w:hAnsi="Arial"/>
                <w:sz w:val="12"/>
                <w:szCs w:val="12"/>
                <w:color w:val="auto"/>
              </w:rPr>
              <w:t>3,792,600</w:t>
            </w:r>
          </w:p>
        </w:tc>
        <w:tc>
          <w:tcPr>
            <w:tcW w:w="20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9"/>
              <w:spacing w:after="0" w:line="133" w:lineRule="exact"/>
              <w:rPr>
                <w:sz w:val="20"/>
                <w:szCs w:val="20"/>
                <w:color w:val="auto"/>
              </w:rPr>
            </w:pPr>
            <w:r>
              <w:rPr>
                <w:rFonts w:ascii="Arial" w:cs="Arial" w:eastAsia="Arial" w:hAnsi="Arial"/>
                <w:sz w:val="12"/>
                <w:szCs w:val="12"/>
                <w:color w:val="auto"/>
              </w:rPr>
              <w:t>42,258</w:t>
            </w:r>
          </w:p>
        </w:tc>
        <w:tc>
          <w:tcPr>
            <w:tcW w:w="260" w:type="dxa"/>
            <w:vAlign w:val="bottom"/>
          </w:tcPr>
          <w:p>
            <w:pPr>
              <w:ind w:left="100"/>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824,334</w:t>
            </w:r>
          </w:p>
        </w:tc>
        <w:tc>
          <w:tcPr>
            <w:tcW w:w="260" w:type="dxa"/>
            <w:vAlign w:val="bottom"/>
          </w:tcPr>
          <w:p>
            <w:pPr>
              <w:ind w:left="80"/>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14,833,466</w:t>
            </w:r>
          </w:p>
        </w:tc>
        <w:tc>
          <w:tcPr>
            <w:tcW w:w="0" w:type="dxa"/>
            <w:vAlign w:val="bottom"/>
          </w:tcPr>
          <w:p>
            <w:pPr>
              <w:spacing w:after="0"/>
              <w:rPr>
                <w:sz w:val="1"/>
                <w:szCs w:val="1"/>
                <w:color w:val="auto"/>
              </w:rPr>
            </w:pPr>
          </w:p>
        </w:tc>
      </w:tr>
      <w:tr>
        <w:trPr>
          <w:trHeight w:val="148"/>
        </w:trPr>
        <w:tc>
          <w:tcPr>
            <w:tcW w:w="2720" w:type="dxa"/>
            <w:vAlign w:val="bottom"/>
          </w:tcPr>
          <w:p>
            <w:pPr>
              <w:ind w:left="60"/>
              <w:spacing w:after="0"/>
              <w:rPr>
                <w:sz w:val="20"/>
                <w:szCs w:val="20"/>
                <w:color w:val="auto"/>
              </w:rPr>
            </w:pPr>
            <w:r>
              <w:rPr>
                <w:rFonts w:ascii="Arial" w:cs="Arial" w:eastAsia="Arial" w:hAnsi="Arial"/>
                <w:sz w:val="12"/>
                <w:szCs w:val="12"/>
                <w:color w:val="auto"/>
              </w:rPr>
              <w:t>Executive Officer</w:t>
            </w:r>
          </w:p>
        </w:tc>
        <w:tc>
          <w:tcPr>
            <w:tcW w:w="540" w:type="dxa"/>
            <w:vAlign w:val="bottom"/>
          </w:tcPr>
          <w:p>
            <w:pPr>
              <w:jc w:val="right"/>
              <w:ind w:right="38"/>
              <w:spacing w:after="0"/>
              <w:rPr>
                <w:sz w:val="20"/>
                <w:szCs w:val="20"/>
                <w:color w:val="auto"/>
              </w:rPr>
            </w:pPr>
            <w:r>
              <w:rPr>
                <w:rFonts w:ascii="Arial" w:cs="Arial" w:eastAsia="Arial" w:hAnsi="Arial"/>
                <w:sz w:val="12"/>
                <w:szCs w:val="12"/>
                <w:color w:val="auto"/>
              </w:rPr>
              <w:t>2016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1,354,500</w:t>
            </w:r>
          </w:p>
        </w:tc>
        <w:tc>
          <w:tcPr>
            <w:tcW w:w="320" w:type="dxa"/>
            <w:vAlign w:val="bottom"/>
          </w:tcPr>
          <w:p>
            <w:pPr>
              <w:ind w:left="100"/>
              <w:spacing w:after="0"/>
              <w:rPr>
                <w:sz w:val="20"/>
                <w:szCs w:val="20"/>
                <w:color w:val="auto"/>
              </w:rPr>
            </w:pPr>
            <w:r>
              <w:rPr>
                <w:rFonts w:ascii="Arial" w:cs="Arial" w:eastAsia="Arial" w:hAnsi="Arial"/>
                <w:sz w:val="12"/>
                <w:szCs w:val="12"/>
                <w:color w:val="auto"/>
              </w:rPr>
              <w:t>$</w:t>
            </w:r>
          </w:p>
        </w:tc>
        <w:tc>
          <w:tcPr>
            <w:tcW w:w="360" w:type="dxa"/>
            <w:vAlign w:val="bottom"/>
          </w:tcPr>
          <w:p>
            <w:pPr>
              <w:ind w:left="160"/>
              <w:spacing w:after="0"/>
              <w:rPr>
                <w:sz w:val="20"/>
                <w:szCs w:val="20"/>
                <w:color w:val="auto"/>
              </w:rPr>
            </w:pPr>
            <w:r>
              <w:rPr>
                <w:rFonts w:ascii="Arial" w:cs="Arial" w:eastAsia="Arial" w:hAnsi="Arial"/>
                <w:sz w:val="12"/>
                <w:szCs w:val="12"/>
                <w:color w:val="auto"/>
              </w:rPr>
              <w:t>—</w:t>
            </w:r>
          </w:p>
        </w:tc>
        <w:tc>
          <w:tcPr>
            <w:tcW w:w="200" w:type="dxa"/>
            <w:vAlign w:val="bottom"/>
          </w:tcPr>
          <w:p>
            <w:pPr>
              <w:ind w:left="10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38"/>
              <w:spacing w:after="0"/>
              <w:rPr>
                <w:sz w:val="20"/>
                <w:szCs w:val="20"/>
                <w:color w:val="auto"/>
              </w:rPr>
            </w:pPr>
            <w:r>
              <w:rPr>
                <w:rFonts w:ascii="Arial" w:cs="Arial" w:eastAsia="Arial" w:hAnsi="Arial"/>
                <w:sz w:val="12"/>
                <w:szCs w:val="12"/>
                <w:color w:val="auto"/>
              </w:rPr>
              <w:t>8,524,711</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20"/>
              <w:spacing w:after="0"/>
              <w:rPr>
                <w:sz w:val="20"/>
                <w:szCs w:val="20"/>
                <w:color w:val="auto"/>
              </w:rPr>
            </w:pPr>
            <w:r>
              <w:rPr>
                <w:rFonts w:ascii="Arial" w:cs="Arial" w:eastAsia="Arial" w:hAnsi="Arial"/>
                <w:sz w:val="12"/>
                <w:szCs w:val="12"/>
                <w:color w:val="auto"/>
              </w:rPr>
              <w:t>—</w:t>
            </w:r>
          </w:p>
        </w:tc>
        <w:tc>
          <w:tcPr>
            <w:tcW w:w="240" w:type="dxa"/>
            <w:vAlign w:val="bottom"/>
          </w:tcPr>
          <w:p>
            <w:pPr>
              <w:ind w:left="10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9"/>
              <w:spacing w:after="0"/>
              <w:rPr>
                <w:sz w:val="20"/>
                <w:szCs w:val="20"/>
                <w:color w:val="auto"/>
              </w:rPr>
            </w:pPr>
            <w:r>
              <w:rPr>
                <w:rFonts w:ascii="Arial" w:cs="Arial" w:eastAsia="Arial" w:hAnsi="Arial"/>
                <w:sz w:val="12"/>
                <w:szCs w:val="12"/>
                <w:color w:val="auto"/>
              </w:rPr>
              <w:t>3,810,240</w:t>
            </w:r>
          </w:p>
        </w:tc>
        <w:tc>
          <w:tcPr>
            <w:tcW w:w="200" w:type="dxa"/>
            <w:vAlign w:val="bottom"/>
          </w:tcPr>
          <w:p>
            <w:pPr>
              <w:ind w:left="10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27,427</w:t>
            </w:r>
          </w:p>
        </w:tc>
        <w:tc>
          <w:tcPr>
            <w:tcW w:w="260" w:type="dxa"/>
            <w:vAlign w:val="bottom"/>
          </w:tcPr>
          <w:p>
            <w:pPr>
              <w:ind w:left="10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726,657</w:t>
            </w:r>
          </w:p>
        </w:tc>
        <w:tc>
          <w:tcPr>
            <w:tcW w:w="260" w:type="dxa"/>
            <w:vAlign w:val="bottom"/>
          </w:tcPr>
          <w:p>
            <w:pPr>
              <w:ind w:left="8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14,443,535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-5080</wp:posOffset>
            </wp:positionV>
            <wp:extent cx="69018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ind w:left="600" w:right="60" w:hanging="320"/>
        <w:spacing w:after="0" w:line="215" w:lineRule="auto"/>
        <w:tabs>
          <w:tab w:leader="none" w:pos="60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 this column for each officer reflect the aggregate grant date fair value of Career Share RSUs, RSUs and Performance Shares under the LTSIP granted in the year determined in accordance with ASC 718, which grant date fair values are shown by award type below. There can be no assurance that these values will ever be realized. See Note 11, “Stock-Based Compensation,” to the consolidated financial statements included in our 2018 Annual Report on Form 10-K for the assumptions made in determining these values. The maximum potential value of the 2018 Performance Share awards as of the grant date is also shown below, based on the grant date value of our common stock. In 2018, Mr. Larkin did not receive any Career Share RSUs, and Mr. Simoncini did not receive any Career Share RSUs, RSUs or Performance Shares.</w:t>
      </w:r>
    </w:p>
    <w:p>
      <w:pPr>
        <w:spacing w:after="0" w:line="110"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43</w:t>
      </w:r>
    </w:p>
    <w:p>
      <w:pPr>
        <w:sectPr>
          <w:pgSz w:w="11900" w:h="16838" w:orient="portrait"/>
          <w:cols w:equalWidth="0" w:num="1">
            <w:col w:w="11160"/>
          </w:cols>
          <w:pgMar w:left="240" w:top="455"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327"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E2231A"/>
              </w:rPr>
              <w:t>Performance</w:t>
            </w:r>
          </w:p>
        </w:tc>
      </w:tr>
      <w:tr>
        <w:trPr>
          <w:trHeight w:val="160"/>
        </w:trPr>
        <w:tc>
          <w:tcPr>
            <w:tcW w:w="3060" w:type="dxa"/>
            <w:vAlign w:val="bottom"/>
          </w:tcPr>
          <w:p>
            <w:pPr>
              <w:spacing w:after="0"/>
              <w:rPr>
                <w:sz w:val="13"/>
                <w:szCs w:val="13"/>
                <w:color w:val="auto"/>
              </w:rPr>
            </w:pPr>
          </w:p>
        </w:tc>
        <w:tc>
          <w:tcPr>
            <w:tcW w:w="1300" w:type="dxa"/>
            <w:vAlign w:val="bottom"/>
            <w:gridSpan w:val="2"/>
          </w:tcPr>
          <w:p>
            <w:pPr>
              <w:ind w:left="220"/>
              <w:spacing w:after="0" w:line="160" w:lineRule="exact"/>
              <w:rPr>
                <w:sz w:val="20"/>
                <w:szCs w:val="20"/>
                <w:color w:val="auto"/>
              </w:rPr>
            </w:pPr>
            <w:r>
              <w:rPr>
                <w:rFonts w:ascii="Arial" w:cs="Arial" w:eastAsia="Arial" w:hAnsi="Arial"/>
                <w:sz w:val="14"/>
                <w:szCs w:val="14"/>
                <w:b w:val="1"/>
                <w:bCs w:val="1"/>
                <w:color w:val="E2231A"/>
              </w:rPr>
              <w:t>RSU Career</w:t>
            </w:r>
          </w:p>
        </w:tc>
        <w:tc>
          <w:tcPr>
            <w:tcW w:w="1360" w:type="dxa"/>
            <w:vAlign w:val="bottom"/>
            <w:gridSpan w:val="2"/>
          </w:tcPr>
          <w:p>
            <w:pPr>
              <w:ind w:left="340"/>
              <w:spacing w:after="0" w:line="160" w:lineRule="exact"/>
              <w:rPr>
                <w:sz w:val="20"/>
                <w:szCs w:val="20"/>
                <w:color w:val="auto"/>
              </w:rPr>
            </w:pPr>
            <w:r>
              <w:rPr>
                <w:rFonts w:ascii="Arial" w:cs="Arial" w:eastAsia="Arial" w:hAnsi="Arial"/>
                <w:sz w:val="14"/>
                <w:szCs w:val="14"/>
                <w:b w:val="1"/>
                <w:bCs w:val="1"/>
                <w:color w:val="E2231A"/>
              </w:rPr>
              <w:t>2018-2020</w:t>
            </w:r>
          </w:p>
        </w:tc>
        <w:tc>
          <w:tcPr>
            <w:tcW w:w="1460" w:type="dxa"/>
            <w:vAlign w:val="bottom"/>
            <w:gridSpan w:val="2"/>
          </w:tcPr>
          <w:p>
            <w:pPr>
              <w:ind w:left="300"/>
              <w:spacing w:after="0" w:line="160" w:lineRule="exact"/>
              <w:rPr>
                <w:sz w:val="20"/>
                <w:szCs w:val="20"/>
                <w:color w:val="auto"/>
              </w:rPr>
            </w:pPr>
            <w:r>
              <w:rPr>
                <w:rFonts w:ascii="Arial" w:cs="Arial" w:eastAsia="Arial" w:hAnsi="Arial"/>
                <w:sz w:val="14"/>
                <w:szCs w:val="14"/>
                <w:b w:val="1"/>
                <w:bCs w:val="1"/>
                <w:color w:val="E2231A"/>
              </w:rPr>
              <w:t>Performance</w:t>
            </w:r>
          </w:p>
        </w:tc>
        <w:tc>
          <w:tcPr>
            <w:tcW w:w="13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E2231A"/>
                <w:w w:val="99"/>
              </w:rPr>
              <w:t>Total Grant</w:t>
            </w:r>
          </w:p>
        </w:tc>
        <w:tc>
          <w:tcPr>
            <w:tcW w:w="380" w:type="dxa"/>
            <w:vAlign w:val="bottom"/>
          </w:tcPr>
          <w:p>
            <w:pPr>
              <w:spacing w:after="0"/>
              <w:rPr>
                <w:sz w:val="13"/>
                <w:szCs w:val="13"/>
                <w:color w:val="auto"/>
              </w:rPr>
            </w:pPr>
          </w:p>
        </w:tc>
        <w:tc>
          <w:tcPr>
            <w:tcW w:w="1060" w:type="dxa"/>
            <w:vAlign w:val="bottom"/>
          </w:tcPr>
          <w:p>
            <w:pPr>
              <w:jc w:val="center"/>
              <w:ind w:right="323"/>
              <w:spacing w:after="0" w:line="160" w:lineRule="exact"/>
              <w:rPr>
                <w:sz w:val="20"/>
                <w:szCs w:val="20"/>
                <w:color w:val="auto"/>
              </w:rPr>
            </w:pPr>
            <w:r>
              <w:rPr>
                <w:rFonts w:ascii="Arial" w:cs="Arial" w:eastAsia="Arial" w:hAnsi="Arial"/>
                <w:sz w:val="14"/>
                <w:szCs w:val="14"/>
                <w:b w:val="1"/>
                <w:bCs w:val="1"/>
                <w:color w:val="E2231A"/>
                <w:w w:val="98"/>
              </w:rPr>
              <w:t>Shares at</w:t>
            </w:r>
          </w:p>
        </w:tc>
      </w:tr>
      <w:tr>
        <w:trPr>
          <w:trHeight w:val="160"/>
        </w:trPr>
        <w:tc>
          <w:tcPr>
            <w:tcW w:w="3060" w:type="dxa"/>
            <w:vAlign w:val="bottom"/>
          </w:tcPr>
          <w:p>
            <w:pPr>
              <w:spacing w:after="0"/>
              <w:rPr>
                <w:sz w:val="13"/>
                <w:szCs w:val="13"/>
                <w:color w:val="auto"/>
              </w:rPr>
            </w:pPr>
          </w:p>
        </w:tc>
        <w:tc>
          <w:tcPr>
            <w:tcW w:w="1300" w:type="dxa"/>
            <w:vAlign w:val="bottom"/>
            <w:gridSpan w:val="2"/>
          </w:tcPr>
          <w:p>
            <w:pPr>
              <w:ind w:left="200"/>
              <w:spacing w:after="0" w:line="160" w:lineRule="exact"/>
              <w:rPr>
                <w:sz w:val="20"/>
                <w:szCs w:val="20"/>
                <w:color w:val="auto"/>
              </w:rPr>
            </w:pPr>
            <w:r>
              <w:rPr>
                <w:rFonts w:ascii="Arial" w:cs="Arial" w:eastAsia="Arial" w:hAnsi="Arial"/>
                <w:sz w:val="14"/>
                <w:szCs w:val="14"/>
                <w:b w:val="1"/>
                <w:bCs w:val="1"/>
                <w:color w:val="E2231A"/>
              </w:rPr>
              <w:t>Share Grant</w:t>
            </w:r>
          </w:p>
        </w:tc>
        <w:tc>
          <w:tcPr>
            <w:tcW w:w="1360" w:type="dxa"/>
            <w:vAlign w:val="bottom"/>
            <w:gridSpan w:val="2"/>
          </w:tcPr>
          <w:p>
            <w:pPr>
              <w:ind w:left="320"/>
              <w:spacing w:after="0" w:line="160" w:lineRule="exact"/>
              <w:rPr>
                <w:sz w:val="20"/>
                <w:szCs w:val="20"/>
                <w:color w:val="auto"/>
              </w:rPr>
            </w:pPr>
            <w:r>
              <w:rPr>
                <w:rFonts w:ascii="Arial" w:cs="Arial" w:eastAsia="Arial" w:hAnsi="Arial"/>
                <w:sz w:val="14"/>
                <w:szCs w:val="14"/>
                <w:b w:val="1"/>
                <w:bCs w:val="1"/>
                <w:color w:val="E2231A"/>
              </w:rPr>
              <w:t>RSU Grant</w:t>
            </w:r>
          </w:p>
        </w:tc>
        <w:tc>
          <w:tcPr>
            <w:tcW w:w="1460" w:type="dxa"/>
            <w:vAlign w:val="bottom"/>
            <w:gridSpan w:val="2"/>
          </w:tcPr>
          <w:p>
            <w:pPr>
              <w:ind w:left="280"/>
              <w:spacing w:after="0" w:line="160" w:lineRule="exact"/>
              <w:rPr>
                <w:sz w:val="20"/>
                <w:szCs w:val="20"/>
                <w:color w:val="auto"/>
              </w:rPr>
            </w:pPr>
            <w:r>
              <w:rPr>
                <w:rFonts w:ascii="Arial" w:cs="Arial" w:eastAsia="Arial" w:hAnsi="Arial"/>
                <w:sz w:val="14"/>
                <w:szCs w:val="14"/>
                <w:b w:val="1"/>
                <w:bCs w:val="1"/>
                <w:color w:val="E2231A"/>
              </w:rPr>
              <w:t>Shares Grant</w:t>
            </w:r>
          </w:p>
        </w:tc>
        <w:tc>
          <w:tcPr>
            <w:tcW w:w="380" w:type="dxa"/>
            <w:vAlign w:val="bottom"/>
          </w:tcPr>
          <w:p>
            <w:pPr>
              <w:spacing w:after="0"/>
              <w:rPr>
                <w:sz w:val="13"/>
                <w:szCs w:val="13"/>
                <w:color w:val="auto"/>
              </w:rPr>
            </w:pPr>
          </w:p>
        </w:tc>
        <w:tc>
          <w:tcPr>
            <w:tcW w:w="1000" w:type="dxa"/>
            <w:vAlign w:val="bottom"/>
          </w:tcPr>
          <w:p>
            <w:pPr>
              <w:jc w:val="center"/>
              <w:ind w:right="302"/>
              <w:spacing w:after="0" w:line="160" w:lineRule="exact"/>
              <w:rPr>
                <w:sz w:val="20"/>
                <w:szCs w:val="20"/>
                <w:color w:val="auto"/>
              </w:rPr>
            </w:pPr>
            <w:r>
              <w:rPr>
                <w:rFonts w:ascii="Arial" w:cs="Arial" w:eastAsia="Arial" w:hAnsi="Arial"/>
                <w:sz w:val="14"/>
                <w:szCs w:val="14"/>
                <w:b w:val="1"/>
                <w:bCs w:val="1"/>
                <w:color w:val="E2231A"/>
                <w:w w:val="98"/>
              </w:rPr>
              <w:t>Date</w:t>
            </w:r>
          </w:p>
        </w:tc>
        <w:tc>
          <w:tcPr>
            <w:tcW w:w="380" w:type="dxa"/>
            <w:vAlign w:val="bottom"/>
          </w:tcPr>
          <w:p>
            <w:pPr>
              <w:spacing w:after="0"/>
              <w:rPr>
                <w:sz w:val="13"/>
                <w:szCs w:val="13"/>
                <w:color w:val="auto"/>
              </w:rPr>
            </w:pPr>
          </w:p>
        </w:tc>
        <w:tc>
          <w:tcPr>
            <w:tcW w:w="1060" w:type="dxa"/>
            <w:vAlign w:val="bottom"/>
          </w:tcPr>
          <w:p>
            <w:pPr>
              <w:jc w:val="center"/>
              <w:ind w:right="323"/>
              <w:spacing w:after="0" w:line="160" w:lineRule="exact"/>
              <w:rPr>
                <w:sz w:val="20"/>
                <w:szCs w:val="20"/>
                <w:color w:val="auto"/>
              </w:rPr>
            </w:pPr>
            <w:r>
              <w:rPr>
                <w:rFonts w:ascii="Arial" w:cs="Arial" w:eastAsia="Arial" w:hAnsi="Arial"/>
                <w:sz w:val="14"/>
                <w:szCs w:val="14"/>
                <w:b w:val="1"/>
                <w:bCs w:val="1"/>
                <w:color w:val="E2231A"/>
              </w:rPr>
              <w:t>Maximum</w:t>
            </w:r>
          </w:p>
        </w:tc>
      </w:tr>
      <w:tr>
        <w:trPr>
          <w:trHeight w:val="188"/>
        </w:trPr>
        <w:tc>
          <w:tcPr>
            <w:tcW w:w="3060" w:type="dxa"/>
            <w:vAlign w:val="bottom"/>
          </w:tcPr>
          <w:p>
            <w:pPr>
              <w:ind w:left="80"/>
              <w:spacing w:after="0"/>
              <w:rPr>
                <w:sz w:val="20"/>
                <w:szCs w:val="20"/>
                <w:color w:val="auto"/>
              </w:rPr>
            </w:pPr>
            <w:r>
              <w:rPr>
                <w:rFonts w:ascii="Arial" w:cs="Arial" w:eastAsia="Arial" w:hAnsi="Arial"/>
                <w:sz w:val="14"/>
                <w:szCs w:val="14"/>
                <w:b w:val="1"/>
                <w:bCs w:val="1"/>
                <w:color w:val="E2231A"/>
              </w:rPr>
              <w:t>Name</w:t>
            </w: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E2231A"/>
              </w:rPr>
              <w:t>Date Value</w:t>
            </w: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E2231A"/>
              </w:rPr>
              <w:t>Date Value</w:t>
            </w:r>
          </w:p>
        </w:tc>
        <w:tc>
          <w:tcPr>
            <w:tcW w:w="380" w:type="dxa"/>
            <w:vAlign w:val="bottom"/>
          </w:tcPr>
          <w:p>
            <w:pPr>
              <w:spacing w:after="0"/>
              <w:rPr>
                <w:sz w:val="16"/>
                <w:szCs w:val="16"/>
                <w:color w:val="auto"/>
              </w:rPr>
            </w:pPr>
          </w:p>
        </w:tc>
        <w:tc>
          <w:tcPr>
            <w:tcW w:w="1080" w:type="dxa"/>
            <w:vAlign w:val="bottom"/>
          </w:tcPr>
          <w:p>
            <w:pPr>
              <w:jc w:val="right"/>
              <w:ind w:right="281"/>
              <w:spacing w:after="0"/>
              <w:rPr>
                <w:sz w:val="20"/>
                <w:szCs w:val="20"/>
                <w:color w:val="auto"/>
              </w:rPr>
            </w:pPr>
            <w:r>
              <w:rPr>
                <w:rFonts w:ascii="Arial" w:cs="Arial" w:eastAsia="Arial" w:hAnsi="Arial"/>
                <w:sz w:val="14"/>
                <w:szCs w:val="14"/>
                <w:b w:val="1"/>
                <w:bCs w:val="1"/>
                <w:color w:val="E2231A"/>
                <w:w w:val="97"/>
              </w:rPr>
              <w:t>Date Value</w:t>
            </w:r>
          </w:p>
        </w:tc>
        <w:tc>
          <w:tcPr>
            <w:tcW w:w="380" w:type="dxa"/>
            <w:vAlign w:val="bottom"/>
          </w:tcPr>
          <w:p>
            <w:pPr>
              <w:spacing w:after="0"/>
              <w:rPr>
                <w:sz w:val="16"/>
                <w:szCs w:val="16"/>
                <w:color w:val="auto"/>
              </w:rPr>
            </w:pPr>
          </w:p>
        </w:tc>
        <w:tc>
          <w:tcPr>
            <w:tcW w:w="1000" w:type="dxa"/>
            <w:vAlign w:val="bottom"/>
          </w:tcPr>
          <w:p>
            <w:pPr>
              <w:jc w:val="center"/>
              <w:ind w:right="322"/>
              <w:spacing w:after="0"/>
              <w:rPr>
                <w:sz w:val="20"/>
                <w:szCs w:val="20"/>
                <w:color w:val="auto"/>
              </w:rPr>
            </w:pPr>
            <w:r>
              <w:rPr>
                <w:rFonts w:ascii="Arial" w:cs="Arial" w:eastAsia="Arial" w:hAnsi="Arial"/>
                <w:sz w:val="14"/>
                <w:szCs w:val="14"/>
                <w:b w:val="1"/>
                <w:bCs w:val="1"/>
                <w:color w:val="E2231A"/>
                <w:w w:val="96"/>
              </w:rPr>
              <w:t>Value</w:t>
            </w:r>
          </w:p>
        </w:tc>
        <w:tc>
          <w:tcPr>
            <w:tcW w:w="380" w:type="dxa"/>
            <w:vAlign w:val="bottom"/>
          </w:tcPr>
          <w:p>
            <w:pPr>
              <w:spacing w:after="0"/>
              <w:rPr>
                <w:sz w:val="16"/>
                <w:szCs w:val="16"/>
                <w:color w:val="auto"/>
              </w:rPr>
            </w:pPr>
          </w:p>
        </w:tc>
        <w:tc>
          <w:tcPr>
            <w:tcW w:w="1060" w:type="dxa"/>
            <w:vAlign w:val="bottom"/>
          </w:tcPr>
          <w:p>
            <w:pPr>
              <w:jc w:val="center"/>
              <w:ind w:right="323"/>
              <w:spacing w:after="0"/>
              <w:rPr>
                <w:sz w:val="20"/>
                <w:szCs w:val="20"/>
                <w:color w:val="auto"/>
              </w:rPr>
            </w:pPr>
            <w:r>
              <w:rPr>
                <w:rFonts w:ascii="Arial" w:cs="Arial" w:eastAsia="Arial" w:hAnsi="Arial"/>
                <w:sz w:val="14"/>
                <w:szCs w:val="14"/>
                <w:b w:val="1"/>
                <w:bCs w:val="1"/>
                <w:color w:val="E2231A"/>
              </w:rPr>
              <w:t>Value</w:t>
            </w:r>
          </w:p>
        </w:tc>
      </w:tr>
      <w:tr>
        <w:trPr>
          <w:trHeight w:val="38"/>
        </w:trPr>
        <w:tc>
          <w:tcPr>
            <w:tcW w:w="30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66"/>
        </w:trPr>
        <w:tc>
          <w:tcPr>
            <w:tcW w:w="30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360" w:type="dxa"/>
            <w:vAlign w:val="bottom"/>
            <w:tcBorders>
              <w:bottom w:val="single" w:sz="8" w:color="FCE9E8"/>
            </w:tcBorders>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CE9E8"/>
            </w:tcBorders>
            <w:shd w:val="clear" w:color="auto" w:fill="FCE9E8"/>
          </w:tcPr>
          <w:p>
            <w:pPr>
              <w:jc w:val="right"/>
              <w:ind w:right="200"/>
              <w:spacing w:after="0"/>
              <w:rPr>
                <w:sz w:val="20"/>
                <w:szCs w:val="20"/>
                <w:color w:val="auto"/>
              </w:rPr>
            </w:pPr>
            <w:r>
              <w:rPr>
                <w:rFonts w:ascii="Arial" w:cs="Arial" w:eastAsia="Arial" w:hAnsi="Arial"/>
                <w:sz w:val="16"/>
                <w:szCs w:val="16"/>
                <w:color w:val="auto"/>
              </w:rPr>
              <w:t>499,907</w:t>
            </w:r>
          </w:p>
        </w:tc>
        <w:tc>
          <w:tcPr>
            <w:tcW w:w="3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CE9E8"/>
            </w:tcBorders>
            <w:shd w:val="clear" w:color="auto" w:fill="FCE9E8"/>
          </w:tcPr>
          <w:p>
            <w:pPr>
              <w:jc w:val="right"/>
              <w:ind w:right="200"/>
              <w:spacing w:after="0"/>
              <w:rPr>
                <w:sz w:val="20"/>
                <w:szCs w:val="20"/>
                <w:color w:val="auto"/>
              </w:rPr>
            </w:pPr>
            <w:r>
              <w:rPr>
                <w:rFonts w:ascii="Arial" w:cs="Arial" w:eastAsia="Arial" w:hAnsi="Arial"/>
                <w:sz w:val="16"/>
                <w:szCs w:val="16"/>
                <w:color w:val="auto"/>
                <w:w w:val="98"/>
              </w:rPr>
              <w:t>1,617,135</w:t>
            </w:r>
          </w:p>
        </w:tc>
        <w:tc>
          <w:tcPr>
            <w:tcW w:w="380" w:type="dxa"/>
            <w:vAlign w:val="bottom"/>
            <w:tcBorders>
              <w:bottom w:val="single" w:sz="8" w:color="FCE9E8"/>
            </w:tcBorders>
            <w:shd w:val="clear" w:color="auto" w:fill="FCE9E8"/>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FCE9E8"/>
            </w:tcBorders>
            <w:shd w:val="clear" w:color="auto" w:fill="FCE9E8"/>
          </w:tcPr>
          <w:p>
            <w:pPr>
              <w:jc w:val="right"/>
              <w:ind w:right="201"/>
              <w:spacing w:after="0"/>
              <w:rPr>
                <w:sz w:val="20"/>
                <w:szCs w:val="20"/>
                <w:color w:val="auto"/>
              </w:rPr>
            </w:pPr>
            <w:r>
              <w:rPr>
                <w:rFonts w:ascii="Arial" w:cs="Arial" w:eastAsia="Arial" w:hAnsi="Arial"/>
                <w:sz w:val="16"/>
                <w:szCs w:val="16"/>
                <w:color w:val="auto"/>
              </w:rPr>
              <w:t>4,851,761</w:t>
            </w:r>
          </w:p>
        </w:tc>
        <w:tc>
          <w:tcPr>
            <w:tcW w:w="3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CE9E8"/>
            </w:tcBorders>
            <w:shd w:val="clear" w:color="auto" w:fill="FCE9E8"/>
          </w:tcPr>
          <w:p>
            <w:pPr>
              <w:jc w:val="right"/>
              <w:ind w:right="202"/>
              <w:spacing w:after="0"/>
              <w:rPr>
                <w:sz w:val="20"/>
                <w:szCs w:val="20"/>
                <w:color w:val="auto"/>
              </w:rPr>
            </w:pPr>
            <w:r>
              <w:rPr>
                <w:rFonts w:ascii="Arial" w:cs="Arial" w:eastAsia="Arial" w:hAnsi="Arial"/>
                <w:sz w:val="16"/>
                <w:szCs w:val="16"/>
                <w:color w:val="auto"/>
                <w:w w:val="98"/>
              </w:rPr>
              <w:t>6,968,803</w:t>
            </w:r>
          </w:p>
        </w:tc>
        <w:tc>
          <w:tcPr>
            <w:tcW w:w="380" w:type="dxa"/>
            <w:vAlign w:val="bottom"/>
            <w:tcBorders>
              <w:bottom w:val="single" w:sz="8" w:color="FCE9E8"/>
            </w:tcBorders>
            <w:shd w:val="clear" w:color="auto" w:fill="FCE9E8"/>
          </w:tcPr>
          <w:p>
            <w:pPr>
              <w:ind w:left="28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FCE9E8"/>
            </w:tcBorders>
            <w:shd w:val="clear" w:color="auto" w:fill="FCE9E8"/>
          </w:tcPr>
          <w:p>
            <w:pPr>
              <w:jc w:val="right"/>
              <w:ind w:right="223"/>
              <w:spacing w:after="0"/>
              <w:rPr>
                <w:sz w:val="20"/>
                <w:szCs w:val="20"/>
                <w:color w:val="auto"/>
              </w:rPr>
            </w:pPr>
            <w:r>
              <w:rPr>
                <w:rFonts w:ascii="Arial" w:cs="Arial" w:eastAsia="Arial" w:hAnsi="Arial"/>
                <w:sz w:val="16"/>
                <w:szCs w:val="16"/>
                <w:color w:val="auto"/>
              </w:rPr>
              <w:t>9,703,522</w:t>
            </w:r>
          </w:p>
        </w:tc>
      </w:tr>
      <w:tr>
        <w:trPr>
          <w:trHeight w:val="261"/>
        </w:trPr>
        <w:tc>
          <w:tcPr>
            <w:tcW w:w="3060" w:type="dxa"/>
            <w:vAlign w:val="bottom"/>
          </w:tcPr>
          <w:p>
            <w:pPr>
              <w:ind w:left="80"/>
              <w:spacing w:after="0"/>
              <w:rPr>
                <w:sz w:val="20"/>
                <w:szCs w:val="20"/>
                <w:color w:val="auto"/>
              </w:rPr>
            </w:pPr>
            <w:r>
              <w:rPr>
                <w:rFonts w:ascii="Arial" w:cs="Arial" w:eastAsia="Arial" w:hAnsi="Arial"/>
                <w:sz w:val="16"/>
                <w:szCs w:val="16"/>
                <w:color w:val="auto"/>
              </w:rPr>
              <w:t>Jeffrey H. Vanneste</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0"/>
              <w:spacing w:after="0"/>
              <w:rPr>
                <w:sz w:val="20"/>
                <w:szCs w:val="20"/>
                <w:color w:val="auto"/>
              </w:rPr>
            </w:pPr>
            <w:r>
              <w:rPr>
                <w:rFonts w:ascii="Arial" w:cs="Arial" w:eastAsia="Arial" w:hAnsi="Arial"/>
                <w:sz w:val="16"/>
                <w:szCs w:val="16"/>
                <w:color w:val="auto"/>
              </w:rPr>
              <w:t>299,999</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558,571</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1,676,071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2"/>
              <w:spacing w:after="0"/>
              <w:rPr>
                <w:sz w:val="20"/>
                <w:szCs w:val="20"/>
                <w:color w:val="auto"/>
              </w:rPr>
            </w:pPr>
            <w:r>
              <w:rPr>
                <w:rFonts w:ascii="Arial" w:cs="Arial" w:eastAsia="Arial" w:hAnsi="Arial"/>
                <w:sz w:val="16"/>
                <w:szCs w:val="16"/>
                <w:color w:val="auto"/>
                <w:w w:val="98"/>
              </w:rPr>
              <w:t>2,534,641</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3"/>
              <w:spacing w:after="0"/>
              <w:rPr>
                <w:sz w:val="20"/>
                <w:szCs w:val="20"/>
                <w:color w:val="auto"/>
              </w:rPr>
            </w:pPr>
            <w:r>
              <w:rPr>
                <w:rFonts w:ascii="Arial" w:cs="Arial" w:eastAsia="Arial" w:hAnsi="Arial"/>
                <w:sz w:val="16"/>
                <w:szCs w:val="16"/>
                <w:color w:val="auto"/>
              </w:rPr>
              <w:t>3,352,142</w:t>
            </w:r>
          </w:p>
        </w:tc>
      </w:tr>
      <w:tr>
        <w:trPr>
          <w:trHeight w:val="45"/>
        </w:trPr>
        <w:tc>
          <w:tcPr>
            <w:tcW w:w="3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6"/>
        </w:trPr>
        <w:tc>
          <w:tcPr>
            <w:tcW w:w="30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Terrence B. Larkin</w:t>
            </w:r>
          </w:p>
        </w:tc>
        <w:tc>
          <w:tcPr>
            <w:tcW w:w="360" w:type="dxa"/>
            <w:vAlign w:val="bottom"/>
            <w:tcBorders>
              <w:bottom w:val="single" w:sz="8" w:color="FCE9E8"/>
            </w:tcBorders>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CE9E8"/>
            </w:tcBorders>
            <w:shd w:val="clear" w:color="auto" w:fill="FCE9E8"/>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CE9E8"/>
            </w:tcBorders>
            <w:shd w:val="clear" w:color="auto" w:fill="FCE9E8"/>
          </w:tcPr>
          <w:p>
            <w:pPr>
              <w:jc w:val="right"/>
              <w:ind w:right="200"/>
              <w:spacing w:after="0"/>
              <w:rPr>
                <w:sz w:val="20"/>
                <w:szCs w:val="20"/>
                <w:color w:val="auto"/>
              </w:rPr>
            </w:pPr>
            <w:r>
              <w:rPr>
                <w:rFonts w:ascii="Arial" w:cs="Arial" w:eastAsia="Arial" w:hAnsi="Arial"/>
                <w:sz w:val="16"/>
                <w:szCs w:val="16"/>
                <w:color w:val="auto"/>
              </w:rPr>
              <w:t>609,172</w:t>
            </w:r>
          </w:p>
        </w:tc>
        <w:tc>
          <w:tcPr>
            <w:tcW w:w="380" w:type="dxa"/>
            <w:vAlign w:val="bottom"/>
            <w:tcBorders>
              <w:bottom w:val="single" w:sz="8" w:color="FCE9E8"/>
            </w:tcBorders>
            <w:shd w:val="clear" w:color="auto" w:fill="FCE9E8"/>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FCE9E8"/>
            </w:tcBorders>
            <w:shd w:val="clear" w:color="auto" w:fill="FCE9E8"/>
          </w:tcPr>
          <w:p>
            <w:pPr>
              <w:jc w:val="right"/>
              <w:ind w:right="201"/>
              <w:spacing w:after="0"/>
              <w:rPr>
                <w:sz w:val="20"/>
                <w:szCs w:val="20"/>
                <w:color w:val="auto"/>
              </w:rPr>
            </w:pPr>
            <w:r>
              <w:rPr>
                <w:rFonts w:ascii="Arial" w:cs="Arial" w:eastAsia="Arial" w:hAnsi="Arial"/>
                <w:sz w:val="16"/>
                <w:szCs w:val="16"/>
                <w:color w:val="auto"/>
              </w:rPr>
              <w:t>1,827,694</w:t>
            </w:r>
          </w:p>
        </w:tc>
        <w:tc>
          <w:tcPr>
            <w:tcW w:w="3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CE9E8"/>
            </w:tcBorders>
            <w:shd w:val="clear" w:color="auto" w:fill="FCE9E8"/>
          </w:tcPr>
          <w:p>
            <w:pPr>
              <w:jc w:val="right"/>
              <w:ind w:right="202"/>
              <w:spacing w:after="0"/>
              <w:rPr>
                <w:sz w:val="20"/>
                <w:szCs w:val="20"/>
                <w:color w:val="auto"/>
              </w:rPr>
            </w:pPr>
            <w:r>
              <w:rPr>
                <w:rFonts w:ascii="Arial" w:cs="Arial" w:eastAsia="Arial" w:hAnsi="Arial"/>
                <w:sz w:val="16"/>
                <w:szCs w:val="16"/>
                <w:color w:val="auto"/>
                <w:w w:val="98"/>
              </w:rPr>
              <w:t>2,436,866</w:t>
            </w:r>
          </w:p>
        </w:tc>
        <w:tc>
          <w:tcPr>
            <w:tcW w:w="380" w:type="dxa"/>
            <w:vAlign w:val="bottom"/>
            <w:tcBorders>
              <w:bottom w:val="single" w:sz="8" w:color="FCE9E8"/>
            </w:tcBorders>
            <w:shd w:val="clear" w:color="auto" w:fill="FCE9E8"/>
          </w:tcPr>
          <w:p>
            <w:pPr>
              <w:ind w:left="28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FCE9E8"/>
            </w:tcBorders>
            <w:shd w:val="clear" w:color="auto" w:fill="FCE9E8"/>
          </w:tcPr>
          <w:p>
            <w:pPr>
              <w:jc w:val="right"/>
              <w:ind w:right="223"/>
              <w:spacing w:after="0"/>
              <w:rPr>
                <w:sz w:val="20"/>
                <w:szCs w:val="20"/>
                <w:color w:val="auto"/>
              </w:rPr>
            </w:pPr>
            <w:r>
              <w:rPr>
                <w:rFonts w:ascii="Arial" w:cs="Arial" w:eastAsia="Arial" w:hAnsi="Arial"/>
                <w:sz w:val="16"/>
                <w:szCs w:val="16"/>
                <w:color w:val="auto"/>
              </w:rPr>
              <w:t>3,655,388</w:t>
            </w:r>
          </w:p>
        </w:tc>
      </w:tr>
      <w:tr>
        <w:trPr>
          <w:trHeight w:val="261"/>
        </w:trPr>
        <w:tc>
          <w:tcPr>
            <w:tcW w:w="3060" w:type="dxa"/>
            <w:vAlign w:val="bottom"/>
          </w:tcPr>
          <w:p>
            <w:pPr>
              <w:ind w:left="80"/>
              <w:spacing w:after="0"/>
              <w:rPr>
                <w:sz w:val="20"/>
                <w:szCs w:val="20"/>
                <w:color w:val="auto"/>
              </w:rPr>
            </w:pPr>
            <w:r>
              <w:rPr>
                <w:rFonts w:ascii="Arial" w:cs="Arial" w:eastAsia="Arial" w:hAnsi="Arial"/>
                <w:sz w:val="16"/>
                <w:szCs w:val="16"/>
                <w:color w:val="auto"/>
              </w:rPr>
              <w:t>Frank C. Orsini</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0"/>
              <w:spacing w:after="0"/>
              <w:rPr>
                <w:sz w:val="20"/>
                <w:szCs w:val="20"/>
                <w:color w:val="auto"/>
              </w:rPr>
            </w:pPr>
            <w:r>
              <w:rPr>
                <w:rFonts w:ascii="Arial" w:cs="Arial" w:eastAsia="Arial" w:hAnsi="Arial"/>
                <w:sz w:val="16"/>
                <w:szCs w:val="16"/>
                <w:color w:val="auto"/>
              </w:rPr>
              <w:t>199,907</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568,648</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1,705,941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2"/>
              <w:spacing w:after="0"/>
              <w:rPr>
                <w:sz w:val="20"/>
                <w:szCs w:val="20"/>
                <w:color w:val="auto"/>
              </w:rPr>
            </w:pPr>
            <w:r>
              <w:rPr>
                <w:rFonts w:ascii="Arial" w:cs="Arial" w:eastAsia="Arial" w:hAnsi="Arial"/>
                <w:sz w:val="16"/>
                <w:szCs w:val="16"/>
                <w:color w:val="auto"/>
                <w:w w:val="98"/>
              </w:rPr>
              <w:t>2,474,496</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3"/>
              <w:spacing w:after="0"/>
              <w:rPr>
                <w:sz w:val="20"/>
                <w:szCs w:val="20"/>
                <w:color w:val="auto"/>
              </w:rPr>
            </w:pPr>
            <w:r>
              <w:rPr>
                <w:rFonts w:ascii="Arial" w:cs="Arial" w:eastAsia="Arial" w:hAnsi="Arial"/>
                <w:sz w:val="16"/>
                <w:szCs w:val="16"/>
                <w:color w:val="auto"/>
              </w:rPr>
              <w:t>3,411,882</w:t>
            </w:r>
          </w:p>
        </w:tc>
      </w:tr>
      <w:tr>
        <w:trPr>
          <w:trHeight w:val="45"/>
        </w:trPr>
        <w:tc>
          <w:tcPr>
            <w:tcW w:w="3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6"/>
        </w:trPr>
        <w:tc>
          <w:tcPr>
            <w:tcW w:w="30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Thomas A. DiDonato</w:t>
            </w:r>
          </w:p>
        </w:tc>
        <w:tc>
          <w:tcPr>
            <w:tcW w:w="360" w:type="dxa"/>
            <w:vAlign w:val="bottom"/>
            <w:tcBorders>
              <w:bottom w:val="single" w:sz="8" w:color="FCE9E8"/>
            </w:tcBorders>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CE9E8"/>
            </w:tcBorders>
            <w:shd w:val="clear" w:color="auto" w:fill="FCE9E8"/>
          </w:tcPr>
          <w:p>
            <w:pPr>
              <w:jc w:val="right"/>
              <w:ind w:right="200"/>
              <w:spacing w:after="0"/>
              <w:rPr>
                <w:sz w:val="20"/>
                <w:szCs w:val="20"/>
                <w:color w:val="auto"/>
              </w:rPr>
            </w:pPr>
            <w:r>
              <w:rPr>
                <w:rFonts w:ascii="Arial" w:cs="Arial" w:eastAsia="Arial" w:hAnsi="Arial"/>
                <w:sz w:val="16"/>
                <w:szCs w:val="16"/>
                <w:color w:val="auto"/>
              </w:rPr>
              <w:t>299,999</w:t>
            </w:r>
          </w:p>
        </w:tc>
        <w:tc>
          <w:tcPr>
            <w:tcW w:w="3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CE9E8"/>
            </w:tcBorders>
            <w:shd w:val="clear" w:color="auto" w:fill="FCE9E8"/>
          </w:tcPr>
          <w:p>
            <w:pPr>
              <w:jc w:val="right"/>
              <w:ind w:right="200"/>
              <w:spacing w:after="0"/>
              <w:rPr>
                <w:sz w:val="20"/>
                <w:szCs w:val="20"/>
                <w:color w:val="auto"/>
              </w:rPr>
            </w:pPr>
            <w:r>
              <w:rPr>
                <w:rFonts w:ascii="Arial" w:cs="Arial" w:eastAsia="Arial" w:hAnsi="Arial"/>
                <w:sz w:val="16"/>
                <w:szCs w:val="16"/>
                <w:color w:val="auto"/>
              </w:rPr>
              <w:t>453,437</w:t>
            </w:r>
          </w:p>
        </w:tc>
        <w:tc>
          <w:tcPr>
            <w:tcW w:w="380" w:type="dxa"/>
            <w:vAlign w:val="bottom"/>
            <w:tcBorders>
              <w:bottom w:val="single" w:sz="8" w:color="FCE9E8"/>
            </w:tcBorders>
            <w:shd w:val="clear" w:color="auto" w:fill="FCE9E8"/>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FCE9E8"/>
            </w:tcBorders>
            <w:shd w:val="clear" w:color="auto" w:fill="FCE9E8"/>
          </w:tcPr>
          <w:p>
            <w:pPr>
              <w:jc w:val="right"/>
              <w:ind w:right="201"/>
              <w:spacing w:after="0"/>
              <w:rPr>
                <w:sz w:val="20"/>
                <w:szCs w:val="20"/>
                <w:color w:val="auto"/>
              </w:rPr>
            </w:pPr>
            <w:r>
              <w:rPr>
                <w:rFonts w:ascii="Arial" w:cs="Arial" w:eastAsia="Arial" w:hAnsi="Arial"/>
                <w:sz w:val="16"/>
                <w:szCs w:val="16"/>
                <w:color w:val="auto"/>
              </w:rPr>
              <w:t>1,360,489</w:t>
            </w:r>
          </w:p>
        </w:tc>
        <w:tc>
          <w:tcPr>
            <w:tcW w:w="3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CE9E8"/>
            </w:tcBorders>
            <w:shd w:val="clear" w:color="auto" w:fill="FCE9E8"/>
          </w:tcPr>
          <w:p>
            <w:pPr>
              <w:jc w:val="right"/>
              <w:ind w:right="202"/>
              <w:spacing w:after="0"/>
              <w:rPr>
                <w:sz w:val="20"/>
                <w:szCs w:val="20"/>
                <w:color w:val="auto"/>
              </w:rPr>
            </w:pPr>
            <w:r>
              <w:rPr>
                <w:rFonts w:ascii="Arial" w:cs="Arial" w:eastAsia="Arial" w:hAnsi="Arial"/>
                <w:sz w:val="16"/>
                <w:szCs w:val="16"/>
                <w:color w:val="auto"/>
                <w:w w:val="98"/>
              </w:rPr>
              <w:t>2,113,925</w:t>
            </w:r>
          </w:p>
        </w:tc>
        <w:tc>
          <w:tcPr>
            <w:tcW w:w="380" w:type="dxa"/>
            <w:vAlign w:val="bottom"/>
            <w:tcBorders>
              <w:bottom w:val="single" w:sz="8" w:color="FCE9E8"/>
            </w:tcBorders>
            <w:shd w:val="clear" w:color="auto" w:fill="FCE9E8"/>
          </w:tcPr>
          <w:p>
            <w:pPr>
              <w:ind w:left="28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FCE9E8"/>
            </w:tcBorders>
            <w:shd w:val="clear" w:color="auto" w:fill="FCE9E8"/>
          </w:tcPr>
          <w:p>
            <w:pPr>
              <w:jc w:val="right"/>
              <w:ind w:right="223"/>
              <w:spacing w:after="0"/>
              <w:rPr>
                <w:sz w:val="20"/>
                <w:szCs w:val="20"/>
                <w:color w:val="auto"/>
              </w:rPr>
            </w:pPr>
            <w:r>
              <w:rPr>
                <w:rFonts w:ascii="Arial" w:cs="Arial" w:eastAsia="Arial" w:hAnsi="Arial"/>
                <w:sz w:val="16"/>
                <w:szCs w:val="16"/>
                <w:color w:val="auto"/>
              </w:rPr>
              <w:t>2,720,978</w:t>
            </w:r>
          </w:p>
        </w:tc>
      </w:tr>
      <w:tr>
        <w:trPr>
          <w:trHeight w:val="261"/>
        </w:trPr>
        <w:tc>
          <w:tcPr>
            <w:tcW w:w="3060" w:type="dxa"/>
            <w:vAlign w:val="bottom"/>
          </w:tcPr>
          <w:p>
            <w:pPr>
              <w:ind w:left="80"/>
              <w:spacing w:after="0"/>
              <w:rPr>
                <w:sz w:val="20"/>
                <w:szCs w:val="20"/>
                <w:color w:val="auto"/>
              </w:rPr>
            </w:pPr>
            <w:r>
              <w:rPr>
                <w:rFonts w:ascii="Arial" w:cs="Arial" w:eastAsia="Arial" w:hAnsi="Arial"/>
                <w:sz w:val="16"/>
                <w:szCs w:val="16"/>
                <w:color w:val="auto"/>
              </w:rPr>
              <w:t>Matthew J. Simoncini</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3"/>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53975</wp:posOffset>
            </wp:positionV>
            <wp:extent cx="63436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98" w:lineRule="exact"/>
        <w:rPr>
          <w:sz w:val="20"/>
          <w:szCs w:val="20"/>
          <w:color w:val="auto"/>
        </w:rPr>
      </w:pPr>
    </w:p>
    <w:p>
      <w:pPr>
        <w:ind w:left="600" w:hanging="320"/>
        <w:spacing w:after="0"/>
        <w:tabs>
          <w:tab w:leader="none" w:pos="60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Amounts in column (g) for 2018 represent the amounts earned under the AIP.</w:t>
      </w:r>
    </w:p>
    <w:p>
      <w:pPr>
        <w:spacing w:after="0" w:line="109" w:lineRule="exact"/>
        <w:rPr>
          <w:rFonts w:ascii="Arial" w:cs="Arial" w:eastAsia="Arial" w:hAnsi="Arial"/>
          <w:sz w:val="24"/>
          <w:szCs w:val="24"/>
          <w:color w:val="auto"/>
          <w:vertAlign w:val="superscript"/>
        </w:rPr>
      </w:pPr>
    </w:p>
    <w:p>
      <w:pPr>
        <w:ind w:left="600" w:right="40" w:hanging="320"/>
        <w:spacing w:after="0" w:line="192" w:lineRule="auto"/>
        <w:tabs>
          <w:tab w:leader="none" w:pos="60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Represents the aggregate annualized change in the actuarial present value of each applicable Named Executive Officer’s accumulated benefit under all defined benefit and actuarial pension plans (including supplemental plans), all of which have been frozen since December 31, 2006. For 2018, the aggregate negative change in the actuarial present value of each applicable Named Executive Officer’s accumulated benefit under all such plans was as follows: (i) Mr. Scott: $(151,072); (ii)</w:t>
      </w:r>
    </w:p>
    <w:p>
      <w:pPr>
        <w:spacing w:after="0" w:line="1" w:lineRule="exact"/>
        <w:rPr>
          <w:rFonts w:ascii="Arial" w:cs="Arial" w:eastAsia="Arial" w:hAnsi="Arial"/>
          <w:sz w:val="24"/>
          <w:szCs w:val="24"/>
          <w:color w:val="auto"/>
          <w:vertAlign w:val="superscript"/>
        </w:rPr>
      </w:pPr>
    </w:p>
    <w:p>
      <w:pPr>
        <w:ind w:left="600"/>
        <w:spacing w:after="0"/>
        <w:rPr>
          <w:rFonts w:ascii="Arial" w:cs="Arial" w:eastAsia="Arial" w:hAnsi="Arial"/>
          <w:sz w:val="24"/>
          <w:szCs w:val="24"/>
          <w:color w:val="auto"/>
          <w:vertAlign w:val="superscript"/>
        </w:rPr>
      </w:pPr>
      <w:r>
        <w:rPr>
          <w:rFonts w:ascii="Arial" w:cs="Arial" w:eastAsia="Arial" w:hAnsi="Arial"/>
          <w:sz w:val="14"/>
          <w:szCs w:val="14"/>
          <w:color w:val="auto"/>
        </w:rPr>
        <w:t>Mr. Vanneste: $(71,220); (iii) Mr. Orsini: $(70,571); and (iv) Mr. Simoncini: $(36,329).</w:t>
      </w:r>
    </w:p>
    <w:p>
      <w:pPr>
        <w:spacing w:after="0" w:line="13" w:lineRule="exact"/>
        <w:rPr>
          <w:rFonts w:ascii="Arial" w:cs="Arial" w:eastAsia="Arial" w:hAnsi="Arial"/>
          <w:sz w:val="24"/>
          <w:szCs w:val="24"/>
          <w:color w:val="auto"/>
          <w:vertAlign w:val="superscript"/>
        </w:rPr>
      </w:pPr>
    </w:p>
    <w:p>
      <w:pPr>
        <w:ind w:left="600" w:hanging="320"/>
        <w:spacing w:after="0"/>
        <w:tabs>
          <w:tab w:leader="none" w:pos="60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The amount shown in column (i) includes for each Named Executive Officer:</w:t>
      </w:r>
    </w:p>
    <w:p>
      <w:pPr>
        <w:spacing w:after="0" w:line="109" w:lineRule="exact"/>
        <w:rPr>
          <w:rFonts w:ascii="Arial" w:cs="Arial" w:eastAsia="Arial" w:hAnsi="Arial"/>
          <w:sz w:val="24"/>
          <w:szCs w:val="24"/>
          <w:color w:val="auto"/>
          <w:vertAlign w:val="superscript"/>
        </w:rPr>
      </w:pPr>
    </w:p>
    <w:p>
      <w:pPr>
        <w:ind w:left="820" w:right="100" w:hanging="221"/>
        <w:spacing w:after="0" w:line="252" w:lineRule="auto"/>
        <w:tabs>
          <w:tab w:leader="none" w:pos="820" w:val="left"/>
        </w:tabs>
        <w:numPr>
          <w:ilvl w:val="1"/>
          <w:numId w:val="82"/>
        </w:numPr>
        <w:rPr>
          <w:rFonts w:ascii="Arial" w:cs="Arial" w:eastAsia="Arial" w:hAnsi="Arial"/>
          <w:sz w:val="14"/>
          <w:szCs w:val="14"/>
          <w:color w:val="auto"/>
        </w:rPr>
      </w:pPr>
      <w:r>
        <w:rPr>
          <w:rFonts w:ascii="Arial" w:cs="Arial" w:eastAsia="Arial" w:hAnsi="Arial"/>
          <w:sz w:val="14"/>
          <w:szCs w:val="14"/>
          <w:color w:val="auto"/>
        </w:rPr>
        <w:t>matching contributions allocated by the Company to each of the Named Executive Officers pursuant to the Retirement Savings Plan, Company contributions under the Pension Savings Plan (described below) and contributions to the Lear Corporation Salaried Retirement Restoration Program as follows:</w:t>
      </w:r>
    </w:p>
    <w:p>
      <w:pPr>
        <w:spacing w:after="0" w:line="139"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420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E2231A"/>
              </w:rPr>
              <w:t>Pension Savings</w:t>
            </w:r>
          </w:p>
        </w:tc>
        <w:tc>
          <w:tcPr>
            <w:tcW w:w="200" w:type="dxa"/>
            <w:vAlign w:val="bottom"/>
          </w:tcPr>
          <w:p>
            <w:pPr>
              <w:spacing w:after="0"/>
              <w:rPr>
                <w:sz w:val="12"/>
                <w:szCs w:val="12"/>
                <w:color w:val="auto"/>
              </w:rPr>
            </w:pPr>
          </w:p>
        </w:tc>
        <w:tc>
          <w:tcPr>
            <w:tcW w:w="1500" w:type="dxa"/>
            <w:vAlign w:val="bottom"/>
          </w:tcPr>
          <w:p>
            <w:pPr>
              <w:jc w:val="right"/>
              <w:ind w:right="191"/>
              <w:spacing w:after="0"/>
              <w:rPr>
                <w:sz w:val="20"/>
                <w:szCs w:val="20"/>
                <w:color w:val="auto"/>
              </w:rPr>
            </w:pPr>
            <w:r>
              <w:rPr>
                <w:rFonts w:ascii="Arial" w:cs="Arial" w:eastAsia="Arial" w:hAnsi="Arial"/>
                <w:sz w:val="12"/>
                <w:szCs w:val="12"/>
                <w:b w:val="1"/>
                <w:bCs w:val="1"/>
                <w:color w:val="E2231A"/>
              </w:rPr>
              <w:t>Salaried Retirement</w:t>
            </w:r>
          </w:p>
        </w:tc>
        <w:tc>
          <w:tcPr>
            <w:tcW w:w="160" w:type="dxa"/>
            <w:vAlign w:val="bottom"/>
          </w:tcPr>
          <w:p>
            <w:pPr>
              <w:spacing w:after="0"/>
              <w:rPr>
                <w:sz w:val="12"/>
                <w:szCs w:val="12"/>
                <w:color w:val="auto"/>
              </w:rPr>
            </w:pPr>
          </w:p>
        </w:tc>
        <w:tc>
          <w:tcPr>
            <w:tcW w:w="1320" w:type="dxa"/>
            <w:vAlign w:val="bottom"/>
          </w:tcPr>
          <w:p>
            <w:pPr>
              <w:jc w:val="right"/>
              <w:ind w:right="91"/>
              <w:spacing w:after="0"/>
              <w:rPr>
                <w:sz w:val="20"/>
                <w:szCs w:val="20"/>
                <w:color w:val="auto"/>
              </w:rPr>
            </w:pPr>
            <w:r>
              <w:rPr>
                <w:rFonts w:ascii="Arial" w:cs="Arial" w:eastAsia="Arial" w:hAnsi="Arial"/>
                <w:sz w:val="12"/>
                <w:szCs w:val="12"/>
                <w:b w:val="1"/>
                <w:bCs w:val="1"/>
                <w:color w:val="E2231A"/>
              </w:rPr>
              <w:t>Retirement Savings</w:t>
            </w:r>
          </w:p>
        </w:tc>
        <w:tc>
          <w:tcPr>
            <w:tcW w:w="160" w:type="dxa"/>
            <w:vAlign w:val="bottom"/>
          </w:tcPr>
          <w:p>
            <w:pPr>
              <w:spacing w:after="0"/>
              <w:rPr>
                <w:sz w:val="12"/>
                <w:szCs w:val="12"/>
                <w:color w:val="auto"/>
              </w:rPr>
            </w:pPr>
          </w:p>
        </w:tc>
        <w:tc>
          <w:tcPr>
            <w:tcW w:w="1320" w:type="dxa"/>
            <w:vAlign w:val="bottom"/>
          </w:tcPr>
          <w:p>
            <w:pPr>
              <w:jc w:val="right"/>
              <w:ind w:right="91"/>
              <w:spacing w:after="0"/>
              <w:rPr>
                <w:sz w:val="20"/>
                <w:szCs w:val="20"/>
                <w:color w:val="auto"/>
              </w:rPr>
            </w:pPr>
            <w:r>
              <w:rPr>
                <w:rFonts w:ascii="Arial" w:cs="Arial" w:eastAsia="Arial" w:hAnsi="Arial"/>
                <w:sz w:val="12"/>
                <w:szCs w:val="12"/>
                <w:b w:val="1"/>
                <w:bCs w:val="1"/>
                <w:color w:val="E2231A"/>
              </w:rPr>
              <w:t>Retirement Savings</w:t>
            </w:r>
          </w:p>
        </w:tc>
      </w:tr>
      <w:tr>
        <w:trPr>
          <w:trHeight w:val="133"/>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91"/>
              <w:spacing w:after="0" w:line="133" w:lineRule="exact"/>
              <w:rPr>
                <w:sz w:val="20"/>
                <w:szCs w:val="20"/>
                <w:color w:val="auto"/>
              </w:rPr>
            </w:pPr>
            <w:r>
              <w:rPr>
                <w:rFonts w:ascii="Arial" w:cs="Arial" w:eastAsia="Arial" w:hAnsi="Arial"/>
                <w:sz w:val="12"/>
                <w:szCs w:val="12"/>
                <w:b w:val="1"/>
                <w:bCs w:val="1"/>
                <w:color w:val="E2231A"/>
                <w:w w:val="99"/>
              </w:rPr>
              <w:t>Plan Qualified</w:t>
            </w:r>
          </w:p>
        </w:tc>
        <w:tc>
          <w:tcPr>
            <w:tcW w:w="200" w:type="dxa"/>
            <w:vAlign w:val="bottom"/>
          </w:tcPr>
          <w:p>
            <w:pPr>
              <w:spacing w:after="0"/>
              <w:rPr>
                <w:sz w:val="11"/>
                <w:szCs w:val="11"/>
                <w:color w:val="auto"/>
              </w:rPr>
            </w:pPr>
          </w:p>
        </w:tc>
        <w:tc>
          <w:tcPr>
            <w:tcW w:w="1500" w:type="dxa"/>
            <w:vAlign w:val="bottom"/>
          </w:tcPr>
          <w:p>
            <w:pPr>
              <w:jc w:val="right"/>
              <w:ind w:right="151"/>
              <w:spacing w:after="0" w:line="133" w:lineRule="exact"/>
              <w:rPr>
                <w:sz w:val="20"/>
                <w:szCs w:val="20"/>
                <w:color w:val="auto"/>
              </w:rPr>
            </w:pPr>
            <w:r>
              <w:rPr>
                <w:rFonts w:ascii="Arial" w:cs="Arial" w:eastAsia="Arial" w:hAnsi="Arial"/>
                <w:sz w:val="12"/>
                <w:szCs w:val="12"/>
                <w:b w:val="1"/>
                <w:bCs w:val="1"/>
                <w:color w:val="E2231A"/>
              </w:rPr>
              <w:t>Restoration Program</w:t>
            </w:r>
          </w:p>
        </w:tc>
        <w:tc>
          <w:tcPr>
            <w:tcW w:w="160" w:type="dxa"/>
            <w:vAlign w:val="bottom"/>
          </w:tcPr>
          <w:p>
            <w:pPr>
              <w:spacing w:after="0"/>
              <w:rPr>
                <w:sz w:val="11"/>
                <w:szCs w:val="11"/>
                <w:color w:val="auto"/>
              </w:rPr>
            </w:pPr>
          </w:p>
        </w:tc>
        <w:tc>
          <w:tcPr>
            <w:tcW w:w="1320" w:type="dxa"/>
            <w:vAlign w:val="bottom"/>
          </w:tcPr>
          <w:p>
            <w:pPr>
              <w:jc w:val="right"/>
              <w:ind w:right="251"/>
              <w:spacing w:after="0" w:line="133" w:lineRule="exact"/>
              <w:rPr>
                <w:sz w:val="20"/>
                <w:szCs w:val="20"/>
                <w:color w:val="auto"/>
              </w:rPr>
            </w:pPr>
            <w:r>
              <w:rPr>
                <w:rFonts w:ascii="Arial" w:cs="Arial" w:eastAsia="Arial" w:hAnsi="Arial"/>
                <w:sz w:val="12"/>
                <w:szCs w:val="12"/>
                <w:b w:val="1"/>
                <w:bCs w:val="1"/>
                <w:color w:val="E2231A"/>
              </w:rPr>
              <w:t>Plan Qualified</w:t>
            </w:r>
          </w:p>
        </w:tc>
        <w:tc>
          <w:tcPr>
            <w:tcW w:w="160" w:type="dxa"/>
            <w:vAlign w:val="bottom"/>
          </w:tcPr>
          <w:p>
            <w:pPr>
              <w:spacing w:after="0"/>
              <w:rPr>
                <w:sz w:val="11"/>
                <w:szCs w:val="11"/>
                <w:color w:val="auto"/>
              </w:rPr>
            </w:pPr>
          </w:p>
        </w:tc>
        <w:tc>
          <w:tcPr>
            <w:tcW w:w="1320" w:type="dxa"/>
            <w:vAlign w:val="bottom"/>
          </w:tcPr>
          <w:p>
            <w:pPr>
              <w:jc w:val="right"/>
              <w:ind w:right="151"/>
              <w:spacing w:after="0" w:line="133" w:lineRule="exact"/>
              <w:rPr>
                <w:sz w:val="20"/>
                <w:szCs w:val="20"/>
                <w:color w:val="auto"/>
              </w:rPr>
            </w:pPr>
            <w:r>
              <w:rPr>
                <w:rFonts w:ascii="Arial" w:cs="Arial" w:eastAsia="Arial" w:hAnsi="Arial"/>
                <w:sz w:val="12"/>
                <w:szCs w:val="12"/>
                <w:b w:val="1"/>
                <w:bCs w:val="1"/>
                <w:color w:val="E2231A"/>
              </w:rPr>
              <w:t>Plan Nonqualified</w:t>
            </w:r>
          </w:p>
        </w:tc>
      </w:tr>
      <w:tr>
        <w:trPr>
          <w:trHeight w:val="162"/>
        </w:trPr>
        <w:tc>
          <w:tcPr>
            <w:tcW w:w="4200" w:type="dxa"/>
            <w:vAlign w:val="bottom"/>
          </w:tcPr>
          <w:p>
            <w:pPr>
              <w:ind w:left="60"/>
              <w:spacing w:after="0"/>
              <w:rPr>
                <w:sz w:val="20"/>
                <w:szCs w:val="20"/>
                <w:color w:val="auto"/>
              </w:rPr>
            </w:pPr>
            <w:r>
              <w:rPr>
                <w:rFonts w:ascii="Arial" w:cs="Arial" w:eastAsia="Arial" w:hAnsi="Arial"/>
                <w:sz w:val="12"/>
                <w:szCs w:val="12"/>
                <w:b w:val="1"/>
                <w:bCs w:val="1"/>
                <w:color w:val="E2231A"/>
              </w:rPr>
              <w:t>Name</w:t>
            </w:r>
          </w:p>
        </w:tc>
        <w:tc>
          <w:tcPr>
            <w:tcW w:w="160" w:type="dxa"/>
            <w:vAlign w:val="bottom"/>
          </w:tcPr>
          <w:p>
            <w:pPr>
              <w:spacing w:after="0"/>
              <w:rPr>
                <w:sz w:val="14"/>
                <w:szCs w:val="14"/>
                <w:color w:val="auto"/>
              </w:rPr>
            </w:pPr>
          </w:p>
        </w:tc>
        <w:tc>
          <w:tcPr>
            <w:tcW w:w="980" w:type="dxa"/>
            <w:vAlign w:val="bottom"/>
          </w:tcPr>
          <w:p>
            <w:pPr>
              <w:jc w:val="right"/>
              <w:ind w:right="131"/>
              <w:spacing w:after="0"/>
              <w:rPr>
                <w:sz w:val="20"/>
                <w:szCs w:val="20"/>
                <w:color w:val="auto"/>
              </w:rPr>
            </w:pPr>
            <w:r>
              <w:rPr>
                <w:rFonts w:ascii="Arial" w:cs="Arial" w:eastAsia="Arial" w:hAnsi="Arial"/>
                <w:sz w:val="12"/>
                <w:szCs w:val="12"/>
                <w:b w:val="1"/>
                <w:bCs w:val="1"/>
                <w:color w:val="E2231A"/>
              </w:rPr>
              <w:t>Contribution</w:t>
            </w:r>
          </w:p>
        </w:tc>
        <w:tc>
          <w:tcPr>
            <w:tcW w:w="1700" w:type="dxa"/>
            <w:vAlign w:val="bottom"/>
            <w:gridSpan w:val="2"/>
          </w:tcPr>
          <w:p>
            <w:pPr>
              <w:ind w:left="80"/>
              <w:spacing w:after="0"/>
              <w:rPr>
                <w:sz w:val="20"/>
                <w:szCs w:val="20"/>
                <w:color w:val="auto"/>
              </w:rPr>
            </w:pPr>
            <w:r>
              <w:rPr>
                <w:rFonts w:ascii="Arial" w:cs="Arial" w:eastAsia="Arial" w:hAnsi="Arial"/>
                <w:sz w:val="12"/>
                <w:szCs w:val="12"/>
                <w:b w:val="1"/>
                <w:bCs w:val="1"/>
                <w:color w:val="E2231A"/>
              </w:rPr>
              <w:t>Nonqualified Contribution</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E2231A"/>
              </w:rPr>
              <w:t>Matching Contribution</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E2231A"/>
              </w:rPr>
              <w:t>Matching Contribution</w:t>
            </w:r>
          </w:p>
        </w:tc>
      </w:tr>
      <w:tr>
        <w:trPr>
          <w:trHeight w:val="44"/>
        </w:trPr>
        <w:tc>
          <w:tcPr>
            <w:tcW w:w="4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0"/>
        </w:trPr>
        <w:tc>
          <w:tcPr>
            <w:tcW w:w="42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Raymond E. Scott</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4"/>
                <w:szCs w:val="14"/>
                <w:color w:val="auto"/>
              </w:rPr>
              <w:t>27,864</w:t>
            </w:r>
          </w:p>
        </w:tc>
        <w:tc>
          <w:tcPr>
            <w:tcW w:w="2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4"/>
                <w:szCs w:val="14"/>
                <w:color w:val="auto"/>
              </w:rPr>
              <w:t>279,673</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4"/>
                <w:szCs w:val="14"/>
                <w:color w:val="auto"/>
              </w:rPr>
              <w:t>8,636</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4"/>
                <w:szCs w:val="14"/>
                <w:color w:val="auto"/>
              </w:rPr>
              <w:t>108,616</w:t>
            </w:r>
          </w:p>
        </w:tc>
      </w:tr>
      <w:tr>
        <w:trPr>
          <w:trHeight w:val="242"/>
        </w:trPr>
        <w:tc>
          <w:tcPr>
            <w:tcW w:w="4200" w:type="dxa"/>
            <w:vAlign w:val="bottom"/>
          </w:tcPr>
          <w:p>
            <w:pPr>
              <w:ind w:left="80"/>
              <w:spacing w:after="0"/>
              <w:rPr>
                <w:sz w:val="20"/>
                <w:szCs w:val="20"/>
                <w:color w:val="auto"/>
              </w:rPr>
            </w:pPr>
            <w:r>
              <w:rPr>
                <w:rFonts w:ascii="Arial" w:cs="Arial" w:eastAsia="Arial" w:hAnsi="Arial"/>
                <w:sz w:val="14"/>
                <w:szCs w:val="14"/>
                <w:color w:val="auto"/>
              </w:rPr>
              <w:t>Jeffrey H. Vanneste</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27,864</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1"/>
              <w:spacing w:after="0"/>
              <w:rPr>
                <w:sz w:val="20"/>
                <w:szCs w:val="20"/>
                <w:color w:val="auto"/>
              </w:rPr>
            </w:pPr>
            <w:r>
              <w:rPr>
                <w:rFonts w:ascii="Arial" w:cs="Arial" w:eastAsia="Arial" w:hAnsi="Arial"/>
                <w:sz w:val="14"/>
                <w:szCs w:val="14"/>
                <w:color w:val="auto"/>
              </w:rPr>
              <w:t>222,775</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8,636</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87,280</w:t>
            </w:r>
          </w:p>
        </w:tc>
      </w:tr>
      <w:tr>
        <w:trPr>
          <w:trHeight w:val="38"/>
        </w:trPr>
        <w:tc>
          <w:tcPr>
            <w:tcW w:w="4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0"/>
        </w:trPr>
        <w:tc>
          <w:tcPr>
            <w:tcW w:w="42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Terrence B. Larkin</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4"/>
                <w:szCs w:val="14"/>
                <w:color w:val="auto"/>
              </w:rPr>
              <w:t>24,381</w:t>
            </w:r>
          </w:p>
        </w:tc>
        <w:tc>
          <w:tcPr>
            <w:tcW w:w="2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4"/>
                <w:szCs w:val="14"/>
                <w:color w:val="auto"/>
              </w:rPr>
              <w:t>186,610</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4"/>
                <w:szCs w:val="14"/>
                <w:color w:val="auto"/>
              </w:rPr>
              <w:t>12,119</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4"/>
                <w:szCs w:val="14"/>
                <w:color w:val="auto"/>
              </w:rPr>
              <w:t>80,232</w:t>
            </w:r>
          </w:p>
        </w:tc>
      </w:tr>
      <w:tr>
        <w:trPr>
          <w:trHeight w:val="242"/>
        </w:trPr>
        <w:tc>
          <w:tcPr>
            <w:tcW w:w="4200" w:type="dxa"/>
            <w:vAlign w:val="bottom"/>
          </w:tcPr>
          <w:p>
            <w:pPr>
              <w:ind w:left="80"/>
              <w:spacing w:after="0"/>
              <w:rPr>
                <w:sz w:val="20"/>
                <w:szCs w:val="20"/>
                <w:color w:val="auto"/>
              </w:rPr>
            </w:pPr>
            <w:r>
              <w:rPr>
                <w:rFonts w:ascii="Arial" w:cs="Arial" w:eastAsia="Arial" w:hAnsi="Arial"/>
                <w:sz w:val="14"/>
                <w:szCs w:val="14"/>
                <w:color w:val="auto"/>
              </w:rPr>
              <w:t>Frank C. Orsini</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20,898</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1"/>
              <w:spacing w:after="0"/>
              <w:rPr>
                <w:sz w:val="20"/>
                <w:szCs w:val="20"/>
                <w:color w:val="auto"/>
              </w:rPr>
            </w:pPr>
            <w:r>
              <w:rPr>
                <w:rFonts w:ascii="Arial" w:cs="Arial" w:eastAsia="Arial" w:hAnsi="Arial"/>
                <w:sz w:val="14"/>
                <w:szCs w:val="14"/>
                <w:color w:val="auto"/>
              </w:rPr>
              <w:t>148,427</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12,375</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74,213</w:t>
            </w:r>
          </w:p>
        </w:tc>
      </w:tr>
      <w:tr>
        <w:trPr>
          <w:trHeight w:val="38"/>
        </w:trPr>
        <w:tc>
          <w:tcPr>
            <w:tcW w:w="4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0"/>
        </w:trPr>
        <w:tc>
          <w:tcPr>
            <w:tcW w:w="42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Thomas A. DiDonato</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4"/>
                <w:szCs w:val="14"/>
                <w:color w:val="auto"/>
              </w:rPr>
              <w:t>20,898</w:t>
            </w:r>
          </w:p>
        </w:tc>
        <w:tc>
          <w:tcPr>
            <w:tcW w:w="2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4"/>
                <w:szCs w:val="14"/>
                <w:color w:val="auto"/>
              </w:rPr>
              <w:t>120,375</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4"/>
                <w:szCs w:val="14"/>
                <w:color w:val="auto"/>
              </w:rPr>
              <w:t>12,375</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4"/>
                <w:szCs w:val="14"/>
                <w:color w:val="auto"/>
              </w:rPr>
              <w:t>60,188</w:t>
            </w:r>
          </w:p>
        </w:tc>
      </w:tr>
      <w:tr>
        <w:trPr>
          <w:trHeight w:val="242"/>
        </w:trPr>
        <w:tc>
          <w:tcPr>
            <w:tcW w:w="4200" w:type="dxa"/>
            <w:vAlign w:val="bottom"/>
          </w:tcPr>
          <w:p>
            <w:pPr>
              <w:ind w:left="80"/>
              <w:spacing w:after="0"/>
              <w:rPr>
                <w:sz w:val="20"/>
                <w:szCs w:val="20"/>
                <w:color w:val="auto"/>
              </w:rPr>
            </w:pPr>
            <w:r>
              <w:rPr>
                <w:rFonts w:ascii="Arial" w:cs="Arial" w:eastAsia="Arial" w:hAnsi="Arial"/>
                <w:sz w:val="14"/>
                <w:szCs w:val="14"/>
                <w:color w:val="auto"/>
              </w:rPr>
              <w:t>Matthew J. Simoncini</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24,381</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1"/>
              <w:spacing w:after="0"/>
              <w:rPr>
                <w:sz w:val="20"/>
                <w:szCs w:val="20"/>
                <w:color w:val="auto"/>
              </w:rPr>
            </w:pPr>
            <w:r>
              <w:rPr>
                <w:rFonts w:ascii="Arial" w:cs="Arial" w:eastAsia="Arial" w:hAnsi="Arial"/>
                <w:sz w:val="14"/>
                <w:szCs w:val="14"/>
                <w:color w:val="auto"/>
              </w:rPr>
              <w:t>408,802</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12,119</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175,457</w:t>
            </w:r>
          </w:p>
        </w:tc>
      </w:tr>
      <w:tr>
        <w:trPr>
          <w:trHeight w:val="38"/>
        </w:trPr>
        <w:tc>
          <w:tcPr>
            <w:tcW w:w="4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bl>
    <w:p>
      <w:pPr>
        <w:spacing w:after="0" w:line="125" w:lineRule="exact"/>
        <w:rPr>
          <w:sz w:val="20"/>
          <w:szCs w:val="20"/>
          <w:color w:val="auto"/>
        </w:rPr>
      </w:pPr>
    </w:p>
    <w:p>
      <w:pPr>
        <w:ind w:left="820" w:right="260" w:hanging="221"/>
        <w:spacing w:after="0" w:line="252" w:lineRule="auto"/>
        <w:tabs>
          <w:tab w:leader="none" w:pos="820" w:val="left"/>
        </w:tabs>
        <w:numPr>
          <w:ilvl w:val="1"/>
          <w:numId w:val="83"/>
        </w:numPr>
        <w:rPr>
          <w:rFonts w:ascii="Arial" w:cs="Arial" w:eastAsia="Arial" w:hAnsi="Arial"/>
          <w:sz w:val="14"/>
          <w:szCs w:val="14"/>
          <w:color w:val="auto"/>
        </w:rPr>
      </w:pPr>
      <w:r>
        <w:rPr>
          <w:rFonts w:ascii="Arial" w:cs="Arial" w:eastAsia="Arial" w:hAnsi="Arial"/>
          <w:sz w:val="14"/>
          <w:szCs w:val="14"/>
          <w:color w:val="auto"/>
        </w:rPr>
        <w:t>imputed income with respect to life insurance coverage in the following amounts: Mr. Scott, $1,932; Mr. Vanneste, $3,612; Mr. Larkin, $5,544; Mr. Orsini, $1,260, Mr. DiDonato, $5,544; and Mr. Simoncini, $3,612.</w:t>
      </w:r>
    </w:p>
    <w:p>
      <w:pPr>
        <w:spacing w:after="0" w:line="101" w:lineRule="exact"/>
        <w:rPr>
          <w:rFonts w:ascii="Arial" w:cs="Arial" w:eastAsia="Arial" w:hAnsi="Arial"/>
          <w:sz w:val="14"/>
          <w:szCs w:val="14"/>
          <w:color w:val="auto"/>
        </w:rPr>
      </w:pPr>
    </w:p>
    <w:p>
      <w:pPr>
        <w:ind w:left="820" w:hanging="221"/>
        <w:spacing w:after="0"/>
        <w:tabs>
          <w:tab w:leader="none" w:pos="820" w:val="left"/>
        </w:tabs>
        <w:numPr>
          <w:ilvl w:val="1"/>
          <w:numId w:val="83"/>
        </w:numPr>
        <w:rPr>
          <w:rFonts w:ascii="Arial" w:cs="Arial" w:eastAsia="Arial" w:hAnsi="Arial"/>
          <w:sz w:val="14"/>
          <w:szCs w:val="14"/>
          <w:color w:val="auto"/>
        </w:rPr>
      </w:pPr>
      <w:r>
        <w:rPr>
          <w:rFonts w:ascii="Arial" w:cs="Arial" w:eastAsia="Arial" w:hAnsi="Arial"/>
          <w:sz w:val="14"/>
          <w:szCs w:val="14"/>
          <w:color w:val="auto"/>
        </w:rPr>
        <w:t>life insurance premiums paid by the Company, including $864 in premiums for each of Messrs. Scott, Vanneste, Larkin, Orsini, DiDonato and Simoncini.</w:t>
      </w:r>
    </w:p>
    <w:p>
      <w:pPr>
        <w:spacing w:after="0" w:line="118" w:lineRule="exact"/>
        <w:rPr>
          <w:rFonts w:ascii="Arial" w:cs="Arial" w:eastAsia="Arial" w:hAnsi="Arial"/>
          <w:sz w:val="14"/>
          <w:szCs w:val="14"/>
          <w:color w:val="auto"/>
        </w:rPr>
      </w:pPr>
    </w:p>
    <w:p>
      <w:pPr>
        <w:ind w:left="820" w:right="300" w:hanging="221"/>
        <w:spacing w:after="0" w:line="252" w:lineRule="auto"/>
        <w:tabs>
          <w:tab w:leader="none" w:pos="820" w:val="left"/>
        </w:tabs>
        <w:numPr>
          <w:ilvl w:val="1"/>
          <w:numId w:val="83"/>
        </w:numPr>
        <w:rPr>
          <w:rFonts w:ascii="Arial" w:cs="Arial" w:eastAsia="Arial" w:hAnsi="Arial"/>
          <w:sz w:val="14"/>
          <w:szCs w:val="14"/>
          <w:color w:val="auto"/>
        </w:rPr>
      </w:pPr>
      <w:r>
        <w:rPr>
          <w:rFonts w:ascii="Arial" w:cs="Arial" w:eastAsia="Arial" w:hAnsi="Arial"/>
          <w:sz w:val="14"/>
          <w:szCs w:val="14"/>
          <w:color w:val="auto"/>
        </w:rPr>
        <w:t>the aggregate incremental cost relating to Mr. Simoncini’s personal use of the Company’s aircraft in 2018 was equal to $44,005 after certain reimbursements by Mr. Simoncini to the Company.</w:t>
      </w:r>
    </w:p>
    <w:p>
      <w:pPr>
        <w:spacing w:after="0" w:line="101" w:lineRule="exact"/>
        <w:rPr>
          <w:rFonts w:ascii="Arial" w:cs="Arial" w:eastAsia="Arial" w:hAnsi="Arial"/>
          <w:sz w:val="14"/>
          <w:szCs w:val="14"/>
          <w:color w:val="auto"/>
        </w:rPr>
      </w:pPr>
    </w:p>
    <w:p>
      <w:pPr>
        <w:ind w:left="820" w:hanging="221"/>
        <w:spacing w:after="0"/>
        <w:tabs>
          <w:tab w:leader="none" w:pos="820" w:val="left"/>
        </w:tabs>
        <w:numPr>
          <w:ilvl w:val="1"/>
          <w:numId w:val="83"/>
        </w:numPr>
        <w:rPr>
          <w:rFonts w:ascii="Arial" w:cs="Arial" w:eastAsia="Arial" w:hAnsi="Arial"/>
          <w:sz w:val="14"/>
          <w:szCs w:val="14"/>
          <w:color w:val="auto"/>
        </w:rPr>
      </w:pPr>
      <w:r>
        <w:rPr>
          <w:rFonts w:ascii="Arial" w:cs="Arial" w:eastAsia="Arial" w:hAnsi="Arial"/>
          <w:sz w:val="14"/>
          <w:szCs w:val="14"/>
          <w:color w:val="auto"/>
        </w:rPr>
        <w:t>a $1,000 patent award granted to Mr. Scott.</w:t>
      </w:r>
    </w:p>
    <w:p>
      <w:pPr>
        <w:spacing w:after="0" w:line="13" w:lineRule="exact"/>
        <w:rPr>
          <w:rFonts w:ascii="Arial" w:cs="Arial" w:eastAsia="Arial" w:hAnsi="Arial"/>
          <w:sz w:val="14"/>
          <w:szCs w:val="14"/>
          <w:color w:val="auto"/>
        </w:rPr>
      </w:pPr>
    </w:p>
    <w:p>
      <w:pPr>
        <w:ind w:left="600" w:hanging="320"/>
        <w:spacing w:after="0"/>
        <w:tabs>
          <w:tab w:leader="none" w:pos="60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Mr. DiDonato was not a Named Executive Officer prior to 2018, and thus, no compensation information is reported for him in this table for 2017 or 2016.</w:t>
      </w:r>
    </w:p>
    <w:p>
      <w:pPr>
        <w:spacing w:after="0" w:line="109" w:lineRule="exact"/>
        <w:rPr>
          <w:rFonts w:ascii="Arial" w:cs="Arial" w:eastAsia="Arial" w:hAnsi="Arial"/>
          <w:sz w:val="24"/>
          <w:szCs w:val="24"/>
          <w:color w:val="auto"/>
          <w:vertAlign w:val="superscript"/>
        </w:rPr>
      </w:pPr>
    </w:p>
    <w:p>
      <w:pPr>
        <w:ind w:left="600" w:hanging="320"/>
        <w:spacing w:after="0" w:line="187" w:lineRule="auto"/>
        <w:tabs>
          <w:tab w:leader="none" w:pos="600" w:val="left"/>
        </w:tabs>
        <w:numPr>
          <w:ilvl w:val="0"/>
          <w:numId w:val="83"/>
        </w:numPr>
        <w:rPr>
          <w:rFonts w:ascii="Arial" w:cs="Arial" w:eastAsia="Arial" w:hAnsi="Arial"/>
          <w:sz w:val="19"/>
          <w:szCs w:val="19"/>
          <w:color w:val="auto"/>
          <w:vertAlign w:val="superscript"/>
        </w:rPr>
      </w:pPr>
      <w:r>
        <w:rPr>
          <w:rFonts w:ascii="Arial" w:cs="Arial" w:eastAsia="Arial" w:hAnsi="Arial"/>
          <w:sz w:val="12"/>
          <w:szCs w:val="12"/>
          <w:color w:val="auto"/>
        </w:rPr>
        <w:t>Mr. Simoncini served as a non-executive employee from March 1, 2018, through his retirement from the Company on January 4, 2019.</w:t>
      </w:r>
    </w:p>
    <w:p>
      <w:pPr>
        <w:sectPr>
          <w:pgSz w:w="11900" w:h="16838" w:orient="portrait"/>
          <w:cols w:equalWidth="0" w:num="1">
            <w:col w:w="11120"/>
          </w:cols>
          <w:pgMar w:left="240" w:top="455" w:right="539" w:bottom="1440" w:gutter="0" w:footer="0" w:header="0"/>
        </w:sectPr>
      </w:pPr>
    </w:p>
    <w:p>
      <w:pPr>
        <w:spacing w:after="0" w:line="17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CEO Transition</w:t>
      </w:r>
    </w:p>
    <w:p>
      <w:pPr>
        <w:spacing w:after="0" w:line="191" w:lineRule="exact"/>
        <w:rPr>
          <w:sz w:val="20"/>
          <w:szCs w:val="20"/>
          <w:color w:val="auto"/>
        </w:rPr>
      </w:pPr>
    </w:p>
    <w:p>
      <w:pPr>
        <w:jc w:val="both"/>
        <w:ind w:left="280" w:right="400"/>
        <w:spacing w:after="0" w:line="259" w:lineRule="auto"/>
        <w:rPr>
          <w:sz w:val="20"/>
          <w:szCs w:val="20"/>
          <w:color w:val="auto"/>
        </w:rPr>
      </w:pPr>
      <w:r>
        <w:rPr>
          <w:rFonts w:ascii="Arial" w:cs="Arial" w:eastAsia="Arial" w:hAnsi="Arial"/>
          <w:sz w:val="15"/>
          <w:szCs w:val="15"/>
          <w:color w:val="auto"/>
        </w:rPr>
        <w:t>As previously disclosed, effective February 28, 2018, Mr. Simoncini resigned as President and CEO and as a director of the Company.</w:t>
      </w:r>
    </w:p>
    <w:p>
      <w:pPr>
        <w:spacing w:after="0" w:line="1"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Mr. Simoncini served as a non-executive employee of the Company, in a transition and advisory role, through his retirement from the Company on January 4, 2019. In connection with the transition, the Company and Mr. Simoncini entered into a second amended and restated employment agreement, which set forth the terms of Mr. Simoncini’s employment in a non-executive capacity until his retirement. During the transition period, Mr. Simoncini assisted with the leadership transition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received a base salary of $15,000 per month. Mr. Simoncini received a prorated payout under the AIP with respect to his service for the first two months of 2018 as President and CEO and did not receive any awards under the LTSIP in 2018. If Mr. Simoncini’s employment had terminated under certain circumstances prior to his retirement date, he would not have been entitled to receive any cash severance benefits but would have been entitled to full vesting of his outstanding time-based equity awards under the LTSIP and pro rata vesting of any performance-based equity awards through January 4, 2019.</w:t>
      </w:r>
    </w:p>
    <w:p>
      <w:pPr>
        <w:spacing w:after="0" w:line="204" w:lineRule="exact"/>
        <w:rPr>
          <w:sz w:val="20"/>
          <w:szCs w:val="20"/>
          <w:color w:val="auto"/>
        </w:rPr>
      </w:pPr>
    </w:p>
    <w:p>
      <w:pPr>
        <w:sectPr>
          <w:pgSz w:w="11900" w:h="16838" w:orient="portrait"/>
          <w:cols w:equalWidth="0" w:num="2">
            <w:col w:w="5420" w:space="400"/>
            <w:col w:w="5300"/>
          </w:cols>
          <w:pgMar w:left="240" w:top="455" w:right="539" w:bottom="1440" w:gutter="0" w:footer="0" w:header="0"/>
          <w:type w:val="continuous"/>
        </w:sectPr>
      </w:pPr>
    </w:p>
    <w:p>
      <w:pPr>
        <w:spacing w:after="0" w:line="59" w:lineRule="exact"/>
        <w:rPr>
          <w:sz w:val="20"/>
          <w:szCs w:val="20"/>
          <w:color w:val="auto"/>
        </w:rPr>
      </w:pPr>
    </w:p>
    <w:p>
      <w:pPr>
        <w:ind w:left="740" w:hanging="359"/>
        <w:spacing w:after="0"/>
        <w:tabs>
          <w:tab w:leader="none" w:pos="7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20"/>
          </w:cols>
          <w:pgMar w:left="240" w:top="455" w:right="5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EXECUTIVE COMPENSATION</w:t>
      </w:r>
    </w:p>
    <w:p>
      <w:pPr>
        <w:sectPr>
          <w:pgSz w:w="11900" w:h="16838" w:orient="portrait"/>
          <w:cols w:equalWidth="0" w:num="1">
            <w:col w:w="11140"/>
          </w:cols>
          <w:pgMar w:left="240" w:top="455" w:right="519" w:bottom="1440" w:gutter="0" w:footer="0" w:header="0"/>
        </w:sectPr>
      </w:pPr>
    </w:p>
    <w:p>
      <w:pPr>
        <w:spacing w:after="0" w:line="330"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Effective March 1, 2018, Mr. Scott assumed the role of President and CEO and became a director of the Company, as Mr. Simoncini’s successor. The Company and Mr. Scott entered into a second amended and restated employment agreement to reflect the revised terms of his employment. Pursuant to that agreement, Mr. Scott began receiving an increased annual base salary of $1,160,000. As noted above in the Compensation Discussion and Analysis under the headings, “Annual Incentives” and “Long-Term Incentives,” in connection with the transition, effective March 1, 2018,</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Mr. Scott’s target annual incentive opportunity was increased from 100% to 150% of his annual base salary, and the target value of Mr. Scott’s long-term incentive opportunity was increased from 300% to 625% of his annual base salary. The severance provisions of Mr. Scott’s amended and restated employment agreement did not change in connection with the transition, and more information regarding Mr. Scott’s severance entitlement can be found in the section below entitled, “— Potential Payments upon Termination or Change in Control.”</w:t>
      </w:r>
    </w:p>
    <w:p>
      <w:pPr>
        <w:spacing w:after="0" w:line="387" w:lineRule="exact"/>
        <w:rPr>
          <w:sz w:val="20"/>
          <w:szCs w:val="20"/>
          <w:color w:val="auto"/>
        </w:rPr>
      </w:pPr>
    </w:p>
    <w:p>
      <w:pPr>
        <w:sectPr>
          <w:pgSz w:w="11900" w:h="16838" w:orient="portrait"/>
          <w:cols w:equalWidth="0" w:num="2">
            <w:col w:w="5400" w:space="420"/>
            <w:col w:w="5320"/>
          </w:cols>
          <w:pgMar w:left="240" w:top="455" w:right="519" w:bottom="1440" w:gutter="0" w:footer="0" w:header="0"/>
          <w:type w:val="continuous"/>
        </w:sectPr>
      </w:pPr>
    </w:p>
    <w:p>
      <w:pPr>
        <w:spacing w:after="0" w:line="15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91" w:lineRule="exact"/>
        <w:rPr>
          <w:sz w:val="20"/>
          <w:szCs w:val="20"/>
          <w:color w:val="auto"/>
        </w:rPr>
      </w:pPr>
    </w:p>
    <w:p>
      <w:pPr>
        <w:ind w:left="280" w:right="40"/>
        <w:spacing w:after="0" w:line="244" w:lineRule="auto"/>
        <w:rPr>
          <w:sz w:val="20"/>
          <w:szCs w:val="20"/>
          <w:color w:val="auto"/>
        </w:rPr>
      </w:pPr>
      <w:r>
        <w:rPr>
          <w:rFonts w:ascii="Arial" w:cs="Arial" w:eastAsia="Arial" w:hAnsi="Arial"/>
          <w:sz w:val="16"/>
          <w:szCs w:val="16"/>
          <w:color w:val="auto"/>
        </w:rPr>
        <w:t>We have entered into employment agreements with each of our Named Executive Officers. Each employment agreement specifies the annual base salary for the executive, which may be increased at the discretion of the Compensation Committee. In addition, the employment agreements specify that the executives are eligible for an annual incentive compensation bonus and participation in the Company’s long-term incentive plan. Under the terms of the employment agreements, each Named Executive Officer is also eligible to participate in the welfare, retirement and other benefit plans, practices, policies and programs, as may be in effect from</w:t>
      </w:r>
    </w:p>
    <w:p>
      <w:pPr>
        <w:spacing w:after="0" w:line="35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Lear Corporation Salaried Retirement Program</w:t>
      </w:r>
    </w:p>
    <w:p>
      <w:pPr>
        <w:spacing w:after="0" w:line="191" w:lineRule="exact"/>
        <w:rPr>
          <w:sz w:val="20"/>
          <w:szCs w:val="20"/>
          <w:color w:val="auto"/>
        </w:rPr>
      </w:pPr>
    </w:p>
    <w:p>
      <w:pPr>
        <w:ind w:left="280"/>
        <w:spacing w:after="0" w:line="243" w:lineRule="auto"/>
        <w:rPr>
          <w:sz w:val="20"/>
          <w:szCs w:val="20"/>
          <w:color w:val="auto"/>
        </w:rPr>
      </w:pPr>
      <w:r>
        <w:rPr>
          <w:rFonts w:ascii="Arial" w:cs="Arial" w:eastAsia="Arial" w:hAnsi="Arial"/>
          <w:sz w:val="16"/>
          <w:szCs w:val="16"/>
          <w:color w:val="auto"/>
        </w:rPr>
        <w:t>The Lear Corporation Salaried Retirement Program (“Retirement Program”) is comprised of two components: (i) the Retirement Savings Plan (deferral and match) and (ii) the Pension Savings Plan. We established the Retirement Program pursuant to Section 401(a) of the Internal Revenue Code for eligible employees. Under the Retirement Savings Plan, each eligible employee may elect to contribute, on a pre-tax basis, a portion of his eligible compensation in each year. The Company provides a matching contribution of 100% of an employee’s contribution up to the first 3% of the employee’s eligible compensation, plus 50% of an employee’s contribution up to the next 3% of the employee’s eligible compensation, regardless of service. In addition, the Retirement Savings Plan allows for discretionary Company matching contributions. Company matching contributions are initially invested in accordance with the Participant’s deferral contributions and can be transferred by the participant to other funds under the Retirement Savings Plan at any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time to time, for senior executives of the Company generally. Under the employment agreements, if the Company reduces an executive’s base salary, adversely changes the manner of computing an executive’s incentive compensation opportunity, defers payment of his compensation or eliminates or substantially modifies his benefits, the executive would have a basis to invoke his rights under the agreement for termination for good reason. For a description of the severance provisions of the employment agreements, see “—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80"/>
        <w:spacing w:after="0" w:line="254" w:lineRule="auto"/>
        <w:rPr>
          <w:sz w:val="20"/>
          <w:szCs w:val="20"/>
          <w:color w:val="auto"/>
        </w:rPr>
      </w:pPr>
      <w:r>
        <w:rPr>
          <w:rFonts w:ascii="Arial" w:cs="Arial" w:eastAsia="Arial" w:hAnsi="Arial"/>
          <w:sz w:val="16"/>
          <w:szCs w:val="16"/>
          <w:color w:val="auto"/>
        </w:rPr>
        <w:t>Company matching contributions generally become vested under the Retirement Savings Plan at a rate of 20% for each full year of service.</w:t>
      </w:r>
    </w:p>
    <w:p>
      <w:pPr>
        <w:spacing w:after="0" w:line="90"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Under the Pension Savings Plan, we make contributions to each eligible employee’s Pension Savings Plan account based on the employee’s “points,” which are the sum total of the employee’s age and years of service as of January 1 of the plan year. Based on an employee’s points, we contribute: (i) from 3% to 8% of eligible compensation up to the Social Security Taxable Wage Base and (ii) from 4.5% to 12% of eligible compensation over the Social Security Taxable Wage Base. All Pension Savings Plan contributions are generally determined as of the last day of each month, provided, generally, that the employee is actively employed on such date, and are allocated monthly. Contributions generally become vested under the Pension Savings Plan at a rate of 20% for each full year of service.</w:t>
      </w:r>
    </w:p>
    <w:p>
      <w:pPr>
        <w:spacing w:after="0" w:line="200" w:lineRule="exact"/>
        <w:rPr>
          <w:sz w:val="20"/>
          <w:szCs w:val="20"/>
          <w:color w:val="auto"/>
        </w:rPr>
      </w:pPr>
    </w:p>
    <w:p>
      <w:pPr>
        <w:spacing w:after="0" w:line="314" w:lineRule="exact"/>
        <w:rPr>
          <w:sz w:val="20"/>
          <w:szCs w:val="20"/>
          <w:color w:val="auto"/>
        </w:rPr>
      </w:pPr>
    </w:p>
    <w:p>
      <w:pPr>
        <w:ind w:left="3120"/>
        <w:spacing w:after="0"/>
        <w:tabs>
          <w:tab w:leader="none" w:pos="4800" w:val="left"/>
          <w:tab w:leader="none" w:pos="502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45</w:t>
      </w:r>
    </w:p>
    <w:p>
      <w:pPr>
        <w:sectPr>
          <w:pgSz w:w="11900" w:h="16838" w:orient="portrait"/>
          <w:cols w:equalWidth="0" w:num="2">
            <w:col w:w="5500" w:space="320"/>
            <w:col w:w="5320"/>
          </w:cols>
          <w:pgMar w:left="240" w:top="455" w:right="51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363"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FFFFFF"/>
        </w:rPr>
        <w:t>2018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-132080</wp:posOffset>
            </wp:positionV>
            <wp:extent cx="6901815" cy="152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01815" cy="152400"/>
                    </a:xfrm>
                    <a:prstGeom prst="rect">
                      <a:avLst/>
                    </a:prstGeom>
                    <a:noFill/>
                  </pic:spPr>
                </pic:pic>
              </a:graphicData>
            </a:graphic>
          </wp:anchor>
        </w:drawing>
      </w:r>
    </w:p>
    <w:p>
      <w:pPr>
        <w:spacing w:after="0" w:line="22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discloses the grants of plan-based awards made to our Named Executive Officers in 2018.</w:t>
      </w:r>
    </w:p>
    <w:p>
      <w:pPr>
        <w:spacing w:after="0" w:line="224"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jc w:val="center"/>
              <w:ind w:left="20"/>
              <w:spacing w:after="0"/>
              <w:rPr>
                <w:sz w:val="20"/>
                <w:szCs w:val="20"/>
                <w:color w:val="auto"/>
              </w:rPr>
            </w:pPr>
            <w:r>
              <w:rPr>
                <w:rFonts w:ascii="Arial" w:cs="Arial" w:eastAsia="Arial" w:hAnsi="Arial"/>
                <w:sz w:val="12"/>
                <w:szCs w:val="12"/>
                <w:b w:val="1"/>
                <w:bCs w:val="1"/>
                <w:color w:val="E2231A"/>
                <w:w w:val="90"/>
              </w:rPr>
              <w:t>All</w:t>
            </w:r>
          </w:p>
        </w:tc>
        <w:tc>
          <w:tcPr>
            <w:tcW w:w="180" w:type="dxa"/>
            <w:vAlign w:val="bottom"/>
          </w:tcPr>
          <w:p>
            <w:pPr>
              <w:spacing w:after="0"/>
              <w:rPr>
                <w:sz w:val="12"/>
                <w:szCs w:val="12"/>
                <w:color w:val="auto"/>
              </w:rPr>
            </w:pPr>
          </w:p>
        </w:tc>
        <w:tc>
          <w:tcPr>
            <w:tcW w:w="660" w:type="dxa"/>
            <w:vAlign w:val="bottom"/>
          </w:tcPr>
          <w:p>
            <w:pPr>
              <w:jc w:val="center"/>
              <w:ind w:right="139"/>
              <w:spacing w:after="0"/>
              <w:rPr>
                <w:sz w:val="20"/>
                <w:szCs w:val="20"/>
                <w:color w:val="auto"/>
              </w:rPr>
            </w:pPr>
            <w:r>
              <w:rPr>
                <w:rFonts w:ascii="Arial" w:cs="Arial" w:eastAsia="Arial" w:hAnsi="Arial"/>
                <w:sz w:val="12"/>
                <w:szCs w:val="12"/>
                <w:b w:val="1"/>
                <w:bCs w:val="1"/>
                <w:color w:val="E2231A"/>
                <w:w w:val="93"/>
              </w:rPr>
              <w:t>Grant</w:t>
            </w:r>
          </w:p>
        </w:tc>
        <w:tc>
          <w:tcPr>
            <w:tcW w:w="0" w:type="dxa"/>
            <w:vAlign w:val="bottom"/>
          </w:tcPr>
          <w:p>
            <w:pPr>
              <w:spacing w:after="0"/>
              <w:rPr>
                <w:sz w:val="1"/>
                <w:szCs w:val="1"/>
                <w:color w:val="auto"/>
              </w:rPr>
            </w:pPr>
          </w:p>
        </w:tc>
      </w:tr>
      <w:tr>
        <w:trPr>
          <w:trHeight w:val="133"/>
        </w:trPr>
        <w:tc>
          <w:tcPr>
            <w:tcW w:w="2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jc w:val="center"/>
              <w:ind w:left="20"/>
              <w:spacing w:after="0" w:line="133" w:lineRule="exact"/>
              <w:rPr>
                <w:sz w:val="20"/>
                <w:szCs w:val="20"/>
                <w:color w:val="auto"/>
              </w:rPr>
            </w:pPr>
            <w:r>
              <w:rPr>
                <w:rFonts w:ascii="Arial" w:cs="Arial" w:eastAsia="Arial" w:hAnsi="Arial"/>
                <w:sz w:val="12"/>
                <w:szCs w:val="12"/>
                <w:b w:val="1"/>
                <w:bCs w:val="1"/>
                <w:color w:val="E2231A"/>
                <w:w w:val="93"/>
              </w:rPr>
              <w:t>Other</w:t>
            </w:r>
          </w:p>
        </w:tc>
        <w:tc>
          <w:tcPr>
            <w:tcW w:w="180" w:type="dxa"/>
            <w:vAlign w:val="bottom"/>
          </w:tcPr>
          <w:p>
            <w:pPr>
              <w:spacing w:after="0"/>
              <w:rPr>
                <w:sz w:val="11"/>
                <w:szCs w:val="11"/>
                <w:color w:val="auto"/>
              </w:rPr>
            </w:pPr>
          </w:p>
        </w:tc>
        <w:tc>
          <w:tcPr>
            <w:tcW w:w="660" w:type="dxa"/>
            <w:vAlign w:val="bottom"/>
          </w:tcPr>
          <w:p>
            <w:pPr>
              <w:jc w:val="center"/>
              <w:ind w:right="119"/>
              <w:spacing w:after="0" w:line="133" w:lineRule="exact"/>
              <w:rPr>
                <w:sz w:val="20"/>
                <w:szCs w:val="20"/>
                <w:color w:val="auto"/>
              </w:rPr>
            </w:pPr>
            <w:r>
              <w:rPr>
                <w:rFonts w:ascii="Arial" w:cs="Arial" w:eastAsia="Arial" w:hAnsi="Arial"/>
                <w:sz w:val="12"/>
                <w:szCs w:val="12"/>
                <w:b w:val="1"/>
                <w:bCs w:val="1"/>
                <w:color w:val="E2231A"/>
                <w:w w:val="92"/>
              </w:rPr>
              <w:t>Date</w:t>
            </w:r>
          </w:p>
        </w:tc>
        <w:tc>
          <w:tcPr>
            <w:tcW w:w="0" w:type="dxa"/>
            <w:vAlign w:val="bottom"/>
          </w:tcPr>
          <w:p>
            <w:pPr>
              <w:spacing w:after="0"/>
              <w:rPr>
                <w:sz w:val="1"/>
                <w:szCs w:val="1"/>
                <w:color w:val="auto"/>
              </w:rPr>
            </w:pPr>
          </w:p>
        </w:tc>
      </w:tr>
      <w:tr>
        <w:trPr>
          <w:trHeight w:val="133"/>
        </w:trPr>
        <w:tc>
          <w:tcPr>
            <w:tcW w:w="2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jc w:val="center"/>
              <w:ind w:left="20"/>
              <w:spacing w:after="0" w:line="133" w:lineRule="exact"/>
              <w:rPr>
                <w:sz w:val="20"/>
                <w:szCs w:val="20"/>
                <w:color w:val="auto"/>
              </w:rPr>
            </w:pPr>
            <w:r>
              <w:rPr>
                <w:rFonts w:ascii="Arial" w:cs="Arial" w:eastAsia="Arial" w:hAnsi="Arial"/>
                <w:sz w:val="12"/>
                <w:szCs w:val="12"/>
                <w:b w:val="1"/>
                <w:bCs w:val="1"/>
                <w:color w:val="E2231A"/>
                <w:w w:val="91"/>
              </w:rPr>
              <w:t>Stock</w:t>
            </w:r>
          </w:p>
        </w:tc>
        <w:tc>
          <w:tcPr>
            <w:tcW w:w="180" w:type="dxa"/>
            <w:vAlign w:val="bottom"/>
          </w:tcPr>
          <w:p>
            <w:pPr>
              <w:spacing w:after="0"/>
              <w:rPr>
                <w:sz w:val="11"/>
                <w:szCs w:val="11"/>
                <w:color w:val="auto"/>
              </w:rPr>
            </w:pPr>
          </w:p>
        </w:tc>
        <w:tc>
          <w:tcPr>
            <w:tcW w:w="660" w:type="dxa"/>
            <w:vAlign w:val="bottom"/>
          </w:tcPr>
          <w:p>
            <w:pPr>
              <w:jc w:val="center"/>
              <w:ind w:right="139"/>
              <w:spacing w:after="0" w:line="133" w:lineRule="exact"/>
              <w:rPr>
                <w:sz w:val="20"/>
                <w:szCs w:val="20"/>
                <w:color w:val="auto"/>
              </w:rPr>
            </w:pPr>
            <w:r>
              <w:rPr>
                <w:rFonts w:ascii="Arial" w:cs="Arial" w:eastAsia="Arial" w:hAnsi="Arial"/>
                <w:sz w:val="12"/>
                <w:szCs w:val="12"/>
                <w:b w:val="1"/>
                <w:bCs w:val="1"/>
                <w:color w:val="E2231A"/>
                <w:w w:val="99"/>
              </w:rPr>
              <w:t>Fair</w:t>
            </w:r>
          </w:p>
        </w:tc>
        <w:tc>
          <w:tcPr>
            <w:tcW w:w="0" w:type="dxa"/>
            <w:vAlign w:val="bottom"/>
          </w:tcPr>
          <w:p>
            <w:pPr>
              <w:spacing w:after="0"/>
              <w:rPr>
                <w:sz w:val="1"/>
                <w:szCs w:val="1"/>
                <w:color w:val="auto"/>
              </w:rPr>
            </w:pPr>
          </w:p>
        </w:tc>
      </w:tr>
      <w:tr>
        <w:trPr>
          <w:trHeight w:val="133"/>
        </w:trPr>
        <w:tc>
          <w:tcPr>
            <w:tcW w:w="2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gridSpan w:val="6"/>
          </w:tcPr>
          <w:p>
            <w:pPr>
              <w:jc w:val="center"/>
              <w:ind w:right="180"/>
              <w:spacing w:after="0" w:line="133" w:lineRule="exact"/>
              <w:rPr>
                <w:sz w:val="20"/>
                <w:szCs w:val="20"/>
                <w:color w:val="auto"/>
              </w:rPr>
            </w:pPr>
            <w:r>
              <w:rPr>
                <w:rFonts w:ascii="Arial" w:cs="Arial" w:eastAsia="Arial" w:hAnsi="Arial"/>
                <w:sz w:val="12"/>
                <w:szCs w:val="12"/>
                <w:b w:val="1"/>
                <w:bCs w:val="1"/>
                <w:color w:val="E2231A"/>
                <w:w w:val="96"/>
              </w:rPr>
              <w:t>Estimated Possible Payouts</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jc w:val="center"/>
              <w:ind w:left="20"/>
              <w:spacing w:after="0" w:line="133" w:lineRule="exact"/>
              <w:rPr>
                <w:sz w:val="20"/>
                <w:szCs w:val="20"/>
                <w:color w:val="auto"/>
              </w:rPr>
            </w:pPr>
            <w:r>
              <w:rPr>
                <w:rFonts w:ascii="Arial" w:cs="Arial" w:eastAsia="Arial" w:hAnsi="Arial"/>
                <w:sz w:val="12"/>
                <w:szCs w:val="12"/>
                <w:b w:val="1"/>
                <w:bCs w:val="1"/>
                <w:color w:val="E2231A"/>
                <w:w w:val="97"/>
              </w:rPr>
              <w:t>Awards:</w:t>
            </w:r>
          </w:p>
        </w:tc>
        <w:tc>
          <w:tcPr>
            <w:tcW w:w="180" w:type="dxa"/>
            <w:vAlign w:val="bottom"/>
          </w:tcPr>
          <w:p>
            <w:pPr>
              <w:spacing w:after="0"/>
              <w:rPr>
                <w:sz w:val="11"/>
                <w:szCs w:val="11"/>
                <w:color w:val="auto"/>
              </w:rPr>
            </w:pPr>
          </w:p>
        </w:tc>
        <w:tc>
          <w:tcPr>
            <w:tcW w:w="660" w:type="dxa"/>
            <w:vAlign w:val="bottom"/>
          </w:tcPr>
          <w:p>
            <w:pPr>
              <w:jc w:val="center"/>
              <w:ind w:right="119"/>
              <w:spacing w:after="0" w:line="133" w:lineRule="exact"/>
              <w:rPr>
                <w:sz w:val="20"/>
                <w:szCs w:val="20"/>
                <w:color w:val="auto"/>
              </w:rPr>
            </w:pPr>
            <w:r>
              <w:rPr>
                <w:rFonts w:ascii="Arial" w:cs="Arial" w:eastAsia="Arial" w:hAnsi="Arial"/>
                <w:sz w:val="12"/>
                <w:szCs w:val="12"/>
                <w:b w:val="1"/>
                <w:bCs w:val="1"/>
                <w:color w:val="E2231A"/>
                <w:w w:val="94"/>
              </w:rPr>
              <w:t>Value of</w:t>
            </w:r>
          </w:p>
        </w:tc>
        <w:tc>
          <w:tcPr>
            <w:tcW w:w="0" w:type="dxa"/>
            <w:vAlign w:val="bottom"/>
          </w:tcPr>
          <w:p>
            <w:pPr>
              <w:spacing w:after="0"/>
              <w:rPr>
                <w:sz w:val="1"/>
                <w:szCs w:val="1"/>
                <w:color w:val="auto"/>
              </w:rPr>
            </w:pPr>
          </w:p>
        </w:tc>
      </w:tr>
      <w:tr>
        <w:trPr>
          <w:trHeight w:val="133"/>
        </w:trPr>
        <w:tc>
          <w:tcPr>
            <w:tcW w:w="2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gridSpan w:val="6"/>
          </w:tcPr>
          <w:p>
            <w:pPr>
              <w:jc w:val="center"/>
              <w:ind w:right="180"/>
              <w:spacing w:after="0" w:line="133" w:lineRule="exact"/>
              <w:rPr>
                <w:sz w:val="20"/>
                <w:szCs w:val="20"/>
                <w:color w:val="auto"/>
              </w:rPr>
            </w:pPr>
            <w:r>
              <w:rPr>
                <w:rFonts w:ascii="Arial" w:cs="Arial" w:eastAsia="Arial" w:hAnsi="Arial"/>
                <w:sz w:val="12"/>
                <w:szCs w:val="12"/>
                <w:b w:val="1"/>
                <w:bCs w:val="1"/>
                <w:color w:val="E2231A"/>
                <w:w w:val="95"/>
              </w:rPr>
              <w:t>Under Non-Equity Incentive Plan</w:t>
            </w:r>
          </w:p>
        </w:tc>
        <w:tc>
          <w:tcPr>
            <w:tcW w:w="21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E2231A"/>
                <w:w w:val="95"/>
              </w:rPr>
              <w:t>Estimated Future Payouts</w:t>
            </w:r>
          </w:p>
        </w:tc>
        <w:tc>
          <w:tcPr>
            <w:tcW w:w="820" w:type="dxa"/>
            <w:vAlign w:val="bottom"/>
          </w:tcPr>
          <w:p>
            <w:pPr>
              <w:jc w:val="center"/>
              <w:ind w:left="20"/>
              <w:spacing w:after="0" w:line="133" w:lineRule="exact"/>
              <w:rPr>
                <w:sz w:val="20"/>
                <w:szCs w:val="20"/>
                <w:color w:val="auto"/>
              </w:rPr>
            </w:pPr>
            <w:r>
              <w:rPr>
                <w:rFonts w:ascii="Arial" w:cs="Arial" w:eastAsia="Arial" w:hAnsi="Arial"/>
                <w:sz w:val="12"/>
                <w:szCs w:val="12"/>
                <w:b w:val="1"/>
                <w:bCs w:val="1"/>
                <w:color w:val="E2231A"/>
                <w:w w:val="96"/>
              </w:rPr>
              <w:t>Number of</w:t>
            </w:r>
          </w:p>
        </w:tc>
        <w:tc>
          <w:tcPr>
            <w:tcW w:w="180" w:type="dxa"/>
            <w:vAlign w:val="bottom"/>
          </w:tcPr>
          <w:p>
            <w:pPr>
              <w:spacing w:after="0"/>
              <w:rPr>
                <w:sz w:val="11"/>
                <w:szCs w:val="11"/>
                <w:color w:val="auto"/>
              </w:rPr>
            </w:pPr>
          </w:p>
        </w:tc>
        <w:tc>
          <w:tcPr>
            <w:tcW w:w="660" w:type="dxa"/>
            <w:vAlign w:val="bottom"/>
          </w:tcPr>
          <w:p>
            <w:pPr>
              <w:jc w:val="center"/>
              <w:ind w:right="119"/>
              <w:spacing w:after="0" w:line="133" w:lineRule="exact"/>
              <w:rPr>
                <w:sz w:val="20"/>
                <w:szCs w:val="20"/>
                <w:color w:val="auto"/>
              </w:rPr>
            </w:pPr>
            <w:r>
              <w:rPr>
                <w:rFonts w:ascii="Arial" w:cs="Arial" w:eastAsia="Arial" w:hAnsi="Arial"/>
                <w:sz w:val="12"/>
                <w:szCs w:val="12"/>
                <w:b w:val="1"/>
                <w:bCs w:val="1"/>
                <w:color w:val="E2231A"/>
                <w:w w:val="97"/>
              </w:rPr>
              <w:t>Stock</w:t>
            </w:r>
          </w:p>
        </w:tc>
        <w:tc>
          <w:tcPr>
            <w:tcW w:w="0" w:type="dxa"/>
            <w:vAlign w:val="bottom"/>
          </w:tcPr>
          <w:p>
            <w:pPr>
              <w:spacing w:after="0"/>
              <w:rPr>
                <w:sz w:val="1"/>
                <w:szCs w:val="1"/>
                <w:color w:val="auto"/>
              </w:rPr>
            </w:pPr>
          </w:p>
        </w:tc>
      </w:tr>
      <w:tr>
        <w:trPr>
          <w:trHeight w:val="133"/>
        </w:trPr>
        <w:tc>
          <w:tcPr>
            <w:tcW w:w="2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E2231A"/>
                <w:w w:val="99"/>
              </w:rPr>
              <w:t>Awards</w:t>
            </w:r>
            <w:r>
              <w:rPr>
                <w:rFonts w:ascii="Arial" w:cs="Arial" w:eastAsia="Arial" w:hAnsi="Arial"/>
                <w:sz w:val="9"/>
                <w:szCs w:val="9"/>
                <w:b w:val="1"/>
                <w:bCs w:val="1"/>
                <w:color w:val="E2231A"/>
                <w:w w:val="99"/>
              </w:rPr>
              <w:t>(1)</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E2231A"/>
                <w:w w:val="96"/>
              </w:rPr>
              <w:t>Under Equity Incentive Plan Awards</w:t>
            </w:r>
          </w:p>
        </w:tc>
        <w:tc>
          <w:tcPr>
            <w:tcW w:w="820" w:type="dxa"/>
            <w:vAlign w:val="bottom"/>
          </w:tcPr>
          <w:p>
            <w:pPr>
              <w:jc w:val="center"/>
              <w:ind w:left="20"/>
              <w:spacing w:after="0" w:line="133" w:lineRule="exact"/>
              <w:rPr>
                <w:sz w:val="20"/>
                <w:szCs w:val="20"/>
                <w:color w:val="auto"/>
              </w:rPr>
            </w:pPr>
            <w:r>
              <w:rPr>
                <w:rFonts w:ascii="Arial" w:cs="Arial" w:eastAsia="Arial" w:hAnsi="Arial"/>
                <w:sz w:val="12"/>
                <w:szCs w:val="12"/>
                <w:b w:val="1"/>
                <w:bCs w:val="1"/>
                <w:color w:val="E2231A"/>
                <w:w w:val="94"/>
              </w:rPr>
              <w:t>Shares</w:t>
            </w:r>
          </w:p>
        </w:tc>
        <w:tc>
          <w:tcPr>
            <w:tcW w:w="180" w:type="dxa"/>
            <w:vAlign w:val="bottom"/>
          </w:tcPr>
          <w:p>
            <w:pPr>
              <w:spacing w:after="0"/>
              <w:rPr>
                <w:sz w:val="11"/>
                <w:szCs w:val="11"/>
                <w:color w:val="auto"/>
              </w:rPr>
            </w:pPr>
          </w:p>
        </w:tc>
        <w:tc>
          <w:tcPr>
            <w:tcW w:w="660" w:type="dxa"/>
            <w:vAlign w:val="bottom"/>
          </w:tcPr>
          <w:p>
            <w:pPr>
              <w:jc w:val="center"/>
              <w:ind w:right="119"/>
              <w:spacing w:after="0" w:line="133" w:lineRule="exact"/>
              <w:rPr>
                <w:sz w:val="20"/>
                <w:szCs w:val="20"/>
                <w:color w:val="auto"/>
              </w:rPr>
            </w:pPr>
            <w:r>
              <w:rPr>
                <w:rFonts w:ascii="Arial" w:cs="Arial" w:eastAsia="Arial" w:hAnsi="Arial"/>
                <w:sz w:val="12"/>
                <w:szCs w:val="12"/>
                <w:b w:val="1"/>
                <w:bCs w:val="1"/>
                <w:color w:val="E2231A"/>
                <w:w w:val="93"/>
              </w:rPr>
              <w:t>and</w:t>
            </w:r>
          </w:p>
        </w:tc>
        <w:tc>
          <w:tcPr>
            <w:tcW w:w="0" w:type="dxa"/>
            <w:vAlign w:val="bottom"/>
          </w:tcPr>
          <w:p>
            <w:pPr>
              <w:spacing w:after="0"/>
              <w:rPr>
                <w:sz w:val="1"/>
                <w:szCs w:val="1"/>
                <w:color w:val="auto"/>
              </w:rPr>
            </w:pPr>
          </w:p>
        </w:tc>
      </w:tr>
      <w:tr>
        <w:trPr>
          <w:trHeight w:val="25"/>
        </w:trPr>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vMerge w:val="restart"/>
          </w:tcPr>
          <w:p>
            <w:pPr>
              <w:jc w:val="center"/>
              <w:ind w:left="20"/>
              <w:spacing w:after="0" w:line="133" w:lineRule="exact"/>
              <w:rPr>
                <w:sz w:val="20"/>
                <w:szCs w:val="20"/>
                <w:color w:val="auto"/>
              </w:rPr>
            </w:pPr>
            <w:r>
              <w:rPr>
                <w:rFonts w:ascii="Arial" w:cs="Arial" w:eastAsia="Arial" w:hAnsi="Arial"/>
                <w:sz w:val="12"/>
                <w:szCs w:val="12"/>
                <w:b w:val="1"/>
                <w:bCs w:val="1"/>
                <w:color w:val="E2231A"/>
                <w:w w:val="97"/>
              </w:rPr>
              <w:t>of Stock</w:t>
            </w:r>
          </w:p>
        </w:tc>
        <w:tc>
          <w:tcPr>
            <w:tcW w:w="180" w:type="dxa"/>
            <w:vAlign w:val="bottom"/>
          </w:tcPr>
          <w:p>
            <w:pPr>
              <w:spacing w:after="0"/>
              <w:rPr>
                <w:sz w:val="2"/>
                <w:szCs w:val="2"/>
                <w:color w:val="auto"/>
              </w:rPr>
            </w:pPr>
          </w:p>
        </w:tc>
        <w:tc>
          <w:tcPr>
            <w:tcW w:w="660" w:type="dxa"/>
            <w:vAlign w:val="bottom"/>
            <w:vMerge w:val="restart"/>
          </w:tcPr>
          <w:p>
            <w:pPr>
              <w:jc w:val="center"/>
              <w:ind w:right="139"/>
              <w:spacing w:after="0" w:line="133" w:lineRule="exact"/>
              <w:rPr>
                <w:sz w:val="20"/>
                <w:szCs w:val="20"/>
                <w:color w:val="auto"/>
              </w:rPr>
            </w:pPr>
            <w:r>
              <w:rPr>
                <w:rFonts w:ascii="Arial" w:cs="Arial" w:eastAsia="Arial" w:hAnsi="Arial"/>
                <w:sz w:val="12"/>
                <w:szCs w:val="12"/>
                <w:b w:val="1"/>
                <w:bCs w:val="1"/>
                <w:color w:val="E2231A"/>
                <w:w w:val="98"/>
              </w:rPr>
              <w:t>Option</w:t>
            </w:r>
          </w:p>
        </w:tc>
        <w:tc>
          <w:tcPr>
            <w:tcW w:w="0" w:type="dxa"/>
            <w:vAlign w:val="bottom"/>
          </w:tcPr>
          <w:p>
            <w:pPr>
              <w:spacing w:after="0"/>
              <w:rPr>
                <w:sz w:val="1"/>
                <w:szCs w:val="1"/>
                <w:color w:val="auto"/>
              </w:rPr>
            </w:pPr>
          </w:p>
        </w:tc>
      </w:tr>
      <w:tr>
        <w:trPr>
          <w:trHeight w:val="88"/>
        </w:trPr>
        <w:tc>
          <w:tcPr>
            <w:tcW w:w="2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jc w:val="right"/>
              <w:ind w:right="578"/>
              <w:spacing w:after="0" w:line="133" w:lineRule="exact"/>
              <w:rPr>
                <w:sz w:val="20"/>
                <w:szCs w:val="20"/>
                <w:color w:val="auto"/>
              </w:rPr>
            </w:pPr>
            <w:r>
              <w:rPr>
                <w:rFonts w:ascii="Arial" w:cs="Arial" w:eastAsia="Arial" w:hAnsi="Arial"/>
                <w:sz w:val="12"/>
                <w:szCs w:val="12"/>
                <w:b w:val="1"/>
                <w:bCs w:val="1"/>
                <w:color w:val="E2231A"/>
              </w:rPr>
              <w:t>Type of</w:t>
            </w:r>
          </w:p>
        </w:tc>
        <w:tc>
          <w:tcPr>
            <w:tcW w:w="80" w:type="dxa"/>
            <w:vAlign w:val="bottom"/>
          </w:tcPr>
          <w:p>
            <w:pPr>
              <w:spacing w:after="0"/>
              <w:rPr>
                <w:sz w:val="11"/>
                <w:szCs w:val="11"/>
                <w:color w:val="auto"/>
              </w:rPr>
            </w:pPr>
          </w:p>
        </w:tc>
        <w:tc>
          <w:tcPr>
            <w:tcW w:w="680" w:type="dxa"/>
            <w:vAlign w:val="bottom"/>
          </w:tcPr>
          <w:p>
            <w:pPr>
              <w:jc w:val="right"/>
              <w:ind w:right="139"/>
              <w:spacing w:after="0" w:line="133" w:lineRule="exact"/>
              <w:rPr>
                <w:sz w:val="20"/>
                <w:szCs w:val="20"/>
                <w:color w:val="auto"/>
              </w:rPr>
            </w:pPr>
            <w:r>
              <w:rPr>
                <w:rFonts w:ascii="Arial" w:cs="Arial" w:eastAsia="Arial" w:hAnsi="Arial"/>
                <w:sz w:val="12"/>
                <w:szCs w:val="12"/>
                <w:b w:val="1"/>
                <w:bCs w:val="1"/>
                <w:color w:val="E2231A"/>
              </w:rPr>
              <w:t>Grant</w:t>
            </w:r>
          </w:p>
        </w:tc>
        <w:tc>
          <w:tcPr>
            <w:tcW w:w="7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E2231A"/>
                <w:w w:val="96"/>
              </w:rPr>
              <w:t>Threshold</w:t>
            </w:r>
          </w:p>
        </w:tc>
        <w:tc>
          <w:tcPr>
            <w:tcW w:w="160" w:type="dxa"/>
            <w:vAlign w:val="bottom"/>
          </w:tcPr>
          <w:p>
            <w:pPr>
              <w:spacing w:after="0"/>
              <w:rPr>
                <w:sz w:val="11"/>
                <w:szCs w:val="11"/>
                <w:color w:val="auto"/>
              </w:rPr>
            </w:pPr>
          </w:p>
        </w:tc>
        <w:tc>
          <w:tcPr>
            <w:tcW w:w="640" w:type="dxa"/>
            <w:vAlign w:val="bottom"/>
          </w:tcPr>
          <w:p>
            <w:pPr>
              <w:jc w:val="right"/>
              <w:ind w:right="159"/>
              <w:spacing w:after="0" w:line="133" w:lineRule="exact"/>
              <w:rPr>
                <w:sz w:val="20"/>
                <w:szCs w:val="20"/>
                <w:color w:val="auto"/>
              </w:rPr>
            </w:pPr>
            <w:r>
              <w:rPr>
                <w:rFonts w:ascii="Arial" w:cs="Arial" w:eastAsia="Arial" w:hAnsi="Arial"/>
                <w:sz w:val="12"/>
                <w:szCs w:val="12"/>
                <w:b w:val="1"/>
                <w:bCs w:val="1"/>
                <w:color w:val="E2231A"/>
              </w:rPr>
              <w:t>Target</w:t>
            </w:r>
          </w:p>
        </w:tc>
        <w:tc>
          <w:tcPr>
            <w:tcW w:w="900" w:type="dxa"/>
            <w:vAlign w:val="bottom"/>
            <w:gridSpan w:val="3"/>
          </w:tcPr>
          <w:p>
            <w:pPr>
              <w:jc w:val="center"/>
              <w:ind w:right="80"/>
              <w:spacing w:after="0" w:line="133" w:lineRule="exact"/>
              <w:rPr>
                <w:sz w:val="20"/>
                <w:szCs w:val="20"/>
                <w:color w:val="auto"/>
              </w:rPr>
            </w:pPr>
            <w:r>
              <w:rPr>
                <w:rFonts w:ascii="Arial" w:cs="Arial" w:eastAsia="Arial" w:hAnsi="Arial"/>
                <w:sz w:val="12"/>
                <w:szCs w:val="12"/>
                <w:b w:val="1"/>
                <w:bCs w:val="1"/>
                <w:color w:val="E2231A"/>
                <w:w w:val="97"/>
              </w:rPr>
              <w:t>Maximum</w:t>
            </w:r>
          </w:p>
        </w:tc>
        <w:tc>
          <w:tcPr>
            <w:tcW w:w="740" w:type="dxa"/>
            <w:vAlign w:val="bottom"/>
          </w:tcPr>
          <w:p>
            <w:pPr>
              <w:jc w:val="right"/>
              <w:ind w:right="99"/>
              <w:spacing w:after="0" w:line="133" w:lineRule="exact"/>
              <w:rPr>
                <w:sz w:val="20"/>
                <w:szCs w:val="20"/>
                <w:color w:val="auto"/>
              </w:rPr>
            </w:pPr>
            <w:r>
              <w:rPr>
                <w:rFonts w:ascii="Arial" w:cs="Arial" w:eastAsia="Arial" w:hAnsi="Arial"/>
                <w:sz w:val="12"/>
                <w:szCs w:val="12"/>
                <w:b w:val="1"/>
                <w:bCs w:val="1"/>
                <w:color w:val="E2231A"/>
                <w:w w:val="96"/>
              </w:rPr>
              <w:t>Threshold</w:t>
            </w:r>
          </w:p>
        </w:tc>
        <w:tc>
          <w:tcPr>
            <w:tcW w:w="660" w:type="dxa"/>
            <w:vAlign w:val="bottom"/>
          </w:tcPr>
          <w:p>
            <w:pPr>
              <w:jc w:val="center"/>
              <w:ind w:right="19"/>
              <w:spacing w:after="0" w:line="133" w:lineRule="exact"/>
              <w:rPr>
                <w:sz w:val="20"/>
                <w:szCs w:val="20"/>
                <w:color w:val="auto"/>
              </w:rPr>
            </w:pPr>
            <w:r>
              <w:rPr>
                <w:rFonts w:ascii="Arial" w:cs="Arial" w:eastAsia="Arial" w:hAnsi="Arial"/>
                <w:sz w:val="12"/>
                <w:szCs w:val="12"/>
                <w:b w:val="1"/>
                <w:bCs w:val="1"/>
                <w:color w:val="E2231A"/>
                <w:w w:val="92"/>
              </w:rPr>
              <w:t>Target</w:t>
            </w:r>
          </w:p>
        </w:tc>
        <w:tc>
          <w:tcPr>
            <w:tcW w:w="720" w:type="dxa"/>
            <w:vAlign w:val="bottom"/>
          </w:tcPr>
          <w:p>
            <w:pPr>
              <w:jc w:val="right"/>
              <w:ind w:right="19"/>
              <w:spacing w:after="0" w:line="133" w:lineRule="exact"/>
              <w:rPr>
                <w:sz w:val="20"/>
                <w:szCs w:val="20"/>
                <w:color w:val="auto"/>
              </w:rPr>
            </w:pPr>
            <w:r>
              <w:rPr>
                <w:rFonts w:ascii="Arial" w:cs="Arial" w:eastAsia="Arial" w:hAnsi="Arial"/>
                <w:sz w:val="12"/>
                <w:szCs w:val="12"/>
                <w:b w:val="1"/>
                <w:bCs w:val="1"/>
                <w:color w:val="E2231A"/>
              </w:rPr>
              <w:t>Maximum</w:t>
            </w:r>
          </w:p>
        </w:tc>
        <w:tc>
          <w:tcPr>
            <w:tcW w:w="820" w:type="dxa"/>
            <w:vAlign w:val="bottom"/>
          </w:tcPr>
          <w:p>
            <w:pPr>
              <w:jc w:val="center"/>
              <w:ind w:left="20"/>
              <w:spacing w:after="0" w:line="133" w:lineRule="exact"/>
              <w:rPr>
                <w:sz w:val="20"/>
                <w:szCs w:val="20"/>
                <w:color w:val="auto"/>
              </w:rPr>
            </w:pPr>
            <w:r>
              <w:rPr>
                <w:rFonts w:ascii="Arial" w:cs="Arial" w:eastAsia="Arial" w:hAnsi="Arial"/>
                <w:sz w:val="12"/>
                <w:szCs w:val="12"/>
                <w:b w:val="1"/>
                <w:bCs w:val="1"/>
                <w:color w:val="E2231A"/>
                <w:w w:val="92"/>
              </w:rPr>
              <w:t>or Units</w:t>
            </w:r>
          </w:p>
        </w:tc>
        <w:tc>
          <w:tcPr>
            <w:tcW w:w="84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E2231A"/>
                <w:w w:val="99"/>
              </w:rPr>
              <w:t>Awards</w:t>
            </w:r>
            <w:r>
              <w:rPr>
                <w:rFonts w:ascii="Arial" w:cs="Arial" w:eastAsia="Arial" w:hAnsi="Arial"/>
                <w:sz w:val="9"/>
                <w:szCs w:val="9"/>
                <w:b w:val="1"/>
                <w:bCs w:val="1"/>
                <w:color w:val="E2231A"/>
                <w:w w:val="99"/>
              </w:rPr>
              <w:t>(2)</w:t>
            </w:r>
          </w:p>
        </w:tc>
        <w:tc>
          <w:tcPr>
            <w:tcW w:w="0" w:type="dxa"/>
            <w:vAlign w:val="bottom"/>
          </w:tcPr>
          <w:p>
            <w:pPr>
              <w:spacing w:after="0"/>
              <w:rPr>
                <w:sz w:val="1"/>
                <w:szCs w:val="1"/>
                <w:color w:val="auto"/>
              </w:rPr>
            </w:pPr>
          </w:p>
        </w:tc>
      </w:tr>
      <w:tr>
        <w:trPr>
          <w:trHeight w:val="152"/>
        </w:trPr>
        <w:tc>
          <w:tcPr>
            <w:tcW w:w="2020" w:type="dxa"/>
            <w:vAlign w:val="bottom"/>
          </w:tcPr>
          <w:p>
            <w:pPr>
              <w:ind w:left="60"/>
              <w:spacing w:after="0"/>
              <w:rPr>
                <w:sz w:val="20"/>
                <w:szCs w:val="20"/>
                <w:color w:val="auto"/>
              </w:rPr>
            </w:pPr>
            <w:r>
              <w:rPr>
                <w:rFonts w:ascii="Arial" w:cs="Arial" w:eastAsia="Arial" w:hAnsi="Arial"/>
                <w:sz w:val="12"/>
                <w:szCs w:val="12"/>
                <w:b w:val="1"/>
                <w:bCs w:val="1"/>
                <w:color w:val="E2231A"/>
              </w:rPr>
              <w:t>Name</w:t>
            </w:r>
            <w:r>
              <w:rPr>
                <w:rFonts w:ascii="Arial" w:cs="Arial" w:eastAsia="Arial" w:hAnsi="Arial"/>
                <w:sz w:val="9"/>
                <w:szCs w:val="9"/>
                <w:b w:val="1"/>
                <w:bCs w:val="1"/>
                <w:color w:val="E2231A"/>
              </w:rPr>
              <w:t>(a)</w:t>
            </w:r>
          </w:p>
        </w:tc>
        <w:tc>
          <w:tcPr>
            <w:tcW w:w="140" w:type="dxa"/>
            <w:vAlign w:val="bottom"/>
          </w:tcPr>
          <w:p>
            <w:pPr>
              <w:spacing w:after="0"/>
              <w:rPr>
                <w:sz w:val="13"/>
                <w:szCs w:val="13"/>
                <w:color w:val="auto"/>
              </w:rPr>
            </w:pPr>
          </w:p>
        </w:tc>
        <w:tc>
          <w:tcPr>
            <w:tcW w:w="1700" w:type="dxa"/>
            <w:vAlign w:val="bottom"/>
          </w:tcPr>
          <w:p>
            <w:pPr>
              <w:jc w:val="right"/>
              <w:ind w:right="618"/>
              <w:spacing w:after="0"/>
              <w:rPr>
                <w:sz w:val="20"/>
                <w:szCs w:val="20"/>
                <w:color w:val="auto"/>
              </w:rPr>
            </w:pPr>
            <w:r>
              <w:rPr>
                <w:rFonts w:ascii="Arial" w:cs="Arial" w:eastAsia="Arial" w:hAnsi="Arial"/>
                <w:sz w:val="12"/>
                <w:szCs w:val="12"/>
                <w:b w:val="1"/>
                <w:bCs w:val="1"/>
                <w:color w:val="E2231A"/>
              </w:rPr>
              <w:t>Award</w:t>
            </w:r>
          </w:p>
        </w:tc>
        <w:tc>
          <w:tcPr>
            <w:tcW w:w="80" w:type="dxa"/>
            <w:vAlign w:val="bottom"/>
          </w:tcPr>
          <w:p>
            <w:pPr>
              <w:spacing w:after="0"/>
              <w:rPr>
                <w:sz w:val="13"/>
                <w:szCs w:val="13"/>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b w:val="1"/>
                <w:bCs w:val="1"/>
                <w:color w:val="E2231A"/>
              </w:rPr>
              <w:t>Date (b)</w:t>
            </w:r>
          </w:p>
        </w:tc>
        <w:tc>
          <w:tcPr>
            <w:tcW w:w="160" w:type="dxa"/>
            <w:vAlign w:val="bottom"/>
          </w:tcPr>
          <w:p>
            <w:pPr>
              <w:spacing w:after="0"/>
              <w:rPr>
                <w:sz w:val="13"/>
                <w:szCs w:val="13"/>
                <w:color w:val="auto"/>
              </w:rPr>
            </w:pPr>
          </w:p>
        </w:tc>
        <w:tc>
          <w:tcPr>
            <w:tcW w:w="620" w:type="dxa"/>
            <w:vAlign w:val="bottom"/>
          </w:tcPr>
          <w:p>
            <w:pPr>
              <w:jc w:val="center"/>
              <w:ind w:right="22"/>
              <w:spacing w:after="0"/>
              <w:rPr>
                <w:sz w:val="20"/>
                <w:szCs w:val="20"/>
                <w:color w:val="auto"/>
              </w:rPr>
            </w:pPr>
            <w:r>
              <w:rPr>
                <w:rFonts w:ascii="Arial" w:cs="Arial" w:eastAsia="Arial" w:hAnsi="Arial"/>
                <w:sz w:val="12"/>
                <w:szCs w:val="12"/>
                <w:b w:val="1"/>
                <w:bCs w:val="1"/>
                <w:color w:val="E2231A"/>
                <w:w w:val="95"/>
              </w:rPr>
              <w:t>(c)</w:t>
            </w:r>
          </w:p>
        </w:tc>
        <w:tc>
          <w:tcPr>
            <w:tcW w:w="160" w:type="dxa"/>
            <w:vAlign w:val="bottom"/>
          </w:tcPr>
          <w:p>
            <w:pPr>
              <w:spacing w:after="0"/>
              <w:rPr>
                <w:sz w:val="13"/>
                <w:szCs w:val="13"/>
                <w:color w:val="auto"/>
              </w:rPr>
            </w:pPr>
          </w:p>
        </w:tc>
        <w:tc>
          <w:tcPr>
            <w:tcW w:w="640" w:type="dxa"/>
            <w:vAlign w:val="bottom"/>
          </w:tcPr>
          <w:p>
            <w:pPr>
              <w:jc w:val="right"/>
              <w:ind w:right="259"/>
              <w:spacing w:after="0"/>
              <w:rPr>
                <w:sz w:val="20"/>
                <w:szCs w:val="20"/>
                <w:color w:val="auto"/>
              </w:rPr>
            </w:pPr>
            <w:r>
              <w:rPr>
                <w:rFonts w:ascii="Arial" w:cs="Arial" w:eastAsia="Arial" w:hAnsi="Arial"/>
                <w:sz w:val="12"/>
                <w:szCs w:val="12"/>
                <w:b w:val="1"/>
                <w:bCs w:val="1"/>
                <w:color w:val="E2231A"/>
              </w:rPr>
              <w:t>(d)</w:t>
            </w:r>
          </w:p>
        </w:tc>
        <w:tc>
          <w:tcPr>
            <w:tcW w:w="16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E2231A"/>
                <w:w w:val="95"/>
              </w:rPr>
              <w:t>(e)</w:t>
            </w:r>
          </w:p>
        </w:tc>
        <w:tc>
          <w:tcPr>
            <w:tcW w:w="740" w:type="dxa"/>
            <w:vAlign w:val="bottom"/>
          </w:tcPr>
          <w:p>
            <w:pPr>
              <w:jc w:val="right"/>
              <w:ind w:right="239"/>
              <w:spacing w:after="0"/>
              <w:rPr>
                <w:sz w:val="20"/>
                <w:szCs w:val="20"/>
                <w:color w:val="auto"/>
              </w:rPr>
            </w:pPr>
            <w:r>
              <w:rPr>
                <w:rFonts w:ascii="Arial" w:cs="Arial" w:eastAsia="Arial" w:hAnsi="Arial"/>
                <w:sz w:val="12"/>
                <w:szCs w:val="12"/>
                <w:b w:val="1"/>
                <w:bCs w:val="1"/>
                <w:color w:val="E2231A"/>
              </w:rPr>
              <w:t>(f)(#)</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E2231A"/>
                <w:w w:val="93"/>
              </w:rPr>
              <w:t>(g)(#)</w:t>
            </w:r>
          </w:p>
        </w:tc>
        <w:tc>
          <w:tcPr>
            <w:tcW w:w="720" w:type="dxa"/>
            <w:vAlign w:val="bottom"/>
          </w:tcPr>
          <w:p>
            <w:pPr>
              <w:jc w:val="right"/>
              <w:ind w:right="139"/>
              <w:spacing w:after="0"/>
              <w:rPr>
                <w:sz w:val="20"/>
                <w:szCs w:val="20"/>
                <w:color w:val="auto"/>
              </w:rPr>
            </w:pPr>
            <w:r>
              <w:rPr>
                <w:rFonts w:ascii="Arial" w:cs="Arial" w:eastAsia="Arial" w:hAnsi="Arial"/>
                <w:sz w:val="12"/>
                <w:szCs w:val="12"/>
                <w:b w:val="1"/>
                <w:bCs w:val="1"/>
                <w:color w:val="E2231A"/>
              </w:rPr>
              <w:t>(h)(#)</w:t>
            </w:r>
          </w:p>
        </w:tc>
        <w:tc>
          <w:tcPr>
            <w:tcW w:w="820" w:type="dxa"/>
            <w:vAlign w:val="bottom"/>
          </w:tcPr>
          <w:p>
            <w:pPr>
              <w:jc w:val="center"/>
              <w:ind w:left="20"/>
              <w:spacing w:after="0"/>
              <w:rPr>
                <w:sz w:val="20"/>
                <w:szCs w:val="20"/>
                <w:color w:val="auto"/>
              </w:rPr>
            </w:pPr>
            <w:r>
              <w:rPr>
                <w:rFonts w:ascii="Arial" w:cs="Arial" w:eastAsia="Arial" w:hAnsi="Arial"/>
                <w:sz w:val="12"/>
                <w:szCs w:val="12"/>
                <w:b w:val="1"/>
                <w:bCs w:val="1"/>
                <w:color w:val="E2231A"/>
                <w:w w:val="99"/>
              </w:rPr>
              <w:t>(i)(#)</w:t>
            </w:r>
          </w:p>
        </w:tc>
        <w:tc>
          <w:tcPr>
            <w:tcW w:w="180" w:type="dxa"/>
            <w:vAlign w:val="bottom"/>
          </w:tcPr>
          <w:p>
            <w:pPr>
              <w:spacing w:after="0"/>
              <w:rPr>
                <w:sz w:val="13"/>
                <w:szCs w:val="13"/>
                <w:color w:val="auto"/>
              </w:rPr>
            </w:pPr>
          </w:p>
        </w:tc>
        <w:tc>
          <w:tcPr>
            <w:tcW w:w="660" w:type="dxa"/>
            <w:vAlign w:val="bottom"/>
          </w:tcPr>
          <w:p>
            <w:pPr>
              <w:jc w:val="center"/>
              <w:ind w:right="119"/>
              <w:spacing w:after="0"/>
              <w:rPr>
                <w:sz w:val="20"/>
                <w:szCs w:val="20"/>
                <w:color w:val="auto"/>
              </w:rPr>
            </w:pPr>
            <w:r>
              <w:rPr>
                <w:rFonts w:ascii="Arial" w:cs="Arial" w:eastAsia="Arial" w:hAnsi="Arial"/>
                <w:sz w:val="12"/>
                <w:szCs w:val="12"/>
                <w:b w:val="1"/>
                <w:bCs w:val="1"/>
                <w:color w:val="E2231A"/>
              </w:rPr>
              <w:t>(l)</w:t>
            </w:r>
          </w:p>
        </w:tc>
        <w:tc>
          <w:tcPr>
            <w:tcW w:w="0" w:type="dxa"/>
            <w:vAlign w:val="bottom"/>
          </w:tcPr>
          <w:p>
            <w:pPr>
              <w:spacing w:after="0"/>
              <w:rPr>
                <w:sz w:val="1"/>
                <w:szCs w:val="1"/>
                <w:color w:val="auto"/>
              </w:rPr>
            </w:pPr>
          </w:p>
        </w:tc>
      </w:tr>
      <w:tr>
        <w:trPr>
          <w:trHeight w:val="73"/>
        </w:trPr>
        <w:tc>
          <w:tcPr>
            <w:tcW w:w="20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FCE9E8"/>
          </w:tcPr>
          <w:p>
            <w:pPr>
              <w:ind w:left="60"/>
              <w:spacing w:after="0"/>
              <w:rPr>
                <w:sz w:val="20"/>
                <w:szCs w:val="20"/>
                <w:color w:val="auto"/>
              </w:rPr>
            </w:pPr>
            <w:r>
              <w:rPr>
                <w:rFonts w:ascii="Arial" w:cs="Arial" w:eastAsia="Arial" w:hAnsi="Arial"/>
                <w:sz w:val="12"/>
                <w:szCs w:val="12"/>
                <w:color w:val="auto"/>
              </w:rPr>
              <w:t>Raymond E. Scott</w:t>
            </w:r>
          </w:p>
        </w:tc>
        <w:tc>
          <w:tcPr>
            <w:tcW w:w="140" w:type="dxa"/>
            <w:vAlign w:val="bottom"/>
            <w:shd w:val="clear" w:color="auto" w:fill="FCE9E8"/>
          </w:tcPr>
          <w:p>
            <w:pPr>
              <w:spacing w:after="0"/>
              <w:rPr>
                <w:sz w:val="16"/>
                <w:szCs w:val="16"/>
                <w:color w:val="auto"/>
              </w:rPr>
            </w:pPr>
          </w:p>
        </w:tc>
        <w:tc>
          <w:tcPr>
            <w:tcW w:w="17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Annual Incentive Award</w:t>
            </w:r>
          </w:p>
        </w:tc>
        <w:tc>
          <w:tcPr>
            <w:tcW w:w="80" w:type="dxa"/>
            <w:vAlign w:val="bottom"/>
            <w:shd w:val="clear" w:color="auto" w:fill="FCE9E8"/>
          </w:tcPr>
          <w:p>
            <w:pPr>
              <w:spacing w:after="0"/>
              <w:rPr>
                <w:sz w:val="16"/>
                <w:szCs w:val="16"/>
                <w:color w:val="auto"/>
              </w:rPr>
            </w:pPr>
          </w:p>
        </w:tc>
        <w:tc>
          <w:tcPr>
            <w:tcW w:w="6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FCE9E8"/>
          </w:tcPr>
          <w:p>
            <w:pPr>
              <w:jc w:val="center"/>
              <w:spacing w:after="0"/>
              <w:rPr>
                <w:sz w:val="20"/>
                <w:szCs w:val="20"/>
                <w:color w:val="auto"/>
              </w:rPr>
            </w:pPr>
            <w:r>
              <w:rPr>
                <w:rFonts w:ascii="Arial" w:cs="Arial" w:eastAsia="Arial" w:hAnsi="Arial"/>
                <w:sz w:val="12"/>
                <w:szCs w:val="12"/>
                <w:color w:val="auto"/>
              </w:rPr>
              <w:t>$ 821,686</w:t>
            </w:r>
          </w:p>
        </w:tc>
        <w:tc>
          <w:tcPr>
            <w:tcW w:w="16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FCE9E8"/>
          </w:tcPr>
          <w:p>
            <w:pPr>
              <w:jc w:val="right"/>
              <w:ind w:right="19"/>
              <w:spacing w:after="0"/>
              <w:rPr>
                <w:sz w:val="20"/>
                <w:szCs w:val="20"/>
                <w:color w:val="auto"/>
              </w:rPr>
            </w:pPr>
            <w:r>
              <w:rPr>
                <w:rFonts w:ascii="Arial" w:cs="Arial" w:eastAsia="Arial" w:hAnsi="Arial"/>
                <w:sz w:val="12"/>
                <w:szCs w:val="12"/>
                <w:color w:val="auto"/>
              </w:rPr>
              <w:t>1,643,372</w:t>
            </w:r>
          </w:p>
        </w:tc>
        <w:tc>
          <w:tcPr>
            <w:tcW w:w="16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3,286,744</w:t>
            </w:r>
          </w:p>
        </w:tc>
        <w:tc>
          <w:tcPr>
            <w:tcW w:w="160" w:type="dxa"/>
            <w:vAlign w:val="bottom"/>
            <w:shd w:val="clear" w:color="auto" w:fill="FCE9E8"/>
          </w:tcPr>
          <w:p>
            <w:pPr>
              <w:spacing w:after="0"/>
              <w:rPr>
                <w:sz w:val="16"/>
                <w:szCs w:val="16"/>
                <w:color w:val="auto"/>
              </w:rPr>
            </w:pPr>
          </w:p>
        </w:tc>
        <w:tc>
          <w:tcPr>
            <w:tcW w:w="740" w:type="dxa"/>
            <w:vAlign w:val="bottom"/>
            <w:shd w:val="clear" w:color="auto" w:fill="FCE9E8"/>
          </w:tcPr>
          <w:p>
            <w:pPr>
              <w:spacing w:after="0"/>
              <w:rPr>
                <w:sz w:val="16"/>
                <w:szCs w:val="16"/>
                <w:color w:val="auto"/>
              </w:rPr>
            </w:pPr>
          </w:p>
        </w:tc>
        <w:tc>
          <w:tcPr>
            <w:tcW w:w="66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820" w:type="dxa"/>
            <w:vAlign w:val="bottom"/>
            <w:shd w:val="clear" w:color="auto" w:fill="FCE9E8"/>
          </w:tcPr>
          <w:p>
            <w:pPr>
              <w:spacing w:after="0"/>
              <w:rPr>
                <w:sz w:val="16"/>
                <w:szCs w:val="16"/>
                <w:color w:val="auto"/>
              </w:rPr>
            </w:pPr>
          </w:p>
        </w:tc>
        <w:tc>
          <w:tcPr>
            <w:tcW w:w="180" w:type="dxa"/>
            <w:vAlign w:val="bottom"/>
            <w:shd w:val="clear" w:color="auto" w:fill="FCE9E8"/>
          </w:tcPr>
          <w:p>
            <w:pPr>
              <w:spacing w:after="0"/>
              <w:rPr>
                <w:sz w:val="16"/>
                <w:szCs w:val="16"/>
                <w:color w:val="auto"/>
              </w:rPr>
            </w:pPr>
          </w:p>
        </w:tc>
        <w:tc>
          <w:tcPr>
            <w:tcW w:w="66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20" w:type="dxa"/>
            <w:vAlign w:val="bottom"/>
            <w:shd w:val="clear" w:color="auto" w:fill="FCE9E8"/>
          </w:tcPr>
          <w:p>
            <w:pPr>
              <w:spacing w:after="0"/>
              <w:rPr>
                <w:sz w:val="16"/>
                <w:szCs w:val="16"/>
                <w:color w:val="auto"/>
              </w:rPr>
            </w:pPr>
          </w:p>
        </w:tc>
        <w:tc>
          <w:tcPr>
            <w:tcW w:w="140" w:type="dxa"/>
            <w:vAlign w:val="bottom"/>
            <w:shd w:val="clear" w:color="auto" w:fill="FCE9E8"/>
          </w:tcPr>
          <w:p>
            <w:pPr>
              <w:spacing w:after="0"/>
              <w:rPr>
                <w:sz w:val="16"/>
                <w:szCs w:val="16"/>
                <w:color w:val="auto"/>
              </w:rPr>
            </w:pPr>
          </w:p>
        </w:tc>
        <w:tc>
          <w:tcPr>
            <w:tcW w:w="17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Performance Share Award</w:t>
            </w:r>
            <w:r>
              <w:rPr>
                <w:rFonts w:ascii="Arial" w:cs="Arial" w:eastAsia="Arial" w:hAnsi="Arial"/>
                <w:sz w:val="10"/>
                <w:szCs w:val="10"/>
                <w:color w:val="auto"/>
              </w:rPr>
              <w:t>(3)</w:t>
            </w:r>
          </w:p>
        </w:tc>
        <w:tc>
          <w:tcPr>
            <w:tcW w:w="760" w:type="dxa"/>
            <w:vAlign w:val="bottom"/>
            <w:gridSpan w:val="2"/>
            <w:shd w:val="clear" w:color="auto" w:fill="FCE9E8"/>
          </w:tcPr>
          <w:p>
            <w:pPr>
              <w:jc w:val="right"/>
              <w:spacing w:after="0"/>
              <w:rPr>
                <w:sz w:val="20"/>
                <w:szCs w:val="20"/>
                <w:color w:val="auto"/>
              </w:rPr>
            </w:pPr>
            <w:r>
              <w:rPr>
                <w:rFonts w:ascii="Arial" w:cs="Arial" w:eastAsia="Arial" w:hAnsi="Arial"/>
                <w:sz w:val="12"/>
                <w:szCs w:val="12"/>
                <w:color w:val="auto"/>
              </w:rPr>
              <w:t>1/2/2018</w:t>
            </w:r>
          </w:p>
        </w:tc>
        <w:tc>
          <w:tcPr>
            <w:tcW w:w="160" w:type="dxa"/>
            <w:vAlign w:val="bottom"/>
            <w:shd w:val="clear" w:color="auto" w:fill="FCE9E8"/>
          </w:tcPr>
          <w:p>
            <w:pPr>
              <w:spacing w:after="0"/>
              <w:rPr>
                <w:sz w:val="16"/>
                <w:szCs w:val="16"/>
                <w:color w:val="auto"/>
              </w:rPr>
            </w:pPr>
          </w:p>
        </w:tc>
        <w:tc>
          <w:tcPr>
            <w:tcW w:w="62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64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58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740" w:type="dxa"/>
            <w:vAlign w:val="bottom"/>
            <w:shd w:val="clear" w:color="auto" w:fill="FCE9E8"/>
          </w:tcPr>
          <w:p>
            <w:pPr>
              <w:jc w:val="right"/>
              <w:ind w:right="59"/>
              <w:spacing w:after="0"/>
              <w:rPr>
                <w:sz w:val="20"/>
                <w:szCs w:val="20"/>
                <w:color w:val="auto"/>
              </w:rPr>
            </w:pPr>
            <w:r>
              <w:rPr>
                <w:rFonts w:ascii="Arial" w:cs="Arial" w:eastAsia="Arial" w:hAnsi="Arial"/>
                <w:sz w:val="12"/>
                <w:szCs w:val="12"/>
                <w:color w:val="auto"/>
              </w:rPr>
              <w:t>5,380</w:t>
            </w:r>
          </w:p>
        </w:tc>
        <w:tc>
          <w:tcPr>
            <w:tcW w:w="660" w:type="dxa"/>
            <w:vAlign w:val="bottom"/>
            <w:shd w:val="clear" w:color="auto" w:fill="FCE9E8"/>
          </w:tcPr>
          <w:p>
            <w:pPr>
              <w:jc w:val="right"/>
              <w:ind w:right="39"/>
              <w:spacing w:after="0"/>
              <w:rPr>
                <w:sz w:val="20"/>
                <w:szCs w:val="20"/>
                <w:color w:val="auto"/>
              </w:rPr>
            </w:pPr>
            <w:r>
              <w:rPr>
                <w:rFonts w:ascii="Arial" w:cs="Arial" w:eastAsia="Arial" w:hAnsi="Arial"/>
                <w:sz w:val="12"/>
                <w:szCs w:val="12"/>
                <w:color w:val="auto"/>
              </w:rPr>
              <w:t>10,760</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21,520</w:t>
            </w:r>
          </w:p>
        </w:tc>
        <w:tc>
          <w:tcPr>
            <w:tcW w:w="820" w:type="dxa"/>
            <w:vAlign w:val="bottom"/>
            <w:shd w:val="clear" w:color="auto" w:fill="FCE9E8"/>
          </w:tcPr>
          <w:p>
            <w:pPr>
              <w:spacing w:after="0"/>
              <w:rPr>
                <w:sz w:val="16"/>
                <w:szCs w:val="16"/>
                <w:color w:val="auto"/>
              </w:rPr>
            </w:pPr>
          </w:p>
        </w:tc>
        <w:tc>
          <w:tcPr>
            <w:tcW w:w="1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FCE9E8"/>
          </w:tcPr>
          <w:p>
            <w:pPr>
              <w:jc w:val="right"/>
              <w:ind w:right="39"/>
              <w:spacing w:after="0"/>
              <w:rPr>
                <w:sz w:val="20"/>
                <w:szCs w:val="20"/>
                <w:color w:val="auto"/>
              </w:rPr>
            </w:pPr>
            <w:r>
              <w:rPr>
                <w:rFonts w:ascii="Arial" w:cs="Arial" w:eastAsia="Arial" w:hAnsi="Arial"/>
                <w:sz w:val="12"/>
                <w:szCs w:val="12"/>
                <w:color w:val="auto"/>
              </w:rPr>
              <w:t>1,923,888</w:t>
            </w:r>
          </w:p>
        </w:tc>
        <w:tc>
          <w:tcPr>
            <w:tcW w:w="0" w:type="dxa"/>
            <w:vAlign w:val="bottom"/>
          </w:tcPr>
          <w:p>
            <w:pPr>
              <w:spacing w:after="0"/>
              <w:rPr>
                <w:sz w:val="1"/>
                <w:szCs w:val="1"/>
                <w:color w:val="auto"/>
              </w:rPr>
            </w:pPr>
          </w:p>
        </w:tc>
      </w:tr>
      <w:tr>
        <w:trPr>
          <w:trHeight w:val="186"/>
        </w:trPr>
        <w:tc>
          <w:tcPr>
            <w:tcW w:w="2020" w:type="dxa"/>
            <w:vAlign w:val="bottom"/>
            <w:shd w:val="clear" w:color="auto" w:fill="FCE9E8"/>
          </w:tcPr>
          <w:p>
            <w:pPr>
              <w:spacing w:after="0"/>
              <w:rPr>
                <w:sz w:val="16"/>
                <w:szCs w:val="16"/>
                <w:color w:val="auto"/>
              </w:rPr>
            </w:pPr>
          </w:p>
        </w:tc>
        <w:tc>
          <w:tcPr>
            <w:tcW w:w="140" w:type="dxa"/>
            <w:vAlign w:val="bottom"/>
            <w:shd w:val="clear" w:color="auto" w:fill="FCE9E8"/>
          </w:tcPr>
          <w:p>
            <w:pPr>
              <w:spacing w:after="0"/>
              <w:rPr>
                <w:sz w:val="16"/>
                <w:szCs w:val="16"/>
                <w:color w:val="auto"/>
              </w:rPr>
            </w:pPr>
          </w:p>
        </w:tc>
        <w:tc>
          <w:tcPr>
            <w:tcW w:w="17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Performance Share Award</w:t>
            </w:r>
            <w:r>
              <w:rPr>
                <w:rFonts w:ascii="Arial" w:cs="Arial" w:eastAsia="Arial" w:hAnsi="Arial"/>
                <w:sz w:val="10"/>
                <w:szCs w:val="10"/>
                <w:color w:val="auto"/>
              </w:rPr>
              <w:t>(3)</w:t>
            </w:r>
          </w:p>
        </w:tc>
        <w:tc>
          <w:tcPr>
            <w:tcW w:w="80" w:type="dxa"/>
            <w:vAlign w:val="bottom"/>
            <w:shd w:val="clear" w:color="auto" w:fill="FCE9E8"/>
          </w:tcPr>
          <w:p>
            <w:pPr>
              <w:spacing w:after="0"/>
              <w:rPr>
                <w:sz w:val="16"/>
                <w:szCs w:val="16"/>
                <w:color w:val="auto"/>
              </w:rPr>
            </w:pPr>
          </w:p>
        </w:tc>
        <w:tc>
          <w:tcPr>
            <w:tcW w:w="6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3/1/2018</w:t>
            </w:r>
          </w:p>
        </w:tc>
        <w:tc>
          <w:tcPr>
            <w:tcW w:w="160" w:type="dxa"/>
            <w:vAlign w:val="bottom"/>
            <w:shd w:val="clear" w:color="auto" w:fill="FCE9E8"/>
          </w:tcPr>
          <w:p>
            <w:pPr>
              <w:spacing w:after="0"/>
              <w:rPr>
                <w:sz w:val="16"/>
                <w:szCs w:val="16"/>
                <w:color w:val="auto"/>
              </w:rPr>
            </w:pPr>
          </w:p>
        </w:tc>
        <w:tc>
          <w:tcPr>
            <w:tcW w:w="62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64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58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740" w:type="dxa"/>
            <w:vAlign w:val="bottom"/>
            <w:shd w:val="clear" w:color="auto" w:fill="FCE9E8"/>
          </w:tcPr>
          <w:p>
            <w:pPr>
              <w:jc w:val="right"/>
              <w:ind w:right="59"/>
              <w:spacing w:after="0"/>
              <w:rPr>
                <w:sz w:val="20"/>
                <w:szCs w:val="20"/>
                <w:color w:val="auto"/>
              </w:rPr>
            </w:pPr>
            <w:r>
              <w:rPr>
                <w:rFonts w:ascii="Arial" w:cs="Arial" w:eastAsia="Arial" w:hAnsi="Arial"/>
                <w:sz w:val="12"/>
                <w:szCs w:val="12"/>
                <w:color w:val="auto"/>
              </w:rPr>
              <w:t>8,076</w:t>
            </w:r>
          </w:p>
        </w:tc>
        <w:tc>
          <w:tcPr>
            <w:tcW w:w="660" w:type="dxa"/>
            <w:vAlign w:val="bottom"/>
            <w:shd w:val="clear" w:color="auto" w:fill="FCE9E8"/>
          </w:tcPr>
          <w:p>
            <w:pPr>
              <w:jc w:val="right"/>
              <w:ind w:right="39"/>
              <w:spacing w:after="0"/>
              <w:rPr>
                <w:sz w:val="20"/>
                <w:szCs w:val="20"/>
                <w:color w:val="auto"/>
              </w:rPr>
            </w:pPr>
            <w:r>
              <w:rPr>
                <w:rFonts w:ascii="Arial" w:cs="Arial" w:eastAsia="Arial" w:hAnsi="Arial"/>
                <w:sz w:val="12"/>
                <w:szCs w:val="12"/>
                <w:color w:val="auto"/>
              </w:rPr>
              <w:t>16,152</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32,304</w:t>
            </w:r>
          </w:p>
        </w:tc>
        <w:tc>
          <w:tcPr>
            <w:tcW w:w="820" w:type="dxa"/>
            <w:vAlign w:val="bottom"/>
            <w:shd w:val="clear" w:color="auto" w:fill="FCE9E8"/>
          </w:tcPr>
          <w:p>
            <w:pPr>
              <w:spacing w:after="0"/>
              <w:rPr>
                <w:sz w:val="16"/>
                <w:szCs w:val="16"/>
                <w:color w:val="auto"/>
              </w:rPr>
            </w:pPr>
          </w:p>
        </w:tc>
        <w:tc>
          <w:tcPr>
            <w:tcW w:w="1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FCE9E8"/>
          </w:tcPr>
          <w:p>
            <w:pPr>
              <w:jc w:val="right"/>
              <w:ind w:right="39"/>
              <w:spacing w:after="0"/>
              <w:rPr>
                <w:sz w:val="20"/>
                <w:szCs w:val="20"/>
                <w:color w:val="auto"/>
              </w:rPr>
            </w:pPr>
            <w:r>
              <w:rPr>
                <w:rFonts w:ascii="Arial" w:cs="Arial" w:eastAsia="Arial" w:hAnsi="Arial"/>
                <w:sz w:val="12"/>
                <w:szCs w:val="12"/>
                <w:color w:val="auto"/>
              </w:rPr>
              <w:t>2,927,873</w:t>
            </w:r>
          </w:p>
        </w:tc>
        <w:tc>
          <w:tcPr>
            <w:tcW w:w="0" w:type="dxa"/>
            <w:vAlign w:val="bottom"/>
          </w:tcPr>
          <w:p>
            <w:pPr>
              <w:spacing w:after="0"/>
              <w:rPr>
                <w:sz w:val="1"/>
                <w:szCs w:val="1"/>
                <w:color w:val="auto"/>
              </w:rPr>
            </w:pPr>
          </w:p>
        </w:tc>
      </w:tr>
      <w:tr>
        <w:trPr>
          <w:trHeight w:val="186"/>
        </w:trPr>
        <w:tc>
          <w:tcPr>
            <w:tcW w:w="2020" w:type="dxa"/>
            <w:vAlign w:val="bottom"/>
            <w:shd w:val="clear" w:color="auto" w:fill="FCE9E8"/>
          </w:tcPr>
          <w:p>
            <w:pPr>
              <w:spacing w:after="0"/>
              <w:rPr>
                <w:sz w:val="16"/>
                <w:szCs w:val="16"/>
                <w:color w:val="auto"/>
              </w:rPr>
            </w:pPr>
          </w:p>
        </w:tc>
        <w:tc>
          <w:tcPr>
            <w:tcW w:w="140" w:type="dxa"/>
            <w:vAlign w:val="bottom"/>
            <w:shd w:val="clear" w:color="auto" w:fill="FCE9E8"/>
          </w:tcPr>
          <w:p>
            <w:pPr>
              <w:spacing w:after="0"/>
              <w:rPr>
                <w:sz w:val="16"/>
                <w:szCs w:val="16"/>
                <w:color w:val="auto"/>
              </w:rPr>
            </w:pPr>
          </w:p>
        </w:tc>
        <w:tc>
          <w:tcPr>
            <w:tcW w:w="17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10"/>
                <w:szCs w:val="10"/>
                <w:color w:val="auto"/>
              </w:rPr>
              <w:t>(4)</w:t>
            </w:r>
          </w:p>
        </w:tc>
        <w:tc>
          <w:tcPr>
            <w:tcW w:w="80" w:type="dxa"/>
            <w:vAlign w:val="bottom"/>
            <w:shd w:val="clear" w:color="auto" w:fill="FCE9E8"/>
          </w:tcPr>
          <w:p>
            <w:pPr>
              <w:spacing w:after="0"/>
              <w:rPr>
                <w:sz w:val="16"/>
                <w:szCs w:val="16"/>
                <w:color w:val="auto"/>
              </w:rPr>
            </w:pPr>
          </w:p>
        </w:tc>
        <w:tc>
          <w:tcPr>
            <w:tcW w:w="6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1/2/2018</w:t>
            </w:r>
          </w:p>
        </w:tc>
        <w:tc>
          <w:tcPr>
            <w:tcW w:w="160" w:type="dxa"/>
            <w:vAlign w:val="bottom"/>
            <w:shd w:val="clear" w:color="auto" w:fill="FCE9E8"/>
          </w:tcPr>
          <w:p>
            <w:pPr>
              <w:spacing w:after="0"/>
              <w:rPr>
                <w:sz w:val="16"/>
                <w:szCs w:val="16"/>
                <w:color w:val="auto"/>
              </w:rPr>
            </w:pPr>
          </w:p>
        </w:tc>
        <w:tc>
          <w:tcPr>
            <w:tcW w:w="62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64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58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740" w:type="dxa"/>
            <w:vAlign w:val="bottom"/>
            <w:shd w:val="clear" w:color="auto" w:fill="FCE9E8"/>
          </w:tcPr>
          <w:p>
            <w:pPr>
              <w:spacing w:after="0"/>
              <w:rPr>
                <w:sz w:val="16"/>
                <w:szCs w:val="16"/>
                <w:color w:val="auto"/>
              </w:rPr>
            </w:pPr>
          </w:p>
        </w:tc>
        <w:tc>
          <w:tcPr>
            <w:tcW w:w="66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820" w:type="dxa"/>
            <w:vAlign w:val="bottom"/>
            <w:shd w:val="clear" w:color="auto" w:fill="FCE9E8"/>
          </w:tcPr>
          <w:p>
            <w:pPr>
              <w:jc w:val="right"/>
              <w:ind w:right="20"/>
              <w:spacing w:after="0"/>
              <w:rPr>
                <w:sz w:val="20"/>
                <w:szCs w:val="20"/>
                <w:color w:val="auto"/>
              </w:rPr>
            </w:pPr>
            <w:r>
              <w:rPr>
                <w:rFonts w:ascii="Arial" w:cs="Arial" w:eastAsia="Arial" w:hAnsi="Arial"/>
                <w:sz w:val="12"/>
                <w:szCs w:val="12"/>
                <w:color w:val="auto"/>
              </w:rPr>
              <w:t>3,586</w:t>
            </w:r>
          </w:p>
        </w:tc>
        <w:tc>
          <w:tcPr>
            <w:tcW w:w="1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FCE9E8"/>
          </w:tcPr>
          <w:p>
            <w:pPr>
              <w:jc w:val="right"/>
              <w:ind w:right="39"/>
              <w:spacing w:after="0"/>
              <w:rPr>
                <w:sz w:val="20"/>
                <w:szCs w:val="20"/>
                <w:color w:val="auto"/>
              </w:rPr>
            </w:pPr>
            <w:r>
              <w:rPr>
                <w:rFonts w:ascii="Arial" w:cs="Arial" w:eastAsia="Arial" w:hAnsi="Arial"/>
                <w:sz w:val="12"/>
                <w:szCs w:val="12"/>
                <w:color w:val="auto"/>
              </w:rPr>
              <w:t>641,177</w:t>
            </w:r>
          </w:p>
        </w:tc>
        <w:tc>
          <w:tcPr>
            <w:tcW w:w="0" w:type="dxa"/>
            <w:vAlign w:val="bottom"/>
          </w:tcPr>
          <w:p>
            <w:pPr>
              <w:spacing w:after="0"/>
              <w:rPr>
                <w:sz w:val="1"/>
                <w:szCs w:val="1"/>
                <w:color w:val="auto"/>
              </w:rPr>
            </w:pPr>
          </w:p>
        </w:tc>
      </w:tr>
      <w:tr>
        <w:trPr>
          <w:trHeight w:val="186"/>
        </w:trPr>
        <w:tc>
          <w:tcPr>
            <w:tcW w:w="2020" w:type="dxa"/>
            <w:vAlign w:val="bottom"/>
            <w:shd w:val="clear" w:color="auto" w:fill="FCE9E8"/>
          </w:tcPr>
          <w:p>
            <w:pPr>
              <w:spacing w:after="0"/>
              <w:rPr>
                <w:sz w:val="16"/>
                <w:szCs w:val="16"/>
                <w:color w:val="auto"/>
              </w:rPr>
            </w:pPr>
          </w:p>
        </w:tc>
        <w:tc>
          <w:tcPr>
            <w:tcW w:w="140" w:type="dxa"/>
            <w:vAlign w:val="bottom"/>
            <w:shd w:val="clear" w:color="auto" w:fill="FCE9E8"/>
          </w:tcPr>
          <w:p>
            <w:pPr>
              <w:spacing w:after="0"/>
              <w:rPr>
                <w:sz w:val="16"/>
                <w:szCs w:val="16"/>
                <w:color w:val="auto"/>
              </w:rPr>
            </w:pPr>
          </w:p>
        </w:tc>
        <w:tc>
          <w:tcPr>
            <w:tcW w:w="17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10"/>
                <w:szCs w:val="10"/>
                <w:color w:val="auto"/>
              </w:rPr>
              <w:t>(4)</w:t>
            </w:r>
          </w:p>
        </w:tc>
        <w:tc>
          <w:tcPr>
            <w:tcW w:w="80" w:type="dxa"/>
            <w:vAlign w:val="bottom"/>
            <w:shd w:val="clear" w:color="auto" w:fill="FCE9E8"/>
          </w:tcPr>
          <w:p>
            <w:pPr>
              <w:spacing w:after="0"/>
              <w:rPr>
                <w:sz w:val="16"/>
                <w:szCs w:val="16"/>
                <w:color w:val="auto"/>
              </w:rPr>
            </w:pPr>
          </w:p>
        </w:tc>
        <w:tc>
          <w:tcPr>
            <w:tcW w:w="6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3/1/2018</w:t>
            </w:r>
          </w:p>
        </w:tc>
        <w:tc>
          <w:tcPr>
            <w:tcW w:w="160" w:type="dxa"/>
            <w:vAlign w:val="bottom"/>
            <w:shd w:val="clear" w:color="auto" w:fill="FCE9E8"/>
          </w:tcPr>
          <w:p>
            <w:pPr>
              <w:spacing w:after="0"/>
              <w:rPr>
                <w:sz w:val="16"/>
                <w:szCs w:val="16"/>
                <w:color w:val="auto"/>
              </w:rPr>
            </w:pPr>
          </w:p>
        </w:tc>
        <w:tc>
          <w:tcPr>
            <w:tcW w:w="62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64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58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740" w:type="dxa"/>
            <w:vAlign w:val="bottom"/>
            <w:shd w:val="clear" w:color="auto" w:fill="FCE9E8"/>
          </w:tcPr>
          <w:p>
            <w:pPr>
              <w:spacing w:after="0"/>
              <w:rPr>
                <w:sz w:val="16"/>
                <w:szCs w:val="16"/>
                <w:color w:val="auto"/>
              </w:rPr>
            </w:pPr>
          </w:p>
        </w:tc>
        <w:tc>
          <w:tcPr>
            <w:tcW w:w="66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820" w:type="dxa"/>
            <w:vAlign w:val="bottom"/>
            <w:shd w:val="clear" w:color="auto" w:fill="FCE9E8"/>
          </w:tcPr>
          <w:p>
            <w:pPr>
              <w:jc w:val="right"/>
              <w:ind w:right="20"/>
              <w:spacing w:after="0"/>
              <w:rPr>
                <w:sz w:val="20"/>
                <w:szCs w:val="20"/>
                <w:color w:val="auto"/>
              </w:rPr>
            </w:pPr>
            <w:r>
              <w:rPr>
                <w:rFonts w:ascii="Arial" w:cs="Arial" w:eastAsia="Arial" w:hAnsi="Arial"/>
                <w:sz w:val="12"/>
                <w:szCs w:val="12"/>
                <w:color w:val="auto"/>
              </w:rPr>
              <w:t>5,384</w:t>
            </w:r>
          </w:p>
        </w:tc>
        <w:tc>
          <w:tcPr>
            <w:tcW w:w="1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FCE9E8"/>
          </w:tcPr>
          <w:p>
            <w:pPr>
              <w:jc w:val="right"/>
              <w:ind w:right="39"/>
              <w:spacing w:after="0"/>
              <w:rPr>
                <w:sz w:val="20"/>
                <w:szCs w:val="20"/>
                <w:color w:val="auto"/>
              </w:rPr>
            </w:pPr>
            <w:r>
              <w:rPr>
                <w:rFonts w:ascii="Arial" w:cs="Arial" w:eastAsia="Arial" w:hAnsi="Arial"/>
                <w:sz w:val="12"/>
                <w:szCs w:val="12"/>
                <w:color w:val="auto"/>
              </w:rPr>
              <w:t>975,958</w:t>
            </w:r>
          </w:p>
        </w:tc>
        <w:tc>
          <w:tcPr>
            <w:tcW w:w="0" w:type="dxa"/>
            <w:vAlign w:val="bottom"/>
          </w:tcPr>
          <w:p>
            <w:pPr>
              <w:spacing w:after="0"/>
              <w:rPr>
                <w:sz w:val="1"/>
                <w:szCs w:val="1"/>
                <w:color w:val="auto"/>
              </w:rPr>
            </w:pPr>
          </w:p>
        </w:tc>
      </w:tr>
      <w:tr>
        <w:trPr>
          <w:trHeight w:val="235"/>
        </w:trPr>
        <w:tc>
          <w:tcPr>
            <w:tcW w:w="2020" w:type="dxa"/>
            <w:vAlign w:val="bottom"/>
            <w:tcBorders>
              <w:bottom w:val="single" w:sz="8" w:color="FCE9E8"/>
            </w:tcBorders>
            <w:shd w:val="clear" w:color="auto" w:fill="FCE9E8"/>
          </w:tcPr>
          <w:p>
            <w:pPr>
              <w:spacing w:after="0"/>
              <w:rPr>
                <w:sz w:val="20"/>
                <w:szCs w:val="20"/>
                <w:color w:val="auto"/>
              </w:rPr>
            </w:pPr>
          </w:p>
        </w:tc>
        <w:tc>
          <w:tcPr>
            <w:tcW w:w="140" w:type="dxa"/>
            <w:vAlign w:val="bottom"/>
            <w:tcBorders>
              <w:bottom w:val="single" w:sz="8" w:color="FCE9E8"/>
            </w:tcBorders>
            <w:shd w:val="clear" w:color="auto" w:fill="FCE9E8"/>
          </w:tcPr>
          <w:p>
            <w:pPr>
              <w:spacing w:after="0"/>
              <w:rPr>
                <w:sz w:val="20"/>
                <w:szCs w:val="20"/>
                <w:color w:val="auto"/>
              </w:rPr>
            </w:pPr>
          </w:p>
        </w:tc>
        <w:tc>
          <w:tcPr>
            <w:tcW w:w="17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2"/>
                <w:szCs w:val="12"/>
                <w:color w:val="auto"/>
              </w:rPr>
              <w:t>RSU Award (Career Shares)</w:t>
            </w:r>
            <w:r>
              <w:rPr>
                <w:rFonts w:ascii="Arial" w:cs="Arial" w:eastAsia="Arial" w:hAnsi="Arial"/>
                <w:sz w:val="10"/>
                <w:szCs w:val="10"/>
                <w:color w:val="auto"/>
              </w:rPr>
              <w:t>(5)</w:t>
            </w:r>
          </w:p>
        </w:tc>
        <w:tc>
          <w:tcPr>
            <w:tcW w:w="80" w:type="dxa"/>
            <w:vAlign w:val="bottom"/>
            <w:tcBorders>
              <w:bottom w:val="single" w:sz="8" w:color="FCE9E8"/>
            </w:tcBorders>
            <w:shd w:val="clear" w:color="auto" w:fill="FCE9E8"/>
          </w:tcPr>
          <w:p>
            <w:pPr>
              <w:spacing w:after="0"/>
              <w:rPr>
                <w:sz w:val="20"/>
                <w:szCs w:val="20"/>
                <w:color w:val="auto"/>
              </w:rPr>
            </w:pPr>
          </w:p>
        </w:tc>
        <w:tc>
          <w:tcPr>
            <w:tcW w:w="6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2"/>
                <w:szCs w:val="12"/>
                <w:color w:val="auto"/>
              </w:rPr>
              <w:t>11/14/2018</w:t>
            </w:r>
          </w:p>
        </w:tc>
        <w:tc>
          <w:tcPr>
            <w:tcW w:w="160" w:type="dxa"/>
            <w:vAlign w:val="bottom"/>
            <w:tcBorders>
              <w:bottom w:val="single" w:sz="8" w:color="FCE9E8"/>
            </w:tcBorders>
            <w:shd w:val="clear" w:color="auto" w:fill="FCE9E8"/>
          </w:tcPr>
          <w:p>
            <w:pPr>
              <w:spacing w:after="0"/>
              <w:rPr>
                <w:sz w:val="20"/>
                <w:szCs w:val="20"/>
                <w:color w:val="auto"/>
              </w:rPr>
            </w:pPr>
          </w:p>
        </w:tc>
        <w:tc>
          <w:tcPr>
            <w:tcW w:w="620" w:type="dxa"/>
            <w:vAlign w:val="bottom"/>
            <w:tcBorders>
              <w:bottom w:val="single" w:sz="8" w:color="FCE9E8"/>
            </w:tcBorders>
            <w:shd w:val="clear" w:color="auto" w:fill="FCE9E8"/>
          </w:tcPr>
          <w:p>
            <w:pPr>
              <w:spacing w:after="0"/>
              <w:rPr>
                <w:sz w:val="20"/>
                <w:szCs w:val="20"/>
                <w:color w:val="auto"/>
              </w:rPr>
            </w:pPr>
          </w:p>
        </w:tc>
        <w:tc>
          <w:tcPr>
            <w:tcW w:w="160" w:type="dxa"/>
            <w:vAlign w:val="bottom"/>
            <w:tcBorders>
              <w:bottom w:val="single" w:sz="8" w:color="FCE9E8"/>
            </w:tcBorders>
            <w:shd w:val="clear" w:color="auto" w:fill="FCE9E8"/>
          </w:tcPr>
          <w:p>
            <w:pPr>
              <w:spacing w:after="0"/>
              <w:rPr>
                <w:sz w:val="20"/>
                <w:szCs w:val="20"/>
                <w:color w:val="auto"/>
              </w:rPr>
            </w:pPr>
          </w:p>
        </w:tc>
        <w:tc>
          <w:tcPr>
            <w:tcW w:w="640" w:type="dxa"/>
            <w:vAlign w:val="bottom"/>
            <w:tcBorders>
              <w:bottom w:val="single" w:sz="8" w:color="FCE9E8"/>
            </w:tcBorders>
            <w:shd w:val="clear" w:color="auto" w:fill="FCE9E8"/>
          </w:tcPr>
          <w:p>
            <w:pPr>
              <w:spacing w:after="0"/>
              <w:rPr>
                <w:sz w:val="20"/>
                <w:szCs w:val="20"/>
                <w:color w:val="auto"/>
              </w:rPr>
            </w:pPr>
          </w:p>
        </w:tc>
        <w:tc>
          <w:tcPr>
            <w:tcW w:w="160" w:type="dxa"/>
            <w:vAlign w:val="bottom"/>
            <w:tcBorders>
              <w:bottom w:val="single" w:sz="8" w:color="FCE9E8"/>
            </w:tcBorders>
            <w:shd w:val="clear" w:color="auto" w:fill="FCE9E8"/>
          </w:tcPr>
          <w:p>
            <w:pPr>
              <w:spacing w:after="0"/>
              <w:rPr>
                <w:sz w:val="20"/>
                <w:szCs w:val="20"/>
                <w:color w:val="auto"/>
              </w:rPr>
            </w:pPr>
          </w:p>
        </w:tc>
        <w:tc>
          <w:tcPr>
            <w:tcW w:w="580" w:type="dxa"/>
            <w:vAlign w:val="bottom"/>
            <w:tcBorders>
              <w:bottom w:val="single" w:sz="8" w:color="FCE9E8"/>
            </w:tcBorders>
            <w:shd w:val="clear" w:color="auto" w:fill="FCE9E8"/>
          </w:tcPr>
          <w:p>
            <w:pPr>
              <w:spacing w:after="0"/>
              <w:rPr>
                <w:sz w:val="20"/>
                <w:szCs w:val="20"/>
                <w:color w:val="auto"/>
              </w:rPr>
            </w:pPr>
          </w:p>
        </w:tc>
        <w:tc>
          <w:tcPr>
            <w:tcW w:w="160" w:type="dxa"/>
            <w:vAlign w:val="bottom"/>
            <w:tcBorders>
              <w:bottom w:val="single" w:sz="8" w:color="FCE9E8"/>
            </w:tcBorders>
            <w:shd w:val="clear" w:color="auto" w:fill="FCE9E8"/>
          </w:tcPr>
          <w:p>
            <w:pPr>
              <w:spacing w:after="0"/>
              <w:rPr>
                <w:sz w:val="20"/>
                <w:szCs w:val="20"/>
                <w:color w:val="auto"/>
              </w:rPr>
            </w:pPr>
          </w:p>
        </w:tc>
        <w:tc>
          <w:tcPr>
            <w:tcW w:w="740" w:type="dxa"/>
            <w:vAlign w:val="bottom"/>
            <w:tcBorders>
              <w:bottom w:val="single" w:sz="8" w:color="FCE9E8"/>
            </w:tcBorders>
            <w:shd w:val="clear" w:color="auto" w:fill="FCE9E8"/>
          </w:tcPr>
          <w:p>
            <w:pPr>
              <w:spacing w:after="0"/>
              <w:rPr>
                <w:sz w:val="20"/>
                <w:szCs w:val="20"/>
                <w:color w:val="auto"/>
              </w:rPr>
            </w:pPr>
          </w:p>
        </w:tc>
        <w:tc>
          <w:tcPr>
            <w:tcW w:w="660" w:type="dxa"/>
            <w:vAlign w:val="bottom"/>
            <w:tcBorders>
              <w:bottom w:val="single" w:sz="8" w:color="FCE9E8"/>
            </w:tcBorders>
            <w:shd w:val="clear" w:color="auto" w:fill="FCE9E8"/>
          </w:tcPr>
          <w:p>
            <w:pPr>
              <w:spacing w:after="0"/>
              <w:rPr>
                <w:sz w:val="20"/>
                <w:szCs w:val="20"/>
                <w:color w:val="auto"/>
              </w:rPr>
            </w:pPr>
          </w:p>
        </w:tc>
        <w:tc>
          <w:tcPr>
            <w:tcW w:w="720" w:type="dxa"/>
            <w:vAlign w:val="bottom"/>
            <w:tcBorders>
              <w:bottom w:val="single" w:sz="8" w:color="FCE9E8"/>
            </w:tcBorders>
            <w:shd w:val="clear" w:color="auto" w:fill="FCE9E8"/>
          </w:tcPr>
          <w:p>
            <w:pPr>
              <w:spacing w:after="0"/>
              <w:rPr>
                <w:sz w:val="20"/>
                <w:szCs w:val="20"/>
                <w:color w:val="auto"/>
              </w:rPr>
            </w:pPr>
          </w:p>
        </w:tc>
        <w:tc>
          <w:tcPr>
            <w:tcW w:w="820" w:type="dxa"/>
            <w:vAlign w:val="bottom"/>
            <w:tcBorders>
              <w:bottom w:val="single" w:sz="8" w:color="FCE9E8"/>
            </w:tcBorders>
            <w:shd w:val="clear" w:color="auto" w:fill="FCE9E8"/>
          </w:tcPr>
          <w:p>
            <w:pPr>
              <w:jc w:val="right"/>
              <w:ind w:right="20"/>
              <w:spacing w:after="0"/>
              <w:rPr>
                <w:sz w:val="20"/>
                <w:szCs w:val="20"/>
                <w:color w:val="auto"/>
              </w:rPr>
            </w:pPr>
            <w:r>
              <w:rPr>
                <w:rFonts w:ascii="Arial" w:cs="Arial" w:eastAsia="Arial" w:hAnsi="Arial"/>
                <w:sz w:val="12"/>
                <w:szCs w:val="12"/>
                <w:color w:val="auto"/>
              </w:rPr>
              <w:t>3,611</w:t>
            </w:r>
          </w:p>
        </w:tc>
        <w:tc>
          <w:tcPr>
            <w:tcW w:w="1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FCE9E8"/>
            </w:tcBorders>
            <w:shd w:val="clear" w:color="auto" w:fill="FCE9E8"/>
          </w:tcPr>
          <w:p>
            <w:pPr>
              <w:jc w:val="right"/>
              <w:ind w:right="39"/>
              <w:spacing w:after="0"/>
              <w:rPr>
                <w:sz w:val="20"/>
                <w:szCs w:val="20"/>
                <w:color w:val="auto"/>
              </w:rPr>
            </w:pPr>
            <w:r>
              <w:rPr>
                <w:rFonts w:ascii="Arial" w:cs="Arial" w:eastAsia="Arial" w:hAnsi="Arial"/>
                <w:sz w:val="12"/>
                <w:szCs w:val="12"/>
                <w:color w:val="auto"/>
              </w:rPr>
              <w:t>499,907</w:t>
            </w:r>
          </w:p>
        </w:tc>
        <w:tc>
          <w:tcPr>
            <w:tcW w:w="0" w:type="dxa"/>
            <w:vAlign w:val="bottom"/>
          </w:tcPr>
          <w:p>
            <w:pPr>
              <w:spacing w:after="0"/>
              <w:rPr>
                <w:sz w:val="1"/>
                <w:szCs w:val="1"/>
                <w:color w:val="auto"/>
              </w:rPr>
            </w:pPr>
          </w:p>
        </w:tc>
      </w:tr>
      <w:tr>
        <w:trPr>
          <w:trHeight w:val="189"/>
        </w:trPr>
        <w:tc>
          <w:tcPr>
            <w:tcW w:w="202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Jeffrey H. Vanneste</w:t>
            </w:r>
          </w:p>
        </w:tc>
        <w:tc>
          <w:tcPr>
            <w:tcW w:w="14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Annual Incentive Award</w:t>
            </w: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2"/>
                <w:szCs w:val="12"/>
                <w:color w:val="auto"/>
              </w:rPr>
              <w:t>$ 372,488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744,975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1,489,950</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Performance Share Award</w:t>
            </w:r>
            <w:r>
              <w:rPr>
                <w:rFonts w:ascii="Arial" w:cs="Arial" w:eastAsia="Arial" w:hAnsi="Arial"/>
                <w:sz w:val="10"/>
                <w:szCs w:val="10"/>
                <w:color w:val="auto"/>
              </w:rPr>
              <w:t>(3)</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1/2/2018</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4,687</w:t>
            </w:r>
          </w:p>
        </w:tc>
        <w:tc>
          <w:tcPr>
            <w:tcW w:w="660" w:type="dxa"/>
            <w:vAlign w:val="bottom"/>
          </w:tcPr>
          <w:p>
            <w:pPr>
              <w:jc w:val="right"/>
              <w:ind w:right="39"/>
              <w:spacing w:after="0"/>
              <w:rPr>
                <w:sz w:val="20"/>
                <w:szCs w:val="20"/>
                <w:color w:val="auto"/>
              </w:rPr>
            </w:pPr>
            <w:r>
              <w:rPr>
                <w:rFonts w:ascii="Arial" w:cs="Arial" w:eastAsia="Arial" w:hAnsi="Arial"/>
                <w:sz w:val="12"/>
                <w:szCs w:val="12"/>
                <w:color w:val="auto"/>
              </w:rPr>
              <w:t>9,374</w:t>
            </w:r>
          </w:p>
        </w:tc>
        <w:tc>
          <w:tcPr>
            <w:tcW w:w="720" w:type="dxa"/>
            <w:vAlign w:val="bottom"/>
          </w:tcPr>
          <w:p>
            <w:pPr>
              <w:jc w:val="right"/>
              <w:spacing w:after="0"/>
              <w:rPr>
                <w:sz w:val="20"/>
                <w:szCs w:val="20"/>
                <w:color w:val="auto"/>
              </w:rPr>
            </w:pPr>
            <w:r>
              <w:rPr>
                <w:rFonts w:ascii="Arial" w:cs="Arial" w:eastAsia="Arial" w:hAnsi="Arial"/>
                <w:sz w:val="12"/>
                <w:szCs w:val="12"/>
                <w:color w:val="auto"/>
              </w:rPr>
              <w:t>18,748</w:t>
            </w:r>
          </w:p>
        </w:tc>
        <w:tc>
          <w:tcPr>
            <w:tcW w:w="8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auto"/>
              </w:rPr>
              <w:t>1,676,071</w:t>
            </w:r>
          </w:p>
        </w:tc>
        <w:tc>
          <w:tcPr>
            <w:tcW w:w="0" w:type="dxa"/>
            <w:vAlign w:val="bottom"/>
          </w:tcPr>
          <w:p>
            <w:pPr>
              <w:spacing w:after="0"/>
              <w:rPr>
                <w:sz w:val="1"/>
                <w:szCs w:val="1"/>
                <w:color w:val="auto"/>
              </w:rPr>
            </w:pPr>
          </w:p>
        </w:tc>
      </w:tr>
      <w:tr>
        <w:trPr>
          <w:trHeight w:val="186"/>
        </w:trPr>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10"/>
                <w:szCs w:val="10"/>
                <w:color w:val="auto"/>
              </w:rPr>
              <w:t>(4)</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1/2/2018</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3,124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auto"/>
              </w:rPr>
              <w:t>558,571</w:t>
            </w:r>
          </w:p>
        </w:tc>
        <w:tc>
          <w:tcPr>
            <w:tcW w:w="0" w:type="dxa"/>
            <w:vAlign w:val="bottom"/>
          </w:tcPr>
          <w:p>
            <w:pPr>
              <w:spacing w:after="0"/>
              <w:rPr>
                <w:sz w:val="1"/>
                <w:szCs w:val="1"/>
                <w:color w:val="auto"/>
              </w:rPr>
            </w:pPr>
          </w:p>
        </w:tc>
      </w:tr>
      <w:tr>
        <w:trPr>
          <w:trHeight w:val="186"/>
        </w:trPr>
        <w:tc>
          <w:tcPr>
            <w:tcW w:w="202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Arial" w:cs="Arial" w:eastAsia="Arial" w:hAnsi="Arial"/>
                <w:sz w:val="12"/>
                <w:szCs w:val="12"/>
                <w:color w:val="auto"/>
              </w:rPr>
              <w:t>RSU Award (Career Shares)</w:t>
            </w:r>
            <w:r>
              <w:rPr>
                <w:rFonts w:ascii="Arial" w:cs="Arial" w:eastAsia="Arial" w:hAnsi="Arial"/>
                <w:sz w:val="10"/>
                <w:szCs w:val="10"/>
                <w:color w:val="auto"/>
              </w:rPr>
              <w:t>(5)</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11/14/2018</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2,167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auto"/>
              </w:rPr>
              <w:t>299,999</w:t>
            </w:r>
          </w:p>
        </w:tc>
        <w:tc>
          <w:tcPr>
            <w:tcW w:w="0" w:type="dxa"/>
            <w:vAlign w:val="bottom"/>
          </w:tcPr>
          <w:p>
            <w:pPr>
              <w:spacing w:after="0"/>
              <w:rPr>
                <w:sz w:val="1"/>
                <w:szCs w:val="1"/>
                <w:color w:val="auto"/>
              </w:rPr>
            </w:pPr>
          </w:p>
        </w:tc>
      </w:tr>
      <w:tr>
        <w:trPr>
          <w:trHeight w:val="44"/>
        </w:trPr>
        <w:tc>
          <w:tcPr>
            <w:tcW w:w="2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FCE9E8"/>
          </w:tcPr>
          <w:p>
            <w:pPr>
              <w:ind w:left="60"/>
              <w:spacing w:after="0"/>
              <w:rPr>
                <w:sz w:val="20"/>
                <w:szCs w:val="20"/>
                <w:color w:val="auto"/>
              </w:rPr>
            </w:pPr>
            <w:r>
              <w:rPr>
                <w:rFonts w:ascii="Arial" w:cs="Arial" w:eastAsia="Arial" w:hAnsi="Arial"/>
                <w:sz w:val="12"/>
                <w:szCs w:val="12"/>
                <w:color w:val="auto"/>
              </w:rPr>
              <w:t>Terrence B. Larkin</w:t>
            </w:r>
          </w:p>
        </w:tc>
        <w:tc>
          <w:tcPr>
            <w:tcW w:w="140" w:type="dxa"/>
            <w:vAlign w:val="bottom"/>
            <w:shd w:val="clear" w:color="auto" w:fill="FCE9E8"/>
          </w:tcPr>
          <w:p>
            <w:pPr>
              <w:spacing w:after="0"/>
              <w:rPr>
                <w:sz w:val="16"/>
                <w:szCs w:val="16"/>
                <w:color w:val="auto"/>
              </w:rPr>
            </w:pPr>
          </w:p>
        </w:tc>
        <w:tc>
          <w:tcPr>
            <w:tcW w:w="17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Annual Incentive Award</w:t>
            </w:r>
          </w:p>
        </w:tc>
        <w:tc>
          <w:tcPr>
            <w:tcW w:w="80" w:type="dxa"/>
            <w:vAlign w:val="bottom"/>
            <w:shd w:val="clear" w:color="auto" w:fill="FCE9E8"/>
          </w:tcPr>
          <w:p>
            <w:pPr>
              <w:spacing w:after="0"/>
              <w:rPr>
                <w:sz w:val="16"/>
                <w:szCs w:val="16"/>
                <w:color w:val="auto"/>
              </w:rPr>
            </w:pPr>
          </w:p>
        </w:tc>
        <w:tc>
          <w:tcPr>
            <w:tcW w:w="6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shd w:val="clear" w:color="auto" w:fill="FCE9E8"/>
          </w:tcPr>
          <w:p>
            <w:pPr>
              <w:jc w:val="center"/>
              <w:spacing w:after="0"/>
              <w:rPr>
                <w:sz w:val="20"/>
                <w:szCs w:val="20"/>
                <w:color w:val="auto"/>
              </w:rPr>
            </w:pPr>
            <w:r>
              <w:rPr>
                <w:rFonts w:ascii="Arial" w:cs="Arial" w:eastAsia="Arial" w:hAnsi="Arial"/>
                <w:sz w:val="12"/>
                <w:szCs w:val="12"/>
                <w:color w:val="auto"/>
              </w:rPr>
              <w:t>$ 342,039</w:t>
            </w:r>
          </w:p>
        </w:tc>
        <w:tc>
          <w:tcPr>
            <w:tcW w:w="160" w:type="dxa"/>
            <w:vAlign w:val="bottom"/>
            <w:vMerge w:val="restart"/>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FCE9E8"/>
          </w:tcPr>
          <w:p>
            <w:pPr>
              <w:jc w:val="right"/>
              <w:ind w:right="19"/>
              <w:spacing w:after="0"/>
              <w:rPr>
                <w:sz w:val="20"/>
                <w:szCs w:val="20"/>
                <w:color w:val="auto"/>
              </w:rPr>
            </w:pPr>
            <w:r>
              <w:rPr>
                <w:rFonts w:ascii="Arial" w:cs="Arial" w:eastAsia="Arial" w:hAnsi="Arial"/>
                <w:sz w:val="12"/>
                <w:szCs w:val="12"/>
                <w:color w:val="auto"/>
              </w:rPr>
              <w:t>684,078</w:t>
            </w:r>
          </w:p>
        </w:tc>
        <w:tc>
          <w:tcPr>
            <w:tcW w:w="160" w:type="dxa"/>
            <w:vAlign w:val="bottom"/>
            <w:vMerge w:val="restart"/>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FCE9E8"/>
          </w:tcPr>
          <w:p>
            <w:pPr>
              <w:jc w:val="right"/>
              <w:spacing w:after="0"/>
              <w:rPr>
                <w:sz w:val="20"/>
                <w:szCs w:val="20"/>
                <w:color w:val="auto"/>
              </w:rPr>
            </w:pPr>
            <w:r>
              <w:rPr>
                <w:rFonts w:ascii="Arial" w:cs="Arial" w:eastAsia="Arial" w:hAnsi="Arial"/>
                <w:sz w:val="12"/>
                <w:szCs w:val="12"/>
                <w:color w:val="auto"/>
              </w:rPr>
              <w:t>1,368,157</w:t>
            </w:r>
          </w:p>
        </w:tc>
        <w:tc>
          <w:tcPr>
            <w:tcW w:w="160" w:type="dxa"/>
            <w:vAlign w:val="bottom"/>
            <w:shd w:val="clear" w:color="auto" w:fill="FCE9E8"/>
          </w:tcPr>
          <w:p>
            <w:pPr>
              <w:spacing w:after="0"/>
              <w:rPr>
                <w:sz w:val="16"/>
                <w:szCs w:val="16"/>
                <w:color w:val="auto"/>
              </w:rPr>
            </w:pPr>
          </w:p>
        </w:tc>
        <w:tc>
          <w:tcPr>
            <w:tcW w:w="740" w:type="dxa"/>
            <w:vAlign w:val="bottom"/>
            <w:shd w:val="clear" w:color="auto" w:fill="FCE9E8"/>
          </w:tcPr>
          <w:p>
            <w:pPr>
              <w:spacing w:after="0"/>
              <w:rPr>
                <w:sz w:val="16"/>
                <w:szCs w:val="16"/>
                <w:color w:val="auto"/>
              </w:rPr>
            </w:pPr>
          </w:p>
        </w:tc>
        <w:tc>
          <w:tcPr>
            <w:tcW w:w="66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820" w:type="dxa"/>
            <w:vAlign w:val="bottom"/>
            <w:shd w:val="clear" w:color="auto" w:fill="FCE9E8"/>
          </w:tcPr>
          <w:p>
            <w:pPr>
              <w:spacing w:after="0"/>
              <w:rPr>
                <w:sz w:val="16"/>
                <w:szCs w:val="16"/>
                <w:color w:val="auto"/>
              </w:rPr>
            </w:pPr>
          </w:p>
        </w:tc>
        <w:tc>
          <w:tcPr>
            <w:tcW w:w="180" w:type="dxa"/>
            <w:vAlign w:val="bottom"/>
            <w:shd w:val="clear" w:color="auto" w:fill="FCE9E8"/>
          </w:tcPr>
          <w:p>
            <w:pPr>
              <w:spacing w:after="0"/>
              <w:rPr>
                <w:sz w:val="16"/>
                <w:szCs w:val="16"/>
                <w:color w:val="auto"/>
              </w:rPr>
            </w:pPr>
          </w:p>
        </w:tc>
        <w:tc>
          <w:tcPr>
            <w:tcW w:w="66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020" w:type="dxa"/>
            <w:vAlign w:val="bottom"/>
            <w:shd w:val="clear" w:color="auto" w:fill="FCE9E8"/>
          </w:tcPr>
          <w:p>
            <w:pPr>
              <w:spacing w:after="0"/>
              <w:rPr>
                <w:sz w:val="3"/>
                <w:szCs w:val="3"/>
                <w:color w:val="auto"/>
              </w:rPr>
            </w:pPr>
          </w:p>
        </w:tc>
        <w:tc>
          <w:tcPr>
            <w:tcW w:w="140" w:type="dxa"/>
            <w:vAlign w:val="bottom"/>
            <w:shd w:val="clear" w:color="auto" w:fill="FCE9E8"/>
          </w:tcPr>
          <w:p>
            <w:pPr>
              <w:spacing w:after="0"/>
              <w:rPr>
                <w:sz w:val="3"/>
                <w:szCs w:val="3"/>
                <w:color w:val="auto"/>
              </w:rPr>
            </w:pPr>
          </w:p>
        </w:tc>
        <w:tc>
          <w:tcPr>
            <w:tcW w:w="1700" w:type="dxa"/>
            <w:vAlign w:val="bottom"/>
            <w:vMerge w:val="restart"/>
            <w:shd w:val="clear" w:color="auto" w:fill="FCE9E8"/>
          </w:tcPr>
          <w:p>
            <w:pPr>
              <w:jc w:val="right"/>
              <w:spacing w:after="0"/>
              <w:rPr>
                <w:sz w:val="20"/>
                <w:szCs w:val="20"/>
                <w:color w:val="auto"/>
              </w:rPr>
            </w:pPr>
            <w:r>
              <w:rPr>
                <w:rFonts w:ascii="Arial" w:cs="Arial" w:eastAsia="Arial" w:hAnsi="Arial"/>
                <w:sz w:val="12"/>
                <w:szCs w:val="12"/>
                <w:color w:val="auto"/>
              </w:rPr>
              <w:t>Performance Share Award</w:t>
            </w:r>
            <w:r>
              <w:rPr>
                <w:rFonts w:ascii="Arial" w:cs="Arial" w:eastAsia="Arial" w:hAnsi="Arial"/>
                <w:sz w:val="10"/>
                <w:szCs w:val="10"/>
                <w:color w:val="auto"/>
              </w:rPr>
              <w:t>(3)</w:t>
            </w:r>
          </w:p>
        </w:tc>
        <w:tc>
          <w:tcPr>
            <w:tcW w:w="760" w:type="dxa"/>
            <w:vAlign w:val="bottom"/>
            <w:gridSpan w:val="2"/>
            <w:vMerge w:val="restart"/>
            <w:shd w:val="clear" w:color="auto" w:fill="FCE9E8"/>
          </w:tcPr>
          <w:p>
            <w:pPr>
              <w:jc w:val="right"/>
              <w:spacing w:after="0"/>
              <w:rPr>
                <w:sz w:val="20"/>
                <w:szCs w:val="20"/>
                <w:color w:val="auto"/>
              </w:rPr>
            </w:pPr>
            <w:r>
              <w:rPr>
                <w:rFonts w:ascii="Arial" w:cs="Arial" w:eastAsia="Arial" w:hAnsi="Arial"/>
                <w:sz w:val="12"/>
                <w:szCs w:val="12"/>
                <w:color w:val="auto"/>
              </w:rPr>
              <w:t>1/2/2018</w:t>
            </w:r>
          </w:p>
        </w:tc>
        <w:tc>
          <w:tcPr>
            <w:tcW w:w="780" w:type="dxa"/>
            <w:vAlign w:val="bottom"/>
            <w:gridSpan w:val="2"/>
            <w:vMerge w:val="continue"/>
            <w:shd w:val="clear" w:color="auto" w:fill="FCE9E8"/>
          </w:tcPr>
          <w:p>
            <w:pPr>
              <w:spacing w:after="0"/>
              <w:rPr>
                <w:sz w:val="3"/>
                <w:szCs w:val="3"/>
                <w:color w:val="auto"/>
              </w:rPr>
            </w:pPr>
          </w:p>
        </w:tc>
        <w:tc>
          <w:tcPr>
            <w:tcW w:w="160" w:type="dxa"/>
            <w:vAlign w:val="bottom"/>
            <w:vMerge w:val="continue"/>
            <w:shd w:val="clear" w:color="auto" w:fill="FCE9E8"/>
          </w:tcPr>
          <w:p>
            <w:pPr>
              <w:spacing w:after="0"/>
              <w:rPr>
                <w:sz w:val="3"/>
                <w:szCs w:val="3"/>
                <w:color w:val="auto"/>
              </w:rPr>
            </w:pPr>
          </w:p>
        </w:tc>
        <w:tc>
          <w:tcPr>
            <w:tcW w:w="640" w:type="dxa"/>
            <w:vAlign w:val="bottom"/>
            <w:vMerge w:val="continue"/>
            <w:shd w:val="clear" w:color="auto" w:fill="FCE9E8"/>
          </w:tcPr>
          <w:p>
            <w:pPr>
              <w:spacing w:after="0"/>
              <w:rPr>
                <w:sz w:val="3"/>
                <w:szCs w:val="3"/>
                <w:color w:val="auto"/>
              </w:rPr>
            </w:pPr>
          </w:p>
        </w:tc>
        <w:tc>
          <w:tcPr>
            <w:tcW w:w="160" w:type="dxa"/>
            <w:vAlign w:val="bottom"/>
            <w:vMerge w:val="continue"/>
            <w:shd w:val="clear" w:color="auto" w:fill="FCE9E8"/>
          </w:tcPr>
          <w:p>
            <w:pPr>
              <w:spacing w:after="0"/>
              <w:rPr>
                <w:sz w:val="3"/>
                <w:szCs w:val="3"/>
                <w:color w:val="auto"/>
              </w:rPr>
            </w:pPr>
          </w:p>
        </w:tc>
        <w:tc>
          <w:tcPr>
            <w:tcW w:w="580" w:type="dxa"/>
            <w:vAlign w:val="bottom"/>
            <w:vMerge w:val="continue"/>
            <w:shd w:val="clear" w:color="auto" w:fill="FCE9E8"/>
          </w:tcPr>
          <w:p>
            <w:pPr>
              <w:spacing w:after="0"/>
              <w:rPr>
                <w:sz w:val="3"/>
                <w:szCs w:val="3"/>
                <w:color w:val="auto"/>
              </w:rPr>
            </w:pPr>
          </w:p>
        </w:tc>
        <w:tc>
          <w:tcPr>
            <w:tcW w:w="160" w:type="dxa"/>
            <w:vAlign w:val="bottom"/>
            <w:shd w:val="clear" w:color="auto" w:fill="FCE9E8"/>
          </w:tcPr>
          <w:p>
            <w:pPr>
              <w:spacing w:after="0"/>
              <w:rPr>
                <w:sz w:val="3"/>
                <w:szCs w:val="3"/>
                <w:color w:val="auto"/>
              </w:rPr>
            </w:pPr>
          </w:p>
        </w:tc>
        <w:tc>
          <w:tcPr>
            <w:tcW w:w="740" w:type="dxa"/>
            <w:vAlign w:val="bottom"/>
            <w:shd w:val="clear" w:color="auto" w:fill="FCE9E8"/>
          </w:tcPr>
          <w:p>
            <w:pPr>
              <w:spacing w:after="0"/>
              <w:rPr>
                <w:sz w:val="3"/>
                <w:szCs w:val="3"/>
                <w:color w:val="auto"/>
              </w:rPr>
            </w:pPr>
          </w:p>
        </w:tc>
        <w:tc>
          <w:tcPr>
            <w:tcW w:w="660" w:type="dxa"/>
            <w:vAlign w:val="bottom"/>
            <w:shd w:val="clear" w:color="auto" w:fill="FCE9E8"/>
          </w:tcPr>
          <w:p>
            <w:pPr>
              <w:spacing w:after="0"/>
              <w:rPr>
                <w:sz w:val="3"/>
                <w:szCs w:val="3"/>
                <w:color w:val="auto"/>
              </w:rPr>
            </w:pPr>
          </w:p>
        </w:tc>
        <w:tc>
          <w:tcPr>
            <w:tcW w:w="720" w:type="dxa"/>
            <w:vAlign w:val="bottom"/>
            <w:shd w:val="clear" w:color="auto" w:fill="FCE9E8"/>
          </w:tcPr>
          <w:p>
            <w:pPr>
              <w:spacing w:after="0"/>
              <w:rPr>
                <w:sz w:val="3"/>
                <w:szCs w:val="3"/>
                <w:color w:val="auto"/>
              </w:rPr>
            </w:pPr>
          </w:p>
        </w:tc>
        <w:tc>
          <w:tcPr>
            <w:tcW w:w="820" w:type="dxa"/>
            <w:vAlign w:val="bottom"/>
            <w:shd w:val="clear" w:color="auto" w:fill="FCE9E8"/>
          </w:tcPr>
          <w:p>
            <w:pPr>
              <w:spacing w:after="0"/>
              <w:rPr>
                <w:sz w:val="3"/>
                <w:szCs w:val="3"/>
                <w:color w:val="auto"/>
              </w:rPr>
            </w:pPr>
          </w:p>
        </w:tc>
        <w:tc>
          <w:tcPr>
            <w:tcW w:w="180" w:type="dxa"/>
            <w:vAlign w:val="bottom"/>
            <w:vMerge w:val="restart"/>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FCE9E8"/>
          </w:tcPr>
          <w:p>
            <w:pPr>
              <w:jc w:val="right"/>
              <w:ind w:right="39"/>
              <w:spacing w:after="0"/>
              <w:rPr>
                <w:sz w:val="20"/>
                <w:szCs w:val="20"/>
                <w:color w:val="auto"/>
              </w:rPr>
            </w:pPr>
            <w:r>
              <w:rPr>
                <w:rFonts w:ascii="Arial" w:cs="Arial" w:eastAsia="Arial" w:hAnsi="Arial"/>
                <w:sz w:val="12"/>
                <w:szCs w:val="12"/>
                <w:color w:val="auto"/>
              </w:rPr>
              <w:t>1,827,694</w:t>
            </w:r>
          </w:p>
        </w:tc>
        <w:tc>
          <w:tcPr>
            <w:tcW w:w="0" w:type="dxa"/>
            <w:vAlign w:val="bottom"/>
          </w:tcPr>
          <w:p>
            <w:pPr>
              <w:spacing w:after="0"/>
              <w:rPr>
                <w:sz w:val="1"/>
                <w:szCs w:val="1"/>
                <w:color w:val="auto"/>
              </w:rPr>
            </w:pPr>
          </w:p>
        </w:tc>
      </w:tr>
      <w:tr>
        <w:trPr>
          <w:trHeight w:val="143"/>
        </w:trPr>
        <w:tc>
          <w:tcPr>
            <w:tcW w:w="2020" w:type="dxa"/>
            <w:vAlign w:val="bottom"/>
            <w:shd w:val="clear" w:color="auto" w:fill="FCE9E8"/>
          </w:tcPr>
          <w:p>
            <w:pPr>
              <w:spacing w:after="0"/>
              <w:rPr>
                <w:sz w:val="12"/>
                <w:szCs w:val="12"/>
                <w:color w:val="auto"/>
              </w:rPr>
            </w:pPr>
          </w:p>
        </w:tc>
        <w:tc>
          <w:tcPr>
            <w:tcW w:w="140" w:type="dxa"/>
            <w:vAlign w:val="bottom"/>
            <w:shd w:val="clear" w:color="auto" w:fill="FCE9E8"/>
          </w:tcPr>
          <w:p>
            <w:pPr>
              <w:spacing w:after="0"/>
              <w:rPr>
                <w:sz w:val="12"/>
                <w:szCs w:val="12"/>
                <w:color w:val="auto"/>
              </w:rPr>
            </w:pPr>
          </w:p>
        </w:tc>
        <w:tc>
          <w:tcPr>
            <w:tcW w:w="1700" w:type="dxa"/>
            <w:vAlign w:val="bottom"/>
            <w:vMerge w:val="continue"/>
            <w:shd w:val="clear" w:color="auto" w:fill="FCE9E8"/>
          </w:tcPr>
          <w:p>
            <w:pPr>
              <w:spacing w:after="0"/>
              <w:rPr>
                <w:sz w:val="12"/>
                <w:szCs w:val="12"/>
                <w:color w:val="auto"/>
              </w:rPr>
            </w:pPr>
          </w:p>
        </w:tc>
        <w:tc>
          <w:tcPr>
            <w:tcW w:w="760" w:type="dxa"/>
            <w:vAlign w:val="bottom"/>
            <w:gridSpan w:val="2"/>
            <w:vMerge w:val="continue"/>
            <w:shd w:val="clear" w:color="auto" w:fill="FCE9E8"/>
          </w:tcPr>
          <w:p>
            <w:pPr>
              <w:spacing w:after="0"/>
              <w:rPr>
                <w:sz w:val="12"/>
                <w:szCs w:val="12"/>
                <w:color w:val="auto"/>
              </w:rPr>
            </w:pPr>
          </w:p>
        </w:tc>
        <w:tc>
          <w:tcPr>
            <w:tcW w:w="160" w:type="dxa"/>
            <w:vAlign w:val="bottom"/>
            <w:shd w:val="clear" w:color="auto" w:fill="FCE9E8"/>
          </w:tcPr>
          <w:p>
            <w:pPr>
              <w:spacing w:after="0"/>
              <w:rPr>
                <w:sz w:val="12"/>
                <w:szCs w:val="12"/>
                <w:color w:val="auto"/>
              </w:rPr>
            </w:pPr>
          </w:p>
        </w:tc>
        <w:tc>
          <w:tcPr>
            <w:tcW w:w="620" w:type="dxa"/>
            <w:vAlign w:val="bottom"/>
            <w:shd w:val="clear" w:color="auto" w:fill="FCE9E8"/>
          </w:tcPr>
          <w:p>
            <w:pPr>
              <w:spacing w:after="0"/>
              <w:rPr>
                <w:sz w:val="12"/>
                <w:szCs w:val="12"/>
                <w:color w:val="auto"/>
              </w:rPr>
            </w:pPr>
          </w:p>
        </w:tc>
        <w:tc>
          <w:tcPr>
            <w:tcW w:w="160" w:type="dxa"/>
            <w:vAlign w:val="bottom"/>
            <w:shd w:val="clear" w:color="auto" w:fill="FCE9E8"/>
          </w:tcPr>
          <w:p>
            <w:pPr>
              <w:spacing w:after="0"/>
              <w:rPr>
                <w:sz w:val="12"/>
                <w:szCs w:val="12"/>
                <w:color w:val="auto"/>
              </w:rPr>
            </w:pPr>
          </w:p>
        </w:tc>
        <w:tc>
          <w:tcPr>
            <w:tcW w:w="640" w:type="dxa"/>
            <w:vAlign w:val="bottom"/>
            <w:shd w:val="clear" w:color="auto" w:fill="FCE9E8"/>
          </w:tcPr>
          <w:p>
            <w:pPr>
              <w:spacing w:after="0"/>
              <w:rPr>
                <w:sz w:val="12"/>
                <w:szCs w:val="12"/>
                <w:color w:val="auto"/>
              </w:rPr>
            </w:pPr>
          </w:p>
        </w:tc>
        <w:tc>
          <w:tcPr>
            <w:tcW w:w="160" w:type="dxa"/>
            <w:vAlign w:val="bottom"/>
            <w:shd w:val="clear" w:color="auto" w:fill="FCE9E8"/>
          </w:tcPr>
          <w:p>
            <w:pPr>
              <w:spacing w:after="0"/>
              <w:rPr>
                <w:sz w:val="12"/>
                <w:szCs w:val="12"/>
                <w:color w:val="auto"/>
              </w:rPr>
            </w:pPr>
          </w:p>
        </w:tc>
        <w:tc>
          <w:tcPr>
            <w:tcW w:w="580" w:type="dxa"/>
            <w:vAlign w:val="bottom"/>
            <w:shd w:val="clear" w:color="auto" w:fill="FCE9E8"/>
          </w:tcPr>
          <w:p>
            <w:pPr>
              <w:spacing w:after="0"/>
              <w:rPr>
                <w:sz w:val="12"/>
                <w:szCs w:val="12"/>
                <w:color w:val="auto"/>
              </w:rPr>
            </w:pPr>
          </w:p>
        </w:tc>
        <w:tc>
          <w:tcPr>
            <w:tcW w:w="160" w:type="dxa"/>
            <w:vAlign w:val="bottom"/>
            <w:shd w:val="clear" w:color="auto" w:fill="FCE9E8"/>
          </w:tcPr>
          <w:p>
            <w:pPr>
              <w:spacing w:after="0"/>
              <w:rPr>
                <w:sz w:val="12"/>
                <w:szCs w:val="12"/>
                <w:color w:val="auto"/>
              </w:rPr>
            </w:pPr>
          </w:p>
        </w:tc>
        <w:tc>
          <w:tcPr>
            <w:tcW w:w="740" w:type="dxa"/>
            <w:vAlign w:val="bottom"/>
            <w:vMerge w:val="restart"/>
            <w:shd w:val="clear" w:color="auto" w:fill="FCE9E8"/>
          </w:tcPr>
          <w:p>
            <w:pPr>
              <w:jc w:val="right"/>
              <w:ind w:right="59"/>
              <w:spacing w:after="0"/>
              <w:rPr>
                <w:sz w:val="20"/>
                <w:szCs w:val="20"/>
                <w:color w:val="auto"/>
              </w:rPr>
            </w:pPr>
            <w:r>
              <w:rPr>
                <w:rFonts w:ascii="Arial" w:cs="Arial" w:eastAsia="Arial" w:hAnsi="Arial"/>
                <w:sz w:val="12"/>
                <w:szCs w:val="12"/>
                <w:color w:val="auto"/>
              </w:rPr>
              <w:t>5,111</w:t>
            </w:r>
          </w:p>
        </w:tc>
        <w:tc>
          <w:tcPr>
            <w:tcW w:w="660" w:type="dxa"/>
            <w:vAlign w:val="bottom"/>
            <w:vMerge w:val="restart"/>
            <w:shd w:val="clear" w:color="auto" w:fill="FCE9E8"/>
          </w:tcPr>
          <w:p>
            <w:pPr>
              <w:jc w:val="right"/>
              <w:ind w:right="39"/>
              <w:spacing w:after="0"/>
              <w:rPr>
                <w:sz w:val="20"/>
                <w:szCs w:val="20"/>
                <w:color w:val="auto"/>
              </w:rPr>
            </w:pPr>
            <w:r>
              <w:rPr>
                <w:rFonts w:ascii="Arial" w:cs="Arial" w:eastAsia="Arial" w:hAnsi="Arial"/>
                <w:sz w:val="12"/>
                <w:szCs w:val="12"/>
                <w:color w:val="auto"/>
              </w:rPr>
              <w:t>10,222</w:t>
            </w:r>
          </w:p>
        </w:tc>
        <w:tc>
          <w:tcPr>
            <w:tcW w:w="720" w:type="dxa"/>
            <w:vAlign w:val="bottom"/>
            <w:vMerge w:val="restart"/>
            <w:shd w:val="clear" w:color="auto" w:fill="FCE9E8"/>
          </w:tcPr>
          <w:p>
            <w:pPr>
              <w:jc w:val="right"/>
              <w:spacing w:after="0"/>
              <w:rPr>
                <w:sz w:val="20"/>
                <w:szCs w:val="20"/>
                <w:color w:val="auto"/>
              </w:rPr>
            </w:pPr>
            <w:r>
              <w:rPr>
                <w:rFonts w:ascii="Arial" w:cs="Arial" w:eastAsia="Arial" w:hAnsi="Arial"/>
                <w:sz w:val="12"/>
                <w:szCs w:val="12"/>
                <w:color w:val="auto"/>
              </w:rPr>
              <w:t>20,444</w:t>
            </w:r>
          </w:p>
        </w:tc>
        <w:tc>
          <w:tcPr>
            <w:tcW w:w="820" w:type="dxa"/>
            <w:vAlign w:val="bottom"/>
            <w:shd w:val="clear" w:color="auto" w:fill="FCE9E8"/>
          </w:tcPr>
          <w:p>
            <w:pPr>
              <w:spacing w:after="0"/>
              <w:rPr>
                <w:sz w:val="12"/>
                <w:szCs w:val="12"/>
                <w:color w:val="auto"/>
              </w:rPr>
            </w:pPr>
          </w:p>
        </w:tc>
        <w:tc>
          <w:tcPr>
            <w:tcW w:w="180" w:type="dxa"/>
            <w:vAlign w:val="bottom"/>
            <w:vMerge w:val="continue"/>
            <w:shd w:val="clear" w:color="auto" w:fill="FCE9E8"/>
          </w:tcPr>
          <w:p>
            <w:pPr>
              <w:spacing w:after="0"/>
              <w:rPr>
                <w:sz w:val="12"/>
                <w:szCs w:val="12"/>
                <w:color w:val="auto"/>
              </w:rPr>
            </w:pPr>
          </w:p>
        </w:tc>
        <w:tc>
          <w:tcPr>
            <w:tcW w:w="660" w:type="dxa"/>
            <w:vAlign w:val="bottom"/>
            <w:vMerge w:val="continue"/>
            <w:shd w:val="clear" w:color="auto" w:fill="FCE9E8"/>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020" w:type="dxa"/>
            <w:vAlign w:val="bottom"/>
            <w:shd w:val="clear" w:color="auto" w:fill="FCE9E8"/>
          </w:tcPr>
          <w:p>
            <w:pPr>
              <w:spacing w:after="0"/>
              <w:rPr>
                <w:sz w:val="3"/>
                <w:szCs w:val="3"/>
                <w:color w:val="auto"/>
              </w:rPr>
            </w:pPr>
          </w:p>
        </w:tc>
        <w:tc>
          <w:tcPr>
            <w:tcW w:w="140" w:type="dxa"/>
            <w:vAlign w:val="bottom"/>
            <w:shd w:val="clear" w:color="auto" w:fill="FCE9E8"/>
          </w:tcPr>
          <w:p>
            <w:pPr>
              <w:spacing w:after="0"/>
              <w:rPr>
                <w:sz w:val="3"/>
                <w:szCs w:val="3"/>
                <w:color w:val="auto"/>
              </w:rPr>
            </w:pPr>
          </w:p>
        </w:tc>
        <w:tc>
          <w:tcPr>
            <w:tcW w:w="1700" w:type="dxa"/>
            <w:vAlign w:val="bottom"/>
            <w:vMerge w:val="restart"/>
            <w:shd w:val="clear" w:color="auto" w:fill="FCE9E8"/>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10"/>
                <w:szCs w:val="10"/>
                <w:color w:val="auto"/>
              </w:rPr>
              <w:t>(4)</w:t>
            </w:r>
          </w:p>
        </w:tc>
        <w:tc>
          <w:tcPr>
            <w:tcW w:w="760" w:type="dxa"/>
            <w:vAlign w:val="bottom"/>
            <w:gridSpan w:val="2"/>
            <w:vMerge w:val="restart"/>
            <w:shd w:val="clear" w:color="auto" w:fill="FCE9E8"/>
          </w:tcPr>
          <w:p>
            <w:pPr>
              <w:jc w:val="right"/>
              <w:spacing w:after="0"/>
              <w:rPr>
                <w:sz w:val="20"/>
                <w:szCs w:val="20"/>
                <w:color w:val="auto"/>
              </w:rPr>
            </w:pPr>
            <w:r>
              <w:rPr>
                <w:rFonts w:ascii="Arial" w:cs="Arial" w:eastAsia="Arial" w:hAnsi="Arial"/>
                <w:sz w:val="12"/>
                <w:szCs w:val="12"/>
                <w:color w:val="auto"/>
              </w:rPr>
              <w:t>1/2/2018</w:t>
            </w:r>
          </w:p>
        </w:tc>
        <w:tc>
          <w:tcPr>
            <w:tcW w:w="160" w:type="dxa"/>
            <w:vAlign w:val="bottom"/>
            <w:shd w:val="clear" w:color="auto" w:fill="FCE9E8"/>
          </w:tcPr>
          <w:p>
            <w:pPr>
              <w:spacing w:after="0"/>
              <w:rPr>
                <w:sz w:val="3"/>
                <w:szCs w:val="3"/>
                <w:color w:val="auto"/>
              </w:rPr>
            </w:pPr>
          </w:p>
        </w:tc>
        <w:tc>
          <w:tcPr>
            <w:tcW w:w="620" w:type="dxa"/>
            <w:vAlign w:val="bottom"/>
            <w:shd w:val="clear" w:color="auto" w:fill="FCE9E8"/>
          </w:tcPr>
          <w:p>
            <w:pPr>
              <w:spacing w:after="0"/>
              <w:rPr>
                <w:sz w:val="3"/>
                <w:szCs w:val="3"/>
                <w:color w:val="auto"/>
              </w:rPr>
            </w:pPr>
          </w:p>
        </w:tc>
        <w:tc>
          <w:tcPr>
            <w:tcW w:w="160" w:type="dxa"/>
            <w:vAlign w:val="bottom"/>
            <w:shd w:val="clear" w:color="auto" w:fill="FCE9E8"/>
          </w:tcPr>
          <w:p>
            <w:pPr>
              <w:spacing w:after="0"/>
              <w:rPr>
                <w:sz w:val="3"/>
                <w:szCs w:val="3"/>
                <w:color w:val="auto"/>
              </w:rPr>
            </w:pPr>
          </w:p>
        </w:tc>
        <w:tc>
          <w:tcPr>
            <w:tcW w:w="640" w:type="dxa"/>
            <w:vAlign w:val="bottom"/>
            <w:shd w:val="clear" w:color="auto" w:fill="FCE9E8"/>
          </w:tcPr>
          <w:p>
            <w:pPr>
              <w:spacing w:after="0"/>
              <w:rPr>
                <w:sz w:val="3"/>
                <w:szCs w:val="3"/>
                <w:color w:val="auto"/>
              </w:rPr>
            </w:pPr>
          </w:p>
        </w:tc>
        <w:tc>
          <w:tcPr>
            <w:tcW w:w="160" w:type="dxa"/>
            <w:vAlign w:val="bottom"/>
            <w:shd w:val="clear" w:color="auto" w:fill="FCE9E8"/>
          </w:tcPr>
          <w:p>
            <w:pPr>
              <w:spacing w:after="0"/>
              <w:rPr>
                <w:sz w:val="3"/>
                <w:szCs w:val="3"/>
                <w:color w:val="auto"/>
              </w:rPr>
            </w:pPr>
          </w:p>
        </w:tc>
        <w:tc>
          <w:tcPr>
            <w:tcW w:w="580" w:type="dxa"/>
            <w:vAlign w:val="bottom"/>
            <w:shd w:val="clear" w:color="auto" w:fill="FCE9E8"/>
          </w:tcPr>
          <w:p>
            <w:pPr>
              <w:spacing w:after="0"/>
              <w:rPr>
                <w:sz w:val="3"/>
                <w:szCs w:val="3"/>
                <w:color w:val="auto"/>
              </w:rPr>
            </w:pPr>
          </w:p>
        </w:tc>
        <w:tc>
          <w:tcPr>
            <w:tcW w:w="160" w:type="dxa"/>
            <w:vAlign w:val="bottom"/>
            <w:shd w:val="clear" w:color="auto" w:fill="FCE9E8"/>
          </w:tcPr>
          <w:p>
            <w:pPr>
              <w:spacing w:after="0"/>
              <w:rPr>
                <w:sz w:val="3"/>
                <w:szCs w:val="3"/>
                <w:color w:val="auto"/>
              </w:rPr>
            </w:pPr>
          </w:p>
        </w:tc>
        <w:tc>
          <w:tcPr>
            <w:tcW w:w="740" w:type="dxa"/>
            <w:vAlign w:val="bottom"/>
            <w:vMerge w:val="continue"/>
            <w:shd w:val="clear" w:color="auto" w:fill="FCE9E8"/>
          </w:tcPr>
          <w:p>
            <w:pPr>
              <w:spacing w:after="0"/>
              <w:rPr>
                <w:sz w:val="3"/>
                <w:szCs w:val="3"/>
                <w:color w:val="auto"/>
              </w:rPr>
            </w:pPr>
          </w:p>
        </w:tc>
        <w:tc>
          <w:tcPr>
            <w:tcW w:w="660" w:type="dxa"/>
            <w:vAlign w:val="bottom"/>
            <w:vMerge w:val="continue"/>
            <w:shd w:val="clear" w:color="auto" w:fill="FCE9E8"/>
          </w:tcPr>
          <w:p>
            <w:pPr>
              <w:spacing w:after="0"/>
              <w:rPr>
                <w:sz w:val="3"/>
                <w:szCs w:val="3"/>
                <w:color w:val="auto"/>
              </w:rPr>
            </w:pPr>
          </w:p>
        </w:tc>
        <w:tc>
          <w:tcPr>
            <w:tcW w:w="720" w:type="dxa"/>
            <w:vAlign w:val="bottom"/>
            <w:vMerge w:val="continue"/>
            <w:shd w:val="clear" w:color="auto" w:fill="FCE9E8"/>
          </w:tcPr>
          <w:p>
            <w:pPr>
              <w:spacing w:after="0"/>
              <w:rPr>
                <w:sz w:val="3"/>
                <w:szCs w:val="3"/>
                <w:color w:val="auto"/>
              </w:rPr>
            </w:pPr>
          </w:p>
        </w:tc>
        <w:tc>
          <w:tcPr>
            <w:tcW w:w="820" w:type="dxa"/>
            <w:vAlign w:val="bottom"/>
            <w:shd w:val="clear" w:color="auto" w:fill="FCE9E8"/>
          </w:tcPr>
          <w:p>
            <w:pPr>
              <w:spacing w:after="0"/>
              <w:rPr>
                <w:sz w:val="3"/>
                <w:szCs w:val="3"/>
                <w:color w:val="auto"/>
              </w:rPr>
            </w:pPr>
          </w:p>
        </w:tc>
        <w:tc>
          <w:tcPr>
            <w:tcW w:w="180" w:type="dxa"/>
            <w:vAlign w:val="bottom"/>
            <w:vMerge w:val="restart"/>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FCE9E8"/>
          </w:tcPr>
          <w:p>
            <w:pPr>
              <w:jc w:val="right"/>
              <w:ind w:right="39"/>
              <w:spacing w:after="0"/>
              <w:rPr>
                <w:sz w:val="20"/>
                <w:szCs w:val="20"/>
                <w:color w:val="auto"/>
              </w:rPr>
            </w:pPr>
            <w:r>
              <w:rPr>
                <w:rFonts w:ascii="Arial" w:cs="Arial" w:eastAsia="Arial" w:hAnsi="Arial"/>
                <w:sz w:val="12"/>
                <w:szCs w:val="12"/>
                <w:color w:val="auto"/>
              </w:rPr>
              <w:t>609,172</w:t>
            </w:r>
          </w:p>
        </w:tc>
        <w:tc>
          <w:tcPr>
            <w:tcW w:w="0" w:type="dxa"/>
            <w:vAlign w:val="bottom"/>
          </w:tcPr>
          <w:p>
            <w:pPr>
              <w:spacing w:after="0"/>
              <w:rPr>
                <w:sz w:val="1"/>
                <w:szCs w:val="1"/>
                <w:color w:val="auto"/>
              </w:rPr>
            </w:pPr>
          </w:p>
        </w:tc>
      </w:tr>
      <w:tr>
        <w:trPr>
          <w:trHeight w:val="186"/>
        </w:trPr>
        <w:tc>
          <w:tcPr>
            <w:tcW w:w="2020" w:type="dxa"/>
            <w:vAlign w:val="bottom"/>
            <w:tcBorders>
              <w:bottom w:val="single" w:sz="8" w:color="FCE9E8"/>
            </w:tcBorders>
            <w:shd w:val="clear" w:color="auto" w:fill="FCE9E8"/>
          </w:tcPr>
          <w:p>
            <w:pPr>
              <w:spacing w:after="0"/>
              <w:rPr>
                <w:sz w:val="16"/>
                <w:szCs w:val="16"/>
                <w:color w:val="auto"/>
              </w:rPr>
            </w:pPr>
          </w:p>
        </w:tc>
        <w:tc>
          <w:tcPr>
            <w:tcW w:w="140" w:type="dxa"/>
            <w:vAlign w:val="bottom"/>
            <w:tcBorders>
              <w:bottom w:val="single" w:sz="8" w:color="FCE9E8"/>
            </w:tcBorders>
            <w:shd w:val="clear" w:color="auto" w:fill="FCE9E8"/>
          </w:tcPr>
          <w:p>
            <w:pPr>
              <w:spacing w:after="0"/>
              <w:rPr>
                <w:sz w:val="16"/>
                <w:szCs w:val="16"/>
                <w:color w:val="auto"/>
              </w:rPr>
            </w:pPr>
          </w:p>
        </w:tc>
        <w:tc>
          <w:tcPr>
            <w:tcW w:w="1700" w:type="dxa"/>
            <w:vAlign w:val="bottom"/>
            <w:tcBorders>
              <w:bottom w:val="single" w:sz="8" w:color="FCE9E8"/>
            </w:tcBorders>
            <w:vMerge w:val="continue"/>
            <w:shd w:val="clear" w:color="auto" w:fill="FCE9E8"/>
          </w:tcPr>
          <w:p>
            <w:pPr>
              <w:spacing w:after="0"/>
              <w:rPr>
                <w:sz w:val="16"/>
                <w:szCs w:val="16"/>
                <w:color w:val="auto"/>
              </w:rPr>
            </w:pPr>
          </w:p>
        </w:tc>
        <w:tc>
          <w:tcPr>
            <w:tcW w:w="760" w:type="dxa"/>
            <w:vAlign w:val="bottom"/>
            <w:tcBorders>
              <w:bottom w:val="single" w:sz="8" w:color="FCE9E8"/>
            </w:tcBorders>
            <w:gridSpan w:val="2"/>
            <w:vMerge w:val="continue"/>
            <w:shd w:val="clear" w:color="auto" w:fill="FCE9E8"/>
          </w:tcPr>
          <w:p>
            <w:pPr>
              <w:spacing w:after="0"/>
              <w:rPr>
                <w:sz w:val="16"/>
                <w:szCs w:val="16"/>
                <w:color w:val="auto"/>
              </w:rPr>
            </w:pPr>
          </w:p>
        </w:tc>
        <w:tc>
          <w:tcPr>
            <w:tcW w:w="160" w:type="dxa"/>
            <w:vAlign w:val="bottom"/>
            <w:tcBorders>
              <w:bottom w:val="single" w:sz="8" w:color="FCE9E8"/>
            </w:tcBorders>
            <w:shd w:val="clear" w:color="auto" w:fill="FCE9E8"/>
          </w:tcPr>
          <w:p>
            <w:pPr>
              <w:spacing w:after="0"/>
              <w:rPr>
                <w:sz w:val="16"/>
                <w:szCs w:val="16"/>
                <w:color w:val="auto"/>
              </w:rPr>
            </w:pPr>
          </w:p>
        </w:tc>
        <w:tc>
          <w:tcPr>
            <w:tcW w:w="620" w:type="dxa"/>
            <w:vAlign w:val="bottom"/>
            <w:tcBorders>
              <w:bottom w:val="single" w:sz="8" w:color="FCE9E8"/>
            </w:tcBorders>
            <w:shd w:val="clear" w:color="auto" w:fill="FCE9E8"/>
          </w:tcPr>
          <w:p>
            <w:pPr>
              <w:spacing w:after="0"/>
              <w:rPr>
                <w:sz w:val="16"/>
                <w:szCs w:val="16"/>
                <w:color w:val="auto"/>
              </w:rPr>
            </w:pPr>
          </w:p>
        </w:tc>
        <w:tc>
          <w:tcPr>
            <w:tcW w:w="160" w:type="dxa"/>
            <w:vAlign w:val="bottom"/>
            <w:tcBorders>
              <w:bottom w:val="single" w:sz="8" w:color="FCE9E8"/>
            </w:tcBorders>
            <w:shd w:val="clear" w:color="auto" w:fill="FCE9E8"/>
          </w:tcPr>
          <w:p>
            <w:pPr>
              <w:spacing w:after="0"/>
              <w:rPr>
                <w:sz w:val="16"/>
                <w:szCs w:val="16"/>
                <w:color w:val="auto"/>
              </w:rPr>
            </w:pPr>
          </w:p>
        </w:tc>
        <w:tc>
          <w:tcPr>
            <w:tcW w:w="640" w:type="dxa"/>
            <w:vAlign w:val="bottom"/>
            <w:tcBorders>
              <w:bottom w:val="single" w:sz="8" w:color="FCE9E8"/>
            </w:tcBorders>
            <w:shd w:val="clear" w:color="auto" w:fill="FCE9E8"/>
          </w:tcPr>
          <w:p>
            <w:pPr>
              <w:spacing w:after="0"/>
              <w:rPr>
                <w:sz w:val="16"/>
                <w:szCs w:val="16"/>
                <w:color w:val="auto"/>
              </w:rPr>
            </w:pPr>
          </w:p>
        </w:tc>
        <w:tc>
          <w:tcPr>
            <w:tcW w:w="160" w:type="dxa"/>
            <w:vAlign w:val="bottom"/>
            <w:tcBorders>
              <w:bottom w:val="single" w:sz="8" w:color="FCE9E8"/>
            </w:tcBorders>
            <w:shd w:val="clear" w:color="auto" w:fill="FCE9E8"/>
          </w:tcPr>
          <w:p>
            <w:pPr>
              <w:spacing w:after="0"/>
              <w:rPr>
                <w:sz w:val="16"/>
                <w:szCs w:val="16"/>
                <w:color w:val="auto"/>
              </w:rPr>
            </w:pPr>
          </w:p>
        </w:tc>
        <w:tc>
          <w:tcPr>
            <w:tcW w:w="580" w:type="dxa"/>
            <w:vAlign w:val="bottom"/>
            <w:tcBorders>
              <w:bottom w:val="single" w:sz="8" w:color="FCE9E8"/>
            </w:tcBorders>
            <w:shd w:val="clear" w:color="auto" w:fill="FCE9E8"/>
          </w:tcPr>
          <w:p>
            <w:pPr>
              <w:spacing w:after="0"/>
              <w:rPr>
                <w:sz w:val="16"/>
                <w:szCs w:val="16"/>
                <w:color w:val="auto"/>
              </w:rPr>
            </w:pPr>
          </w:p>
        </w:tc>
        <w:tc>
          <w:tcPr>
            <w:tcW w:w="160" w:type="dxa"/>
            <w:vAlign w:val="bottom"/>
            <w:tcBorders>
              <w:bottom w:val="single" w:sz="8" w:color="FCE9E8"/>
            </w:tcBorders>
            <w:shd w:val="clear" w:color="auto" w:fill="FCE9E8"/>
          </w:tcPr>
          <w:p>
            <w:pPr>
              <w:spacing w:after="0"/>
              <w:rPr>
                <w:sz w:val="16"/>
                <w:szCs w:val="16"/>
                <w:color w:val="auto"/>
              </w:rPr>
            </w:pPr>
          </w:p>
        </w:tc>
        <w:tc>
          <w:tcPr>
            <w:tcW w:w="740" w:type="dxa"/>
            <w:vAlign w:val="bottom"/>
            <w:tcBorders>
              <w:bottom w:val="single" w:sz="8" w:color="FCE9E8"/>
            </w:tcBorders>
            <w:shd w:val="clear" w:color="auto" w:fill="FCE9E8"/>
          </w:tcPr>
          <w:p>
            <w:pPr>
              <w:spacing w:after="0"/>
              <w:rPr>
                <w:sz w:val="16"/>
                <w:szCs w:val="16"/>
                <w:color w:val="auto"/>
              </w:rPr>
            </w:pPr>
          </w:p>
        </w:tc>
        <w:tc>
          <w:tcPr>
            <w:tcW w:w="660" w:type="dxa"/>
            <w:vAlign w:val="bottom"/>
            <w:tcBorders>
              <w:bottom w:val="single" w:sz="8" w:color="FCE9E8"/>
            </w:tcBorders>
            <w:shd w:val="clear" w:color="auto" w:fill="FCE9E8"/>
          </w:tcPr>
          <w:p>
            <w:pPr>
              <w:spacing w:after="0"/>
              <w:rPr>
                <w:sz w:val="16"/>
                <w:szCs w:val="16"/>
                <w:color w:val="auto"/>
              </w:rPr>
            </w:pPr>
          </w:p>
        </w:tc>
        <w:tc>
          <w:tcPr>
            <w:tcW w:w="720" w:type="dxa"/>
            <w:vAlign w:val="bottom"/>
            <w:tcBorders>
              <w:bottom w:val="single" w:sz="8" w:color="FCE9E8"/>
            </w:tcBorders>
            <w:shd w:val="clear" w:color="auto" w:fill="FCE9E8"/>
          </w:tcPr>
          <w:p>
            <w:pPr>
              <w:spacing w:after="0"/>
              <w:rPr>
                <w:sz w:val="16"/>
                <w:szCs w:val="16"/>
                <w:color w:val="auto"/>
              </w:rPr>
            </w:pPr>
          </w:p>
        </w:tc>
        <w:tc>
          <w:tcPr>
            <w:tcW w:w="820" w:type="dxa"/>
            <w:vAlign w:val="bottom"/>
            <w:tcBorders>
              <w:bottom w:val="single" w:sz="8" w:color="FCE9E8"/>
            </w:tcBorders>
            <w:shd w:val="clear" w:color="auto" w:fill="FCE9E8"/>
          </w:tcPr>
          <w:p>
            <w:pPr>
              <w:jc w:val="right"/>
              <w:ind w:right="20"/>
              <w:spacing w:after="0"/>
              <w:rPr>
                <w:sz w:val="20"/>
                <w:szCs w:val="20"/>
                <w:color w:val="auto"/>
              </w:rPr>
            </w:pPr>
            <w:r>
              <w:rPr>
                <w:rFonts w:ascii="Arial" w:cs="Arial" w:eastAsia="Arial" w:hAnsi="Arial"/>
                <w:sz w:val="12"/>
                <w:szCs w:val="12"/>
                <w:color w:val="auto"/>
              </w:rPr>
              <w:t>3,407</w:t>
            </w:r>
          </w:p>
        </w:tc>
        <w:tc>
          <w:tcPr>
            <w:tcW w:w="180" w:type="dxa"/>
            <w:vAlign w:val="bottom"/>
            <w:tcBorders>
              <w:bottom w:val="single" w:sz="8" w:color="FCE9E8"/>
            </w:tcBorders>
            <w:vMerge w:val="continue"/>
            <w:shd w:val="clear" w:color="auto" w:fill="FCE9E8"/>
          </w:tcPr>
          <w:p>
            <w:pPr>
              <w:spacing w:after="0"/>
              <w:rPr>
                <w:sz w:val="16"/>
                <w:szCs w:val="16"/>
                <w:color w:val="auto"/>
              </w:rPr>
            </w:pPr>
          </w:p>
        </w:tc>
        <w:tc>
          <w:tcPr>
            <w:tcW w:w="660" w:type="dxa"/>
            <w:vAlign w:val="bottom"/>
            <w:tcBorders>
              <w:bottom w:val="single" w:sz="8" w:color="FCE9E8"/>
            </w:tcBorders>
            <w:vMerge w:val="continue"/>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2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Frank C. Orsini</w:t>
            </w:r>
          </w:p>
        </w:tc>
        <w:tc>
          <w:tcPr>
            <w:tcW w:w="14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Annual Incentive Award</w:t>
            </w: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2"/>
                <w:szCs w:val="12"/>
                <w:color w:val="auto"/>
              </w:rPr>
              <w:t>$ 378,571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757,141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1,514,282</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Performance Share Award</w:t>
            </w:r>
            <w:r>
              <w:rPr>
                <w:rFonts w:ascii="Arial" w:cs="Arial" w:eastAsia="Arial" w:hAnsi="Arial"/>
                <w:sz w:val="10"/>
                <w:szCs w:val="10"/>
                <w:color w:val="auto"/>
              </w:rPr>
              <w:t>(3)</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1/2/2018</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4,401</w:t>
            </w:r>
          </w:p>
        </w:tc>
        <w:tc>
          <w:tcPr>
            <w:tcW w:w="660" w:type="dxa"/>
            <w:vAlign w:val="bottom"/>
          </w:tcPr>
          <w:p>
            <w:pPr>
              <w:jc w:val="right"/>
              <w:ind w:right="39"/>
              <w:spacing w:after="0"/>
              <w:rPr>
                <w:sz w:val="20"/>
                <w:szCs w:val="20"/>
                <w:color w:val="auto"/>
              </w:rPr>
            </w:pPr>
            <w:r>
              <w:rPr>
                <w:rFonts w:ascii="Arial" w:cs="Arial" w:eastAsia="Arial" w:hAnsi="Arial"/>
                <w:sz w:val="12"/>
                <w:szCs w:val="12"/>
                <w:color w:val="auto"/>
              </w:rPr>
              <w:t>8,803</w:t>
            </w:r>
          </w:p>
        </w:tc>
        <w:tc>
          <w:tcPr>
            <w:tcW w:w="720" w:type="dxa"/>
            <w:vAlign w:val="bottom"/>
          </w:tcPr>
          <w:p>
            <w:pPr>
              <w:jc w:val="right"/>
              <w:spacing w:after="0"/>
              <w:rPr>
                <w:sz w:val="20"/>
                <w:szCs w:val="20"/>
                <w:color w:val="auto"/>
              </w:rPr>
            </w:pPr>
            <w:r>
              <w:rPr>
                <w:rFonts w:ascii="Arial" w:cs="Arial" w:eastAsia="Arial" w:hAnsi="Arial"/>
                <w:sz w:val="12"/>
                <w:szCs w:val="12"/>
                <w:color w:val="auto"/>
              </w:rPr>
              <w:t>17,606</w:t>
            </w:r>
          </w:p>
        </w:tc>
        <w:tc>
          <w:tcPr>
            <w:tcW w:w="8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auto"/>
              </w:rPr>
              <w:t>1,573,976</w:t>
            </w:r>
          </w:p>
        </w:tc>
        <w:tc>
          <w:tcPr>
            <w:tcW w:w="0" w:type="dxa"/>
            <w:vAlign w:val="bottom"/>
          </w:tcPr>
          <w:p>
            <w:pPr>
              <w:spacing w:after="0"/>
              <w:rPr>
                <w:sz w:val="1"/>
                <w:szCs w:val="1"/>
                <w:color w:val="auto"/>
              </w:rPr>
            </w:pPr>
          </w:p>
        </w:tc>
      </w:tr>
      <w:tr>
        <w:trPr>
          <w:trHeight w:val="186"/>
        </w:trPr>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Performance Share Award</w:t>
            </w:r>
            <w:r>
              <w:rPr>
                <w:rFonts w:ascii="Arial" w:cs="Arial" w:eastAsia="Arial" w:hAnsi="Arial"/>
                <w:sz w:val="10"/>
                <w:szCs w:val="10"/>
                <w:color w:val="auto"/>
              </w:rPr>
              <w:t>(3)</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3/1/2018</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364</w:t>
            </w:r>
          </w:p>
        </w:tc>
        <w:tc>
          <w:tcPr>
            <w:tcW w:w="660" w:type="dxa"/>
            <w:vAlign w:val="bottom"/>
          </w:tcPr>
          <w:p>
            <w:pPr>
              <w:jc w:val="right"/>
              <w:ind w:right="39"/>
              <w:spacing w:after="0"/>
              <w:rPr>
                <w:sz w:val="20"/>
                <w:szCs w:val="20"/>
                <w:color w:val="auto"/>
              </w:rPr>
            </w:pPr>
            <w:r>
              <w:rPr>
                <w:rFonts w:ascii="Arial" w:cs="Arial" w:eastAsia="Arial" w:hAnsi="Arial"/>
                <w:sz w:val="12"/>
                <w:szCs w:val="12"/>
                <w:color w:val="auto"/>
              </w:rPr>
              <w:t>728</w:t>
            </w:r>
          </w:p>
        </w:tc>
        <w:tc>
          <w:tcPr>
            <w:tcW w:w="720" w:type="dxa"/>
            <w:vAlign w:val="bottom"/>
          </w:tcPr>
          <w:p>
            <w:pPr>
              <w:jc w:val="right"/>
              <w:spacing w:after="0"/>
              <w:rPr>
                <w:sz w:val="20"/>
                <w:szCs w:val="20"/>
                <w:color w:val="auto"/>
              </w:rPr>
            </w:pPr>
            <w:r>
              <w:rPr>
                <w:rFonts w:ascii="Arial" w:cs="Arial" w:eastAsia="Arial" w:hAnsi="Arial"/>
                <w:sz w:val="12"/>
                <w:szCs w:val="12"/>
                <w:color w:val="auto"/>
              </w:rPr>
              <w:t>1,456</w:t>
            </w:r>
          </w:p>
        </w:tc>
        <w:tc>
          <w:tcPr>
            <w:tcW w:w="8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auto"/>
              </w:rPr>
              <w:t>131,965</w:t>
            </w:r>
          </w:p>
        </w:tc>
        <w:tc>
          <w:tcPr>
            <w:tcW w:w="0" w:type="dxa"/>
            <w:vAlign w:val="bottom"/>
          </w:tcPr>
          <w:p>
            <w:pPr>
              <w:spacing w:after="0"/>
              <w:rPr>
                <w:sz w:val="1"/>
                <w:szCs w:val="1"/>
                <w:color w:val="auto"/>
              </w:rPr>
            </w:pPr>
          </w:p>
        </w:tc>
      </w:tr>
      <w:tr>
        <w:trPr>
          <w:trHeight w:val="186"/>
        </w:trPr>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10"/>
                <w:szCs w:val="10"/>
                <w:color w:val="auto"/>
              </w:rPr>
              <w:t>(4)</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1/2/2018</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2,934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auto"/>
              </w:rPr>
              <w:t>524,599</w:t>
            </w:r>
          </w:p>
        </w:tc>
        <w:tc>
          <w:tcPr>
            <w:tcW w:w="0" w:type="dxa"/>
            <w:vAlign w:val="bottom"/>
          </w:tcPr>
          <w:p>
            <w:pPr>
              <w:spacing w:after="0"/>
              <w:rPr>
                <w:sz w:val="1"/>
                <w:szCs w:val="1"/>
                <w:color w:val="auto"/>
              </w:rPr>
            </w:pPr>
          </w:p>
        </w:tc>
      </w:tr>
      <w:tr>
        <w:trPr>
          <w:trHeight w:val="186"/>
        </w:trPr>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10"/>
                <w:szCs w:val="10"/>
                <w:color w:val="auto"/>
              </w:rPr>
              <w:t>(4)</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3/1/2018</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243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auto"/>
              </w:rPr>
              <w:t>44,049</w:t>
            </w:r>
          </w:p>
        </w:tc>
        <w:tc>
          <w:tcPr>
            <w:tcW w:w="0" w:type="dxa"/>
            <w:vAlign w:val="bottom"/>
          </w:tcPr>
          <w:p>
            <w:pPr>
              <w:spacing w:after="0"/>
              <w:rPr>
                <w:sz w:val="1"/>
                <w:szCs w:val="1"/>
                <w:color w:val="auto"/>
              </w:rPr>
            </w:pPr>
          </w:p>
        </w:tc>
      </w:tr>
      <w:tr>
        <w:trPr>
          <w:trHeight w:val="186"/>
        </w:trPr>
        <w:tc>
          <w:tcPr>
            <w:tcW w:w="202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Arial" w:cs="Arial" w:eastAsia="Arial" w:hAnsi="Arial"/>
                <w:sz w:val="12"/>
                <w:szCs w:val="12"/>
                <w:color w:val="auto"/>
              </w:rPr>
              <w:t>RSU Award (Career Shares)</w:t>
            </w:r>
            <w:r>
              <w:rPr>
                <w:rFonts w:ascii="Arial" w:cs="Arial" w:eastAsia="Arial" w:hAnsi="Arial"/>
                <w:sz w:val="10"/>
                <w:szCs w:val="10"/>
                <w:color w:val="auto"/>
              </w:rPr>
              <w:t>(5)</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11/14/2018</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1,444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auto"/>
              </w:rPr>
              <w:t>199,907</w:t>
            </w:r>
          </w:p>
        </w:tc>
        <w:tc>
          <w:tcPr>
            <w:tcW w:w="0" w:type="dxa"/>
            <w:vAlign w:val="bottom"/>
          </w:tcPr>
          <w:p>
            <w:pPr>
              <w:spacing w:after="0"/>
              <w:rPr>
                <w:sz w:val="1"/>
                <w:szCs w:val="1"/>
                <w:color w:val="auto"/>
              </w:rPr>
            </w:pPr>
          </w:p>
        </w:tc>
      </w:tr>
      <w:tr>
        <w:trPr>
          <w:trHeight w:val="44"/>
        </w:trPr>
        <w:tc>
          <w:tcPr>
            <w:tcW w:w="2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FCE9E8"/>
          </w:tcPr>
          <w:p>
            <w:pPr>
              <w:ind w:left="60"/>
              <w:spacing w:after="0"/>
              <w:rPr>
                <w:sz w:val="20"/>
                <w:szCs w:val="20"/>
                <w:color w:val="auto"/>
              </w:rPr>
            </w:pPr>
            <w:r>
              <w:rPr>
                <w:rFonts w:ascii="Arial" w:cs="Arial" w:eastAsia="Arial" w:hAnsi="Arial"/>
                <w:sz w:val="12"/>
                <w:szCs w:val="12"/>
                <w:color w:val="auto"/>
              </w:rPr>
              <w:t>Thomas A. DiDonato</w:t>
            </w:r>
          </w:p>
        </w:tc>
        <w:tc>
          <w:tcPr>
            <w:tcW w:w="140" w:type="dxa"/>
            <w:vAlign w:val="bottom"/>
            <w:shd w:val="clear" w:color="auto" w:fill="FCE9E8"/>
          </w:tcPr>
          <w:p>
            <w:pPr>
              <w:spacing w:after="0"/>
              <w:rPr>
                <w:sz w:val="16"/>
                <w:szCs w:val="16"/>
                <w:color w:val="auto"/>
              </w:rPr>
            </w:pPr>
          </w:p>
        </w:tc>
        <w:tc>
          <w:tcPr>
            <w:tcW w:w="17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Annual Incentive Award</w:t>
            </w:r>
          </w:p>
        </w:tc>
        <w:tc>
          <w:tcPr>
            <w:tcW w:w="80" w:type="dxa"/>
            <w:vAlign w:val="bottom"/>
            <w:shd w:val="clear" w:color="auto" w:fill="FCE9E8"/>
          </w:tcPr>
          <w:p>
            <w:pPr>
              <w:spacing w:after="0"/>
              <w:rPr>
                <w:sz w:val="16"/>
                <w:szCs w:val="16"/>
                <w:color w:val="auto"/>
              </w:rPr>
            </w:pPr>
          </w:p>
        </w:tc>
        <w:tc>
          <w:tcPr>
            <w:tcW w:w="6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FCE9E8"/>
          </w:tcPr>
          <w:p>
            <w:pPr>
              <w:jc w:val="center"/>
              <w:spacing w:after="0"/>
              <w:rPr>
                <w:sz w:val="20"/>
                <w:szCs w:val="20"/>
                <w:color w:val="auto"/>
              </w:rPr>
            </w:pPr>
            <w:r>
              <w:rPr>
                <w:rFonts w:ascii="Arial" w:cs="Arial" w:eastAsia="Arial" w:hAnsi="Arial"/>
                <w:sz w:val="12"/>
                <w:szCs w:val="12"/>
                <w:color w:val="auto"/>
              </w:rPr>
              <w:t>$ 268,750</w:t>
            </w:r>
          </w:p>
        </w:tc>
        <w:tc>
          <w:tcPr>
            <w:tcW w:w="16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FCE9E8"/>
          </w:tcPr>
          <w:p>
            <w:pPr>
              <w:jc w:val="right"/>
              <w:ind w:right="19"/>
              <w:spacing w:after="0"/>
              <w:rPr>
                <w:sz w:val="20"/>
                <w:szCs w:val="20"/>
                <w:color w:val="auto"/>
              </w:rPr>
            </w:pPr>
            <w:r>
              <w:rPr>
                <w:rFonts w:ascii="Arial" w:cs="Arial" w:eastAsia="Arial" w:hAnsi="Arial"/>
                <w:sz w:val="12"/>
                <w:szCs w:val="12"/>
                <w:color w:val="auto"/>
              </w:rPr>
              <w:t>537,500</w:t>
            </w:r>
          </w:p>
        </w:tc>
        <w:tc>
          <w:tcPr>
            <w:tcW w:w="16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1,075,000</w:t>
            </w:r>
          </w:p>
        </w:tc>
        <w:tc>
          <w:tcPr>
            <w:tcW w:w="160" w:type="dxa"/>
            <w:vAlign w:val="bottom"/>
            <w:shd w:val="clear" w:color="auto" w:fill="FCE9E8"/>
          </w:tcPr>
          <w:p>
            <w:pPr>
              <w:spacing w:after="0"/>
              <w:rPr>
                <w:sz w:val="16"/>
                <w:szCs w:val="16"/>
                <w:color w:val="auto"/>
              </w:rPr>
            </w:pPr>
          </w:p>
        </w:tc>
        <w:tc>
          <w:tcPr>
            <w:tcW w:w="740" w:type="dxa"/>
            <w:vAlign w:val="bottom"/>
            <w:shd w:val="clear" w:color="auto" w:fill="FCE9E8"/>
          </w:tcPr>
          <w:p>
            <w:pPr>
              <w:spacing w:after="0"/>
              <w:rPr>
                <w:sz w:val="16"/>
                <w:szCs w:val="16"/>
                <w:color w:val="auto"/>
              </w:rPr>
            </w:pPr>
          </w:p>
        </w:tc>
        <w:tc>
          <w:tcPr>
            <w:tcW w:w="66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820" w:type="dxa"/>
            <w:vAlign w:val="bottom"/>
            <w:shd w:val="clear" w:color="auto" w:fill="FCE9E8"/>
          </w:tcPr>
          <w:p>
            <w:pPr>
              <w:spacing w:after="0"/>
              <w:rPr>
                <w:sz w:val="16"/>
                <w:szCs w:val="16"/>
                <w:color w:val="auto"/>
              </w:rPr>
            </w:pPr>
          </w:p>
        </w:tc>
        <w:tc>
          <w:tcPr>
            <w:tcW w:w="180" w:type="dxa"/>
            <w:vAlign w:val="bottom"/>
            <w:shd w:val="clear" w:color="auto" w:fill="FCE9E8"/>
          </w:tcPr>
          <w:p>
            <w:pPr>
              <w:spacing w:after="0"/>
              <w:rPr>
                <w:sz w:val="16"/>
                <w:szCs w:val="16"/>
                <w:color w:val="auto"/>
              </w:rPr>
            </w:pPr>
          </w:p>
        </w:tc>
        <w:tc>
          <w:tcPr>
            <w:tcW w:w="66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20" w:type="dxa"/>
            <w:vAlign w:val="bottom"/>
            <w:shd w:val="clear" w:color="auto" w:fill="FCE9E8"/>
          </w:tcPr>
          <w:p>
            <w:pPr>
              <w:spacing w:after="0"/>
              <w:rPr>
                <w:sz w:val="16"/>
                <w:szCs w:val="16"/>
                <w:color w:val="auto"/>
              </w:rPr>
            </w:pPr>
          </w:p>
        </w:tc>
        <w:tc>
          <w:tcPr>
            <w:tcW w:w="140" w:type="dxa"/>
            <w:vAlign w:val="bottom"/>
            <w:shd w:val="clear" w:color="auto" w:fill="FCE9E8"/>
          </w:tcPr>
          <w:p>
            <w:pPr>
              <w:spacing w:after="0"/>
              <w:rPr>
                <w:sz w:val="16"/>
                <w:szCs w:val="16"/>
                <w:color w:val="auto"/>
              </w:rPr>
            </w:pPr>
          </w:p>
        </w:tc>
        <w:tc>
          <w:tcPr>
            <w:tcW w:w="17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Performance Share Award</w:t>
            </w:r>
            <w:r>
              <w:rPr>
                <w:rFonts w:ascii="Arial" w:cs="Arial" w:eastAsia="Arial" w:hAnsi="Arial"/>
                <w:sz w:val="10"/>
                <w:szCs w:val="10"/>
                <w:color w:val="auto"/>
              </w:rPr>
              <w:t>(3)</w:t>
            </w:r>
          </w:p>
        </w:tc>
        <w:tc>
          <w:tcPr>
            <w:tcW w:w="760" w:type="dxa"/>
            <w:vAlign w:val="bottom"/>
            <w:gridSpan w:val="2"/>
            <w:shd w:val="clear" w:color="auto" w:fill="FCE9E8"/>
          </w:tcPr>
          <w:p>
            <w:pPr>
              <w:jc w:val="right"/>
              <w:spacing w:after="0"/>
              <w:rPr>
                <w:sz w:val="20"/>
                <w:szCs w:val="20"/>
                <w:color w:val="auto"/>
              </w:rPr>
            </w:pPr>
            <w:r>
              <w:rPr>
                <w:rFonts w:ascii="Arial" w:cs="Arial" w:eastAsia="Arial" w:hAnsi="Arial"/>
                <w:sz w:val="12"/>
                <w:szCs w:val="12"/>
                <w:color w:val="auto"/>
              </w:rPr>
              <w:t>1/2/2018</w:t>
            </w:r>
          </w:p>
        </w:tc>
        <w:tc>
          <w:tcPr>
            <w:tcW w:w="160" w:type="dxa"/>
            <w:vAlign w:val="bottom"/>
            <w:shd w:val="clear" w:color="auto" w:fill="FCE9E8"/>
          </w:tcPr>
          <w:p>
            <w:pPr>
              <w:spacing w:after="0"/>
              <w:rPr>
                <w:sz w:val="16"/>
                <w:szCs w:val="16"/>
                <w:color w:val="auto"/>
              </w:rPr>
            </w:pPr>
          </w:p>
        </w:tc>
        <w:tc>
          <w:tcPr>
            <w:tcW w:w="62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64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58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740" w:type="dxa"/>
            <w:vAlign w:val="bottom"/>
            <w:shd w:val="clear" w:color="auto" w:fill="FCE9E8"/>
          </w:tcPr>
          <w:p>
            <w:pPr>
              <w:jc w:val="right"/>
              <w:ind w:right="59"/>
              <w:spacing w:after="0"/>
              <w:rPr>
                <w:sz w:val="20"/>
                <w:szCs w:val="20"/>
                <w:color w:val="auto"/>
              </w:rPr>
            </w:pPr>
            <w:r>
              <w:rPr>
                <w:rFonts w:ascii="Arial" w:cs="Arial" w:eastAsia="Arial" w:hAnsi="Arial"/>
                <w:sz w:val="12"/>
                <w:szCs w:val="12"/>
                <w:color w:val="auto"/>
              </w:rPr>
              <w:t>3,804</w:t>
            </w:r>
          </w:p>
        </w:tc>
        <w:tc>
          <w:tcPr>
            <w:tcW w:w="660" w:type="dxa"/>
            <w:vAlign w:val="bottom"/>
            <w:shd w:val="clear" w:color="auto" w:fill="FCE9E8"/>
          </w:tcPr>
          <w:p>
            <w:pPr>
              <w:jc w:val="right"/>
              <w:ind w:right="39"/>
              <w:spacing w:after="0"/>
              <w:rPr>
                <w:sz w:val="20"/>
                <w:szCs w:val="20"/>
                <w:color w:val="auto"/>
              </w:rPr>
            </w:pPr>
            <w:r>
              <w:rPr>
                <w:rFonts w:ascii="Arial" w:cs="Arial" w:eastAsia="Arial" w:hAnsi="Arial"/>
                <w:sz w:val="12"/>
                <w:szCs w:val="12"/>
                <w:color w:val="auto"/>
              </w:rPr>
              <w:t>7,609</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15,218</w:t>
            </w:r>
          </w:p>
        </w:tc>
        <w:tc>
          <w:tcPr>
            <w:tcW w:w="820" w:type="dxa"/>
            <w:vAlign w:val="bottom"/>
            <w:shd w:val="clear" w:color="auto" w:fill="FCE9E8"/>
          </w:tcPr>
          <w:p>
            <w:pPr>
              <w:spacing w:after="0"/>
              <w:rPr>
                <w:sz w:val="16"/>
                <w:szCs w:val="16"/>
                <w:color w:val="auto"/>
              </w:rPr>
            </w:pPr>
          </w:p>
        </w:tc>
        <w:tc>
          <w:tcPr>
            <w:tcW w:w="1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FCE9E8"/>
          </w:tcPr>
          <w:p>
            <w:pPr>
              <w:jc w:val="right"/>
              <w:ind w:right="39"/>
              <w:spacing w:after="0"/>
              <w:rPr>
                <w:sz w:val="20"/>
                <w:szCs w:val="20"/>
                <w:color w:val="auto"/>
              </w:rPr>
            </w:pPr>
            <w:r>
              <w:rPr>
                <w:rFonts w:ascii="Arial" w:cs="Arial" w:eastAsia="Arial" w:hAnsi="Arial"/>
                <w:sz w:val="12"/>
                <w:szCs w:val="12"/>
                <w:color w:val="auto"/>
              </w:rPr>
              <w:t>1,360,489</w:t>
            </w:r>
          </w:p>
        </w:tc>
        <w:tc>
          <w:tcPr>
            <w:tcW w:w="0" w:type="dxa"/>
            <w:vAlign w:val="bottom"/>
          </w:tcPr>
          <w:p>
            <w:pPr>
              <w:spacing w:after="0"/>
              <w:rPr>
                <w:sz w:val="1"/>
                <w:szCs w:val="1"/>
                <w:color w:val="auto"/>
              </w:rPr>
            </w:pPr>
          </w:p>
        </w:tc>
      </w:tr>
      <w:tr>
        <w:trPr>
          <w:trHeight w:val="186"/>
        </w:trPr>
        <w:tc>
          <w:tcPr>
            <w:tcW w:w="2020" w:type="dxa"/>
            <w:vAlign w:val="bottom"/>
            <w:shd w:val="clear" w:color="auto" w:fill="FCE9E8"/>
          </w:tcPr>
          <w:p>
            <w:pPr>
              <w:spacing w:after="0"/>
              <w:rPr>
                <w:sz w:val="16"/>
                <w:szCs w:val="16"/>
                <w:color w:val="auto"/>
              </w:rPr>
            </w:pPr>
          </w:p>
        </w:tc>
        <w:tc>
          <w:tcPr>
            <w:tcW w:w="140" w:type="dxa"/>
            <w:vAlign w:val="bottom"/>
            <w:shd w:val="clear" w:color="auto" w:fill="FCE9E8"/>
          </w:tcPr>
          <w:p>
            <w:pPr>
              <w:spacing w:after="0"/>
              <w:rPr>
                <w:sz w:val="16"/>
                <w:szCs w:val="16"/>
                <w:color w:val="auto"/>
              </w:rPr>
            </w:pPr>
          </w:p>
        </w:tc>
        <w:tc>
          <w:tcPr>
            <w:tcW w:w="17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10"/>
                <w:szCs w:val="10"/>
                <w:color w:val="auto"/>
              </w:rPr>
              <w:t>(4)</w:t>
            </w:r>
          </w:p>
        </w:tc>
        <w:tc>
          <w:tcPr>
            <w:tcW w:w="80" w:type="dxa"/>
            <w:vAlign w:val="bottom"/>
            <w:shd w:val="clear" w:color="auto" w:fill="FCE9E8"/>
          </w:tcPr>
          <w:p>
            <w:pPr>
              <w:spacing w:after="0"/>
              <w:rPr>
                <w:sz w:val="16"/>
                <w:szCs w:val="16"/>
                <w:color w:val="auto"/>
              </w:rPr>
            </w:pPr>
          </w:p>
        </w:tc>
        <w:tc>
          <w:tcPr>
            <w:tcW w:w="6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1/2/2018</w:t>
            </w:r>
          </w:p>
        </w:tc>
        <w:tc>
          <w:tcPr>
            <w:tcW w:w="160" w:type="dxa"/>
            <w:vAlign w:val="bottom"/>
            <w:shd w:val="clear" w:color="auto" w:fill="FCE9E8"/>
          </w:tcPr>
          <w:p>
            <w:pPr>
              <w:spacing w:after="0"/>
              <w:rPr>
                <w:sz w:val="16"/>
                <w:szCs w:val="16"/>
                <w:color w:val="auto"/>
              </w:rPr>
            </w:pPr>
          </w:p>
        </w:tc>
        <w:tc>
          <w:tcPr>
            <w:tcW w:w="62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64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58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740" w:type="dxa"/>
            <w:vAlign w:val="bottom"/>
            <w:shd w:val="clear" w:color="auto" w:fill="FCE9E8"/>
          </w:tcPr>
          <w:p>
            <w:pPr>
              <w:spacing w:after="0"/>
              <w:rPr>
                <w:sz w:val="16"/>
                <w:szCs w:val="16"/>
                <w:color w:val="auto"/>
              </w:rPr>
            </w:pPr>
          </w:p>
        </w:tc>
        <w:tc>
          <w:tcPr>
            <w:tcW w:w="66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820" w:type="dxa"/>
            <w:vAlign w:val="bottom"/>
            <w:shd w:val="clear" w:color="auto" w:fill="FCE9E8"/>
          </w:tcPr>
          <w:p>
            <w:pPr>
              <w:jc w:val="right"/>
              <w:ind w:right="20"/>
              <w:spacing w:after="0"/>
              <w:rPr>
                <w:sz w:val="20"/>
                <w:szCs w:val="20"/>
                <w:color w:val="auto"/>
              </w:rPr>
            </w:pPr>
            <w:r>
              <w:rPr>
                <w:rFonts w:ascii="Arial" w:cs="Arial" w:eastAsia="Arial" w:hAnsi="Arial"/>
                <w:sz w:val="12"/>
                <w:szCs w:val="12"/>
                <w:color w:val="auto"/>
              </w:rPr>
              <w:t>2,536</w:t>
            </w:r>
          </w:p>
        </w:tc>
        <w:tc>
          <w:tcPr>
            <w:tcW w:w="1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FCE9E8"/>
          </w:tcPr>
          <w:p>
            <w:pPr>
              <w:jc w:val="right"/>
              <w:ind w:right="39"/>
              <w:spacing w:after="0"/>
              <w:rPr>
                <w:sz w:val="20"/>
                <w:szCs w:val="20"/>
                <w:color w:val="auto"/>
              </w:rPr>
            </w:pPr>
            <w:r>
              <w:rPr>
                <w:rFonts w:ascii="Arial" w:cs="Arial" w:eastAsia="Arial" w:hAnsi="Arial"/>
                <w:sz w:val="12"/>
                <w:szCs w:val="12"/>
                <w:color w:val="auto"/>
              </w:rPr>
              <w:t>453,437</w:t>
            </w:r>
          </w:p>
        </w:tc>
        <w:tc>
          <w:tcPr>
            <w:tcW w:w="0" w:type="dxa"/>
            <w:vAlign w:val="bottom"/>
          </w:tcPr>
          <w:p>
            <w:pPr>
              <w:spacing w:after="0"/>
              <w:rPr>
                <w:sz w:val="1"/>
                <w:szCs w:val="1"/>
                <w:color w:val="auto"/>
              </w:rPr>
            </w:pPr>
          </w:p>
        </w:tc>
      </w:tr>
      <w:tr>
        <w:trPr>
          <w:trHeight w:val="186"/>
        </w:trPr>
        <w:tc>
          <w:tcPr>
            <w:tcW w:w="2020" w:type="dxa"/>
            <w:vAlign w:val="bottom"/>
            <w:shd w:val="clear" w:color="auto" w:fill="FCE9E8"/>
          </w:tcPr>
          <w:p>
            <w:pPr>
              <w:spacing w:after="0"/>
              <w:rPr>
                <w:sz w:val="16"/>
                <w:szCs w:val="16"/>
                <w:color w:val="auto"/>
              </w:rPr>
            </w:pPr>
          </w:p>
        </w:tc>
        <w:tc>
          <w:tcPr>
            <w:tcW w:w="140" w:type="dxa"/>
            <w:vAlign w:val="bottom"/>
            <w:shd w:val="clear" w:color="auto" w:fill="FCE9E8"/>
          </w:tcPr>
          <w:p>
            <w:pPr>
              <w:spacing w:after="0"/>
              <w:rPr>
                <w:sz w:val="16"/>
                <w:szCs w:val="16"/>
                <w:color w:val="auto"/>
              </w:rPr>
            </w:pPr>
          </w:p>
        </w:tc>
        <w:tc>
          <w:tcPr>
            <w:tcW w:w="1700" w:type="dxa"/>
            <w:vAlign w:val="bottom"/>
            <w:vMerge w:val="restart"/>
            <w:shd w:val="clear" w:color="auto" w:fill="FCE9E8"/>
          </w:tcPr>
          <w:p>
            <w:pPr>
              <w:jc w:val="right"/>
              <w:spacing w:after="0"/>
              <w:rPr>
                <w:sz w:val="20"/>
                <w:szCs w:val="20"/>
                <w:color w:val="auto"/>
              </w:rPr>
            </w:pPr>
            <w:r>
              <w:rPr>
                <w:rFonts w:ascii="Arial" w:cs="Arial" w:eastAsia="Arial" w:hAnsi="Arial"/>
                <w:sz w:val="12"/>
                <w:szCs w:val="12"/>
                <w:color w:val="auto"/>
              </w:rPr>
              <w:t>RSU Award (Career Shares)</w:t>
            </w:r>
            <w:r>
              <w:rPr>
                <w:rFonts w:ascii="Arial" w:cs="Arial" w:eastAsia="Arial" w:hAnsi="Arial"/>
                <w:sz w:val="10"/>
                <w:szCs w:val="10"/>
                <w:color w:val="auto"/>
              </w:rPr>
              <w:t>(5)</w:t>
            </w:r>
          </w:p>
        </w:tc>
        <w:tc>
          <w:tcPr>
            <w:tcW w:w="80" w:type="dxa"/>
            <w:vAlign w:val="bottom"/>
            <w:shd w:val="clear" w:color="auto" w:fill="FCE9E8"/>
          </w:tcPr>
          <w:p>
            <w:pPr>
              <w:spacing w:after="0"/>
              <w:rPr>
                <w:sz w:val="16"/>
                <w:szCs w:val="16"/>
                <w:color w:val="auto"/>
              </w:rPr>
            </w:pPr>
          </w:p>
        </w:tc>
        <w:tc>
          <w:tcPr>
            <w:tcW w:w="680" w:type="dxa"/>
            <w:vAlign w:val="bottom"/>
            <w:vMerge w:val="restart"/>
            <w:shd w:val="clear" w:color="auto" w:fill="FCE9E8"/>
          </w:tcPr>
          <w:p>
            <w:pPr>
              <w:jc w:val="right"/>
              <w:spacing w:after="0"/>
              <w:rPr>
                <w:sz w:val="20"/>
                <w:szCs w:val="20"/>
                <w:color w:val="auto"/>
              </w:rPr>
            </w:pPr>
            <w:r>
              <w:rPr>
                <w:rFonts w:ascii="Arial" w:cs="Arial" w:eastAsia="Arial" w:hAnsi="Arial"/>
                <w:sz w:val="12"/>
                <w:szCs w:val="12"/>
                <w:color w:val="auto"/>
              </w:rPr>
              <w:t>11/14/2018</w:t>
            </w:r>
          </w:p>
        </w:tc>
        <w:tc>
          <w:tcPr>
            <w:tcW w:w="160" w:type="dxa"/>
            <w:vAlign w:val="bottom"/>
            <w:shd w:val="clear" w:color="auto" w:fill="FCE9E8"/>
          </w:tcPr>
          <w:p>
            <w:pPr>
              <w:spacing w:after="0"/>
              <w:rPr>
                <w:sz w:val="16"/>
                <w:szCs w:val="16"/>
                <w:color w:val="auto"/>
              </w:rPr>
            </w:pPr>
          </w:p>
        </w:tc>
        <w:tc>
          <w:tcPr>
            <w:tcW w:w="62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64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58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740" w:type="dxa"/>
            <w:vAlign w:val="bottom"/>
            <w:shd w:val="clear" w:color="auto" w:fill="FCE9E8"/>
          </w:tcPr>
          <w:p>
            <w:pPr>
              <w:spacing w:after="0"/>
              <w:rPr>
                <w:sz w:val="16"/>
                <w:szCs w:val="16"/>
                <w:color w:val="auto"/>
              </w:rPr>
            </w:pPr>
          </w:p>
        </w:tc>
        <w:tc>
          <w:tcPr>
            <w:tcW w:w="66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820" w:type="dxa"/>
            <w:vAlign w:val="bottom"/>
            <w:vMerge w:val="restart"/>
            <w:shd w:val="clear" w:color="auto" w:fill="FCE9E8"/>
          </w:tcPr>
          <w:p>
            <w:pPr>
              <w:jc w:val="right"/>
              <w:ind w:right="20"/>
              <w:spacing w:after="0"/>
              <w:rPr>
                <w:sz w:val="20"/>
                <w:szCs w:val="20"/>
                <w:color w:val="auto"/>
              </w:rPr>
            </w:pPr>
            <w:r>
              <w:rPr>
                <w:rFonts w:ascii="Arial" w:cs="Arial" w:eastAsia="Arial" w:hAnsi="Arial"/>
                <w:sz w:val="12"/>
                <w:szCs w:val="12"/>
                <w:color w:val="auto"/>
              </w:rPr>
              <w:t>2,167</w:t>
            </w:r>
          </w:p>
        </w:tc>
        <w:tc>
          <w:tcPr>
            <w:tcW w:w="1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FCE9E8"/>
          </w:tcPr>
          <w:p>
            <w:pPr>
              <w:jc w:val="right"/>
              <w:ind w:right="39"/>
              <w:spacing w:after="0"/>
              <w:rPr>
                <w:sz w:val="20"/>
                <w:szCs w:val="20"/>
                <w:color w:val="auto"/>
              </w:rPr>
            </w:pPr>
            <w:r>
              <w:rPr>
                <w:rFonts w:ascii="Arial" w:cs="Arial" w:eastAsia="Arial" w:hAnsi="Arial"/>
                <w:sz w:val="12"/>
                <w:szCs w:val="12"/>
                <w:color w:val="auto"/>
              </w:rPr>
              <w:t>299,999</w:t>
            </w:r>
          </w:p>
        </w:tc>
        <w:tc>
          <w:tcPr>
            <w:tcW w:w="0" w:type="dxa"/>
            <w:vAlign w:val="bottom"/>
          </w:tcPr>
          <w:p>
            <w:pPr>
              <w:spacing w:after="0"/>
              <w:rPr>
                <w:sz w:val="1"/>
                <w:szCs w:val="1"/>
                <w:color w:val="auto"/>
              </w:rPr>
            </w:pPr>
          </w:p>
        </w:tc>
      </w:tr>
      <w:tr>
        <w:trPr>
          <w:trHeight w:val="84"/>
        </w:trPr>
        <w:tc>
          <w:tcPr>
            <w:tcW w:w="2020" w:type="dxa"/>
            <w:vAlign w:val="bottom"/>
            <w:tcBorders>
              <w:bottom w:val="single" w:sz="8" w:color="FCE9E8"/>
            </w:tcBorders>
            <w:shd w:val="clear" w:color="auto" w:fill="FCE9E8"/>
          </w:tcPr>
          <w:p>
            <w:pPr>
              <w:spacing w:after="0"/>
              <w:rPr>
                <w:sz w:val="7"/>
                <w:szCs w:val="7"/>
                <w:color w:val="auto"/>
              </w:rPr>
            </w:pPr>
          </w:p>
        </w:tc>
        <w:tc>
          <w:tcPr>
            <w:tcW w:w="140" w:type="dxa"/>
            <w:vAlign w:val="bottom"/>
            <w:tcBorders>
              <w:bottom w:val="single" w:sz="8" w:color="FCE9E8"/>
            </w:tcBorders>
            <w:shd w:val="clear" w:color="auto" w:fill="FCE9E8"/>
          </w:tcPr>
          <w:p>
            <w:pPr>
              <w:spacing w:after="0"/>
              <w:rPr>
                <w:sz w:val="7"/>
                <w:szCs w:val="7"/>
                <w:color w:val="auto"/>
              </w:rPr>
            </w:pPr>
          </w:p>
        </w:tc>
        <w:tc>
          <w:tcPr>
            <w:tcW w:w="1700" w:type="dxa"/>
            <w:vAlign w:val="bottom"/>
            <w:tcBorders>
              <w:bottom w:val="single" w:sz="8" w:color="FCE9E8"/>
            </w:tcBorders>
            <w:vMerge w:val="continue"/>
            <w:shd w:val="clear" w:color="auto" w:fill="FCE9E8"/>
          </w:tcPr>
          <w:p>
            <w:pPr>
              <w:spacing w:after="0"/>
              <w:rPr>
                <w:sz w:val="7"/>
                <w:szCs w:val="7"/>
                <w:color w:val="auto"/>
              </w:rPr>
            </w:pPr>
          </w:p>
        </w:tc>
        <w:tc>
          <w:tcPr>
            <w:tcW w:w="80" w:type="dxa"/>
            <w:vAlign w:val="bottom"/>
            <w:tcBorders>
              <w:bottom w:val="single" w:sz="8" w:color="FCE9E8"/>
            </w:tcBorders>
            <w:shd w:val="clear" w:color="auto" w:fill="FCE9E8"/>
          </w:tcPr>
          <w:p>
            <w:pPr>
              <w:spacing w:after="0"/>
              <w:rPr>
                <w:sz w:val="7"/>
                <w:szCs w:val="7"/>
                <w:color w:val="auto"/>
              </w:rPr>
            </w:pPr>
          </w:p>
        </w:tc>
        <w:tc>
          <w:tcPr>
            <w:tcW w:w="680" w:type="dxa"/>
            <w:vAlign w:val="bottom"/>
            <w:tcBorders>
              <w:bottom w:val="single" w:sz="8" w:color="FCE9E8"/>
            </w:tcBorders>
            <w:vMerge w:val="continue"/>
            <w:shd w:val="clear" w:color="auto" w:fill="FCE9E8"/>
          </w:tcPr>
          <w:p>
            <w:pPr>
              <w:spacing w:after="0"/>
              <w:rPr>
                <w:sz w:val="7"/>
                <w:szCs w:val="7"/>
                <w:color w:val="auto"/>
              </w:rPr>
            </w:pPr>
          </w:p>
        </w:tc>
        <w:tc>
          <w:tcPr>
            <w:tcW w:w="160" w:type="dxa"/>
            <w:vAlign w:val="bottom"/>
            <w:tcBorders>
              <w:bottom w:val="single" w:sz="8" w:color="FCE9E8"/>
            </w:tcBorders>
            <w:shd w:val="clear" w:color="auto" w:fill="FCE9E8"/>
          </w:tcPr>
          <w:p>
            <w:pPr>
              <w:spacing w:after="0"/>
              <w:rPr>
                <w:sz w:val="7"/>
                <w:szCs w:val="7"/>
                <w:color w:val="auto"/>
              </w:rPr>
            </w:pPr>
          </w:p>
        </w:tc>
        <w:tc>
          <w:tcPr>
            <w:tcW w:w="620" w:type="dxa"/>
            <w:vAlign w:val="bottom"/>
            <w:tcBorders>
              <w:bottom w:val="single" w:sz="8" w:color="FCE9E8"/>
            </w:tcBorders>
            <w:shd w:val="clear" w:color="auto" w:fill="FCE9E8"/>
          </w:tcPr>
          <w:p>
            <w:pPr>
              <w:spacing w:after="0"/>
              <w:rPr>
                <w:sz w:val="7"/>
                <w:szCs w:val="7"/>
                <w:color w:val="auto"/>
              </w:rPr>
            </w:pPr>
          </w:p>
        </w:tc>
        <w:tc>
          <w:tcPr>
            <w:tcW w:w="160" w:type="dxa"/>
            <w:vAlign w:val="bottom"/>
            <w:tcBorders>
              <w:bottom w:val="single" w:sz="8" w:color="FCE9E8"/>
            </w:tcBorders>
            <w:shd w:val="clear" w:color="auto" w:fill="FCE9E8"/>
          </w:tcPr>
          <w:p>
            <w:pPr>
              <w:spacing w:after="0"/>
              <w:rPr>
                <w:sz w:val="7"/>
                <w:szCs w:val="7"/>
                <w:color w:val="auto"/>
              </w:rPr>
            </w:pPr>
          </w:p>
        </w:tc>
        <w:tc>
          <w:tcPr>
            <w:tcW w:w="640" w:type="dxa"/>
            <w:vAlign w:val="bottom"/>
            <w:tcBorders>
              <w:bottom w:val="single" w:sz="8" w:color="FCE9E8"/>
            </w:tcBorders>
            <w:shd w:val="clear" w:color="auto" w:fill="FCE9E8"/>
          </w:tcPr>
          <w:p>
            <w:pPr>
              <w:spacing w:after="0"/>
              <w:rPr>
                <w:sz w:val="7"/>
                <w:szCs w:val="7"/>
                <w:color w:val="auto"/>
              </w:rPr>
            </w:pPr>
          </w:p>
        </w:tc>
        <w:tc>
          <w:tcPr>
            <w:tcW w:w="160" w:type="dxa"/>
            <w:vAlign w:val="bottom"/>
            <w:tcBorders>
              <w:bottom w:val="single" w:sz="8" w:color="FCE9E8"/>
            </w:tcBorders>
            <w:shd w:val="clear" w:color="auto" w:fill="FCE9E8"/>
          </w:tcPr>
          <w:p>
            <w:pPr>
              <w:spacing w:after="0"/>
              <w:rPr>
                <w:sz w:val="7"/>
                <w:szCs w:val="7"/>
                <w:color w:val="auto"/>
              </w:rPr>
            </w:pPr>
          </w:p>
        </w:tc>
        <w:tc>
          <w:tcPr>
            <w:tcW w:w="580" w:type="dxa"/>
            <w:vAlign w:val="bottom"/>
            <w:tcBorders>
              <w:bottom w:val="single" w:sz="8" w:color="FCE9E8"/>
            </w:tcBorders>
            <w:shd w:val="clear" w:color="auto" w:fill="FCE9E8"/>
          </w:tcPr>
          <w:p>
            <w:pPr>
              <w:spacing w:after="0"/>
              <w:rPr>
                <w:sz w:val="7"/>
                <w:szCs w:val="7"/>
                <w:color w:val="auto"/>
              </w:rPr>
            </w:pPr>
          </w:p>
        </w:tc>
        <w:tc>
          <w:tcPr>
            <w:tcW w:w="160" w:type="dxa"/>
            <w:vAlign w:val="bottom"/>
            <w:tcBorders>
              <w:bottom w:val="single" w:sz="8" w:color="FCE9E8"/>
            </w:tcBorders>
            <w:shd w:val="clear" w:color="auto" w:fill="FCE9E8"/>
          </w:tcPr>
          <w:p>
            <w:pPr>
              <w:spacing w:after="0"/>
              <w:rPr>
                <w:sz w:val="7"/>
                <w:szCs w:val="7"/>
                <w:color w:val="auto"/>
              </w:rPr>
            </w:pPr>
          </w:p>
        </w:tc>
        <w:tc>
          <w:tcPr>
            <w:tcW w:w="740" w:type="dxa"/>
            <w:vAlign w:val="bottom"/>
            <w:tcBorders>
              <w:bottom w:val="single" w:sz="8" w:color="FCE9E8"/>
            </w:tcBorders>
            <w:shd w:val="clear" w:color="auto" w:fill="FCE9E8"/>
          </w:tcPr>
          <w:p>
            <w:pPr>
              <w:spacing w:after="0"/>
              <w:rPr>
                <w:sz w:val="7"/>
                <w:szCs w:val="7"/>
                <w:color w:val="auto"/>
              </w:rPr>
            </w:pPr>
          </w:p>
        </w:tc>
        <w:tc>
          <w:tcPr>
            <w:tcW w:w="660" w:type="dxa"/>
            <w:vAlign w:val="bottom"/>
            <w:tcBorders>
              <w:bottom w:val="single" w:sz="8" w:color="FCE9E8"/>
            </w:tcBorders>
            <w:shd w:val="clear" w:color="auto" w:fill="FCE9E8"/>
          </w:tcPr>
          <w:p>
            <w:pPr>
              <w:spacing w:after="0"/>
              <w:rPr>
                <w:sz w:val="7"/>
                <w:szCs w:val="7"/>
                <w:color w:val="auto"/>
              </w:rPr>
            </w:pPr>
          </w:p>
        </w:tc>
        <w:tc>
          <w:tcPr>
            <w:tcW w:w="720" w:type="dxa"/>
            <w:vAlign w:val="bottom"/>
            <w:tcBorders>
              <w:bottom w:val="single" w:sz="8" w:color="FCE9E8"/>
            </w:tcBorders>
            <w:shd w:val="clear" w:color="auto" w:fill="FCE9E8"/>
          </w:tcPr>
          <w:p>
            <w:pPr>
              <w:spacing w:after="0"/>
              <w:rPr>
                <w:sz w:val="7"/>
                <w:szCs w:val="7"/>
                <w:color w:val="auto"/>
              </w:rPr>
            </w:pPr>
          </w:p>
        </w:tc>
        <w:tc>
          <w:tcPr>
            <w:tcW w:w="820" w:type="dxa"/>
            <w:vAlign w:val="bottom"/>
            <w:tcBorders>
              <w:bottom w:val="single" w:sz="8" w:color="FCE9E8"/>
            </w:tcBorders>
            <w:vMerge w:val="continue"/>
            <w:shd w:val="clear" w:color="auto" w:fill="FCE9E8"/>
          </w:tcPr>
          <w:p>
            <w:pPr>
              <w:spacing w:after="0"/>
              <w:rPr>
                <w:sz w:val="7"/>
                <w:szCs w:val="7"/>
                <w:color w:val="auto"/>
              </w:rPr>
            </w:pPr>
          </w:p>
        </w:tc>
        <w:tc>
          <w:tcPr>
            <w:tcW w:w="180" w:type="dxa"/>
            <w:vAlign w:val="bottom"/>
            <w:tcBorders>
              <w:bottom w:val="single" w:sz="8" w:color="FCE9E8"/>
            </w:tcBorders>
            <w:shd w:val="clear" w:color="auto" w:fill="FCE9E8"/>
          </w:tcPr>
          <w:p>
            <w:pPr>
              <w:spacing w:after="0"/>
              <w:rPr>
                <w:sz w:val="7"/>
                <w:szCs w:val="7"/>
                <w:color w:val="auto"/>
              </w:rPr>
            </w:pPr>
          </w:p>
        </w:tc>
        <w:tc>
          <w:tcPr>
            <w:tcW w:w="660" w:type="dxa"/>
            <w:vAlign w:val="bottom"/>
            <w:tcBorders>
              <w:bottom w:val="single" w:sz="8" w:color="FCE9E8"/>
            </w:tcBorders>
            <w:shd w:val="clear" w:color="auto" w:fill="FCE9E8"/>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2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Matthew J. Simoncini</w:t>
            </w:r>
            <w:r>
              <w:rPr>
                <w:rFonts w:ascii="Arial" w:cs="Arial" w:eastAsia="Arial" w:hAnsi="Arial"/>
                <w:sz w:val="10"/>
                <w:szCs w:val="10"/>
                <w:color w:val="auto"/>
              </w:rPr>
              <w:t>(6)</w:t>
            </w:r>
          </w:p>
        </w:tc>
        <w:tc>
          <w:tcPr>
            <w:tcW w:w="14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Annual Incentive Award</w:t>
            </w: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2"/>
                <w:szCs w:val="12"/>
                <w:color w:val="auto"/>
              </w:rPr>
              <w:t>$ 180,605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361,210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722,419</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27940</wp:posOffset>
            </wp:positionV>
            <wp:extent cx="69018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42" w:lineRule="exact"/>
        <w:rPr>
          <w:sz w:val="20"/>
          <w:szCs w:val="20"/>
          <w:color w:val="auto"/>
        </w:rPr>
      </w:pPr>
    </w:p>
    <w:p>
      <w:pPr>
        <w:ind w:left="600" w:right="40" w:hanging="320"/>
        <w:spacing w:after="0" w:line="212" w:lineRule="auto"/>
        <w:tabs>
          <w:tab w:leader="none" w:pos="60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For the Annual Incentive Award, the threshold, target and maximum amounts represent 50%, 100% and 200%, respectively, of the total bonus opportunity for each Named Executive Officer. If actual performance falls between threshold and target, between target and intermediate (175%) or between intermediate and maximum, the award would be calculated using linear interpolation. For the Annual Incentive Award, the target bonus opportunity for the Named Executive Officers was also based on a percentage of base salary, which is 90% for Mr. Vanneste, 80% for Mr. Larkin and 80% for Mr. DiDonato. Mr. Scott’s and Mr. Orsini’s target annual incentive opportunity for 2018 was 100% and 90%, respectively, of their base salaries prior to March 1, 2018 and increased to 150% and 100%, respectively, of their base salaries as of March 1, 2018. Accordingly, the target amounts shown above are based on the blended 2018 target bonus opportunities of 141.67% for Mr. Scott and</w:t>
      </w:r>
    </w:p>
    <w:p>
      <w:pPr>
        <w:spacing w:after="0" w:line="4" w:lineRule="exact"/>
        <w:rPr>
          <w:rFonts w:ascii="Arial" w:cs="Arial" w:eastAsia="Arial" w:hAnsi="Arial"/>
          <w:sz w:val="24"/>
          <w:szCs w:val="24"/>
          <w:color w:val="auto"/>
          <w:vertAlign w:val="superscript"/>
        </w:rPr>
      </w:pPr>
    </w:p>
    <w:p>
      <w:pPr>
        <w:ind w:left="600" w:right="60"/>
        <w:spacing w:after="0" w:line="252" w:lineRule="auto"/>
        <w:rPr>
          <w:rFonts w:ascii="Arial" w:cs="Arial" w:eastAsia="Arial" w:hAnsi="Arial"/>
          <w:sz w:val="24"/>
          <w:szCs w:val="24"/>
          <w:color w:val="auto"/>
          <w:vertAlign w:val="superscript"/>
        </w:rPr>
      </w:pPr>
      <w:r>
        <w:rPr>
          <w:rFonts w:ascii="Arial" w:cs="Arial" w:eastAsia="Arial" w:hAnsi="Arial"/>
          <w:sz w:val="14"/>
          <w:szCs w:val="14"/>
          <w:color w:val="auto"/>
        </w:rPr>
        <w:t>98.33% for Mr. Orsini. Mr. Simoncini was eligible to receive a prorated payout under the AIP for 2018 with respect to his two months of service as President and CEO at a target of 160% of his pre-transition annual base salary.</w:t>
      </w:r>
    </w:p>
    <w:p>
      <w:pPr>
        <w:spacing w:after="0" w:line="101" w:lineRule="exact"/>
        <w:rPr>
          <w:sz w:val="20"/>
          <w:szCs w:val="20"/>
          <w:color w:val="auto"/>
        </w:rPr>
      </w:pPr>
    </w:p>
    <w:p>
      <w:pPr>
        <w:ind w:left="740" w:hanging="359"/>
        <w:spacing w:after="0"/>
        <w:tabs>
          <w:tab w:leader="none" w:pos="7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60"/>
          </w:cols>
          <w:pgMar w:left="240" w:top="455"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40" w:lineRule="exact"/>
        <w:rPr>
          <w:sz w:val="20"/>
          <w:szCs w:val="20"/>
          <w:color w:val="auto"/>
        </w:rPr>
      </w:pPr>
    </w:p>
    <w:p>
      <w:pPr>
        <w:ind w:left="600" w:right="60" w:hanging="320"/>
        <w:spacing w:after="0" w:line="181" w:lineRule="auto"/>
        <w:tabs>
          <w:tab w:leader="none" w:pos="60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See Note 11, “Stock-Based Compensation,” to the Company’s consolidated financial statements included in our 2018 Annual Report on Form 10-K for the assumptions made in determining values.</w:t>
      </w:r>
    </w:p>
    <w:p>
      <w:pPr>
        <w:spacing w:after="0" w:line="70" w:lineRule="exact"/>
        <w:rPr>
          <w:rFonts w:ascii="Arial" w:cs="Arial" w:eastAsia="Arial" w:hAnsi="Arial"/>
          <w:sz w:val="24"/>
          <w:szCs w:val="24"/>
          <w:color w:val="auto"/>
          <w:vertAlign w:val="superscript"/>
        </w:rPr>
      </w:pPr>
    </w:p>
    <w:p>
      <w:pPr>
        <w:ind w:left="600" w:right="60" w:hanging="320"/>
        <w:spacing w:after="0" w:line="215" w:lineRule="auto"/>
        <w:tabs>
          <w:tab w:leader="none" w:pos="60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Payment of each Performance Share award is contingent on the Company attaining certain levels of Adjusted ROIC and Cumulative Adjusted Pre-Tax Income performance in the 2018-2020 performance period. Two-thirds of each Performance Share award can be earned based on Adjusted ROIC performance and one-third can be earned based on Cumulative Adjusted Pre-Tax Income performance. If threshold, target or maximum performance goals are attained in the performance period, 50%, 100% or 200% of the target amount, respectively, may be earned. If actual performance falls between threshold and maximum, the award would be calculated using linear interpolation. Messrs. Scott and Orsini received additional incremental Performance Share awards on March 1, 2018, in connection with their respective promotions.</w:t>
      </w:r>
    </w:p>
    <w:p>
      <w:pPr>
        <w:spacing w:after="0" w:line="70" w:lineRule="exact"/>
        <w:rPr>
          <w:rFonts w:ascii="Arial" w:cs="Arial" w:eastAsia="Arial" w:hAnsi="Arial"/>
          <w:sz w:val="24"/>
          <w:szCs w:val="24"/>
          <w:color w:val="auto"/>
          <w:vertAlign w:val="superscript"/>
        </w:rPr>
      </w:pPr>
    </w:p>
    <w:p>
      <w:pPr>
        <w:ind w:left="600" w:right="160" w:hanging="320"/>
        <w:spacing w:after="0" w:line="181" w:lineRule="auto"/>
        <w:tabs>
          <w:tab w:leader="none" w:pos="60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The RSUs vest and are paid in shares of Lear common stock on the third anniversary of the grant date. Messrs. Scott and Orsini received additional incremental RSU awards on March 1, 2018, in connection with their respective promotions, which vest on January 2, 2021.</w:t>
      </w:r>
    </w:p>
    <w:p>
      <w:pPr>
        <w:ind w:left="600" w:hanging="320"/>
        <w:spacing w:after="0" w:line="208" w:lineRule="auto"/>
        <w:tabs>
          <w:tab w:leader="none" w:pos="60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See “— Career Shares” below for an explanation regarding the vesting and distribution of the Career Shares.</w:t>
      </w:r>
    </w:p>
    <w:p>
      <w:pPr>
        <w:spacing w:after="0" w:line="69" w:lineRule="exact"/>
        <w:rPr>
          <w:rFonts w:ascii="Arial" w:cs="Arial" w:eastAsia="Arial" w:hAnsi="Arial"/>
          <w:sz w:val="24"/>
          <w:szCs w:val="24"/>
          <w:color w:val="auto"/>
          <w:vertAlign w:val="superscript"/>
        </w:rPr>
      </w:pPr>
    </w:p>
    <w:p>
      <w:pPr>
        <w:ind w:left="600" w:hanging="320"/>
        <w:spacing w:after="0" w:line="187" w:lineRule="auto"/>
        <w:tabs>
          <w:tab w:leader="none" w:pos="600" w:val="left"/>
        </w:tabs>
        <w:numPr>
          <w:ilvl w:val="0"/>
          <w:numId w:val="87"/>
        </w:numPr>
        <w:rPr>
          <w:rFonts w:ascii="Arial" w:cs="Arial" w:eastAsia="Arial" w:hAnsi="Arial"/>
          <w:sz w:val="19"/>
          <w:szCs w:val="19"/>
          <w:color w:val="auto"/>
          <w:vertAlign w:val="superscript"/>
        </w:rPr>
      </w:pPr>
      <w:r>
        <w:rPr>
          <w:rFonts w:ascii="Arial" w:cs="Arial" w:eastAsia="Arial" w:hAnsi="Arial"/>
          <w:sz w:val="12"/>
          <w:szCs w:val="12"/>
          <w:color w:val="auto"/>
        </w:rPr>
        <w:t>Mr. Simoncini did not receive any awards under the LTSIP in 2018.</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137" w:lineRule="exact"/>
        <w:rPr>
          <w:sz w:val="20"/>
          <w:szCs w:val="20"/>
          <w:color w:val="auto"/>
        </w:rPr>
      </w:pPr>
    </w:p>
    <w:p>
      <w:pPr>
        <w:ind w:left="280" w:right="1060"/>
        <w:spacing w:after="0" w:line="254" w:lineRule="auto"/>
        <w:rPr>
          <w:sz w:val="20"/>
          <w:szCs w:val="20"/>
          <w:color w:val="auto"/>
        </w:rPr>
      </w:pPr>
      <w:r>
        <w:rPr>
          <w:rFonts w:ascii="Arial" w:cs="Arial" w:eastAsia="Arial" w:hAnsi="Arial"/>
          <w:sz w:val="16"/>
          <w:szCs w:val="16"/>
          <w:color w:val="auto"/>
        </w:rPr>
        <w:t>A summary description of the Company’s AIP is set forth above under the heading “Compensation Discussion and Analysis — Elements of Compensation — Annual Incentives.”</w:t>
      </w:r>
    </w:p>
    <w:p>
      <w:pPr>
        <w:sectPr>
          <w:pgSz w:w="11900" w:h="16838" w:orient="portrait"/>
          <w:cols w:equalWidth="0" w:num="1">
            <w:col w:w="11140"/>
          </w:cols>
          <w:pgMar w:left="240" w:top="455" w:right="519" w:bottom="1440" w:gutter="0" w:footer="0" w:header="0"/>
        </w:sectPr>
      </w:pPr>
    </w:p>
    <w:p>
      <w:pPr>
        <w:spacing w:after="0" w:line="19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Performance Shares</w:t>
      </w:r>
    </w:p>
    <w:p>
      <w:pPr>
        <w:spacing w:after="0" w:line="191"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The Performance Share awards were granted pursuant to the LTSIP. Payment of each Performance Share award is contingent on the Company attaining certain levels of Adjusted ROIC and Cumulative Adjusted Pre-Tax Income in the 2018-2020 performance period. Two-thirds of each Performance Share award can be earned based on Adjusted ROIC performance and one-third can be earned based on Cumulative Adjusted Pre-Tax Income performance. If threshold, target or maximum performance goals are attained in a performance period, 50%, 100% or 200% of the target amount, respectively, may be earned. If actual performance falls between threshold and maximum, the award would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ind w:right="260"/>
        <w:spacing w:after="0" w:line="247" w:lineRule="auto"/>
        <w:rPr>
          <w:sz w:val="20"/>
          <w:szCs w:val="20"/>
          <w:color w:val="auto"/>
        </w:rPr>
      </w:pPr>
      <w:r>
        <w:rPr>
          <w:rFonts w:ascii="Arial" w:cs="Arial" w:eastAsia="Arial" w:hAnsi="Arial"/>
          <w:sz w:val="16"/>
          <w:szCs w:val="16"/>
          <w:color w:val="auto"/>
        </w:rPr>
        <w:t>calculated using linear interpolation. For a description of the effect of a termination of employment or a change in control on the vesting of Performance Shares, please see “Executive Compensation — Potential Payments Upon Termination or Change in Control.”</w:t>
      </w:r>
    </w:p>
    <w:p>
      <w:pPr>
        <w:spacing w:after="0" w:line="95"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Dividend equivalents are credited with respect to Performance Shares at the same time as dividends are paid on the Company’s common stock; however, the dollar amount of these dividend equivalents is not paid unless and until the performance goals are met with respect to the underlying Performance Shares.</w:t>
      </w:r>
    </w:p>
    <w:p>
      <w:pPr>
        <w:spacing w:after="0" w:line="462" w:lineRule="exact"/>
        <w:rPr>
          <w:sz w:val="20"/>
          <w:szCs w:val="20"/>
          <w:color w:val="auto"/>
        </w:rPr>
      </w:pPr>
    </w:p>
    <w:p>
      <w:pPr>
        <w:sectPr>
          <w:pgSz w:w="11900" w:h="16838" w:orient="portrait"/>
          <w:cols w:equalWidth="0" w:num="2">
            <w:col w:w="5420" w:space="400"/>
            <w:col w:w="5320"/>
          </w:cols>
          <w:pgMar w:left="240" w:top="455" w:right="519" w:bottom="1440" w:gutter="0" w:footer="0" w:header="0"/>
          <w:type w:val="continuous"/>
        </w:sectPr>
      </w:pPr>
    </w:p>
    <w:p>
      <w:pPr>
        <w:spacing w:after="0" w:line="15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1" w:lineRule="exact"/>
        <w:rPr>
          <w:sz w:val="20"/>
          <w:szCs w:val="20"/>
          <w:color w:val="auto"/>
        </w:rPr>
      </w:pPr>
    </w:p>
    <w:p>
      <w:pPr>
        <w:ind w:left="280" w:right="140"/>
        <w:spacing w:after="0" w:line="259" w:lineRule="auto"/>
        <w:rPr>
          <w:sz w:val="20"/>
          <w:szCs w:val="20"/>
          <w:color w:val="auto"/>
        </w:rPr>
      </w:pPr>
      <w:r>
        <w:rPr>
          <w:rFonts w:ascii="Arial" w:cs="Arial" w:eastAsia="Arial" w:hAnsi="Arial"/>
          <w:sz w:val="15"/>
          <w:szCs w:val="15"/>
          <w:color w:val="auto"/>
        </w:rPr>
        <w:t>The RSU awards were granted pursuant to the LTSIP. A summary description of the LTSIP is set forth above under the heading “Compensation Discussion and Analysis — Elements of Compensation</w:t>
      </w:r>
    </w:p>
    <w:p>
      <w:pPr>
        <w:spacing w:after="0" w:line="1" w:lineRule="exact"/>
        <w:rPr>
          <w:sz w:val="20"/>
          <w:szCs w:val="20"/>
          <w:color w:val="auto"/>
        </w:rPr>
      </w:pPr>
    </w:p>
    <w:p>
      <w:pPr>
        <w:ind w:left="280" w:right="40"/>
        <w:spacing w:after="0" w:line="245" w:lineRule="auto"/>
        <w:rPr>
          <w:sz w:val="20"/>
          <w:szCs w:val="20"/>
          <w:color w:val="auto"/>
        </w:rPr>
      </w:pPr>
      <w:r>
        <w:rPr>
          <w:rFonts w:ascii="Arial" w:cs="Arial" w:eastAsia="Arial" w:hAnsi="Arial"/>
          <w:sz w:val="16"/>
          <w:szCs w:val="16"/>
          <w:color w:val="auto"/>
        </w:rPr>
        <w:t>— Long-Term Incentives.” In general, the RSUs vest and settle in shares of common stock on the third anniversary of the grant date, generally subject to the executive’s continued employment. Vesting of RSUs granted prior to 2019 was also subject to the Company’s achievement of positive adjusted net income (the Company’s net income excluding the impact of restructuring and other special items</w:t>
      </w:r>
    </w:p>
    <w:p>
      <w:pPr>
        <w:spacing w:after="0" w:line="35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Career Shares</w:t>
      </w:r>
    </w:p>
    <w:p>
      <w:pPr>
        <w:spacing w:after="0" w:line="191" w:lineRule="exact"/>
        <w:rPr>
          <w:sz w:val="20"/>
          <w:szCs w:val="20"/>
          <w:color w:val="auto"/>
        </w:rPr>
      </w:pPr>
    </w:p>
    <w:p>
      <w:pPr>
        <w:ind w:left="280"/>
        <w:spacing w:after="0" w:line="273" w:lineRule="auto"/>
        <w:rPr>
          <w:sz w:val="20"/>
          <w:szCs w:val="20"/>
          <w:color w:val="auto"/>
        </w:rPr>
      </w:pPr>
      <w:r>
        <w:rPr>
          <w:rFonts w:ascii="Arial" w:cs="Arial" w:eastAsia="Arial" w:hAnsi="Arial"/>
          <w:sz w:val="15"/>
          <w:szCs w:val="15"/>
          <w:color w:val="auto"/>
        </w:rPr>
        <w:t>As shown in the table above, the Company granted “Career Shares” pursuant to the LTSIP to certain executives in 2018, including each of the Named Executive Officers (other than Messrs. Larkin and Simoncini).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jc w:val="both"/>
        <w:ind w:right="60"/>
        <w:spacing w:after="0" w:line="247" w:lineRule="auto"/>
        <w:rPr>
          <w:sz w:val="20"/>
          <w:szCs w:val="20"/>
          <w:color w:val="auto"/>
        </w:rPr>
      </w:pPr>
      <w:r>
        <w:rPr>
          <w:rFonts w:ascii="Arial" w:cs="Arial" w:eastAsia="Arial" w:hAnsi="Arial"/>
          <w:sz w:val="16"/>
          <w:szCs w:val="16"/>
          <w:color w:val="auto"/>
        </w:rPr>
        <w:t>provided in the LTSIP) in the fiscal year in which the RSUs were granted. For a description of the effect of a termination of employment or a change in control on the vesting of RSUs, please see “Executive Compensation — Potential Payments Upon Termination or Change in Control.”</w:t>
      </w:r>
    </w:p>
    <w:p>
      <w:pPr>
        <w:spacing w:after="0" w:line="9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Dividend equivalents are accrued with respect to RSUs at the same time as dividends are paid on the Company’s common stock. However, the dollar amount of these dividend equivalents is not paid unless and until the underlying RSUs vest and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In general, the underlying shares of common stock for the vested Career Share RSUs are not distributed until the later of (i) age 62 or (ii) the vesting date. If the executive terminates due to a Career Share “qualifying retirement” (</w:t>
      </w:r>
      <w:r>
        <w:rPr>
          <w:rFonts w:ascii="Arial" w:cs="Arial" w:eastAsia="Arial" w:hAnsi="Arial"/>
          <w:sz w:val="16"/>
          <w:szCs w:val="16"/>
          <w:i w:val="1"/>
          <w:iCs w:val="1"/>
          <w:color w:val="auto"/>
        </w:rPr>
        <w:t>i.e.</w:t>
      </w:r>
      <w:r>
        <w:rPr>
          <w:rFonts w:ascii="Arial" w:cs="Arial" w:eastAsia="Arial" w:hAnsi="Arial"/>
          <w:sz w:val="16"/>
          <w:szCs w:val="16"/>
          <w:color w:val="auto"/>
        </w:rPr>
        <w:t>, voluntary termination at or after age 62 or the date that the executive</w:t>
      </w:r>
    </w:p>
    <w:p>
      <w:pPr>
        <w:spacing w:after="0" w:line="244" w:lineRule="exact"/>
        <w:rPr>
          <w:sz w:val="20"/>
          <w:szCs w:val="20"/>
          <w:color w:val="auto"/>
        </w:rPr>
      </w:pPr>
    </w:p>
    <w:p>
      <w:pPr>
        <w:ind w:left="3120"/>
        <w:spacing w:after="0"/>
        <w:tabs>
          <w:tab w:leader="none" w:pos="4800" w:val="left"/>
          <w:tab w:leader="none" w:pos="502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47</w:t>
      </w:r>
    </w:p>
    <w:p>
      <w:pPr>
        <w:sectPr>
          <w:pgSz w:w="11900" w:h="16838" w:orient="portrait"/>
          <w:cols w:equalWidth="0" w:num="2">
            <w:col w:w="5440" w:space="380"/>
            <w:col w:w="5320"/>
          </w:cols>
          <w:pgMar w:left="240" w:top="455" w:right="51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10"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attains a combined number of age and years of service of 65, with a minimum age of 55 and minimum service of five years), the underlying shares of common stock for the vested RSUs are not distributed until the earlier of (i) age 62 (or such later vesting date) or (ii) three years after the executive’s qualifying retirement. If the executive has attained a combined number of age and years of service of at least 65, with a minimum 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0"/>
        <w:spacing w:after="0" w:line="245" w:lineRule="auto"/>
        <w:rPr>
          <w:sz w:val="20"/>
          <w:szCs w:val="20"/>
          <w:color w:val="auto"/>
        </w:rPr>
      </w:pPr>
      <w:r>
        <w:rPr>
          <w:rFonts w:ascii="Arial" w:cs="Arial" w:eastAsia="Arial" w:hAnsi="Arial"/>
          <w:sz w:val="16"/>
          <w:szCs w:val="16"/>
          <w:color w:val="auto"/>
        </w:rPr>
        <w:t>of 55 and minimum service of five years, or the executive is terminated without “cause” or resigns for “good reason,” in each case after the first anniversary of the grant date, the underlying shares of common stock for the vested RSUs are not distributed until the earlier of (i) age 62 (or such later vesting date) or (ii) three years after the executive’s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-1477645</wp:posOffset>
            </wp:positionV>
            <wp:extent cx="7291070"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387" w:lineRule="exact"/>
        <w:rPr>
          <w:sz w:val="20"/>
          <w:szCs w:val="20"/>
          <w:color w:val="auto"/>
        </w:rPr>
      </w:pPr>
    </w:p>
    <w:p>
      <w:pPr>
        <w:sectPr>
          <w:pgSz w:w="11900" w:h="16838" w:orient="portrait"/>
          <w:cols w:equalWidth="0" w:num="2">
            <w:col w:w="5440" w:space="380"/>
            <w:col w:w="5340"/>
          </w:cols>
          <w:pgMar w:left="240" w:top="455" w:right="499" w:bottom="1440" w:gutter="0" w:footer="0" w:header="0"/>
        </w:sectPr>
      </w:pPr>
    </w:p>
    <w:p>
      <w:pPr>
        <w:spacing w:after="0" w:line="175" w:lineRule="exact"/>
        <w:rPr>
          <w:sz w:val="20"/>
          <w:szCs w:val="20"/>
          <w:color w:val="auto"/>
        </w:rPr>
      </w:pPr>
    </w:p>
    <w:tbl>
      <w:tblPr>
        <w:tblLayout w:type="fixed"/>
        <w:tblInd w:w="280" w:type="dxa"/>
        <w:tblCellMar>
          <w:top w:w="0" w:type="dxa"/>
          <w:left w:w="0" w:type="dxa"/>
          <w:bottom w:w="0" w:type="dxa"/>
          <w:right w:w="0" w:type="dxa"/>
        </w:tblCellMar>
      </w:tblPr>
      <w:tr>
        <w:trPr>
          <w:trHeight w:val="293"/>
        </w:trPr>
        <w:tc>
          <w:tcPr>
            <w:tcW w:w="2280" w:type="dxa"/>
            <w:vAlign w:val="bottom"/>
            <w:shd w:val="clear" w:color="auto" w:fill="E2231A"/>
          </w:tcPr>
          <w:p>
            <w:pPr>
              <w:spacing w:after="0"/>
              <w:rPr>
                <w:sz w:val="24"/>
                <w:szCs w:val="24"/>
                <w:color w:val="auto"/>
              </w:rPr>
            </w:pPr>
          </w:p>
        </w:tc>
        <w:tc>
          <w:tcPr>
            <w:tcW w:w="6700" w:type="dxa"/>
            <w:vAlign w:val="bottom"/>
            <w:gridSpan w:val="5"/>
            <w:shd w:val="clear" w:color="auto" w:fill="E2231A"/>
          </w:tcPr>
          <w:p>
            <w:pPr>
              <w:jc w:val="right"/>
              <w:ind w:right="846"/>
              <w:spacing w:after="0"/>
              <w:rPr>
                <w:sz w:val="20"/>
                <w:szCs w:val="20"/>
                <w:color w:val="auto"/>
              </w:rPr>
            </w:pPr>
            <w:r>
              <w:rPr>
                <w:rFonts w:ascii="Arial" w:cs="Arial" w:eastAsia="Arial" w:hAnsi="Arial"/>
                <w:sz w:val="21"/>
                <w:szCs w:val="21"/>
                <w:b w:val="1"/>
                <w:bCs w:val="1"/>
                <w:color w:val="FFFFFF"/>
              </w:rPr>
              <w:t>2018 Outstanding Equity Awards At Fiscal Year-End</w:t>
            </w:r>
          </w:p>
        </w:tc>
        <w:tc>
          <w:tcPr>
            <w:tcW w:w="540" w:type="dxa"/>
            <w:vAlign w:val="bottom"/>
            <w:shd w:val="clear" w:color="auto" w:fill="E2231A"/>
          </w:tcPr>
          <w:p>
            <w:pPr>
              <w:spacing w:after="0"/>
              <w:rPr>
                <w:sz w:val="24"/>
                <w:szCs w:val="24"/>
                <w:color w:val="auto"/>
              </w:rPr>
            </w:pPr>
          </w:p>
        </w:tc>
        <w:tc>
          <w:tcPr>
            <w:tcW w:w="1360" w:type="dxa"/>
            <w:vAlign w:val="bottom"/>
            <w:shd w:val="clear" w:color="auto" w:fill="E2231A"/>
          </w:tcPr>
          <w:p>
            <w:pPr>
              <w:spacing w:after="0"/>
              <w:rPr>
                <w:sz w:val="24"/>
                <w:szCs w:val="24"/>
                <w:color w:val="auto"/>
              </w:rPr>
            </w:pPr>
          </w:p>
        </w:tc>
      </w:tr>
      <w:tr>
        <w:trPr>
          <w:trHeight w:val="408"/>
        </w:trPr>
        <w:tc>
          <w:tcPr>
            <w:tcW w:w="8980" w:type="dxa"/>
            <w:vAlign w:val="bottom"/>
            <w:gridSpan w:val="6"/>
          </w:tcPr>
          <w:p>
            <w:pPr>
              <w:jc w:val="right"/>
              <w:ind w:right="826"/>
              <w:spacing w:after="0"/>
              <w:rPr>
                <w:sz w:val="20"/>
                <w:szCs w:val="20"/>
                <w:color w:val="auto"/>
              </w:rPr>
            </w:pPr>
            <w:r>
              <w:rPr>
                <w:rFonts w:ascii="Arial" w:cs="Arial" w:eastAsia="Arial" w:hAnsi="Arial"/>
                <w:sz w:val="16"/>
                <w:szCs w:val="16"/>
                <w:color w:val="auto"/>
                <w:w w:val="99"/>
              </w:rPr>
              <w:t>The following table shows outstanding equity awards as of December 31, 2018, for each Named Executive Officer.</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2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1206"/>
              <w:spacing w:after="0"/>
              <w:rPr>
                <w:sz w:val="20"/>
                <w:szCs w:val="20"/>
                <w:color w:val="auto"/>
              </w:rPr>
            </w:pPr>
            <w:r>
              <w:rPr>
                <w:rFonts w:ascii="Arial" w:cs="Arial" w:eastAsia="Arial" w:hAnsi="Arial"/>
                <w:sz w:val="14"/>
                <w:szCs w:val="14"/>
                <w:b w:val="1"/>
                <w:bCs w:val="1"/>
                <w:color w:val="E2231A"/>
              </w:rPr>
              <w:t>Stock Awards</w:t>
            </w:r>
          </w:p>
        </w:tc>
        <w:tc>
          <w:tcPr>
            <w:tcW w:w="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40"/>
        </w:trPr>
        <w:tc>
          <w:tcPr>
            <w:tcW w:w="2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tcPr>
          <w:p>
            <w:pPr>
              <w:jc w:val="center"/>
              <w:ind w:right="526"/>
              <w:spacing w:after="0" w:line="140" w:lineRule="exact"/>
              <w:rPr>
                <w:sz w:val="20"/>
                <w:szCs w:val="20"/>
                <w:color w:val="auto"/>
              </w:rPr>
            </w:pPr>
            <w:r>
              <w:rPr>
                <w:rFonts w:ascii="Arial" w:cs="Arial" w:eastAsia="Arial" w:hAnsi="Arial"/>
                <w:sz w:val="14"/>
                <w:szCs w:val="14"/>
                <w:b w:val="1"/>
                <w:bCs w:val="1"/>
                <w:color w:val="E2231A"/>
              </w:rPr>
              <w:t>Equity</w:t>
            </w:r>
          </w:p>
        </w:tc>
      </w:tr>
      <w:tr>
        <w:trPr>
          <w:trHeight w:val="160"/>
        </w:trPr>
        <w:tc>
          <w:tcPr>
            <w:tcW w:w="2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tcPr>
          <w:p>
            <w:pPr>
              <w:jc w:val="center"/>
              <w:ind w:right="506"/>
              <w:spacing w:after="0" w:line="160" w:lineRule="exact"/>
              <w:rPr>
                <w:sz w:val="20"/>
                <w:szCs w:val="20"/>
                <w:color w:val="auto"/>
              </w:rPr>
            </w:pPr>
            <w:r>
              <w:rPr>
                <w:rFonts w:ascii="Arial" w:cs="Arial" w:eastAsia="Arial" w:hAnsi="Arial"/>
                <w:sz w:val="14"/>
                <w:szCs w:val="14"/>
                <w:b w:val="1"/>
                <w:bCs w:val="1"/>
                <w:color w:val="E2231A"/>
              </w:rPr>
              <w:t>Incentive</w:t>
            </w:r>
          </w:p>
        </w:tc>
      </w:tr>
      <w:tr>
        <w:trPr>
          <w:trHeight w:val="160"/>
        </w:trPr>
        <w:tc>
          <w:tcPr>
            <w:tcW w:w="2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tcPr>
          <w:p>
            <w:pPr>
              <w:jc w:val="center"/>
              <w:ind w:right="506"/>
              <w:spacing w:after="0" w:line="160" w:lineRule="exact"/>
              <w:rPr>
                <w:sz w:val="20"/>
                <w:szCs w:val="20"/>
                <w:color w:val="auto"/>
              </w:rPr>
            </w:pPr>
            <w:r>
              <w:rPr>
                <w:rFonts w:ascii="Arial" w:cs="Arial" w:eastAsia="Arial" w:hAnsi="Arial"/>
                <w:sz w:val="14"/>
                <w:szCs w:val="14"/>
                <w:b w:val="1"/>
                <w:bCs w:val="1"/>
                <w:color w:val="E2231A"/>
              </w:rPr>
              <w:t>Plan</w:t>
            </w:r>
          </w:p>
        </w:tc>
      </w:tr>
      <w:tr>
        <w:trPr>
          <w:trHeight w:val="160"/>
        </w:trPr>
        <w:tc>
          <w:tcPr>
            <w:tcW w:w="2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8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Equity</w:t>
            </w:r>
          </w:p>
        </w:tc>
        <w:tc>
          <w:tcPr>
            <w:tcW w:w="540" w:type="dxa"/>
            <w:vAlign w:val="bottom"/>
          </w:tcPr>
          <w:p>
            <w:pPr>
              <w:spacing w:after="0"/>
              <w:rPr>
                <w:sz w:val="13"/>
                <w:szCs w:val="13"/>
                <w:color w:val="auto"/>
              </w:rPr>
            </w:pPr>
          </w:p>
        </w:tc>
        <w:tc>
          <w:tcPr>
            <w:tcW w:w="1360" w:type="dxa"/>
            <w:vAlign w:val="bottom"/>
          </w:tcPr>
          <w:p>
            <w:pPr>
              <w:jc w:val="center"/>
              <w:ind w:right="526"/>
              <w:spacing w:after="0" w:line="160" w:lineRule="exact"/>
              <w:rPr>
                <w:sz w:val="20"/>
                <w:szCs w:val="20"/>
                <w:color w:val="auto"/>
              </w:rPr>
            </w:pPr>
            <w:r>
              <w:rPr>
                <w:rFonts w:ascii="Arial" w:cs="Arial" w:eastAsia="Arial" w:hAnsi="Arial"/>
                <w:sz w:val="14"/>
                <w:szCs w:val="14"/>
                <w:b w:val="1"/>
                <w:bCs w:val="1"/>
                <w:color w:val="E2231A"/>
              </w:rPr>
              <w:t>Awards:</w:t>
            </w:r>
          </w:p>
        </w:tc>
      </w:tr>
      <w:tr>
        <w:trPr>
          <w:trHeight w:val="160"/>
        </w:trPr>
        <w:tc>
          <w:tcPr>
            <w:tcW w:w="2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8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Incentive Plan</w:t>
            </w:r>
          </w:p>
        </w:tc>
        <w:tc>
          <w:tcPr>
            <w:tcW w:w="540" w:type="dxa"/>
            <w:vAlign w:val="bottom"/>
          </w:tcPr>
          <w:p>
            <w:pPr>
              <w:spacing w:after="0"/>
              <w:rPr>
                <w:sz w:val="13"/>
                <w:szCs w:val="13"/>
                <w:color w:val="auto"/>
              </w:rPr>
            </w:pPr>
          </w:p>
        </w:tc>
        <w:tc>
          <w:tcPr>
            <w:tcW w:w="1360" w:type="dxa"/>
            <w:vAlign w:val="bottom"/>
          </w:tcPr>
          <w:p>
            <w:pPr>
              <w:jc w:val="center"/>
              <w:ind w:right="526"/>
              <w:spacing w:after="0" w:line="160" w:lineRule="exact"/>
              <w:rPr>
                <w:sz w:val="20"/>
                <w:szCs w:val="20"/>
                <w:color w:val="auto"/>
              </w:rPr>
            </w:pPr>
            <w:r>
              <w:rPr>
                <w:rFonts w:ascii="Arial" w:cs="Arial" w:eastAsia="Arial" w:hAnsi="Arial"/>
                <w:sz w:val="14"/>
                <w:szCs w:val="14"/>
                <w:b w:val="1"/>
                <w:bCs w:val="1"/>
                <w:color w:val="E2231A"/>
              </w:rPr>
              <w:t>Market or</w:t>
            </w:r>
          </w:p>
        </w:tc>
      </w:tr>
      <w:tr>
        <w:trPr>
          <w:trHeight w:val="160"/>
        </w:trPr>
        <w:tc>
          <w:tcPr>
            <w:tcW w:w="2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8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Awards:</w:t>
            </w:r>
          </w:p>
        </w:tc>
        <w:tc>
          <w:tcPr>
            <w:tcW w:w="540" w:type="dxa"/>
            <w:vAlign w:val="bottom"/>
          </w:tcPr>
          <w:p>
            <w:pPr>
              <w:spacing w:after="0"/>
              <w:rPr>
                <w:sz w:val="13"/>
                <w:szCs w:val="13"/>
                <w:color w:val="auto"/>
              </w:rPr>
            </w:pPr>
          </w:p>
        </w:tc>
        <w:tc>
          <w:tcPr>
            <w:tcW w:w="1360" w:type="dxa"/>
            <w:vAlign w:val="bottom"/>
          </w:tcPr>
          <w:p>
            <w:pPr>
              <w:jc w:val="center"/>
              <w:ind w:right="526"/>
              <w:spacing w:after="0" w:line="160" w:lineRule="exact"/>
              <w:rPr>
                <w:sz w:val="20"/>
                <w:szCs w:val="20"/>
                <w:color w:val="auto"/>
              </w:rPr>
            </w:pPr>
            <w:r>
              <w:rPr>
                <w:rFonts w:ascii="Arial" w:cs="Arial" w:eastAsia="Arial" w:hAnsi="Arial"/>
                <w:sz w:val="14"/>
                <w:szCs w:val="14"/>
                <w:b w:val="1"/>
                <w:bCs w:val="1"/>
                <w:color w:val="E2231A"/>
              </w:rPr>
              <w:t>Payout</w:t>
            </w:r>
          </w:p>
        </w:tc>
      </w:tr>
      <w:tr>
        <w:trPr>
          <w:trHeight w:val="160"/>
        </w:trPr>
        <w:tc>
          <w:tcPr>
            <w:tcW w:w="2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8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Number of</w:t>
            </w:r>
          </w:p>
        </w:tc>
        <w:tc>
          <w:tcPr>
            <w:tcW w:w="540" w:type="dxa"/>
            <w:vAlign w:val="bottom"/>
          </w:tcPr>
          <w:p>
            <w:pPr>
              <w:spacing w:after="0"/>
              <w:rPr>
                <w:sz w:val="13"/>
                <w:szCs w:val="13"/>
                <w:color w:val="auto"/>
              </w:rPr>
            </w:pPr>
          </w:p>
        </w:tc>
        <w:tc>
          <w:tcPr>
            <w:tcW w:w="1360" w:type="dxa"/>
            <w:vAlign w:val="bottom"/>
          </w:tcPr>
          <w:p>
            <w:pPr>
              <w:jc w:val="center"/>
              <w:ind w:right="506"/>
              <w:spacing w:after="0" w:line="160" w:lineRule="exact"/>
              <w:rPr>
                <w:sz w:val="20"/>
                <w:szCs w:val="20"/>
                <w:color w:val="auto"/>
              </w:rPr>
            </w:pPr>
            <w:r>
              <w:rPr>
                <w:rFonts w:ascii="Arial" w:cs="Arial" w:eastAsia="Arial" w:hAnsi="Arial"/>
                <w:sz w:val="14"/>
                <w:szCs w:val="14"/>
                <w:b w:val="1"/>
                <w:bCs w:val="1"/>
                <w:color w:val="E2231A"/>
                <w:w w:val="99"/>
              </w:rPr>
              <w:t>Value of</w:t>
            </w:r>
          </w:p>
        </w:tc>
      </w:tr>
      <w:tr>
        <w:trPr>
          <w:trHeight w:val="160"/>
        </w:trPr>
        <w:tc>
          <w:tcPr>
            <w:tcW w:w="2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8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Unearned</w:t>
            </w:r>
          </w:p>
        </w:tc>
        <w:tc>
          <w:tcPr>
            <w:tcW w:w="540" w:type="dxa"/>
            <w:vAlign w:val="bottom"/>
          </w:tcPr>
          <w:p>
            <w:pPr>
              <w:spacing w:after="0"/>
              <w:rPr>
                <w:sz w:val="13"/>
                <w:szCs w:val="13"/>
                <w:color w:val="auto"/>
              </w:rPr>
            </w:pPr>
          </w:p>
        </w:tc>
        <w:tc>
          <w:tcPr>
            <w:tcW w:w="1360" w:type="dxa"/>
            <w:vAlign w:val="bottom"/>
          </w:tcPr>
          <w:p>
            <w:pPr>
              <w:jc w:val="center"/>
              <w:ind w:right="506"/>
              <w:spacing w:after="0" w:line="160" w:lineRule="exact"/>
              <w:rPr>
                <w:sz w:val="20"/>
                <w:szCs w:val="20"/>
                <w:color w:val="auto"/>
              </w:rPr>
            </w:pPr>
            <w:r>
              <w:rPr>
                <w:rFonts w:ascii="Arial" w:cs="Arial" w:eastAsia="Arial" w:hAnsi="Arial"/>
                <w:sz w:val="14"/>
                <w:szCs w:val="14"/>
                <w:b w:val="1"/>
                <w:bCs w:val="1"/>
                <w:color w:val="E2231A"/>
              </w:rPr>
              <w:t>Unearned</w:t>
            </w:r>
          </w:p>
        </w:tc>
      </w:tr>
      <w:tr>
        <w:trPr>
          <w:trHeight w:val="160"/>
        </w:trPr>
        <w:tc>
          <w:tcPr>
            <w:tcW w:w="2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tcPr>
          <w:p>
            <w:pPr>
              <w:jc w:val="center"/>
              <w:ind w:right="11"/>
              <w:spacing w:after="0" w:line="160" w:lineRule="exact"/>
              <w:rPr>
                <w:sz w:val="20"/>
                <w:szCs w:val="20"/>
                <w:color w:val="auto"/>
              </w:rPr>
            </w:pPr>
            <w:r>
              <w:rPr>
                <w:rFonts w:ascii="Arial" w:cs="Arial" w:eastAsia="Arial" w:hAnsi="Arial"/>
                <w:sz w:val="14"/>
                <w:szCs w:val="14"/>
                <w:b w:val="1"/>
                <w:bCs w:val="1"/>
                <w:color w:val="E2231A"/>
                <w:w w:val="99"/>
              </w:rPr>
              <w:t>Number of</w:t>
            </w:r>
          </w:p>
        </w:tc>
        <w:tc>
          <w:tcPr>
            <w:tcW w:w="17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E2231A"/>
                <w:w w:val="99"/>
              </w:rPr>
              <w:t>Market Value</w:t>
            </w:r>
          </w:p>
        </w:tc>
        <w:tc>
          <w:tcPr>
            <w:tcW w:w="178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Shares, Units</w:t>
            </w:r>
          </w:p>
        </w:tc>
        <w:tc>
          <w:tcPr>
            <w:tcW w:w="540" w:type="dxa"/>
            <w:vAlign w:val="bottom"/>
          </w:tcPr>
          <w:p>
            <w:pPr>
              <w:spacing w:after="0"/>
              <w:rPr>
                <w:sz w:val="13"/>
                <w:szCs w:val="13"/>
                <w:color w:val="auto"/>
              </w:rPr>
            </w:pPr>
          </w:p>
        </w:tc>
        <w:tc>
          <w:tcPr>
            <w:tcW w:w="1360" w:type="dxa"/>
            <w:vAlign w:val="bottom"/>
          </w:tcPr>
          <w:p>
            <w:pPr>
              <w:jc w:val="center"/>
              <w:ind w:right="526"/>
              <w:spacing w:after="0" w:line="160" w:lineRule="exact"/>
              <w:rPr>
                <w:sz w:val="20"/>
                <w:szCs w:val="20"/>
                <w:color w:val="auto"/>
              </w:rPr>
            </w:pPr>
            <w:r>
              <w:rPr>
                <w:rFonts w:ascii="Arial" w:cs="Arial" w:eastAsia="Arial" w:hAnsi="Arial"/>
                <w:sz w:val="14"/>
                <w:szCs w:val="14"/>
                <w:b w:val="1"/>
                <w:bCs w:val="1"/>
                <w:color w:val="E2231A"/>
              </w:rPr>
              <w:t>Shares,</w:t>
            </w:r>
          </w:p>
        </w:tc>
      </w:tr>
      <w:tr>
        <w:trPr>
          <w:trHeight w:val="160"/>
        </w:trPr>
        <w:tc>
          <w:tcPr>
            <w:tcW w:w="2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tcPr>
          <w:p>
            <w:pPr>
              <w:jc w:val="center"/>
              <w:ind w:right="11"/>
              <w:spacing w:after="0" w:line="160" w:lineRule="exact"/>
              <w:rPr>
                <w:sz w:val="20"/>
                <w:szCs w:val="20"/>
                <w:color w:val="auto"/>
              </w:rPr>
            </w:pPr>
            <w:r>
              <w:rPr>
                <w:rFonts w:ascii="Arial" w:cs="Arial" w:eastAsia="Arial" w:hAnsi="Arial"/>
                <w:sz w:val="14"/>
                <w:szCs w:val="14"/>
                <w:b w:val="1"/>
                <w:bCs w:val="1"/>
                <w:color w:val="E2231A"/>
              </w:rPr>
              <w:t>Shares or</w:t>
            </w:r>
          </w:p>
        </w:tc>
        <w:tc>
          <w:tcPr>
            <w:tcW w:w="17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E2231A"/>
              </w:rPr>
              <w:t>of Shares or</w:t>
            </w:r>
          </w:p>
        </w:tc>
        <w:tc>
          <w:tcPr>
            <w:tcW w:w="178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or Other</w:t>
            </w:r>
          </w:p>
        </w:tc>
        <w:tc>
          <w:tcPr>
            <w:tcW w:w="540" w:type="dxa"/>
            <w:vAlign w:val="bottom"/>
          </w:tcPr>
          <w:p>
            <w:pPr>
              <w:spacing w:after="0"/>
              <w:rPr>
                <w:sz w:val="13"/>
                <w:szCs w:val="13"/>
                <w:color w:val="auto"/>
              </w:rPr>
            </w:pPr>
          </w:p>
        </w:tc>
        <w:tc>
          <w:tcPr>
            <w:tcW w:w="1360" w:type="dxa"/>
            <w:vAlign w:val="bottom"/>
          </w:tcPr>
          <w:p>
            <w:pPr>
              <w:jc w:val="center"/>
              <w:ind w:right="506"/>
              <w:spacing w:after="0" w:line="160" w:lineRule="exact"/>
              <w:rPr>
                <w:sz w:val="20"/>
                <w:szCs w:val="20"/>
                <w:color w:val="auto"/>
              </w:rPr>
            </w:pPr>
            <w:r>
              <w:rPr>
                <w:rFonts w:ascii="Arial" w:cs="Arial" w:eastAsia="Arial" w:hAnsi="Arial"/>
                <w:sz w:val="14"/>
                <w:szCs w:val="14"/>
                <w:b w:val="1"/>
                <w:bCs w:val="1"/>
                <w:color w:val="E2231A"/>
              </w:rPr>
              <w:t>Units or</w:t>
            </w:r>
          </w:p>
        </w:tc>
      </w:tr>
      <w:tr>
        <w:trPr>
          <w:trHeight w:val="160"/>
        </w:trPr>
        <w:tc>
          <w:tcPr>
            <w:tcW w:w="2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tcPr>
          <w:p>
            <w:pPr>
              <w:jc w:val="center"/>
              <w:ind w:right="11"/>
              <w:spacing w:after="0" w:line="160" w:lineRule="exact"/>
              <w:rPr>
                <w:sz w:val="20"/>
                <w:szCs w:val="20"/>
                <w:color w:val="auto"/>
              </w:rPr>
            </w:pPr>
            <w:r>
              <w:rPr>
                <w:rFonts w:ascii="Arial" w:cs="Arial" w:eastAsia="Arial" w:hAnsi="Arial"/>
                <w:sz w:val="14"/>
                <w:szCs w:val="14"/>
                <w:b w:val="1"/>
                <w:bCs w:val="1"/>
                <w:color w:val="E2231A"/>
                <w:w w:val="99"/>
              </w:rPr>
              <w:t>Units of Stock</w:t>
            </w:r>
          </w:p>
        </w:tc>
        <w:tc>
          <w:tcPr>
            <w:tcW w:w="1740" w:type="dxa"/>
            <w:vAlign w:val="bottom"/>
            <w:gridSpan w:val="2"/>
          </w:tcPr>
          <w:p>
            <w:pPr>
              <w:ind w:left="380"/>
              <w:spacing w:after="0" w:line="160" w:lineRule="exact"/>
              <w:rPr>
                <w:sz w:val="20"/>
                <w:szCs w:val="20"/>
                <w:color w:val="auto"/>
              </w:rPr>
            </w:pPr>
            <w:r>
              <w:rPr>
                <w:rFonts w:ascii="Arial" w:cs="Arial" w:eastAsia="Arial" w:hAnsi="Arial"/>
                <w:sz w:val="14"/>
                <w:szCs w:val="14"/>
                <w:b w:val="1"/>
                <w:bCs w:val="1"/>
                <w:color w:val="E2231A"/>
              </w:rPr>
              <w:t>Units of Stock</w:t>
            </w:r>
          </w:p>
        </w:tc>
        <w:tc>
          <w:tcPr>
            <w:tcW w:w="178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Rights that</w:t>
            </w:r>
          </w:p>
        </w:tc>
        <w:tc>
          <w:tcPr>
            <w:tcW w:w="190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E2231A"/>
              </w:rPr>
              <w:t>Other Rights</w:t>
            </w:r>
          </w:p>
        </w:tc>
      </w:tr>
      <w:tr>
        <w:trPr>
          <w:trHeight w:val="156"/>
        </w:trPr>
        <w:tc>
          <w:tcPr>
            <w:tcW w:w="2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tcPr>
          <w:p>
            <w:pPr>
              <w:jc w:val="center"/>
              <w:ind w:right="31"/>
              <w:spacing w:after="0" w:line="157" w:lineRule="exact"/>
              <w:rPr>
                <w:sz w:val="20"/>
                <w:szCs w:val="20"/>
                <w:color w:val="auto"/>
              </w:rPr>
            </w:pPr>
            <w:r>
              <w:rPr>
                <w:rFonts w:ascii="Arial" w:cs="Arial" w:eastAsia="Arial" w:hAnsi="Arial"/>
                <w:sz w:val="14"/>
                <w:szCs w:val="14"/>
                <w:b w:val="1"/>
                <w:bCs w:val="1"/>
                <w:color w:val="E2231A"/>
              </w:rPr>
              <w:t>That Have</w:t>
            </w:r>
          </w:p>
        </w:tc>
        <w:tc>
          <w:tcPr>
            <w:tcW w:w="1740" w:type="dxa"/>
            <w:vAlign w:val="bottom"/>
            <w:gridSpan w:val="2"/>
          </w:tcPr>
          <w:p>
            <w:pPr>
              <w:ind w:left="380"/>
              <w:spacing w:after="0" w:line="157" w:lineRule="exact"/>
              <w:rPr>
                <w:sz w:val="20"/>
                <w:szCs w:val="20"/>
                <w:color w:val="auto"/>
              </w:rPr>
            </w:pPr>
            <w:r>
              <w:rPr>
                <w:rFonts w:ascii="Arial" w:cs="Arial" w:eastAsia="Arial" w:hAnsi="Arial"/>
                <w:sz w:val="14"/>
                <w:szCs w:val="14"/>
                <w:b w:val="1"/>
                <w:bCs w:val="1"/>
                <w:color w:val="E2231A"/>
              </w:rPr>
              <w:t>That Have Not</w:t>
            </w:r>
          </w:p>
        </w:tc>
        <w:tc>
          <w:tcPr>
            <w:tcW w:w="1780" w:type="dxa"/>
            <w:vAlign w:val="bottom"/>
          </w:tcPr>
          <w:p>
            <w:pPr>
              <w:jc w:val="center"/>
              <w:spacing w:after="0" w:line="157" w:lineRule="exact"/>
              <w:rPr>
                <w:sz w:val="20"/>
                <w:szCs w:val="20"/>
                <w:color w:val="auto"/>
              </w:rPr>
            </w:pPr>
            <w:r>
              <w:rPr>
                <w:rFonts w:ascii="Arial" w:cs="Arial" w:eastAsia="Arial" w:hAnsi="Arial"/>
                <w:sz w:val="14"/>
                <w:szCs w:val="14"/>
                <w:b w:val="1"/>
                <w:bCs w:val="1"/>
                <w:color w:val="E2231A"/>
              </w:rPr>
              <w:t>have Not</w:t>
            </w:r>
          </w:p>
        </w:tc>
        <w:tc>
          <w:tcPr>
            <w:tcW w:w="540" w:type="dxa"/>
            <w:vAlign w:val="bottom"/>
          </w:tcPr>
          <w:p>
            <w:pPr>
              <w:spacing w:after="0"/>
              <w:rPr>
                <w:sz w:val="13"/>
                <w:szCs w:val="13"/>
                <w:color w:val="auto"/>
              </w:rPr>
            </w:pPr>
          </w:p>
        </w:tc>
        <w:tc>
          <w:tcPr>
            <w:tcW w:w="1360" w:type="dxa"/>
            <w:vAlign w:val="bottom"/>
          </w:tcPr>
          <w:p>
            <w:pPr>
              <w:jc w:val="center"/>
              <w:ind w:right="506"/>
              <w:spacing w:after="0" w:line="157" w:lineRule="exact"/>
              <w:rPr>
                <w:sz w:val="20"/>
                <w:szCs w:val="20"/>
                <w:color w:val="auto"/>
              </w:rPr>
            </w:pPr>
            <w:r>
              <w:rPr>
                <w:rFonts w:ascii="Arial" w:cs="Arial" w:eastAsia="Arial" w:hAnsi="Arial"/>
                <w:sz w:val="14"/>
                <w:szCs w:val="14"/>
                <w:b w:val="1"/>
                <w:bCs w:val="1"/>
                <w:color w:val="E2231A"/>
              </w:rPr>
              <w:t>that have</w:t>
            </w:r>
          </w:p>
        </w:tc>
      </w:tr>
      <w:tr>
        <w:trPr>
          <w:trHeight w:val="176"/>
        </w:trPr>
        <w:tc>
          <w:tcPr>
            <w:tcW w:w="22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Name(a)</w:t>
            </w:r>
          </w:p>
        </w:tc>
        <w:tc>
          <w:tcPr>
            <w:tcW w:w="14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91"/>
              <w:spacing w:after="0" w:line="177" w:lineRule="exact"/>
              <w:rPr>
                <w:sz w:val="20"/>
                <w:szCs w:val="20"/>
                <w:color w:val="auto"/>
              </w:rPr>
            </w:pPr>
            <w:r>
              <w:rPr>
                <w:rFonts w:ascii="Arial" w:cs="Arial" w:eastAsia="Arial" w:hAnsi="Arial"/>
                <w:sz w:val="12"/>
                <w:szCs w:val="12"/>
                <w:b w:val="1"/>
                <w:bCs w:val="1"/>
                <w:color w:val="E2231A"/>
              </w:rPr>
              <w:t>Not Vested</w:t>
            </w:r>
            <w:r>
              <w:rPr>
                <w:rFonts w:ascii="Arial" w:cs="Arial" w:eastAsia="Arial" w:hAnsi="Arial"/>
                <w:sz w:val="20"/>
                <w:szCs w:val="20"/>
                <w:b w:val="1"/>
                <w:bCs w:val="1"/>
                <w:color w:val="E2231A"/>
                <w:vertAlign w:val="superscript"/>
              </w:rPr>
              <w:t>(1)</w:t>
            </w:r>
            <w:r>
              <w:rPr>
                <w:rFonts w:ascii="Arial" w:cs="Arial" w:eastAsia="Arial" w:hAnsi="Arial"/>
                <w:sz w:val="12"/>
                <w:szCs w:val="12"/>
                <w:b w:val="1"/>
                <w:bCs w:val="1"/>
                <w:color w:val="E2231A"/>
              </w:rPr>
              <w:t>(g)</w:t>
            </w:r>
          </w:p>
        </w:tc>
        <w:tc>
          <w:tcPr>
            <w:tcW w:w="1740" w:type="dxa"/>
            <w:vAlign w:val="bottom"/>
            <w:tcBorders>
              <w:bottom w:val="single" w:sz="8" w:color="auto"/>
            </w:tcBorders>
            <w:gridSpan w:val="2"/>
          </w:tcPr>
          <w:p>
            <w:pPr>
              <w:jc w:val="center"/>
              <w:spacing w:after="0" w:line="177" w:lineRule="exact"/>
              <w:rPr>
                <w:sz w:val="20"/>
                <w:szCs w:val="20"/>
                <w:color w:val="auto"/>
              </w:rPr>
            </w:pPr>
            <w:r>
              <w:rPr>
                <w:rFonts w:ascii="Arial" w:cs="Arial" w:eastAsia="Arial" w:hAnsi="Arial"/>
                <w:sz w:val="12"/>
                <w:szCs w:val="12"/>
                <w:b w:val="1"/>
                <w:bCs w:val="1"/>
                <w:color w:val="E2231A"/>
              </w:rPr>
              <w:t>Vested</w:t>
            </w:r>
            <w:r>
              <w:rPr>
                <w:rFonts w:ascii="Arial" w:cs="Arial" w:eastAsia="Arial" w:hAnsi="Arial"/>
                <w:sz w:val="20"/>
                <w:szCs w:val="20"/>
                <w:b w:val="1"/>
                <w:bCs w:val="1"/>
                <w:color w:val="E2231A"/>
                <w:vertAlign w:val="superscript"/>
              </w:rPr>
              <w:t>(2)</w:t>
            </w:r>
            <w:r>
              <w:rPr>
                <w:rFonts w:ascii="Arial" w:cs="Arial" w:eastAsia="Arial" w:hAnsi="Arial"/>
                <w:sz w:val="12"/>
                <w:szCs w:val="12"/>
                <w:b w:val="1"/>
                <w:bCs w:val="1"/>
                <w:color w:val="E2231A"/>
              </w:rPr>
              <w:t>(h)</w:t>
            </w:r>
          </w:p>
        </w:tc>
        <w:tc>
          <w:tcPr>
            <w:tcW w:w="1780" w:type="dxa"/>
            <w:vAlign w:val="bottom"/>
            <w:tcBorders>
              <w:bottom w:val="single" w:sz="8" w:color="auto"/>
            </w:tcBorders>
          </w:tcPr>
          <w:p>
            <w:pPr>
              <w:jc w:val="center"/>
              <w:spacing w:after="0" w:line="177" w:lineRule="exact"/>
              <w:rPr>
                <w:sz w:val="20"/>
                <w:szCs w:val="20"/>
                <w:color w:val="auto"/>
              </w:rPr>
            </w:pPr>
            <w:r>
              <w:rPr>
                <w:rFonts w:ascii="Arial" w:cs="Arial" w:eastAsia="Arial" w:hAnsi="Arial"/>
                <w:sz w:val="12"/>
                <w:szCs w:val="12"/>
                <w:b w:val="1"/>
                <w:bCs w:val="1"/>
                <w:color w:val="E2231A"/>
              </w:rPr>
              <w:t>Vested</w:t>
            </w:r>
            <w:r>
              <w:rPr>
                <w:rFonts w:ascii="Arial" w:cs="Arial" w:eastAsia="Arial" w:hAnsi="Arial"/>
                <w:sz w:val="20"/>
                <w:szCs w:val="20"/>
                <w:b w:val="1"/>
                <w:bCs w:val="1"/>
                <w:color w:val="E2231A"/>
                <w:vertAlign w:val="superscript"/>
              </w:rPr>
              <w:t>(3)</w:t>
            </w:r>
            <w:r>
              <w:rPr>
                <w:rFonts w:ascii="Arial" w:cs="Arial" w:eastAsia="Arial" w:hAnsi="Arial"/>
                <w:sz w:val="12"/>
                <w:szCs w:val="12"/>
                <w:b w:val="1"/>
                <w:bCs w:val="1"/>
                <w:color w:val="E2231A"/>
              </w:rPr>
              <w:t>(i)</w:t>
            </w:r>
          </w:p>
        </w:tc>
        <w:tc>
          <w:tcPr>
            <w:tcW w:w="1900" w:type="dxa"/>
            <w:vAlign w:val="bottom"/>
            <w:tcBorders>
              <w:bottom w:val="single" w:sz="8" w:color="auto"/>
            </w:tcBorders>
            <w:gridSpan w:val="2"/>
          </w:tcPr>
          <w:p>
            <w:pPr>
              <w:jc w:val="center"/>
              <w:spacing w:after="0" w:line="177" w:lineRule="exact"/>
              <w:rPr>
                <w:sz w:val="20"/>
                <w:szCs w:val="20"/>
                <w:color w:val="auto"/>
              </w:rPr>
            </w:pPr>
            <w:r>
              <w:rPr>
                <w:rFonts w:ascii="Arial" w:cs="Arial" w:eastAsia="Arial" w:hAnsi="Arial"/>
                <w:sz w:val="12"/>
                <w:szCs w:val="12"/>
                <w:b w:val="1"/>
                <w:bCs w:val="1"/>
                <w:color w:val="E2231A"/>
              </w:rPr>
              <w:t>Not Vested</w:t>
            </w:r>
            <w:r>
              <w:rPr>
                <w:rFonts w:ascii="Arial" w:cs="Arial" w:eastAsia="Arial" w:hAnsi="Arial"/>
                <w:sz w:val="20"/>
                <w:szCs w:val="20"/>
                <w:b w:val="1"/>
                <w:bCs w:val="1"/>
                <w:color w:val="E2231A"/>
                <w:vertAlign w:val="superscript"/>
              </w:rPr>
              <w:t>(3)</w:t>
            </w:r>
            <w:r>
              <w:rPr>
                <w:rFonts w:ascii="Arial" w:cs="Arial" w:eastAsia="Arial" w:hAnsi="Arial"/>
                <w:sz w:val="12"/>
                <w:szCs w:val="12"/>
                <w:b w:val="1"/>
                <w:bCs w:val="1"/>
                <w:color w:val="E2231A"/>
              </w:rPr>
              <w:t>(j)</w:t>
            </w:r>
          </w:p>
        </w:tc>
      </w:tr>
      <w:tr>
        <w:trPr>
          <w:trHeight w:val="180"/>
        </w:trPr>
        <w:tc>
          <w:tcPr>
            <w:tcW w:w="2280" w:type="dxa"/>
            <w:vAlign w:val="bottom"/>
            <w:shd w:val="clear" w:color="auto" w:fill="FCE9E8"/>
          </w:tcPr>
          <w:p>
            <w:pPr>
              <w:ind w:left="80"/>
              <w:spacing w:after="0" w:line="180" w:lineRule="exact"/>
              <w:rPr>
                <w:sz w:val="20"/>
                <w:szCs w:val="20"/>
                <w:color w:val="auto"/>
              </w:rPr>
            </w:pPr>
            <w:r>
              <w:rPr>
                <w:rFonts w:ascii="Arial" w:cs="Arial" w:eastAsia="Arial" w:hAnsi="Arial"/>
                <w:sz w:val="16"/>
                <w:szCs w:val="16"/>
                <w:color w:val="auto"/>
              </w:rPr>
              <w:t>Raymond E. Scott</w:t>
            </w:r>
          </w:p>
        </w:tc>
        <w:tc>
          <w:tcPr>
            <w:tcW w:w="3180" w:type="dxa"/>
            <w:vAlign w:val="bottom"/>
            <w:gridSpan w:val="2"/>
            <w:shd w:val="clear" w:color="auto" w:fill="FCE9E8"/>
          </w:tcPr>
          <w:p>
            <w:pPr>
              <w:jc w:val="right"/>
              <w:ind w:right="291"/>
              <w:spacing w:after="0" w:line="180" w:lineRule="exact"/>
              <w:rPr>
                <w:sz w:val="20"/>
                <w:szCs w:val="20"/>
                <w:color w:val="auto"/>
              </w:rPr>
            </w:pPr>
            <w:r>
              <w:rPr>
                <w:rFonts w:ascii="Arial" w:cs="Arial" w:eastAsia="Arial" w:hAnsi="Arial"/>
                <w:sz w:val="16"/>
                <w:szCs w:val="16"/>
                <w:color w:val="auto"/>
              </w:rPr>
              <w:t>25,392</w:t>
            </w:r>
          </w:p>
        </w:tc>
        <w:tc>
          <w:tcPr>
            <w:tcW w:w="540" w:type="dxa"/>
            <w:vAlign w:val="bottom"/>
            <w:shd w:val="clear" w:color="auto" w:fill="FCE9E8"/>
          </w:tcPr>
          <w:p>
            <w:pPr>
              <w:ind w:left="380"/>
              <w:spacing w:after="0" w:line="180" w:lineRule="exact"/>
              <w:rPr>
                <w:sz w:val="20"/>
                <w:szCs w:val="20"/>
                <w:color w:val="auto"/>
              </w:rPr>
            </w:pPr>
            <w:r>
              <w:rPr>
                <w:rFonts w:ascii="Arial" w:cs="Arial" w:eastAsia="Arial" w:hAnsi="Arial"/>
                <w:sz w:val="16"/>
                <w:szCs w:val="16"/>
                <w:color w:val="auto"/>
              </w:rPr>
              <w:t>$</w:t>
            </w:r>
          </w:p>
        </w:tc>
        <w:tc>
          <w:tcPr>
            <w:tcW w:w="1200" w:type="dxa"/>
            <w:vAlign w:val="bottom"/>
            <w:shd w:val="clear" w:color="auto" w:fill="FCE9E8"/>
          </w:tcPr>
          <w:p>
            <w:pPr>
              <w:jc w:val="right"/>
              <w:ind w:right="321"/>
              <w:spacing w:after="0" w:line="180" w:lineRule="exact"/>
              <w:rPr>
                <w:sz w:val="20"/>
                <w:szCs w:val="20"/>
                <w:color w:val="auto"/>
              </w:rPr>
            </w:pPr>
            <w:r>
              <w:rPr>
                <w:rFonts w:ascii="Arial" w:cs="Arial" w:eastAsia="Arial" w:hAnsi="Arial"/>
                <w:sz w:val="16"/>
                <w:szCs w:val="16"/>
                <w:color w:val="auto"/>
              </w:rPr>
              <w:t>3,215,667</w:t>
            </w:r>
          </w:p>
        </w:tc>
        <w:tc>
          <w:tcPr>
            <w:tcW w:w="1780" w:type="dxa"/>
            <w:vAlign w:val="bottom"/>
            <w:shd w:val="clear" w:color="auto" w:fill="FCE9E8"/>
          </w:tcPr>
          <w:p>
            <w:pPr>
              <w:jc w:val="right"/>
              <w:ind w:right="346"/>
              <w:spacing w:after="0" w:line="180" w:lineRule="exact"/>
              <w:rPr>
                <w:sz w:val="20"/>
                <w:szCs w:val="20"/>
                <w:color w:val="auto"/>
              </w:rPr>
            </w:pPr>
            <w:r>
              <w:rPr>
                <w:rFonts w:ascii="Arial" w:cs="Arial" w:eastAsia="Arial" w:hAnsi="Arial"/>
                <w:sz w:val="16"/>
                <w:szCs w:val="16"/>
                <w:color w:val="auto"/>
              </w:rPr>
              <w:t>53,840</w:t>
            </w:r>
          </w:p>
        </w:tc>
        <w:tc>
          <w:tcPr>
            <w:tcW w:w="540" w:type="dxa"/>
            <w:vAlign w:val="bottom"/>
            <w:shd w:val="clear" w:color="auto" w:fill="FCE9E8"/>
          </w:tcPr>
          <w:p>
            <w:pPr>
              <w:jc w:val="right"/>
              <w:spacing w:after="0" w:line="180" w:lineRule="exact"/>
              <w:rPr>
                <w:sz w:val="20"/>
                <w:szCs w:val="20"/>
                <w:color w:val="auto"/>
              </w:rPr>
            </w:pPr>
            <w:r>
              <w:rPr>
                <w:rFonts w:ascii="Arial" w:cs="Arial" w:eastAsia="Arial" w:hAnsi="Arial"/>
                <w:sz w:val="16"/>
                <w:szCs w:val="16"/>
                <w:color w:val="auto"/>
              </w:rPr>
              <w:t>$</w:t>
            </w:r>
          </w:p>
        </w:tc>
        <w:tc>
          <w:tcPr>
            <w:tcW w:w="1360" w:type="dxa"/>
            <w:vAlign w:val="bottom"/>
            <w:shd w:val="clear" w:color="auto" w:fill="FCE9E8"/>
          </w:tcPr>
          <w:p>
            <w:pPr>
              <w:jc w:val="right"/>
              <w:ind w:right="386"/>
              <w:spacing w:after="0" w:line="180" w:lineRule="exact"/>
              <w:rPr>
                <w:sz w:val="20"/>
                <w:szCs w:val="20"/>
                <w:color w:val="auto"/>
              </w:rPr>
            </w:pPr>
            <w:r>
              <w:rPr>
                <w:rFonts w:ascii="Arial" w:cs="Arial" w:eastAsia="Arial" w:hAnsi="Arial"/>
                <w:sz w:val="16"/>
                <w:szCs w:val="16"/>
                <w:color w:val="auto"/>
              </w:rPr>
              <w:t>6,826,082</w:t>
            </w:r>
          </w:p>
        </w:tc>
      </w:tr>
      <w:tr>
        <w:trPr>
          <w:trHeight w:val="186"/>
        </w:trPr>
        <w:tc>
          <w:tcPr>
            <w:tcW w:w="2280" w:type="dxa"/>
            <w:vAlign w:val="bottom"/>
          </w:tcPr>
          <w:p>
            <w:pPr>
              <w:ind w:left="80"/>
              <w:spacing w:after="0"/>
              <w:rPr>
                <w:sz w:val="20"/>
                <w:szCs w:val="20"/>
                <w:color w:val="auto"/>
              </w:rPr>
            </w:pPr>
            <w:r>
              <w:rPr>
                <w:rFonts w:ascii="Arial" w:cs="Arial" w:eastAsia="Arial" w:hAnsi="Arial"/>
                <w:sz w:val="16"/>
                <w:szCs w:val="16"/>
                <w:color w:val="auto"/>
              </w:rPr>
              <w:t>Jeffrey H. Vanneste</w:t>
            </w:r>
          </w:p>
        </w:tc>
        <w:tc>
          <w:tcPr>
            <w:tcW w:w="3180" w:type="dxa"/>
            <w:vAlign w:val="bottom"/>
            <w:gridSpan w:val="2"/>
          </w:tcPr>
          <w:p>
            <w:pPr>
              <w:jc w:val="right"/>
              <w:ind w:right="291"/>
              <w:spacing w:after="0"/>
              <w:rPr>
                <w:sz w:val="20"/>
                <w:szCs w:val="20"/>
                <w:color w:val="auto"/>
              </w:rPr>
            </w:pPr>
            <w:r>
              <w:rPr>
                <w:rFonts w:ascii="Arial" w:cs="Arial" w:eastAsia="Arial" w:hAnsi="Arial"/>
                <w:sz w:val="16"/>
                <w:szCs w:val="16"/>
                <w:color w:val="auto"/>
              </w:rPr>
              <w:t>17,102</w:t>
            </w:r>
          </w:p>
        </w:tc>
        <w:tc>
          <w:tcPr>
            <w:tcW w:w="540" w:type="dxa"/>
            <w:vAlign w:val="bottom"/>
          </w:tcPr>
          <w:p>
            <w:pPr>
              <w:ind w:left="3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21"/>
              <w:spacing w:after="0"/>
              <w:rPr>
                <w:sz w:val="20"/>
                <w:szCs w:val="20"/>
                <w:color w:val="auto"/>
              </w:rPr>
            </w:pPr>
            <w:r>
              <w:rPr>
                <w:rFonts w:ascii="Arial" w:cs="Arial" w:eastAsia="Arial" w:hAnsi="Arial"/>
                <w:sz w:val="16"/>
                <w:szCs w:val="16"/>
                <w:color w:val="auto"/>
              </w:rPr>
              <w:t>2,173,892</w:t>
            </w:r>
          </w:p>
        </w:tc>
        <w:tc>
          <w:tcPr>
            <w:tcW w:w="1780" w:type="dxa"/>
            <w:vAlign w:val="bottom"/>
          </w:tcPr>
          <w:p>
            <w:pPr>
              <w:jc w:val="right"/>
              <w:ind w:right="346"/>
              <w:spacing w:after="0"/>
              <w:rPr>
                <w:sz w:val="20"/>
                <w:szCs w:val="20"/>
                <w:color w:val="auto"/>
              </w:rPr>
            </w:pPr>
            <w:r>
              <w:rPr>
                <w:rFonts w:ascii="Arial" w:cs="Arial" w:eastAsia="Arial" w:hAnsi="Arial"/>
                <w:sz w:val="16"/>
                <w:szCs w:val="16"/>
                <w:color w:val="auto"/>
              </w:rPr>
              <w:t>32,834</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86"/>
              <w:spacing w:after="0"/>
              <w:rPr>
                <w:sz w:val="20"/>
                <w:szCs w:val="20"/>
                <w:color w:val="auto"/>
              </w:rPr>
            </w:pPr>
            <w:r>
              <w:rPr>
                <w:rFonts w:ascii="Arial" w:cs="Arial" w:eastAsia="Arial" w:hAnsi="Arial"/>
                <w:sz w:val="16"/>
                <w:szCs w:val="16"/>
                <w:color w:val="auto"/>
              </w:rPr>
              <w:t>4,177,872</w:t>
            </w:r>
          </w:p>
        </w:tc>
      </w:tr>
      <w:tr>
        <w:trPr>
          <w:trHeight w:val="186"/>
        </w:trPr>
        <w:tc>
          <w:tcPr>
            <w:tcW w:w="2280" w:type="dxa"/>
            <w:vAlign w:val="bottom"/>
            <w:shd w:val="clear" w:color="auto" w:fill="FCE9E8"/>
          </w:tcPr>
          <w:p>
            <w:pPr>
              <w:ind w:left="80"/>
              <w:spacing w:after="0"/>
              <w:rPr>
                <w:sz w:val="20"/>
                <w:szCs w:val="20"/>
                <w:color w:val="auto"/>
              </w:rPr>
            </w:pPr>
            <w:r>
              <w:rPr>
                <w:rFonts w:ascii="Arial" w:cs="Arial" w:eastAsia="Arial" w:hAnsi="Arial"/>
                <w:sz w:val="16"/>
                <w:szCs w:val="16"/>
                <w:color w:val="auto"/>
              </w:rPr>
              <w:t>Terrence B. Larkin</w:t>
            </w:r>
          </w:p>
        </w:tc>
        <w:tc>
          <w:tcPr>
            <w:tcW w:w="3180" w:type="dxa"/>
            <w:vAlign w:val="bottom"/>
            <w:gridSpan w:val="2"/>
            <w:shd w:val="clear" w:color="auto" w:fill="FCE9E8"/>
          </w:tcPr>
          <w:p>
            <w:pPr>
              <w:jc w:val="right"/>
              <w:ind w:right="291"/>
              <w:spacing w:after="0"/>
              <w:rPr>
                <w:sz w:val="20"/>
                <w:szCs w:val="20"/>
                <w:color w:val="auto"/>
              </w:rPr>
            </w:pPr>
            <w:r>
              <w:rPr>
                <w:rFonts w:ascii="Arial" w:cs="Arial" w:eastAsia="Arial" w:hAnsi="Arial"/>
                <w:sz w:val="16"/>
                <w:szCs w:val="16"/>
                <w:color w:val="auto"/>
              </w:rPr>
              <w:t>15,993</w:t>
            </w:r>
          </w:p>
        </w:tc>
        <w:tc>
          <w:tcPr>
            <w:tcW w:w="540" w:type="dxa"/>
            <w:vAlign w:val="bottom"/>
            <w:shd w:val="clear" w:color="auto" w:fill="FCE9E8"/>
          </w:tcPr>
          <w:p>
            <w:pPr>
              <w:ind w:left="3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FCE9E8"/>
          </w:tcPr>
          <w:p>
            <w:pPr>
              <w:jc w:val="right"/>
              <w:ind w:right="321"/>
              <w:spacing w:after="0"/>
              <w:rPr>
                <w:sz w:val="20"/>
                <w:szCs w:val="20"/>
                <w:color w:val="auto"/>
              </w:rPr>
            </w:pPr>
            <w:r>
              <w:rPr>
                <w:rFonts w:ascii="Arial" w:cs="Arial" w:eastAsia="Arial" w:hAnsi="Arial"/>
                <w:sz w:val="16"/>
                <w:szCs w:val="16"/>
                <w:color w:val="auto"/>
              </w:rPr>
              <w:t>2,041,360</w:t>
            </w:r>
          </w:p>
        </w:tc>
        <w:tc>
          <w:tcPr>
            <w:tcW w:w="1780" w:type="dxa"/>
            <w:vAlign w:val="bottom"/>
            <w:shd w:val="clear" w:color="auto" w:fill="FCE9E8"/>
          </w:tcPr>
          <w:p>
            <w:pPr>
              <w:jc w:val="right"/>
              <w:ind w:right="346"/>
              <w:spacing w:after="0"/>
              <w:rPr>
                <w:sz w:val="20"/>
                <w:szCs w:val="20"/>
                <w:color w:val="auto"/>
              </w:rPr>
            </w:pPr>
            <w:r>
              <w:rPr>
                <w:rFonts w:ascii="Arial" w:cs="Arial" w:eastAsia="Arial" w:hAnsi="Arial"/>
                <w:sz w:val="16"/>
                <w:szCs w:val="16"/>
                <w:color w:val="auto"/>
              </w:rPr>
              <w:t>35,804</w:t>
            </w:r>
          </w:p>
        </w:tc>
        <w:tc>
          <w:tcPr>
            <w:tcW w:w="5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FCE9E8"/>
          </w:tcPr>
          <w:p>
            <w:pPr>
              <w:jc w:val="right"/>
              <w:ind w:right="386"/>
              <w:spacing w:after="0"/>
              <w:rPr>
                <w:sz w:val="20"/>
                <w:szCs w:val="20"/>
                <w:color w:val="auto"/>
              </w:rPr>
            </w:pPr>
            <w:r>
              <w:rPr>
                <w:rFonts w:ascii="Arial" w:cs="Arial" w:eastAsia="Arial" w:hAnsi="Arial"/>
                <w:sz w:val="16"/>
                <w:szCs w:val="16"/>
                <w:color w:val="auto"/>
              </w:rPr>
              <w:t>4,555,780</w:t>
            </w:r>
          </w:p>
        </w:tc>
      </w:tr>
      <w:tr>
        <w:trPr>
          <w:trHeight w:val="186"/>
        </w:trPr>
        <w:tc>
          <w:tcPr>
            <w:tcW w:w="2280" w:type="dxa"/>
            <w:vAlign w:val="bottom"/>
          </w:tcPr>
          <w:p>
            <w:pPr>
              <w:ind w:left="80"/>
              <w:spacing w:after="0"/>
              <w:rPr>
                <w:sz w:val="20"/>
                <w:szCs w:val="20"/>
                <w:color w:val="auto"/>
              </w:rPr>
            </w:pPr>
            <w:r>
              <w:rPr>
                <w:rFonts w:ascii="Arial" w:cs="Arial" w:eastAsia="Arial" w:hAnsi="Arial"/>
                <w:sz w:val="16"/>
                <w:szCs w:val="16"/>
                <w:color w:val="auto"/>
              </w:rPr>
              <w:t>Frank C. Orsini</w:t>
            </w:r>
          </w:p>
        </w:tc>
        <w:tc>
          <w:tcPr>
            <w:tcW w:w="3180" w:type="dxa"/>
            <w:vAlign w:val="bottom"/>
            <w:gridSpan w:val="2"/>
          </w:tcPr>
          <w:p>
            <w:pPr>
              <w:jc w:val="right"/>
              <w:ind w:right="291"/>
              <w:spacing w:after="0"/>
              <w:rPr>
                <w:sz w:val="20"/>
                <w:szCs w:val="20"/>
                <w:color w:val="auto"/>
              </w:rPr>
            </w:pPr>
            <w:r>
              <w:rPr>
                <w:rFonts w:ascii="Arial" w:cs="Arial" w:eastAsia="Arial" w:hAnsi="Arial"/>
                <w:sz w:val="16"/>
                <w:szCs w:val="16"/>
                <w:color w:val="auto"/>
              </w:rPr>
              <w:t>14,638</w:t>
            </w:r>
          </w:p>
        </w:tc>
        <w:tc>
          <w:tcPr>
            <w:tcW w:w="540" w:type="dxa"/>
            <w:vAlign w:val="bottom"/>
          </w:tcPr>
          <w:p>
            <w:pPr>
              <w:ind w:left="3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21"/>
              <w:spacing w:after="0"/>
              <w:rPr>
                <w:sz w:val="20"/>
                <w:szCs w:val="20"/>
                <w:color w:val="auto"/>
              </w:rPr>
            </w:pPr>
            <w:r>
              <w:rPr>
                <w:rFonts w:ascii="Arial" w:cs="Arial" w:eastAsia="Arial" w:hAnsi="Arial"/>
                <w:sz w:val="16"/>
                <w:szCs w:val="16"/>
                <w:color w:val="auto"/>
              </w:rPr>
              <w:t>1,862,245</w:t>
            </w:r>
          </w:p>
        </w:tc>
        <w:tc>
          <w:tcPr>
            <w:tcW w:w="1780" w:type="dxa"/>
            <w:vAlign w:val="bottom"/>
          </w:tcPr>
          <w:p>
            <w:pPr>
              <w:jc w:val="right"/>
              <w:ind w:right="346"/>
              <w:spacing w:after="0"/>
              <w:rPr>
                <w:sz w:val="20"/>
                <w:szCs w:val="20"/>
                <w:color w:val="auto"/>
              </w:rPr>
            </w:pPr>
            <w:r>
              <w:rPr>
                <w:rFonts w:ascii="Arial" w:cs="Arial" w:eastAsia="Arial" w:hAnsi="Arial"/>
                <w:sz w:val="16"/>
                <w:szCs w:val="16"/>
                <w:color w:val="auto"/>
              </w:rPr>
              <w:t>31,561</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86"/>
              <w:spacing w:after="0"/>
              <w:rPr>
                <w:sz w:val="20"/>
                <w:szCs w:val="20"/>
                <w:color w:val="auto"/>
              </w:rPr>
            </w:pPr>
            <w:r>
              <w:rPr>
                <w:rFonts w:ascii="Arial" w:cs="Arial" w:eastAsia="Arial" w:hAnsi="Arial"/>
                <w:sz w:val="16"/>
                <w:szCs w:val="16"/>
                <w:color w:val="auto"/>
              </w:rPr>
              <w:t>4,014,780</w:t>
            </w:r>
          </w:p>
        </w:tc>
      </w:tr>
      <w:tr>
        <w:trPr>
          <w:trHeight w:val="186"/>
        </w:trPr>
        <w:tc>
          <w:tcPr>
            <w:tcW w:w="2280" w:type="dxa"/>
            <w:vAlign w:val="bottom"/>
            <w:shd w:val="clear" w:color="auto" w:fill="FCE9E8"/>
          </w:tcPr>
          <w:p>
            <w:pPr>
              <w:ind w:left="80"/>
              <w:spacing w:after="0"/>
              <w:rPr>
                <w:sz w:val="20"/>
                <w:szCs w:val="20"/>
                <w:color w:val="auto"/>
              </w:rPr>
            </w:pPr>
            <w:r>
              <w:rPr>
                <w:rFonts w:ascii="Arial" w:cs="Arial" w:eastAsia="Arial" w:hAnsi="Arial"/>
                <w:sz w:val="16"/>
                <w:szCs w:val="16"/>
                <w:color w:val="auto"/>
              </w:rPr>
              <w:t>Thomas A. DiDonato</w:t>
            </w:r>
          </w:p>
        </w:tc>
        <w:tc>
          <w:tcPr>
            <w:tcW w:w="3180" w:type="dxa"/>
            <w:vAlign w:val="bottom"/>
            <w:gridSpan w:val="2"/>
            <w:shd w:val="clear" w:color="auto" w:fill="FCE9E8"/>
          </w:tcPr>
          <w:p>
            <w:pPr>
              <w:jc w:val="right"/>
              <w:ind w:right="291"/>
              <w:spacing w:after="0"/>
              <w:rPr>
                <w:sz w:val="20"/>
                <w:szCs w:val="20"/>
                <w:color w:val="auto"/>
              </w:rPr>
            </w:pPr>
            <w:r>
              <w:rPr>
                <w:rFonts w:ascii="Arial" w:cs="Arial" w:eastAsia="Arial" w:hAnsi="Arial"/>
                <w:sz w:val="16"/>
                <w:szCs w:val="16"/>
                <w:color w:val="auto"/>
              </w:rPr>
              <w:t>14,882</w:t>
            </w:r>
          </w:p>
        </w:tc>
        <w:tc>
          <w:tcPr>
            <w:tcW w:w="540" w:type="dxa"/>
            <w:vAlign w:val="bottom"/>
            <w:shd w:val="clear" w:color="auto" w:fill="FCE9E8"/>
          </w:tcPr>
          <w:p>
            <w:pPr>
              <w:ind w:left="3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FCE9E8"/>
          </w:tcPr>
          <w:p>
            <w:pPr>
              <w:jc w:val="right"/>
              <w:ind w:right="321"/>
              <w:spacing w:after="0"/>
              <w:rPr>
                <w:sz w:val="20"/>
                <w:szCs w:val="20"/>
                <w:color w:val="auto"/>
              </w:rPr>
            </w:pPr>
            <w:r>
              <w:rPr>
                <w:rFonts w:ascii="Arial" w:cs="Arial" w:eastAsia="Arial" w:hAnsi="Arial"/>
                <w:sz w:val="16"/>
                <w:szCs w:val="16"/>
                <w:color w:val="auto"/>
              </w:rPr>
              <w:t>1,890,126</w:t>
            </w:r>
          </w:p>
        </w:tc>
        <w:tc>
          <w:tcPr>
            <w:tcW w:w="1780" w:type="dxa"/>
            <w:vAlign w:val="bottom"/>
            <w:shd w:val="clear" w:color="auto" w:fill="FCE9E8"/>
          </w:tcPr>
          <w:p>
            <w:pPr>
              <w:jc w:val="right"/>
              <w:ind w:right="346"/>
              <w:spacing w:after="0"/>
              <w:rPr>
                <w:sz w:val="20"/>
                <w:szCs w:val="20"/>
                <w:color w:val="auto"/>
              </w:rPr>
            </w:pPr>
            <w:r>
              <w:rPr>
                <w:rFonts w:ascii="Arial" w:cs="Arial" w:eastAsia="Arial" w:hAnsi="Arial"/>
                <w:sz w:val="16"/>
                <w:szCs w:val="16"/>
                <w:color w:val="auto"/>
              </w:rPr>
              <w:t>26,651</w:t>
            </w:r>
          </w:p>
        </w:tc>
        <w:tc>
          <w:tcPr>
            <w:tcW w:w="5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FCE9E8"/>
          </w:tcPr>
          <w:p>
            <w:pPr>
              <w:jc w:val="right"/>
              <w:ind w:right="386"/>
              <w:spacing w:after="0"/>
              <w:rPr>
                <w:sz w:val="20"/>
                <w:szCs w:val="20"/>
                <w:color w:val="auto"/>
              </w:rPr>
            </w:pPr>
            <w:r>
              <w:rPr>
                <w:rFonts w:ascii="Arial" w:cs="Arial" w:eastAsia="Arial" w:hAnsi="Arial"/>
                <w:sz w:val="16"/>
                <w:szCs w:val="16"/>
                <w:color w:val="auto"/>
              </w:rPr>
              <w:t>3,391,132</w:t>
            </w:r>
          </w:p>
        </w:tc>
      </w:tr>
      <w:tr>
        <w:trPr>
          <w:trHeight w:val="186"/>
        </w:trPr>
        <w:tc>
          <w:tcPr>
            <w:tcW w:w="2280" w:type="dxa"/>
            <w:vAlign w:val="bottom"/>
            <w:tcBorders>
              <w:bottom w:val="single" w:sz="8" w:color="auto"/>
            </w:tcBorders>
          </w:tcPr>
          <w:p>
            <w:pPr>
              <w:ind w:left="80"/>
              <w:spacing w:after="0" w:line="187" w:lineRule="exact"/>
              <w:rPr>
                <w:sz w:val="20"/>
                <w:szCs w:val="20"/>
                <w:color w:val="auto"/>
              </w:rPr>
            </w:pPr>
            <w:r>
              <w:rPr>
                <w:rFonts w:ascii="Arial" w:cs="Arial" w:eastAsia="Arial" w:hAnsi="Arial"/>
                <w:sz w:val="13"/>
                <w:szCs w:val="13"/>
                <w:color w:val="auto"/>
              </w:rPr>
              <w:t>Matthew J. Simoncini</w:t>
            </w:r>
            <w:r>
              <w:rPr>
                <w:rFonts w:ascii="Arial" w:cs="Arial" w:eastAsia="Arial" w:hAnsi="Arial"/>
                <w:sz w:val="21"/>
                <w:szCs w:val="21"/>
                <w:color w:val="auto"/>
                <w:vertAlign w:val="superscript"/>
              </w:rPr>
              <w:t>(4)</w:t>
            </w:r>
          </w:p>
        </w:tc>
        <w:tc>
          <w:tcPr>
            <w:tcW w:w="3180" w:type="dxa"/>
            <w:vAlign w:val="bottom"/>
            <w:tcBorders>
              <w:bottom w:val="single" w:sz="8" w:color="auto"/>
            </w:tcBorders>
            <w:gridSpan w:val="2"/>
          </w:tcPr>
          <w:p>
            <w:pPr>
              <w:jc w:val="right"/>
              <w:ind w:right="291"/>
              <w:spacing w:after="0"/>
              <w:rPr>
                <w:sz w:val="20"/>
                <w:szCs w:val="20"/>
                <w:color w:val="auto"/>
              </w:rPr>
            </w:pPr>
            <w:r>
              <w:rPr>
                <w:rFonts w:ascii="Arial" w:cs="Arial" w:eastAsia="Arial" w:hAnsi="Arial"/>
                <w:sz w:val="16"/>
                <w:szCs w:val="16"/>
                <w:color w:val="auto"/>
              </w:rPr>
              <w:t>38,048</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4,887,883</w:t>
            </w:r>
          </w:p>
        </w:tc>
        <w:tc>
          <w:tcPr>
            <w:tcW w:w="1780" w:type="dxa"/>
            <w:vAlign w:val="bottom"/>
            <w:tcBorders>
              <w:bottom w:val="single" w:sz="8" w:color="auto"/>
            </w:tcBorders>
          </w:tcPr>
          <w:p>
            <w:pPr>
              <w:jc w:val="right"/>
              <w:ind w:right="346"/>
              <w:spacing w:after="0"/>
              <w:rPr>
                <w:sz w:val="20"/>
                <w:szCs w:val="20"/>
                <w:color w:val="auto"/>
              </w:rPr>
            </w:pPr>
            <w:r>
              <w:rPr>
                <w:rFonts w:ascii="Arial" w:cs="Arial" w:eastAsia="Arial" w:hAnsi="Arial"/>
                <w:sz w:val="16"/>
                <w:szCs w:val="16"/>
                <w:color w:val="auto"/>
              </w:rPr>
              <w:t>99,532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color w:val="auto"/>
              </w:rPr>
              <w:t>12,725,342</w:t>
            </w:r>
          </w:p>
        </w:tc>
      </w:tr>
    </w:tbl>
    <w:p>
      <w:pPr>
        <w:spacing w:after="0" w:line="19" w:lineRule="exact"/>
        <w:rPr>
          <w:sz w:val="20"/>
          <w:szCs w:val="20"/>
          <w:color w:val="auto"/>
        </w:rPr>
      </w:pPr>
    </w:p>
    <w:p>
      <w:pPr>
        <w:ind w:left="600" w:hanging="320"/>
        <w:spacing w:after="0"/>
        <w:tabs>
          <w:tab w:leader="none" w:pos="60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The figures in column (g) represent the following RSU awards granted under the LTSIP (the Career Shares are subject to later payment as discussed above):</w:t>
      </w:r>
    </w:p>
    <w:p>
      <w:pPr>
        <w:spacing w:after="0" w:line="90"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340" w:type="dxa"/>
            <w:vAlign w:val="bottom"/>
          </w:tcPr>
          <w:p>
            <w:pPr>
              <w:jc w:val="center"/>
              <w:ind w:left="104"/>
              <w:spacing w:after="0"/>
              <w:rPr>
                <w:sz w:val="20"/>
                <w:szCs w:val="20"/>
                <w:color w:val="auto"/>
              </w:rPr>
            </w:pPr>
            <w:r>
              <w:rPr>
                <w:rFonts w:ascii="Arial" w:cs="Arial" w:eastAsia="Arial" w:hAnsi="Arial"/>
                <w:sz w:val="14"/>
                <w:szCs w:val="14"/>
                <w:b w:val="1"/>
                <w:bCs w:val="1"/>
                <w:color w:val="E2231A"/>
              </w:rPr>
              <w:t>Number of</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1460" w:type="dxa"/>
            <w:vAlign w:val="bottom"/>
          </w:tcPr>
          <w:p>
            <w:pPr>
              <w:jc w:val="right"/>
              <w:ind w:right="124"/>
              <w:spacing w:after="0"/>
              <w:rPr>
                <w:sz w:val="20"/>
                <w:szCs w:val="20"/>
                <w:color w:val="auto"/>
              </w:rPr>
            </w:pPr>
            <w:r>
              <w:rPr>
                <w:rFonts w:ascii="Arial" w:cs="Arial" w:eastAsia="Arial" w:hAnsi="Arial"/>
                <w:sz w:val="14"/>
                <w:szCs w:val="14"/>
                <w:b w:val="1"/>
                <w:bCs w:val="1"/>
                <w:color w:val="E2231A"/>
              </w:rPr>
              <w:t>Number of 2016</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E2231A"/>
              </w:rPr>
              <w:t>Number of 2017</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E2231A"/>
              </w:rPr>
              <w:t>Number of 2018</w:t>
            </w:r>
          </w:p>
        </w:tc>
      </w:tr>
      <w:tr>
        <w:trPr>
          <w:trHeight w:val="160"/>
        </w:trPr>
        <w:tc>
          <w:tcPr>
            <w:tcW w:w="1980" w:type="dxa"/>
            <w:vAlign w:val="bottom"/>
          </w:tcPr>
          <w:p>
            <w:pPr>
              <w:spacing w:after="0"/>
              <w:rPr>
                <w:sz w:val="13"/>
                <w:szCs w:val="13"/>
                <w:color w:val="auto"/>
              </w:rPr>
            </w:pPr>
          </w:p>
        </w:tc>
        <w:tc>
          <w:tcPr>
            <w:tcW w:w="1340" w:type="dxa"/>
            <w:vAlign w:val="bottom"/>
          </w:tcPr>
          <w:p>
            <w:pPr>
              <w:jc w:val="center"/>
              <w:ind w:left="104"/>
              <w:spacing w:after="0" w:line="160" w:lineRule="exact"/>
              <w:rPr>
                <w:sz w:val="20"/>
                <w:szCs w:val="20"/>
                <w:color w:val="auto"/>
              </w:rPr>
            </w:pPr>
            <w:r>
              <w:rPr>
                <w:rFonts w:ascii="Arial" w:cs="Arial" w:eastAsia="Arial" w:hAnsi="Arial"/>
                <w:sz w:val="14"/>
                <w:szCs w:val="14"/>
                <w:b w:val="1"/>
                <w:bCs w:val="1"/>
                <w:color w:val="E2231A"/>
                <w:w w:val="99"/>
              </w:rPr>
              <w:t>2016 RSUs</w:t>
            </w:r>
          </w:p>
        </w:tc>
        <w:tc>
          <w:tcPr>
            <w:tcW w:w="114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2017 RSUs</w:t>
            </w:r>
          </w:p>
        </w:tc>
        <w:tc>
          <w:tcPr>
            <w:tcW w:w="114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w w:val="99"/>
              </w:rPr>
              <w:t>2018 RSUs</w:t>
            </w:r>
          </w:p>
        </w:tc>
        <w:tc>
          <w:tcPr>
            <w:tcW w:w="146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Career Shares</w:t>
            </w:r>
          </w:p>
        </w:tc>
        <w:tc>
          <w:tcPr>
            <w:tcW w:w="146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Career Shares</w:t>
            </w:r>
          </w:p>
        </w:tc>
        <w:tc>
          <w:tcPr>
            <w:tcW w:w="148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Career Shares</w:t>
            </w:r>
          </w:p>
        </w:tc>
      </w:tr>
      <w:tr>
        <w:trPr>
          <w:trHeight w:val="160"/>
        </w:trPr>
        <w:tc>
          <w:tcPr>
            <w:tcW w:w="1980" w:type="dxa"/>
            <w:vAlign w:val="bottom"/>
          </w:tcPr>
          <w:p>
            <w:pPr>
              <w:spacing w:after="0"/>
              <w:rPr>
                <w:sz w:val="13"/>
                <w:szCs w:val="13"/>
                <w:color w:val="auto"/>
              </w:rPr>
            </w:pPr>
          </w:p>
        </w:tc>
        <w:tc>
          <w:tcPr>
            <w:tcW w:w="1340" w:type="dxa"/>
            <w:vAlign w:val="bottom"/>
          </w:tcPr>
          <w:p>
            <w:pPr>
              <w:jc w:val="center"/>
              <w:ind w:left="124"/>
              <w:spacing w:after="0" w:line="160" w:lineRule="exact"/>
              <w:rPr>
                <w:sz w:val="20"/>
                <w:szCs w:val="20"/>
                <w:color w:val="auto"/>
              </w:rPr>
            </w:pPr>
            <w:r>
              <w:rPr>
                <w:rFonts w:ascii="Arial" w:cs="Arial" w:eastAsia="Arial" w:hAnsi="Arial"/>
                <w:sz w:val="14"/>
                <w:szCs w:val="14"/>
                <w:b w:val="1"/>
                <w:bCs w:val="1"/>
                <w:color w:val="E2231A"/>
              </w:rPr>
              <w:t>Vested</w:t>
            </w:r>
          </w:p>
        </w:tc>
        <w:tc>
          <w:tcPr>
            <w:tcW w:w="114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w w:val="98"/>
              </w:rPr>
              <w:t>Vesting</w:t>
            </w:r>
          </w:p>
        </w:tc>
        <w:tc>
          <w:tcPr>
            <w:tcW w:w="114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Vesting</w:t>
            </w:r>
          </w:p>
        </w:tc>
        <w:tc>
          <w:tcPr>
            <w:tcW w:w="146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w w:val="98"/>
              </w:rPr>
              <w:t>Vesting</w:t>
            </w:r>
          </w:p>
        </w:tc>
        <w:tc>
          <w:tcPr>
            <w:tcW w:w="146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w w:val="98"/>
              </w:rPr>
              <w:t>Vesting</w:t>
            </w:r>
          </w:p>
        </w:tc>
        <w:tc>
          <w:tcPr>
            <w:tcW w:w="148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w w:val="98"/>
              </w:rPr>
              <w:t>Vesting</w:t>
            </w:r>
          </w:p>
        </w:tc>
      </w:tr>
      <w:tr>
        <w:trPr>
          <w:trHeight w:val="160"/>
        </w:trPr>
        <w:tc>
          <w:tcPr>
            <w:tcW w:w="1980" w:type="dxa"/>
            <w:vAlign w:val="bottom"/>
          </w:tcPr>
          <w:p>
            <w:pPr>
              <w:spacing w:after="0"/>
              <w:rPr>
                <w:sz w:val="13"/>
                <w:szCs w:val="13"/>
                <w:color w:val="auto"/>
              </w:rPr>
            </w:pPr>
          </w:p>
        </w:tc>
        <w:tc>
          <w:tcPr>
            <w:tcW w:w="1340" w:type="dxa"/>
            <w:vAlign w:val="bottom"/>
          </w:tcPr>
          <w:p>
            <w:pPr>
              <w:jc w:val="center"/>
              <w:ind w:left="124"/>
              <w:spacing w:after="0" w:line="160" w:lineRule="exact"/>
              <w:rPr>
                <w:sz w:val="20"/>
                <w:szCs w:val="20"/>
                <w:color w:val="auto"/>
              </w:rPr>
            </w:pPr>
            <w:r>
              <w:rPr>
                <w:rFonts w:ascii="Arial" w:cs="Arial" w:eastAsia="Arial" w:hAnsi="Arial"/>
                <w:sz w:val="14"/>
                <w:szCs w:val="14"/>
                <w:b w:val="1"/>
                <w:bCs w:val="1"/>
                <w:color w:val="E2231A"/>
              </w:rPr>
              <w:t>January 4,</w:t>
            </w:r>
          </w:p>
        </w:tc>
        <w:tc>
          <w:tcPr>
            <w:tcW w:w="114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January 3,</w:t>
            </w:r>
          </w:p>
        </w:tc>
        <w:tc>
          <w:tcPr>
            <w:tcW w:w="114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January 2,</w:t>
            </w:r>
          </w:p>
        </w:tc>
        <w:tc>
          <w:tcPr>
            <w:tcW w:w="146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November 16,</w:t>
            </w:r>
          </w:p>
        </w:tc>
        <w:tc>
          <w:tcPr>
            <w:tcW w:w="146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November 20,</w:t>
            </w:r>
          </w:p>
        </w:tc>
        <w:tc>
          <w:tcPr>
            <w:tcW w:w="148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November 14,</w:t>
            </w:r>
          </w:p>
        </w:tc>
      </w:tr>
      <w:tr>
        <w:trPr>
          <w:trHeight w:val="173"/>
        </w:trPr>
        <w:tc>
          <w:tcPr>
            <w:tcW w:w="19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E2231A"/>
              </w:rPr>
              <w:t>2019</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2020</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2021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2019</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w w:val="96"/>
              </w:rPr>
              <w:t>2020</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2021</w:t>
            </w:r>
          </w:p>
        </w:tc>
      </w:tr>
      <w:tr>
        <w:trPr>
          <w:trHeight w:val="180"/>
        </w:trPr>
        <w:tc>
          <w:tcPr>
            <w:tcW w:w="1980" w:type="dxa"/>
            <w:vAlign w:val="bottom"/>
            <w:shd w:val="clear" w:color="auto" w:fill="FCE9E8"/>
          </w:tcPr>
          <w:p>
            <w:pPr>
              <w:ind w:left="80"/>
              <w:spacing w:after="0" w:line="180" w:lineRule="exact"/>
              <w:rPr>
                <w:sz w:val="20"/>
                <w:szCs w:val="20"/>
                <w:color w:val="auto"/>
              </w:rPr>
            </w:pPr>
            <w:r>
              <w:rPr>
                <w:rFonts w:ascii="Arial" w:cs="Arial" w:eastAsia="Arial" w:hAnsi="Arial"/>
                <w:sz w:val="16"/>
                <w:szCs w:val="16"/>
                <w:color w:val="auto"/>
              </w:rPr>
              <w:t>Raymond E. Scott</w:t>
            </w:r>
          </w:p>
        </w:tc>
        <w:tc>
          <w:tcPr>
            <w:tcW w:w="1340" w:type="dxa"/>
            <w:vAlign w:val="bottom"/>
            <w:shd w:val="clear" w:color="auto" w:fill="FCE9E8"/>
          </w:tcPr>
          <w:p>
            <w:pPr>
              <w:jc w:val="right"/>
              <w:ind w:right="124"/>
              <w:spacing w:after="0" w:line="180" w:lineRule="exact"/>
              <w:rPr>
                <w:sz w:val="20"/>
                <w:szCs w:val="20"/>
                <w:color w:val="auto"/>
              </w:rPr>
            </w:pPr>
            <w:r>
              <w:rPr>
                <w:rFonts w:ascii="Arial" w:cs="Arial" w:eastAsia="Arial" w:hAnsi="Arial"/>
                <w:sz w:val="16"/>
                <w:szCs w:val="16"/>
                <w:color w:val="auto"/>
              </w:rPr>
              <w:t>4,448</w:t>
            </w:r>
          </w:p>
        </w:tc>
        <w:tc>
          <w:tcPr>
            <w:tcW w:w="1140" w:type="dxa"/>
            <w:vAlign w:val="bottom"/>
            <w:shd w:val="clear" w:color="auto" w:fill="FCE9E8"/>
          </w:tcPr>
          <w:p>
            <w:pPr>
              <w:jc w:val="right"/>
              <w:ind w:right="144"/>
              <w:spacing w:after="0" w:line="180" w:lineRule="exact"/>
              <w:rPr>
                <w:sz w:val="20"/>
                <w:szCs w:val="20"/>
                <w:color w:val="auto"/>
              </w:rPr>
            </w:pPr>
            <w:r>
              <w:rPr>
                <w:rFonts w:ascii="Arial" w:cs="Arial" w:eastAsia="Arial" w:hAnsi="Arial"/>
                <w:sz w:val="16"/>
                <w:szCs w:val="16"/>
                <w:color w:val="auto"/>
              </w:rPr>
              <w:t>4,488</w:t>
            </w:r>
          </w:p>
        </w:tc>
        <w:tc>
          <w:tcPr>
            <w:tcW w:w="1140" w:type="dxa"/>
            <w:vAlign w:val="bottom"/>
            <w:shd w:val="clear" w:color="auto" w:fill="FCE9E8"/>
          </w:tcPr>
          <w:p>
            <w:pPr>
              <w:jc w:val="right"/>
              <w:ind w:right="124"/>
              <w:spacing w:after="0" w:line="180" w:lineRule="exact"/>
              <w:rPr>
                <w:sz w:val="20"/>
                <w:szCs w:val="20"/>
                <w:color w:val="auto"/>
              </w:rPr>
            </w:pPr>
            <w:r>
              <w:rPr>
                <w:rFonts w:ascii="Arial" w:cs="Arial" w:eastAsia="Arial" w:hAnsi="Arial"/>
                <w:sz w:val="16"/>
                <w:szCs w:val="16"/>
                <w:color w:val="auto"/>
              </w:rPr>
              <w:t>8,970</w:t>
            </w:r>
          </w:p>
        </w:tc>
        <w:tc>
          <w:tcPr>
            <w:tcW w:w="1460" w:type="dxa"/>
            <w:vAlign w:val="bottom"/>
            <w:shd w:val="clear" w:color="auto" w:fill="FCE9E8"/>
          </w:tcPr>
          <w:p>
            <w:pPr>
              <w:jc w:val="right"/>
              <w:ind w:right="124"/>
              <w:spacing w:after="0" w:line="180" w:lineRule="exact"/>
              <w:rPr>
                <w:sz w:val="20"/>
                <w:szCs w:val="20"/>
                <w:color w:val="auto"/>
              </w:rPr>
            </w:pPr>
            <w:r>
              <w:rPr>
                <w:rFonts w:ascii="Arial" w:cs="Arial" w:eastAsia="Arial" w:hAnsi="Arial"/>
                <w:sz w:val="16"/>
                <w:szCs w:val="16"/>
                <w:color w:val="auto"/>
              </w:rPr>
              <w:t>2,179</w:t>
            </w:r>
          </w:p>
        </w:tc>
        <w:tc>
          <w:tcPr>
            <w:tcW w:w="1460" w:type="dxa"/>
            <w:vAlign w:val="bottom"/>
            <w:shd w:val="clear" w:color="auto" w:fill="FCE9E8"/>
          </w:tcPr>
          <w:p>
            <w:pPr>
              <w:jc w:val="right"/>
              <w:ind w:right="124"/>
              <w:spacing w:after="0" w:line="180" w:lineRule="exact"/>
              <w:rPr>
                <w:sz w:val="20"/>
                <w:szCs w:val="20"/>
                <w:color w:val="auto"/>
              </w:rPr>
            </w:pPr>
            <w:r>
              <w:rPr>
                <w:rFonts w:ascii="Arial" w:cs="Arial" w:eastAsia="Arial" w:hAnsi="Arial"/>
                <w:sz w:val="16"/>
                <w:szCs w:val="16"/>
                <w:color w:val="auto"/>
              </w:rPr>
              <w:t>1,696</w:t>
            </w:r>
          </w:p>
        </w:tc>
        <w:tc>
          <w:tcPr>
            <w:tcW w:w="1480" w:type="dxa"/>
            <w:vAlign w:val="bottom"/>
            <w:shd w:val="clear" w:color="auto" w:fill="FCE9E8"/>
          </w:tcPr>
          <w:p>
            <w:pPr>
              <w:jc w:val="right"/>
              <w:ind w:right="144"/>
              <w:spacing w:after="0" w:line="180" w:lineRule="exact"/>
              <w:rPr>
                <w:sz w:val="20"/>
                <w:szCs w:val="20"/>
                <w:color w:val="auto"/>
              </w:rPr>
            </w:pPr>
            <w:r>
              <w:rPr>
                <w:rFonts w:ascii="Arial" w:cs="Arial" w:eastAsia="Arial" w:hAnsi="Arial"/>
                <w:sz w:val="16"/>
                <w:szCs w:val="16"/>
                <w:color w:val="auto"/>
              </w:rPr>
              <w:t>3,611</w:t>
            </w:r>
          </w:p>
        </w:tc>
      </w:tr>
      <w:tr>
        <w:trPr>
          <w:trHeight w:val="186"/>
        </w:trPr>
        <w:tc>
          <w:tcPr>
            <w:tcW w:w="1980" w:type="dxa"/>
            <w:vAlign w:val="bottom"/>
          </w:tcPr>
          <w:p>
            <w:pPr>
              <w:ind w:left="80"/>
              <w:spacing w:after="0"/>
              <w:rPr>
                <w:sz w:val="20"/>
                <w:szCs w:val="20"/>
                <w:color w:val="auto"/>
              </w:rPr>
            </w:pPr>
            <w:r>
              <w:rPr>
                <w:rFonts w:ascii="Arial" w:cs="Arial" w:eastAsia="Arial" w:hAnsi="Arial"/>
                <w:sz w:val="16"/>
                <w:szCs w:val="16"/>
                <w:color w:val="auto"/>
              </w:rPr>
              <w:t>Jeffrey H. Vanneste</w:t>
            </w:r>
          </w:p>
        </w:tc>
        <w:tc>
          <w:tcPr>
            <w:tcW w:w="1340" w:type="dxa"/>
            <w:vAlign w:val="bottom"/>
          </w:tcPr>
          <w:p>
            <w:pPr>
              <w:jc w:val="right"/>
              <w:ind w:right="124"/>
              <w:spacing w:after="0"/>
              <w:rPr>
                <w:sz w:val="20"/>
                <w:szCs w:val="20"/>
                <w:color w:val="auto"/>
              </w:rPr>
            </w:pPr>
            <w:r>
              <w:rPr>
                <w:rFonts w:ascii="Arial" w:cs="Arial" w:eastAsia="Arial" w:hAnsi="Arial"/>
                <w:sz w:val="16"/>
                <w:szCs w:val="16"/>
                <w:color w:val="auto"/>
              </w:rPr>
              <w:t>4,026</w:t>
            </w:r>
          </w:p>
        </w:tc>
        <w:tc>
          <w:tcPr>
            <w:tcW w:w="1140" w:type="dxa"/>
            <w:vAlign w:val="bottom"/>
          </w:tcPr>
          <w:p>
            <w:pPr>
              <w:jc w:val="right"/>
              <w:ind w:right="144"/>
              <w:spacing w:after="0"/>
              <w:rPr>
                <w:sz w:val="20"/>
                <w:szCs w:val="20"/>
                <w:color w:val="auto"/>
              </w:rPr>
            </w:pPr>
            <w:r>
              <w:rPr>
                <w:rFonts w:ascii="Arial" w:cs="Arial" w:eastAsia="Arial" w:hAnsi="Arial"/>
                <w:sz w:val="16"/>
                <w:szCs w:val="16"/>
                <w:color w:val="auto"/>
              </w:rPr>
              <w:t>3,910</w:t>
            </w:r>
          </w:p>
        </w:tc>
        <w:tc>
          <w:tcPr>
            <w:tcW w:w="1140" w:type="dxa"/>
            <w:vAlign w:val="bottom"/>
          </w:tcPr>
          <w:p>
            <w:pPr>
              <w:jc w:val="right"/>
              <w:ind w:right="124"/>
              <w:spacing w:after="0"/>
              <w:rPr>
                <w:sz w:val="20"/>
                <w:szCs w:val="20"/>
                <w:color w:val="auto"/>
              </w:rPr>
            </w:pPr>
            <w:r>
              <w:rPr>
                <w:rFonts w:ascii="Arial" w:cs="Arial" w:eastAsia="Arial" w:hAnsi="Arial"/>
                <w:sz w:val="16"/>
                <w:szCs w:val="16"/>
                <w:color w:val="auto"/>
              </w:rPr>
              <w:t>3,124</w:t>
            </w:r>
          </w:p>
        </w:tc>
        <w:tc>
          <w:tcPr>
            <w:tcW w:w="1460" w:type="dxa"/>
            <w:vAlign w:val="bottom"/>
          </w:tcPr>
          <w:p>
            <w:pPr>
              <w:jc w:val="right"/>
              <w:ind w:right="124"/>
              <w:spacing w:after="0"/>
              <w:rPr>
                <w:sz w:val="20"/>
                <w:szCs w:val="20"/>
                <w:color w:val="auto"/>
              </w:rPr>
            </w:pPr>
            <w:r>
              <w:rPr>
                <w:rFonts w:ascii="Arial" w:cs="Arial" w:eastAsia="Arial" w:hAnsi="Arial"/>
                <w:sz w:val="16"/>
                <w:szCs w:val="16"/>
                <w:color w:val="auto"/>
              </w:rPr>
              <w:t>2,179</w:t>
            </w:r>
          </w:p>
        </w:tc>
        <w:tc>
          <w:tcPr>
            <w:tcW w:w="1460" w:type="dxa"/>
            <w:vAlign w:val="bottom"/>
          </w:tcPr>
          <w:p>
            <w:pPr>
              <w:jc w:val="right"/>
              <w:ind w:right="124"/>
              <w:spacing w:after="0"/>
              <w:rPr>
                <w:sz w:val="20"/>
                <w:szCs w:val="20"/>
                <w:color w:val="auto"/>
              </w:rPr>
            </w:pPr>
            <w:r>
              <w:rPr>
                <w:rFonts w:ascii="Arial" w:cs="Arial" w:eastAsia="Arial" w:hAnsi="Arial"/>
                <w:sz w:val="16"/>
                <w:szCs w:val="16"/>
                <w:color w:val="auto"/>
              </w:rPr>
              <w:t>1,696</w:t>
            </w:r>
          </w:p>
        </w:tc>
        <w:tc>
          <w:tcPr>
            <w:tcW w:w="1480" w:type="dxa"/>
            <w:vAlign w:val="bottom"/>
          </w:tcPr>
          <w:p>
            <w:pPr>
              <w:jc w:val="right"/>
              <w:ind w:right="144"/>
              <w:spacing w:after="0"/>
              <w:rPr>
                <w:sz w:val="20"/>
                <w:szCs w:val="20"/>
                <w:color w:val="auto"/>
              </w:rPr>
            </w:pPr>
            <w:r>
              <w:rPr>
                <w:rFonts w:ascii="Arial" w:cs="Arial" w:eastAsia="Arial" w:hAnsi="Arial"/>
                <w:sz w:val="16"/>
                <w:szCs w:val="16"/>
                <w:color w:val="auto"/>
              </w:rPr>
              <w:t>2,167</w:t>
            </w:r>
          </w:p>
        </w:tc>
      </w:tr>
      <w:tr>
        <w:trPr>
          <w:trHeight w:val="186"/>
        </w:trPr>
        <w:tc>
          <w:tcPr>
            <w:tcW w:w="1980" w:type="dxa"/>
            <w:vAlign w:val="bottom"/>
            <w:shd w:val="clear" w:color="auto" w:fill="FCE9E8"/>
          </w:tcPr>
          <w:p>
            <w:pPr>
              <w:ind w:left="80"/>
              <w:spacing w:after="0"/>
              <w:rPr>
                <w:sz w:val="20"/>
                <w:szCs w:val="20"/>
                <w:color w:val="auto"/>
              </w:rPr>
            </w:pPr>
            <w:r>
              <w:rPr>
                <w:rFonts w:ascii="Arial" w:cs="Arial" w:eastAsia="Arial" w:hAnsi="Arial"/>
                <w:sz w:val="16"/>
                <w:szCs w:val="16"/>
                <w:color w:val="auto"/>
              </w:rPr>
              <w:t>Terrence B. Larkin</w:t>
            </w:r>
          </w:p>
        </w:tc>
        <w:tc>
          <w:tcPr>
            <w:tcW w:w="1340" w:type="dxa"/>
            <w:vAlign w:val="bottom"/>
            <w:shd w:val="clear" w:color="auto" w:fill="FCE9E8"/>
          </w:tcPr>
          <w:p>
            <w:pPr>
              <w:jc w:val="right"/>
              <w:ind w:right="124"/>
              <w:spacing w:after="0"/>
              <w:rPr>
                <w:sz w:val="20"/>
                <w:szCs w:val="20"/>
                <w:color w:val="auto"/>
              </w:rPr>
            </w:pPr>
            <w:r>
              <w:rPr>
                <w:rFonts w:ascii="Arial" w:cs="Arial" w:eastAsia="Arial" w:hAnsi="Arial"/>
                <w:sz w:val="16"/>
                <w:szCs w:val="16"/>
                <w:color w:val="auto"/>
              </w:rPr>
              <w:t>4,448</w:t>
            </w:r>
          </w:p>
        </w:tc>
        <w:tc>
          <w:tcPr>
            <w:tcW w:w="1140" w:type="dxa"/>
            <w:vAlign w:val="bottom"/>
            <w:shd w:val="clear" w:color="auto" w:fill="FCE9E8"/>
          </w:tcPr>
          <w:p>
            <w:pPr>
              <w:jc w:val="right"/>
              <w:ind w:right="144"/>
              <w:spacing w:after="0"/>
              <w:rPr>
                <w:sz w:val="20"/>
                <w:szCs w:val="20"/>
                <w:color w:val="auto"/>
              </w:rPr>
            </w:pPr>
            <w:r>
              <w:rPr>
                <w:rFonts w:ascii="Arial" w:cs="Arial" w:eastAsia="Arial" w:hAnsi="Arial"/>
                <w:sz w:val="16"/>
                <w:szCs w:val="16"/>
                <w:color w:val="auto"/>
              </w:rPr>
              <w:t>4,263</w:t>
            </w:r>
          </w:p>
        </w:tc>
        <w:tc>
          <w:tcPr>
            <w:tcW w:w="1140" w:type="dxa"/>
            <w:vAlign w:val="bottom"/>
            <w:shd w:val="clear" w:color="auto" w:fill="FCE9E8"/>
          </w:tcPr>
          <w:p>
            <w:pPr>
              <w:jc w:val="right"/>
              <w:ind w:right="124"/>
              <w:spacing w:after="0"/>
              <w:rPr>
                <w:sz w:val="20"/>
                <w:szCs w:val="20"/>
                <w:color w:val="auto"/>
              </w:rPr>
            </w:pPr>
            <w:r>
              <w:rPr>
                <w:rFonts w:ascii="Arial" w:cs="Arial" w:eastAsia="Arial" w:hAnsi="Arial"/>
                <w:sz w:val="16"/>
                <w:szCs w:val="16"/>
                <w:color w:val="auto"/>
              </w:rPr>
              <w:t>3,407</w:t>
            </w:r>
          </w:p>
        </w:tc>
        <w:tc>
          <w:tcPr>
            <w:tcW w:w="1460" w:type="dxa"/>
            <w:vAlign w:val="bottom"/>
            <w:shd w:val="clear" w:color="auto" w:fill="FCE9E8"/>
          </w:tcPr>
          <w:p>
            <w:pPr>
              <w:jc w:val="right"/>
              <w:ind w:right="124"/>
              <w:spacing w:after="0"/>
              <w:rPr>
                <w:sz w:val="20"/>
                <w:szCs w:val="20"/>
                <w:color w:val="auto"/>
              </w:rPr>
            </w:pPr>
            <w:r>
              <w:rPr>
                <w:rFonts w:ascii="Arial" w:cs="Arial" w:eastAsia="Arial" w:hAnsi="Arial"/>
                <w:sz w:val="16"/>
                <w:szCs w:val="16"/>
                <w:color w:val="auto"/>
              </w:rPr>
              <w:t>2,179</w:t>
            </w:r>
          </w:p>
        </w:tc>
        <w:tc>
          <w:tcPr>
            <w:tcW w:w="1460" w:type="dxa"/>
            <w:vAlign w:val="bottom"/>
            <w:shd w:val="clear" w:color="auto" w:fill="FCE9E8"/>
          </w:tcPr>
          <w:p>
            <w:pPr>
              <w:jc w:val="right"/>
              <w:ind w:right="124"/>
              <w:spacing w:after="0"/>
              <w:rPr>
                <w:sz w:val="20"/>
                <w:szCs w:val="20"/>
                <w:color w:val="auto"/>
              </w:rPr>
            </w:pPr>
            <w:r>
              <w:rPr>
                <w:rFonts w:ascii="Arial" w:cs="Arial" w:eastAsia="Arial" w:hAnsi="Arial"/>
                <w:sz w:val="16"/>
                <w:szCs w:val="16"/>
                <w:color w:val="auto"/>
              </w:rPr>
              <w:t>1,696</w:t>
            </w:r>
          </w:p>
        </w:tc>
        <w:tc>
          <w:tcPr>
            <w:tcW w:w="1480" w:type="dxa"/>
            <w:vAlign w:val="bottom"/>
            <w:shd w:val="clear" w:color="auto" w:fill="FCE9E8"/>
          </w:tcPr>
          <w:p>
            <w:pPr>
              <w:jc w:val="right"/>
              <w:ind w:right="144"/>
              <w:spacing w:after="0"/>
              <w:rPr>
                <w:sz w:val="20"/>
                <w:szCs w:val="20"/>
                <w:color w:val="auto"/>
              </w:rPr>
            </w:pPr>
            <w:r>
              <w:rPr>
                <w:rFonts w:ascii="Arial" w:cs="Arial" w:eastAsia="Arial" w:hAnsi="Arial"/>
                <w:sz w:val="16"/>
                <w:szCs w:val="16"/>
                <w:color w:val="auto"/>
              </w:rPr>
              <w:t>—</w:t>
            </w:r>
          </w:p>
        </w:tc>
      </w:tr>
      <w:tr>
        <w:trPr>
          <w:trHeight w:val="186"/>
        </w:trPr>
        <w:tc>
          <w:tcPr>
            <w:tcW w:w="1980" w:type="dxa"/>
            <w:vAlign w:val="bottom"/>
          </w:tcPr>
          <w:p>
            <w:pPr>
              <w:ind w:left="80"/>
              <w:spacing w:after="0"/>
              <w:rPr>
                <w:sz w:val="20"/>
                <w:szCs w:val="20"/>
                <w:color w:val="auto"/>
              </w:rPr>
            </w:pPr>
            <w:r>
              <w:rPr>
                <w:rFonts w:ascii="Arial" w:cs="Arial" w:eastAsia="Arial" w:hAnsi="Arial"/>
                <w:sz w:val="16"/>
                <w:szCs w:val="16"/>
                <w:color w:val="auto"/>
              </w:rPr>
              <w:t>Frank C. Orsini</w:t>
            </w:r>
          </w:p>
        </w:tc>
        <w:tc>
          <w:tcPr>
            <w:tcW w:w="1340" w:type="dxa"/>
            <w:vAlign w:val="bottom"/>
          </w:tcPr>
          <w:p>
            <w:pPr>
              <w:jc w:val="right"/>
              <w:ind w:right="124"/>
              <w:spacing w:after="0"/>
              <w:rPr>
                <w:sz w:val="20"/>
                <w:szCs w:val="20"/>
                <w:color w:val="auto"/>
              </w:rPr>
            </w:pPr>
            <w:r>
              <w:rPr>
                <w:rFonts w:ascii="Arial" w:cs="Arial" w:eastAsia="Arial" w:hAnsi="Arial"/>
                <w:sz w:val="16"/>
                <w:szCs w:val="16"/>
                <w:color w:val="auto"/>
              </w:rPr>
              <w:t>3,830</w:t>
            </w:r>
          </w:p>
        </w:tc>
        <w:tc>
          <w:tcPr>
            <w:tcW w:w="1140" w:type="dxa"/>
            <w:vAlign w:val="bottom"/>
          </w:tcPr>
          <w:p>
            <w:pPr>
              <w:jc w:val="right"/>
              <w:ind w:right="144"/>
              <w:spacing w:after="0"/>
              <w:rPr>
                <w:sz w:val="20"/>
                <w:szCs w:val="20"/>
                <w:color w:val="auto"/>
              </w:rPr>
            </w:pPr>
            <w:r>
              <w:rPr>
                <w:rFonts w:ascii="Arial" w:cs="Arial" w:eastAsia="Arial" w:hAnsi="Arial"/>
                <w:sz w:val="16"/>
                <w:szCs w:val="16"/>
                <w:color w:val="auto"/>
              </w:rPr>
              <w:t>3,671</w:t>
            </w:r>
          </w:p>
        </w:tc>
        <w:tc>
          <w:tcPr>
            <w:tcW w:w="1140" w:type="dxa"/>
            <w:vAlign w:val="bottom"/>
          </w:tcPr>
          <w:p>
            <w:pPr>
              <w:jc w:val="right"/>
              <w:ind w:right="124"/>
              <w:spacing w:after="0"/>
              <w:rPr>
                <w:sz w:val="20"/>
                <w:szCs w:val="20"/>
                <w:color w:val="auto"/>
              </w:rPr>
            </w:pPr>
            <w:r>
              <w:rPr>
                <w:rFonts w:ascii="Arial" w:cs="Arial" w:eastAsia="Arial" w:hAnsi="Arial"/>
                <w:sz w:val="16"/>
                <w:szCs w:val="16"/>
                <w:color w:val="auto"/>
              </w:rPr>
              <w:t>3,177</w:t>
            </w:r>
          </w:p>
        </w:tc>
        <w:tc>
          <w:tcPr>
            <w:tcW w:w="1460" w:type="dxa"/>
            <w:vAlign w:val="bottom"/>
          </w:tcPr>
          <w:p>
            <w:pPr>
              <w:jc w:val="right"/>
              <w:ind w:right="124"/>
              <w:spacing w:after="0"/>
              <w:rPr>
                <w:sz w:val="20"/>
                <w:szCs w:val="20"/>
                <w:color w:val="auto"/>
              </w:rPr>
            </w:pPr>
            <w:r>
              <w:rPr>
                <w:rFonts w:ascii="Arial" w:cs="Arial" w:eastAsia="Arial" w:hAnsi="Arial"/>
                <w:sz w:val="16"/>
                <w:szCs w:val="16"/>
                <w:color w:val="auto"/>
              </w:rPr>
              <w:t>1,386</w:t>
            </w:r>
          </w:p>
        </w:tc>
        <w:tc>
          <w:tcPr>
            <w:tcW w:w="1460" w:type="dxa"/>
            <w:vAlign w:val="bottom"/>
          </w:tcPr>
          <w:p>
            <w:pPr>
              <w:jc w:val="right"/>
              <w:ind w:right="124"/>
              <w:spacing w:after="0"/>
              <w:rPr>
                <w:sz w:val="20"/>
                <w:szCs w:val="20"/>
                <w:color w:val="auto"/>
              </w:rPr>
            </w:pPr>
            <w:r>
              <w:rPr>
                <w:rFonts w:ascii="Arial" w:cs="Arial" w:eastAsia="Arial" w:hAnsi="Arial"/>
                <w:sz w:val="16"/>
                <w:szCs w:val="16"/>
                <w:color w:val="auto"/>
              </w:rPr>
              <w:t>1,130</w:t>
            </w:r>
          </w:p>
        </w:tc>
        <w:tc>
          <w:tcPr>
            <w:tcW w:w="1480" w:type="dxa"/>
            <w:vAlign w:val="bottom"/>
          </w:tcPr>
          <w:p>
            <w:pPr>
              <w:jc w:val="right"/>
              <w:ind w:right="144"/>
              <w:spacing w:after="0"/>
              <w:rPr>
                <w:sz w:val="20"/>
                <w:szCs w:val="20"/>
                <w:color w:val="auto"/>
              </w:rPr>
            </w:pPr>
            <w:r>
              <w:rPr>
                <w:rFonts w:ascii="Arial" w:cs="Arial" w:eastAsia="Arial" w:hAnsi="Arial"/>
                <w:sz w:val="16"/>
                <w:szCs w:val="16"/>
                <w:color w:val="auto"/>
              </w:rPr>
              <w:t>1,444</w:t>
            </w:r>
          </w:p>
        </w:tc>
      </w:tr>
      <w:tr>
        <w:trPr>
          <w:trHeight w:val="186"/>
        </w:trPr>
        <w:tc>
          <w:tcPr>
            <w:tcW w:w="1980" w:type="dxa"/>
            <w:vAlign w:val="bottom"/>
            <w:shd w:val="clear" w:color="auto" w:fill="FCE9E8"/>
          </w:tcPr>
          <w:p>
            <w:pPr>
              <w:ind w:left="80"/>
              <w:spacing w:after="0"/>
              <w:rPr>
                <w:sz w:val="20"/>
                <w:szCs w:val="20"/>
                <w:color w:val="auto"/>
              </w:rPr>
            </w:pPr>
            <w:r>
              <w:rPr>
                <w:rFonts w:ascii="Arial" w:cs="Arial" w:eastAsia="Arial" w:hAnsi="Arial"/>
                <w:sz w:val="16"/>
                <w:szCs w:val="16"/>
                <w:color w:val="auto"/>
              </w:rPr>
              <w:t>Thomas A. DiDonato</w:t>
            </w:r>
          </w:p>
        </w:tc>
        <w:tc>
          <w:tcPr>
            <w:tcW w:w="1340" w:type="dxa"/>
            <w:vAlign w:val="bottom"/>
            <w:shd w:val="clear" w:color="auto" w:fill="FCE9E8"/>
          </w:tcPr>
          <w:p>
            <w:pPr>
              <w:jc w:val="right"/>
              <w:ind w:right="124"/>
              <w:spacing w:after="0"/>
              <w:rPr>
                <w:sz w:val="20"/>
                <w:szCs w:val="20"/>
                <w:color w:val="auto"/>
              </w:rPr>
            </w:pPr>
            <w:r>
              <w:rPr>
                <w:rFonts w:ascii="Arial" w:cs="Arial" w:eastAsia="Arial" w:hAnsi="Arial"/>
                <w:sz w:val="16"/>
                <w:szCs w:val="16"/>
                <w:color w:val="auto"/>
              </w:rPr>
              <w:t>3,131</w:t>
            </w:r>
          </w:p>
        </w:tc>
        <w:tc>
          <w:tcPr>
            <w:tcW w:w="1140" w:type="dxa"/>
            <w:vAlign w:val="bottom"/>
            <w:shd w:val="clear" w:color="auto" w:fill="FCE9E8"/>
          </w:tcPr>
          <w:p>
            <w:pPr>
              <w:jc w:val="right"/>
              <w:ind w:right="144"/>
              <w:spacing w:after="0"/>
              <w:rPr>
                <w:sz w:val="20"/>
                <w:szCs w:val="20"/>
                <w:color w:val="auto"/>
              </w:rPr>
            </w:pPr>
            <w:r>
              <w:rPr>
                <w:rFonts w:ascii="Arial" w:cs="Arial" w:eastAsia="Arial" w:hAnsi="Arial"/>
                <w:sz w:val="16"/>
                <w:szCs w:val="16"/>
                <w:color w:val="auto"/>
              </w:rPr>
              <w:t>3,173</w:t>
            </w:r>
          </w:p>
        </w:tc>
        <w:tc>
          <w:tcPr>
            <w:tcW w:w="1140" w:type="dxa"/>
            <w:vAlign w:val="bottom"/>
            <w:shd w:val="clear" w:color="auto" w:fill="FCE9E8"/>
          </w:tcPr>
          <w:p>
            <w:pPr>
              <w:jc w:val="right"/>
              <w:ind w:right="124"/>
              <w:spacing w:after="0"/>
              <w:rPr>
                <w:sz w:val="20"/>
                <w:szCs w:val="20"/>
                <w:color w:val="auto"/>
              </w:rPr>
            </w:pPr>
            <w:r>
              <w:rPr>
                <w:rFonts w:ascii="Arial" w:cs="Arial" w:eastAsia="Arial" w:hAnsi="Arial"/>
                <w:sz w:val="16"/>
                <w:szCs w:val="16"/>
                <w:color w:val="auto"/>
              </w:rPr>
              <w:t>2,536</w:t>
            </w:r>
          </w:p>
        </w:tc>
        <w:tc>
          <w:tcPr>
            <w:tcW w:w="1460" w:type="dxa"/>
            <w:vAlign w:val="bottom"/>
            <w:shd w:val="clear" w:color="auto" w:fill="FCE9E8"/>
          </w:tcPr>
          <w:p>
            <w:pPr>
              <w:jc w:val="right"/>
              <w:ind w:right="124"/>
              <w:spacing w:after="0"/>
              <w:rPr>
                <w:sz w:val="20"/>
                <w:szCs w:val="20"/>
                <w:color w:val="auto"/>
              </w:rPr>
            </w:pPr>
            <w:r>
              <w:rPr>
                <w:rFonts w:ascii="Arial" w:cs="Arial" w:eastAsia="Arial" w:hAnsi="Arial"/>
                <w:sz w:val="16"/>
                <w:szCs w:val="16"/>
                <w:color w:val="auto"/>
              </w:rPr>
              <w:t>2,179</w:t>
            </w:r>
          </w:p>
        </w:tc>
        <w:tc>
          <w:tcPr>
            <w:tcW w:w="1460" w:type="dxa"/>
            <w:vAlign w:val="bottom"/>
            <w:shd w:val="clear" w:color="auto" w:fill="FCE9E8"/>
          </w:tcPr>
          <w:p>
            <w:pPr>
              <w:jc w:val="right"/>
              <w:ind w:right="124"/>
              <w:spacing w:after="0"/>
              <w:rPr>
                <w:sz w:val="20"/>
                <w:szCs w:val="20"/>
                <w:color w:val="auto"/>
              </w:rPr>
            </w:pPr>
            <w:r>
              <w:rPr>
                <w:rFonts w:ascii="Arial" w:cs="Arial" w:eastAsia="Arial" w:hAnsi="Arial"/>
                <w:sz w:val="16"/>
                <w:szCs w:val="16"/>
                <w:color w:val="auto"/>
              </w:rPr>
              <w:t>1,696</w:t>
            </w:r>
          </w:p>
        </w:tc>
        <w:tc>
          <w:tcPr>
            <w:tcW w:w="1480" w:type="dxa"/>
            <w:vAlign w:val="bottom"/>
            <w:shd w:val="clear" w:color="auto" w:fill="FCE9E8"/>
          </w:tcPr>
          <w:p>
            <w:pPr>
              <w:jc w:val="right"/>
              <w:ind w:right="144"/>
              <w:spacing w:after="0"/>
              <w:rPr>
                <w:sz w:val="20"/>
                <w:szCs w:val="20"/>
                <w:color w:val="auto"/>
              </w:rPr>
            </w:pPr>
            <w:r>
              <w:rPr>
                <w:rFonts w:ascii="Arial" w:cs="Arial" w:eastAsia="Arial" w:hAnsi="Arial"/>
                <w:sz w:val="16"/>
                <w:szCs w:val="16"/>
                <w:color w:val="auto"/>
              </w:rPr>
              <w:t>2,167</w:t>
            </w:r>
          </w:p>
        </w:tc>
      </w:tr>
      <w:tr>
        <w:trPr>
          <w:trHeight w:val="186"/>
        </w:trPr>
        <w:tc>
          <w:tcPr>
            <w:tcW w:w="19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Matthew J. Simoncini</w:t>
            </w:r>
          </w:p>
        </w:tc>
        <w:tc>
          <w:tcPr>
            <w:tcW w:w="13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16,309</w:t>
            </w:r>
          </w:p>
        </w:tc>
        <w:tc>
          <w:tcPr>
            <w:tcW w:w="114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rPr>
              <w:t>16,588</w:t>
            </w: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5,151</w:t>
            </w:r>
          </w:p>
        </w:tc>
        <w:tc>
          <w:tcPr>
            <w:tcW w:w="146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rPr>
              <w:t>—</w:t>
            </w:r>
          </w:p>
        </w:tc>
      </w:tr>
    </w:tbl>
    <w:p>
      <w:pPr>
        <w:spacing w:after="0" w:line="124" w:lineRule="exact"/>
        <w:rPr>
          <w:sz w:val="20"/>
          <w:szCs w:val="20"/>
          <w:color w:val="auto"/>
        </w:rPr>
      </w:pPr>
    </w:p>
    <w:p>
      <w:pPr>
        <w:ind w:left="740" w:hanging="359"/>
        <w:spacing w:after="0"/>
        <w:tabs>
          <w:tab w:leader="none" w:pos="7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60"/>
          </w:cols>
          <w:pgMar w:left="240" w:top="455" w:right="49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80" w:lineRule="exact"/>
        <w:rPr>
          <w:sz w:val="20"/>
          <w:szCs w:val="20"/>
          <w:color w:val="auto"/>
        </w:rPr>
      </w:pPr>
    </w:p>
    <w:p>
      <w:pPr>
        <w:ind w:left="600" w:right="100" w:hanging="320"/>
        <w:spacing w:after="0" w:line="196" w:lineRule="auto"/>
        <w:tabs>
          <w:tab w:leader="none" w:pos="60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The total values in column (h) equal the total number of RSUs held by each Named Executive Officer multiplied by the market price of Company common stock at the close of the last trading day in 2018, which was $122.86 per share, plus the following accrued dividend equivalents and interest at the prime rate (which are paid if and when the underlying RSUs vest and are paid):</w:t>
      </w:r>
    </w:p>
    <w:p>
      <w:pPr>
        <w:spacing w:after="0" w:line="212"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center"/>
              <w:ind w:right="164"/>
              <w:spacing w:after="0"/>
              <w:rPr>
                <w:sz w:val="20"/>
                <w:szCs w:val="20"/>
                <w:color w:val="auto"/>
              </w:rPr>
            </w:pPr>
            <w:r>
              <w:rPr>
                <w:rFonts w:ascii="Arial" w:cs="Arial" w:eastAsia="Arial" w:hAnsi="Arial"/>
                <w:sz w:val="14"/>
                <w:szCs w:val="14"/>
                <w:b w:val="1"/>
                <w:bCs w:val="1"/>
                <w:color w:val="E2231A"/>
              </w:rPr>
              <w:t>2016</w:t>
            </w:r>
          </w:p>
        </w:tc>
        <w:tc>
          <w:tcPr>
            <w:tcW w:w="240" w:type="dxa"/>
            <w:vAlign w:val="bottom"/>
          </w:tcPr>
          <w:p>
            <w:pPr>
              <w:spacing w:after="0"/>
              <w:rPr>
                <w:sz w:val="14"/>
                <w:szCs w:val="14"/>
                <w:color w:val="auto"/>
              </w:rPr>
            </w:pPr>
          </w:p>
        </w:tc>
        <w:tc>
          <w:tcPr>
            <w:tcW w:w="880" w:type="dxa"/>
            <w:vAlign w:val="bottom"/>
          </w:tcPr>
          <w:p>
            <w:pPr>
              <w:jc w:val="center"/>
              <w:ind w:right="184"/>
              <w:spacing w:after="0"/>
              <w:rPr>
                <w:sz w:val="20"/>
                <w:szCs w:val="20"/>
                <w:color w:val="auto"/>
              </w:rPr>
            </w:pPr>
            <w:r>
              <w:rPr>
                <w:rFonts w:ascii="Arial" w:cs="Arial" w:eastAsia="Arial" w:hAnsi="Arial"/>
                <w:sz w:val="14"/>
                <w:szCs w:val="14"/>
                <w:b w:val="1"/>
                <w:bCs w:val="1"/>
                <w:color w:val="E2231A"/>
                <w:w w:val="96"/>
              </w:rPr>
              <w:t>2017</w:t>
            </w:r>
          </w:p>
        </w:tc>
        <w:tc>
          <w:tcPr>
            <w:tcW w:w="240" w:type="dxa"/>
            <w:vAlign w:val="bottom"/>
          </w:tcPr>
          <w:p>
            <w:pPr>
              <w:spacing w:after="0"/>
              <w:rPr>
                <w:sz w:val="14"/>
                <w:szCs w:val="14"/>
                <w:color w:val="auto"/>
              </w:rPr>
            </w:pPr>
          </w:p>
        </w:tc>
        <w:tc>
          <w:tcPr>
            <w:tcW w:w="880" w:type="dxa"/>
            <w:vAlign w:val="bottom"/>
          </w:tcPr>
          <w:p>
            <w:pPr>
              <w:jc w:val="center"/>
              <w:ind w:right="184"/>
              <w:spacing w:after="0"/>
              <w:rPr>
                <w:sz w:val="20"/>
                <w:szCs w:val="20"/>
                <w:color w:val="auto"/>
              </w:rPr>
            </w:pPr>
            <w:r>
              <w:rPr>
                <w:rFonts w:ascii="Arial" w:cs="Arial" w:eastAsia="Arial" w:hAnsi="Arial"/>
                <w:sz w:val="14"/>
                <w:szCs w:val="14"/>
                <w:b w:val="1"/>
                <w:bCs w:val="1"/>
                <w:color w:val="E2231A"/>
                <w:w w:val="96"/>
              </w:rPr>
              <w:t>2018</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0"/>
        </w:trPr>
        <w:tc>
          <w:tcPr>
            <w:tcW w:w="2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center"/>
              <w:ind w:right="184"/>
              <w:spacing w:after="0" w:line="160" w:lineRule="exact"/>
              <w:rPr>
                <w:sz w:val="20"/>
                <w:szCs w:val="20"/>
                <w:color w:val="auto"/>
              </w:rPr>
            </w:pPr>
            <w:r>
              <w:rPr>
                <w:rFonts w:ascii="Arial" w:cs="Arial" w:eastAsia="Arial" w:hAnsi="Arial"/>
                <w:sz w:val="14"/>
                <w:szCs w:val="14"/>
                <w:b w:val="1"/>
                <w:bCs w:val="1"/>
                <w:color w:val="E2231A"/>
              </w:rPr>
              <w:t>Career</w:t>
            </w:r>
          </w:p>
        </w:tc>
        <w:tc>
          <w:tcPr>
            <w:tcW w:w="240" w:type="dxa"/>
            <w:vAlign w:val="bottom"/>
          </w:tcPr>
          <w:p>
            <w:pPr>
              <w:spacing w:after="0"/>
              <w:rPr>
                <w:sz w:val="13"/>
                <w:szCs w:val="13"/>
                <w:color w:val="auto"/>
              </w:rPr>
            </w:pPr>
          </w:p>
        </w:tc>
        <w:tc>
          <w:tcPr>
            <w:tcW w:w="880" w:type="dxa"/>
            <w:vAlign w:val="bottom"/>
          </w:tcPr>
          <w:p>
            <w:pPr>
              <w:jc w:val="center"/>
              <w:ind w:right="184"/>
              <w:spacing w:after="0" w:line="160" w:lineRule="exact"/>
              <w:rPr>
                <w:sz w:val="20"/>
                <w:szCs w:val="20"/>
                <w:color w:val="auto"/>
              </w:rPr>
            </w:pPr>
            <w:r>
              <w:rPr>
                <w:rFonts w:ascii="Arial" w:cs="Arial" w:eastAsia="Arial" w:hAnsi="Arial"/>
                <w:sz w:val="14"/>
                <w:szCs w:val="14"/>
                <w:b w:val="1"/>
                <w:bCs w:val="1"/>
                <w:color w:val="E2231A"/>
              </w:rPr>
              <w:t>Career</w:t>
            </w:r>
          </w:p>
        </w:tc>
        <w:tc>
          <w:tcPr>
            <w:tcW w:w="240" w:type="dxa"/>
            <w:vAlign w:val="bottom"/>
          </w:tcPr>
          <w:p>
            <w:pPr>
              <w:spacing w:after="0"/>
              <w:rPr>
                <w:sz w:val="13"/>
                <w:szCs w:val="13"/>
                <w:color w:val="auto"/>
              </w:rPr>
            </w:pPr>
          </w:p>
        </w:tc>
        <w:tc>
          <w:tcPr>
            <w:tcW w:w="880" w:type="dxa"/>
            <w:vAlign w:val="bottom"/>
          </w:tcPr>
          <w:p>
            <w:pPr>
              <w:jc w:val="center"/>
              <w:ind w:right="184"/>
              <w:spacing w:after="0" w:line="160" w:lineRule="exact"/>
              <w:rPr>
                <w:sz w:val="20"/>
                <w:szCs w:val="20"/>
                <w:color w:val="auto"/>
              </w:rPr>
            </w:pPr>
            <w:r>
              <w:rPr>
                <w:rFonts w:ascii="Arial" w:cs="Arial" w:eastAsia="Arial" w:hAnsi="Arial"/>
                <w:sz w:val="14"/>
                <w:szCs w:val="14"/>
                <w:b w:val="1"/>
                <w:bCs w:val="1"/>
                <w:color w:val="E2231A"/>
              </w:rPr>
              <w:t>Career</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2000" w:type="dxa"/>
            <w:vAlign w:val="bottom"/>
          </w:tcPr>
          <w:p>
            <w:pPr>
              <w:spacing w:after="0"/>
              <w:rPr>
                <w:sz w:val="13"/>
                <w:szCs w:val="13"/>
                <w:color w:val="auto"/>
              </w:rPr>
            </w:pPr>
          </w:p>
        </w:tc>
        <w:tc>
          <w:tcPr>
            <w:tcW w:w="1340" w:type="dxa"/>
            <w:vAlign w:val="bottom"/>
            <w:gridSpan w:val="2"/>
          </w:tcPr>
          <w:p>
            <w:pPr>
              <w:ind w:left="460"/>
              <w:spacing w:after="0" w:line="160" w:lineRule="exact"/>
              <w:rPr>
                <w:sz w:val="20"/>
                <w:szCs w:val="20"/>
                <w:color w:val="auto"/>
              </w:rPr>
            </w:pPr>
            <w:r>
              <w:rPr>
                <w:rFonts w:ascii="Arial" w:cs="Arial" w:eastAsia="Arial" w:hAnsi="Arial"/>
                <w:sz w:val="14"/>
                <w:szCs w:val="14"/>
                <w:b w:val="1"/>
                <w:bCs w:val="1"/>
                <w:color w:val="E2231A"/>
              </w:rPr>
              <w:t>2016 RSU</w:t>
            </w:r>
          </w:p>
        </w:tc>
        <w:tc>
          <w:tcPr>
            <w:tcW w:w="1100" w:type="dxa"/>
            <w:vAlign w:val="bottom"/>
            <w:gridSpan w:val="2"/>
          </w:tcPr>
          <w:p>
            <w:pPr>
              <w:ind w:left="220"/>
              <w:spacing w:after="0" w:line="160" w:lineRule="exact"/>
              <w:rPr>
                <w:sz w:val="20"/>
                <w:szCs w:val="20"/>
                <w:color w:val="auto"/>
              </w:rPr>
            </w:pPr>
            <w:r>
              <w:rPr>
                <w:rFonts w:ascii="Arial" w:cs="Arial" w:eastAsia="Arial" w:hAnsi="Arial"/>
                <w:sz w:val="14"/>
                <w:szCs w:val="14"/>
                <w:b w:val="1"/>
                <w:bCs w:val="1"/>
                <w:color w:val="E2231A"/>
              </w:rPr>
              <w:t>2017 RSU</w:t>
            </w:r>
          </w:p>
        </w:tc>
        <w:tc>
          <w:tcPr>
            <w:tcW w:w="1080" w:type="dxa"/>
            <w:vAlign w:val="bottom"/>
            <w:gridSpan w:val="2"/>
          </w:tcPr>
          <w:p>
            <w:pPr>
              <w:jc w:val="right"/>
              <w:ind w:right="141"/>
              <w:spacing w:after="0" w:line="160" w:lineRule="exact"/>
              <w:rPr>
                <w:sz w:val="20"/>
                <w:szCs w:val="20"/>
                <w:color w:val="auto"/>
              </w:rPr>
            </w:pPr>
            <w:r>
              <w:rPr>
                <w:rFonts w:ascii="Arial" w:cs="Arial" w:eastAsia="Arial" w:hAnsi="Arial"/>
                <w:sz w:val="14"/>
                <w:szCs w:val="14"/>
                <w:b w:val="1"/>
                <w:bCs w:val="1"/>
                <w:color w:val="E2231A"/>
              </w:rPr>
              <w:t>2018 RSU</w:t>
            </w:r>
          </w:p>
        </w:tc>
        <w:tc>
          <w:tcPr>
            <w:tcW w:w="240" w:type="dxa"/>
            <w:vAlign w:val="bottom"/>
          </w:tcPr>
          <w:p>
            <w:pPr>
              <w:spacing w:after="0"/>
              <w:rPr>
                <w:sz w:val="13"/>
                <w:szCs w:val="13"/>
                <w:color w:val="auto"/>
              </w:rPr>
            </w:pPr>
          </w:p>
        </w:tc>
        <w:tc>
          <w:tcPr>
            <w:tcW w:w="880" w:type="dxa"/>
            <w:vAlign w:val="bottom"/>
          </w:tcPr>
          <w:p>
            <w:pPr>
              <w:jc w:val="center"/>
              <w:ind w:right="184"/>
              <w:spacing w:after="0" w:line="160" w:lineRule="exact"/>
              <w:rPr>
                <w:sz w:val="20"/>
                <w:szCs w:val="20"/>
                <w:color w:val="auto"/>
              </w:rPr>
            </w:pPr>
            <w:r>
              <w:rPr>
                <w:rFonts w:ascii="Arial" w:cs="Arial" w:eastAsia="Arial" w:hAnsi="Arial"/>
                <w:sz w:val="14"/>
                <w:szCs w:val="14"/>
                <w:b w:val="1"/>
                <w:bCs w:val="1"/>
                <w:color w:val="E2231A"/>
                <w:w w:val="98"/>
              </w:rPr>
              <w:t>Shares</w:t>
            </w:r>
          </w:p>
        </w:tc>
        <w:tc>
          <w:tcPr>
            <w:tcW w:w="240" w:type="dxa"/>
            <w:vAlign w:val="bottom"/>
          </w:tcPr>
          <w:p>
            <w:pPr>
              <w:spacing w:after="0"/>
              <w:rPr>
                <w:sz w:val="13"/>
                <w:szCs w:val="13"/>
                <w:color w:val="auto"/>
              </w:rPr>
            </w:pPr>
          </w:p>
        </w:tc>
        <w:tc>
          <w:tcPr>
            <w:tcW w:w="880" w:type="dxa"/>
            <w:vAlign w:val="bottom"/>
          </w:tcPr>
          <w:p>
            <w:pPr>
              <w:jc w:val="center"/>
              <w:ind w:right="184"/>
              <w:spacing w:after="0" w:line="160" w:lineRule="exact"/>
              <w:rPr>
                <w:sz w:val="20"/>
                <w:szCs w:val="20"/>
                <w:color w:val="auto"/>
              </w:rPr>
            </w:pPr>
            <w:r>
              <w:rPr>
                <w:rFonts w:ascii="Arial" w:cs="Arial" w:eastAsia="Arial" w:hAnsi="Arial"/>
                <w:sz w:val="14"/>
                <w:szCs w:val="14"/>
                <w:b w:val="1"/>
                <w:bCs w:val="1"/>
                <w:color w:val="E2231A"/>
                <w:w w:val="98"/>
              </w:rPr>
              <w:t>Shares</w:t>
            </w:r>
          </w:p>
        </w:tc>
        <w:tc>
          <w:tcPr>
            <w:tcW w:w="240" w:type="dxa"/>
            <w:vAlign w:val="bottom"/>
          </w:tcPr>
          <w:p>
            <w:pPr>
              <w:spacing w:after="0"/>
              <w:rPr>
                <w:sz w:val="13"/>
                <w:szCs w:val="13"/>
                <w:color w:val="auto"/>
              </w:rPr>
            </w:pPr>
          </w:p>
        </w:tc>
        <w:tc>
          <w:tcPr>
            <w:tcW w:w="880" w:type="dxa"/>
            <w:vAlign w:val="bottom"/>
          </w:tcPr>
          <w:p>
            <w:pPr>
              <w:jc w:val="center"/>
              <w:ind w:right="184"/>
              <w:spacing w:after="0" w:line="160" w:lineRule="exact"/>
              <w:rPr>
                <w:sz w:val="20"/>
                <w:szCs w:val="20"/>
                <w:color w:val="auto"/>
              </w:rPr>
            </w:pPr>
            <w:r>
              <w:rPr>
                <w:rFonts w:ascii="Arial" w:cs="Arial" w:eastAsia="Arial" w:hAnsi="Arial"/>
                <w:sz w:val="14"/>
                <w:szCs w:val="14"/>
                <w:b w:val="1"/>
                <w:bCs w:val="1"/>
                <w:color w:val="E2231A"/>
                <w:w w:val="98"/>
              </w:rPr>
              <w:t>Shares</w:t>
            </w:r>
          </w:p>
        </w:tc>
        <w:tc>
          <w:tcPr>
            <w:tcW w:w="240" w:type="dxa"/>
            <w:vAlign w:val="bottom"/>
          </w:tcPr>
          <w:p>
            <w:pPr>
              <w:spacing w:after="0"/>
              <w:rPr>
                <w:sz w:val="13"/>
                <w:szCs w:val="13"/>
                <w:color w:val="auto"/>
              </w:rPr>
            </w:pPr>
          </w:p>
        </w:tc>
        <w:tc>
          <w:tcPr>
            <w:tcW w:w="880" w:type="dxa"/>
            <w:vAlign w:val="bottom"/>
          </w:tcPr>
          <w:p>
            <w:pPr>
              <w:jc w:val="right"/>
              <w:ind w:right="322"/>
              <w:spacing w:after="0" w:line="160" w:lineRule="exact"/>
              <w:rPr>
                <w:sz w:val="20"/>
                <w:szCs w:val="20"/>
                <w:color w:val="auto"/>
              </w:rPr>
            </w:pPr>
            <w:r>
              <w:rPr>
                <w:rFonts w:ascii="Arial" w:cs="Arial" w:eastAsia="Arial" w:hAnsi="Arial"/>
                <w:sz w:val="14"/>
                <w:szCs w:val="14"/>
                <w:b w:val="1"/>
                <w:bCs w:val="1"/>
                <w:color w:val="E2231A"/>
              </w:rPr>
              <w:t>Total</w:t>
            </w:r>
          </w:p>
        </w:tc>
      </w:tr>
      <w:tr>
        <w:trPr>
          <w:trHeight w:val="160"/>
        </w:trPr>
        <w:tc>
          <w:tcPr>
            <w:tcW w:w="2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ind w:right="161"/>
              <w:spacing w:after="0" w:line="160" w:lineRule="exact"/>
              <w:rPr>
                <w:sz w:val="20"/>
                <w:szCs w:val="20"/>
                <w:color w:val="auto"/>
              </w:rPr>
            </w:pPr>
            <w:r>
              <w:rPr>
                <w:rFonts w:ascii="Arial" w:cs="Arial" w:eastAsia="Arial" w:hAnsi="Arial"/>
                <w:sz w:val="14"/>
                <w:szCs w:val="14"/>
                <w:b w:val="1"/>
                <w:bCs w:val="1"/>
                <w:color w:val="E2231A"/>
                <w:w w:val="98"/>
              </w:rPr>
              <w:t>Dividend</w:t>
            </w:r>
          </w:p>
        </w:tc>
        <w:tc>
          <w:tcPr>
            <w:tcW w:w="240" w:type="dxa"/>
            <w:vAlign w:val="bottom"/>
          </w:tcPr>
          <w:p>
            <w:pPr>
              <w:spacing w:after="0"/>
              <w:rPr>
                <w:sz w:val="13"/>
                <w:szCs w:val="13"/>
                <w:color w:val="auto"/>
              </w:rPr>
            </w:pPr>
          </w:p>
        </w:tc>
        <w:tc>
          <w:tcPr>
            <w:tcW w:w="860" w:type="dxa"/>
            <w:vAlign w:val="bottom"/>
          </w:tcPr>
          <w:p>
            <w:pPr>
              <w:jc w:val="right"/>
              <w:ind w:right="181"/>
              <w:spacing w:after="0" w:line="160" w:lineRule="exact"/>
              <w:rPr>
                <w:sz w:val="20"/>
                <w:szCs w:val="20"/>
                <w:color w:val="auto"/>
              </w:rPr>
            </w:pPr>
            <w:r>
              <w:rPr>
                <w:rFonts w:ascii="Arial" w:cs="Arial" w:eastAsia="Arial" w:hAnsi="Arial"/>
                <w:sz w:val="14"/>
                <w:szCs w:val="14"/>
                <w:b w:val="1"/>
                <w:bCs w:val="1"/>
                <w:color w:val="E2231A"/>
                <w:w w:val="98"/>
              </w:rPr>
              <w:t>Dividend</w:t>
            </w:r>
          </w:p>
        </w:tc>
        <w:tc>
          <w:tcPr>
            <w:tcW w:w="240" w:type="dxa"/>
            <w:vAlign w:val="bottom"/>
          </w:tcPr>
          <w:p>
            <w:pPr>
              <w:spacing w:after="0"/>
              <w:rPr>
                <w:sz w:val="13"/>
                <w:szCs w:val="13"/>
                <w:color w:val="auto"/>
              </w:rPr>
            </w:pPr>
          </w:p>
        </w:tc>
        <w:tc>
          <w:tcPr>
            <w:tcW w:w="840" w:type="dxa"/>
            <w:vAlign w:val="bottom"/>
          </w:tcPr>
          <w:p>
            <w:pPr>
              <w:jc w:val="right"/>
              <w:ind w:right="161"/>
              <w:spacing w:after="0" w:line="160" w:lineRule="exact"/>
              <w:rPr>
                <w:sz w:val="20"/>
                <w:szCs w:val="20"/>
                <w:color w:val="auto"/>
              </w:rPr>
            </w:pPr>
            <w:r>
              <w:rPr>
                <w:rFonts w:ascii="Arial" w:cs="Arial" w:eastAsia="Arial" w:hAnsi="Arial"/>
                <w:sz w:val="14"/>
                <w:szCs w:val="14"/>
                <w:b w:val="1"/>
                <w:bCs w:val="1"/>
                <w:color w:val="E2231A"/>
                <w:w w:val="98"/>
              </w:rPr>
              <w:t>Dividend</w:t>
            </w:r>
          </w:p>
        </w:tc>
        <w:tc>
          <w:tcPr>
            <w:tcW w:w="240" w:type="dxa"/>
            <w:vAlign w:val="bottom"/>
          </w:tcPr>
          <w:p>
            <w:pPr>
              <w:spacing w:after="0"/>
              <w:rPr>
                <w:sz w:val="13"/>
                <w:szCs w:val="13"/>
                <w:color w:val="auto"/>
              </w:rPr>
            </w:pPr>
          </w:p>
        </w:tc>
        <w:tc>
          <w:tcPr>
            <w:tcW w:w="880" w:type="dxa"/>
            <w:vAlign w:val="bottom"/>
          </w:tcPr>
          <w:p>
            <w:pPr>
              <w:jc w:val="center"/>
              <w:ind w:right="164"/>
              <w:spacing w:after="0" w:line="160" w:lineRule="exact"/>
              <w:rPr>
                <w:sz w:val="20"/>
                <w:szCs w:val="20"/>
                <w:color w:val="auto"/>
              </w:rPr>
            </w:pPr>
            <w:r>
              <w:rPr>
                <w:rFonts w:ascii="Arial" w:cs="Arial" w:eastAsia="Arial" w:hAnsi="Arial"/>
                <w:sz w:val="14"/>
                <w:szCs w:val="14"/>
                <w:b w:val="1"/>
                <w:bCs w:val="1"/>
                <w:color w:val="E2231A"/>
              </w:rPr>
              <w:t>Dividend</w:t>
            </w:r>
          </w:p>
        </w:tc>
        <w:tc>
          <w:tcPr>
            <w:tcW w:w="240" w:type="dxa"/>
            <w:vAlign w:val="bottom"/>
          </w:tcPr>
          <w:p>
            <w:pPr>
              <w:spacing w:after="0"/>
              <w:rPr>
                <w:sz w:val="13"/>
                <w:szCs w:val="13"/>
                <w:color w:val="auto"/>
              </w:rPr>
            </w:pPr>
          </w:p>
        </w:tc>
        <w:tc>
          <w:tcPr>
            <w:tcW w:w="880" w:type="dxa"/>
            <w:vAlign w:val="bottom"/>
          </w:tcPr>
          <w:p>
            <w:pPr>
              <w:jc w:val="center"/>
              <w:ind w:right="164"/>
              <w:spacing w:after="0" w:line="160" w:lineRule="exact"/>
              <w:rPr>
                <w:sz w:val="20"/>
                <w:szCs w:val="20"/>
                <w:color w:val="auto"/>
              </w:rPr>
            </w:pPr>
            <w:r>
              <w:rPr>
                <w:rFonts w:ascii="Arial" w:cs="Arial" w:eastAsia="Arial" w:hAnsi="Arial"/>
                <w:sz w:val="14"/>
                <w:szCs w:val="14"/>
                <w:b w:val="1"/>
                <w:bCs w:val="1"/>
                <w:color w:val="E2231A"/>
              </w:rPr>
              <w:t>Dividend</w:t>
            </w:r>
          </w:p>
        </w:tc>
        <w:tc>
          <w:tcPr>
            <w:tcW w:w="240" w:type="dxa"/>
            <w:vAlign w:val="bottom"/>
          </w:tcPr>
          <w:p>
            <w:pPr>
              <w:spacing w:after="0"/>
              <w:rPr>
                <w:sz w:val="13"/>
                <w:szCs w:val="13"/>
                <w:color w:val="auto"/>
              </w:rPr>
            </w:pPr>
          </w:p>
        </w:tc>
        <w:tc>
          <w:tcPr>
            <w:tcW w:w="880" w:type="dxa"/>
            <w:vAlign w:val="bottom"/>
          </w:tcPr>
          <w:p>
            <w:pPr>
              <w:jc w:val="center"/>
              <w:ind w:right="164"/>
              <w:spacing w:after="0" w:line="160" w:lineRule="exact"/>
              <w:rPr>
                <w:sz w:val="20"/>
                <w:szCs w:val="20"/>
                <w:color w:val="auto"/>
              </w:rPr>
            </w:pPr>
            <w:r>
              <w:rPr>
                <w:rFonts w:ascii="Arial" w:cs="Arial" w:eastAsia="Arial" w:hAnsi="Arial"/>
                <w:sz w:val="14"/>
                <w:szCs w:val="14"/>
                <w:b w:val="1"/>
                <w:bCs w:val="1"/>
                <w:color w:val="E2231A"/>
              </w:rPr>
              <w:t>Dividend</w:t>
            </w:r>
          </w:p>
        </w:tc>
        <w:tc>
          <w:tcPr>
            <w:tcW w:w="240" w:type="dxa"/>
            <w:vAlign w:val="bottom"/>
          </w:tcPr>
          <w:p>
            <w:pPr>
              <w:spacing w:after="0"/>
              <w:rPr>
                <w:sz w:val="13"/>
                <w:szCs w:val="13"/>
                <w:color w:val="auto"/>
              </w:rPr>
            </w:pPr>
          </w:p>
        </w:tc>
        <w:tc>
          <w:tcPr>
            <w:tcW w:w="880" w:type="dxa"/>
            <w:vAlign w:val="bottom"/>
          </w:tcPr>
          <w:p>
            <w:pPr>
              <w:jc w:val="right"/>
              <w:ind w:right="202"/>
              <w:spacing w:after="0" w:line="160" w:lineRule="exact"/>
              <w:rPr>
                <w:sz w:val="20"/>
                <w:szCs w:val="20"/>
                <w:color w:val="auto"/>
              </w:rPr>
            </w:pPr>
            <w:r>
              <w:rPr>
                <w:rFonts w:ascii="Arial" w:cs="Arial" w:eastAsia="Arial" w:hAnsi="Arial"/>
                <w:sz w:val="14"/>
                <w:szCs w:val="14"/>
                <w:b w:val="1"/>
                <w:bCs w:val="1"/>
                <w:color w:val="E2231A"/>
                <w:w w:val="98"/>
              </w:rPr>
              <w:t>Dividend</w:t>
            </w:r>
          </w:p>
        </w:tc>
      </w:tr>
      <w:tr>
        <w:trPr>
          <w:trHeight w:val="173"/>
        </w:trPr>
        <w:tc>
          <w:tcPr>
            <w:tcW w:w="20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E2231A"/>
              </w:rPr>
              <w:t>Equivalents</w:t>
            </w: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E2231A"/>
              </w:rPr>
              <w:t>Equivalents</w:t>
            </w: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E2231A"/>
              </w:rPr>
              <w:t>Equivalents</w:t>
            </w: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E2231A"/>
              </w:rPr>
              <w:t>Equivalents</w:t>
            </w: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E2231A"/>
              </w:rPr>
              <w:t>Equivalents</w:t>
            </w: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E2231A"/>
              </w:rPr>
              <w:t>Equivalents</w:t>
            </w: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E2231A"/>
              </w:rPr>
              <w:t>Equivalents</w:t>
            </w:r>
          </w:p>
        </w:tc>
      </w:tr>
      <w:tr>
        <w:trPr>
          <w:trHeight w:val="180"/>
        </w:trPr>
        <w:tc>
          <w:tcPr>
            <w:tcW w:w="2000" w:type="dxa"/>
            <w:vAlign w:val="bottom"/>
            <w:shd w:val="clear" w:color="auto" w:fill="FCE9E8"/>
          </w:tcPr>
          <w:p>
            <w:pPr>
              <w:ind w:left="80"/>
              <w:spacing w:after="0" w:line="180" w:lineRule="exact"/>
              <w:rPr>
                <w:sz w:val="20"/>
                <w:szCs w:val="20"/>
                <w:color w:val="auto"/>
              </w:rPr>
            </w:pPr>
            <w:r>
              <w:rPr>
                <w:rFonts w:ascii="Arial" w:cs="Arial" w:eastAsia="Arial" w:hAnsi="Arial"/>
                <w:sz w:val="16"/>
                <w:szCs w:val="16"/>
                <w:color w:val="auto"/>
              </w:rPr>
              <w:t>Raymond E. Scott</w:t>
            </w:r>
          </w:p>
        </w:tc>
        <w:tc>
          <w:tcPr>
            <w:tcW w:w="500" w:type="dxa"/>
            <w:vAlign w:val="bottom"/>
            <w:shd w:val="clear" w:color="auto" w:fill="FCE9E8"/>
          </w:tcPr>
          <w:p>
            <w:pPr>
              <w:ind w:left="400"/>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61"/>
              <w:spacing w:after="0" w:line="180" w:lineRule="exact"/>
              <w:rPr>
                <w:sz w:val="20"/>
                <w:szCs w:val="20"/>
                <w:color w:val="auto"/>
              </w:rPr>
            </w:pPr>
            <w:r>
              <w:rPr>
                <w:rFonts w:ascii="Arial" w:cs="Arial" w:eastAsia="Arial" w:hAnsi="Arial"/>
                <w:sz w:val="16"/>
                <w:szCs w:val="16"/>
                <w:color w:val="auto"/>
              </w:rPr>
              <w:t>28,119</w:t>
            </w:r>
          </w:p>
        </w:tc>
        <w:tc>
          <w:tcPr>
            <w:tcW w:w="240" w:type="dxa"/>
            <w:vAlign w:val="bottom"/>
            <w:shd w:val="clear" w:color="auto" w:fill="FCE9E8"/>
          </w:tcPr>
          <w:p>
            <w:pPr>
              <w:ind w:left="140"/>
              <w:spacing w:after="0" w:line="180"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FCE9E8"/>
          </w:tcPr>
          <w:p>
            <w:pPr>
              <w:jc w:val="right"/>
              <w:ind w:right="81"/>
              <w:spacing w:after="0" w:line="180" w:lineRule="exact"/>
              <w:rPr>
                <w:sz w:val="20"/>
                <w:szCs w:val="20"/>
                <w:color w:val="auto"/>
              </w:rPr>
            </w:pPr>
            <w:r>
              <w:rPr>
                <w:rFonts w:ascii="Arial" w:cs="Arial" w:eastAsia="Arial" w:hAnsi="Arial"/>
                <w:sz w:val="16"/>
                <w:szCs w:val="16"/>
                <w:color w:val="auto"/>
              </w:rPr>
              <w:t>22,403</w:t>
            </w:r>
          </w:p>
        </w:tc>
        <w:tc>
          <w:tcPr>
            <w:tcW w:w="240" w:type="dxa"/>
            <w:vAlign w:val="bottom"/>
            <w:shd w:val="clear" w:color="auto" w:fill="FCE9E8"/>
          </w:tcPr>
          <w:p>
            <w:pPr>
              <w:ind w:left="140"/>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61"/>
              <w:spacing w:after="0" w:line="180" w:lineRule="exact"/>
              <w:rPr>
                <w:sz w:val="20"/>
                <w:szCs w:val="20"/>
                <w:color w:val="auto"/>
              </w:rPr>
            </w:pPr>
            <w:r>
              <w:rPr>
                <w:rFonts w:ascii="Arial" w:cs="Arial" w:eastAsia="Arial" w:hAnsi="Arial"/>
                <w:sz w:val="16"/>
                <w:szCs w:val="16"/>
                <w:color w:val="auto"/>
              </w:rPr>
              <w:t>25,626</w:t>
            </w:r>
          </w:p>
        </w:tc>
        <w:tc>
          <w:tcPr>
            <w:tcW w:w="240" w:type="dxa"/>
            <w:vAlign w:val="bottom"/>
            <w:shd w:val="clear" w:color="auto" w:fill="FCE9E8"/>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CE9E8"/>
          </w:tcPr>
          <w:p>
            <w:pPr>
              <w:jc w:val="right"/>
              <w:ind w:right="84"/>
              <w:spacing w:after="0" w:line="180" w:lineRule="exact"/>
              <w:rPr>
                <w:sz w:val="20"/>
                <w:szCs w:val="20"/>
                <w:color w:val="auto"/>
              </w:rPr>
            </w:pPr>
            <w:r>
              <w:rPr>
                <w:rFonts w:ascii="Arial" w:cs="Arial" w:eastAsia="Arial" w:hAnsi="Arial"/>
                <w:sz w:val="16"/>
                <w:szCs w:val="16"/>
                <w:color w:val="auto"/>
              </w:rPr>
              <w:t>11,592</w:t>
            </w:r>
          </w:p>
        </w:tc>
        <w:tc>
          <w:tcPr>
            <w:tcW w:w="240" w:type="dxa"/>
            <w:vAlign w:val="bottom"/>
            <w:shd w:val="clear" w:color="auto" w:fill="FCE9E8"/>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CE9E8"/>
          </w:tcPr>
          <w:p>
            <w:pPr>
              <w:jc w:val="right"/>
              <w:ind w:right="84"/>
              <w:spacing w:after="0" w:line="180" w:lineRule="exact"/>
              <w:rPr>
                <w:sz w:val="20"/>
                <w:szCs w:val="20"/>
                <w:color w:val="auto"/>
              </w:rPr>
            </w:pPr>
            <w:r>
              <w:rPr>
                <w:rFonts w:ascii="Arial" w:cs="Arial" w:eastAsia="Arial" w:hAnsi="Arial"/>
                <w:sz w:val="16"/>
                <w:szCs w:val="16"/>
                <w:color w:val="auto"/>
              </w:rPr>
              <w:t>5,736</w:t>
            </w:r>
          </w:p>
        </w:tc>
        <w:tc>
          <w:tcPr>
            <w:tcW w:w="240" w:type="dxa"/>
            <w:vAlign w:val="bottom"/>
            <w:shd w:val="clear" w:color="auto" w:fill="FCE9E8"/>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CE9E8"/>
          </w:tcPr>
          <w:p>
            <w:pPr>
              <w:jc w:val="right"/>
              <w:ind w:right="84"/>
              <w:spacing w:after="0" w:line="180" w:lineRule="exact"/>
              <w:rPr>
                <w:sz w:val="20"/>
                <w:szCs w:val="20"/>
                <w:color w:val="auto"/>
              </w:rPr>
            </w:pPr>
            <w:r>
              <w:rPr>
                <w:rFonts w:ascii="Arial" w:cs="Arial" w:eastAsia="Arial" w:hAnsi="Arial"/>
                <w:sz w:val="16"/>
                <w:szCs w:val="16"/>
                <w:color w:val="auto"/>
              </w:rPr>
              <w:t>2,530</w:t>
            </w:r>
          </w:p>
        </w:tc>
        <w:tc>
          <w:tcPr>
            <w:tcW w:w="240" w:type="dxa"/>
            <w:vAlign w:val="bottom"/>
            <w:shd w:val="clear" w:color="auto" w:fill="FCE9E8"/>
          </w:tcPr>
          <w:p>
            <w:pPr>
              <w:ind w:left="140"/>
              <w:spacing w:after="0" w:line="180" w:lineRule="exact"/>
              <w:rPr>
                <w:sz w:val="20"/>
                <w:szCs w:val="20"/>
                <w:color w:val="auto"/>
              </w:rPr>
            </w:pPr>
            <w:r>
              <w:rPr>
                <w:rFonts w:ascii="Arial" w:cs="Arial" w:eastAsia="Arial" w:hAnsi="Arial"/>
                <w:sz w:val="16"/>
                <w:szCs w:val="16"/>
                <w:color w:val="auto"/>
                <w:w w:val="89"/>
              </w:rPr>
              <w:t>$</w:t>
            </w:r>
          </w:p>
        </w:tc>
        <w:tc>
          <w:tcPr>
            <w:tcW w:w="880" w:type="dxa"/>
            <w:vAlign w:val="bottom"/>
            <w:shd w:val="clear" w:color="auto" w:fill="FCE9E8"/>
          </w:tcPr>
          <w:p>
            <w:pPr>
              <w:jc w:val="right"/>
              <w:ind w:right="102"/>
              <w:spacing w:after="0" w:line="180" w:lineRule="exact"/>
              <w:rPr>
                <w:sz w:val="20"/>
                <w:szCs w:val="20"/>
                <w:color w:val="auto"/>
              </w:rPr>
            </w:pPr>
            <w:r>
              <w:rPr>
                <w:rFonts w:ascii="Arial" w:cs="Arial" w:eastAsia="Arial" w:hAnsi="Arial"/>
                <w:sz w:val="16"/>
                <w:szCs w:val="16"/>
                <w:color w:val="auto"/>
              </w:rPr>
              <w:t>96,006</w:t>
            </w:r>
          </w:p>
        </w:tc>
      </w:tr>
      <w:tr>
        <w:trPr>
          <w:trHeight w:val="186"/>
        </w:trPr>
        <w:tc>
          <w:tcPr>
            <w:tcW w:w="2000" w:type="dxa"/>
            <w:vAlign w:val="bottom"/>
          </w:tcPr>
          <w:p>
            <w:pPr>
              <w:ind w:left="80"/>
              <w:spacing w:after="0"/>
              <w:rPr>
                <w:sz w:val="20"/>
                <w:szCs w:val="20"/>
                <w:color w:val="auto"/>
              </w:rPr>
            </w:pPr>
            <w:r>
              <w:rPr>
                <w:rFonts w:ascii="Arial" w:cs="Arial" w:eastAsia="Arial" w:hAnsi="Arial"/>
                <w:sz w:val="16"/>
                <w:szCs w:val="16"/>
                <w:color w:val="auto"/>
              </w:rPr>
              <w:t>Jeffrey H. Vanneste</w:t>
            </w:r>
          </w:p>
        </w:tc>
        <w:tc>
          <w:tcPr>
            <w:tcW w:w="500" w:type="dxa"/>
            <w:vAlign w:val="bottom"/>
          </w:tcPr>
          <w:p>
            <w:pPr>
              <w:ind w:left="40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25,451</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19,518</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8,925</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84"/>
              <w:spacing w:after="0"/>
              <w:rPr>
                <w:sz w:val="20"/>
                <w:szCs w:val="20"/>
                <w:color w:val="auto"/>
              </w:rPr>
            </w:pPr>
            <w:r>
              <w:rPr>
                <w:rFonts w:ascii="Arial" w:cs="Arial" w:eastAsia="Arial" w:hAnsi="Arial"/>
                <w:sz w:val="16"/>
                <w:szCs w:val="16"/>
                <w:color w:val="auto"/>
              </w:rPr>
              <w:t>11,592</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84"/>
              <w:spacing w:after="0"/>
              <w:rPr>
                <w:sz w:val="20"/>
                <w:szCs w:val="20"/>
                <w:color w:val="auto"/>
              </w:rPr>
            </w:pPr>
            <w:r>
              <w:rPr>
                <w:rFonts w:ascii="Arial" w:cs="Arial" w:eastAsia="Arial" w:hAnsi="Arial"/>
                <w:sz w:val="16"/>
                <w:szCs w:val="16"/>
                <w:color w:val="auto"/>
              </w:rPr>
              <w:t>5,736</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84"/>
              <w:spacing w:after="0"/>
              <w:rPr>
                <w:sz w:val="20"/>
                <w:szCs w:val="20"/>
                <w:color w:val="auto"/>
              </w:rPr>
            </w:pPr>
            <w:r>
              <w:rPr>
                <w:rFonts w:ascii="Arial" w:cs="Arial" w:eastAsia="Arial" w:hAnsi="Arial"/>
                <w:sz w:val="16"/>
                <w:szCs w:val="16"/>
                <w:color w:val="auto"/>
              </w:rPr>
              <w:t>1,518</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72,740</w:t>
            </w:r>
          </w:p>
        </w:tc>
      </w:tr>
      <w:tr>
        <w:trPr>
          <w:trHeight w:val="186"/>
        </w:trPr>
        <w:tc>
          <w:tcPr>
            <w:tcW w:w="2000" w:type="dxa"/>
            <w:vAlign w:val="bottom"/>
            <w:shd w:val="clear" w:color="auto" w:fill="FCE9E8"/>
          </w:tcPr>
          <w:p>
            <w:pPr>
              <w:ind w:left="80"/>
              <w:spacing w:after="0"/>
              <w:rPr>
                <w:sz w:val="20"/>
                <w:szCs w:val="20"/>
                <w:color w:val="auto"/>
              </w:rPr>
            </w:pPr>
            <w:r>
              <w:rPr>
                <w:rFonts w:ascii="Arial" w:cs="Arial" w:eastAsia="Arial" w:hAnsi="Arial"/>
                <w:sz w:val="16"/>
                <w:szCs w:val="16"/>
                <w:color w:val="auto"/>
              </w:rPr>
              <w:t>Terrence B. Larkin</w:t>
            </w:r>
          </w:p>
        </w:tc>
        <w:tc>
          <w:tcPr>
            <w:tcW w:w="500" w:type="dxa"/>
            <w:vAlign w:val="bottom"/>
            <w:shd w:val="clear" w:color="auto" w:fill="FCE9E8"/>
          </w:tcPr>
          <w:p>
            <w:pPr>
              <w:ind w:left="40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61"/>
              <w:spacing w:after="0"/>
              <w:rPr>
                <w:sz w:val="20"/>
                <w:szCs w:val="20"/>
                <w:color w:val="auto"/>
              </w:rPr>
            </w:pPr>
            <w:r>
              <w:rPr>
                <w:rFonts w:ascii="Arial" w:cs="Arial" w:eastAsia="Arial" w:hAnsi="Arial"/>
                <w:sz w:val="16"/>
                <w:szCs w:val="16"/>
                <w:color w:val="auto"/>
              </w:rPr>
              <w:t>28,119</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CE9E8"/>
          </w:tcPr>
          <w:p>
            <w:pPr>
              <w:jc w:val="right"/>
              <w:ind w:right="81"/>
              <w:spacing w:after="0"/>
              <w:rPr>
                <w:sz w:val="20"/>
                <w:szCs w:val="20"/>
                <w:color w:val="auto"/>
              </w:rPr>
            </w:pPr>
            <w:r>
              <w:rPr>
                <w:rFonts w:ascii="Arial" w:cs="Arial" w:eastAsia="Arial" w:hAnsi="Arial"/>
                <w:sz w:val="16"/>
                <w:szCs w:val="16"/>
                <w:color w:val="auto"/>
              </w:rPr>
              <w:t>21,280</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61"/>
              <w:spacing w:after="0"/>
              <w:rPr>
                <w:sz w:val="20"/>
                <w:szCs w:val="20"/>
                <w:color w:val="auto"/>
              </w:rPr>
            </w:pPr>
            <w:r>
              <w:rPr>
                <w:rFonts w:ascii="Arial" w:cs="Arial" w:eastAsia="Arial" w:hAnsi="Arial"/>
                <w:sz w:val="16"/>
                <w:szCs w:val="16"/>
                <w:color w:val="auto"/>
              </w:rPr>
              <w:t>9,733</w:t>
            </w:r>
          </w:p>
        </w:tc>
        <w:tc>
          <w:tcPr>
            <w:tcW w:w="240" w:type="dxa"/>
            <w:vAlign w:val="bottom"/>
            <w:shd w:val="clear" w:color="auto" w:fill="FCE9E8"/>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CE9E8"/>
          </w:tcPr>
          <w:p>
            <w:pPr>
              <w:jc w:val="right"/>
              <w:ind w:right="84"/>
              <w:spacing w:after="0"/>
              <w:rPr>
                <w:sz w:val="20"/>
                <w:szCs w:val="20"/>
                <w:color w:val="auto"/>
              </w:rPr>
            </w:pPr>
            <w:r>
              <w:rPr>
                <w:rFonts w:ascii="Arial" w:cs="Arial" w:eastAsia="Arial" w:hAnsi="Arial"/>
                <w:sz w:val="16"/>
                <w:szCs w:val="16"/>
                <w:color w:val="auto"/>
              </w:rPr>
              <w:t>11,592</w:t>
            </w:r>
          </w:p>
        </w:tc>
        <w:tc>
          <w:tcPr>
            <w:tcW w:w="240" w:type="dxa"/>
            <w:vAlign w:val="bottom"/>
            <w:shd w:val="clear" w:color="auto" w:fill="FCE9E8"/>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CE9E8"/>
          </w:tcPr>
          <w:p>
            <w:pPr>
              <w:jc w:val="right"/>
              <w:ind w:right="84"/>
              <w:spacing w:after="0"/>
              <w:rPr>
                <w:sz w:val="20"/>
                <w:szCs w:val="20"/>
                <w:color w:val="auto"/>
              </w:rPr>
            </w:pPr>
            <w:r>
              <w:rPr>
                <w:rFonts w:ascii="Arial" w:cs="Arial" w:eastAsia="Arial" w:hAnsi="Arial"/>
                <w:sz w:val="16"/>
                <w:szCs w:val="16"/>
                <w:color w:val="auto"/>
              </w:rPr>
              <w:t>5,736</w:t>
            </w:r>
          </w:p>
        </w:tc>
        <w:tc>
          <w:tcPr>
            <w:tcW w:w="240" w:type="dxa"/>
            <w:vAlign w:val="bottom"/>
            <w:shd w:val="clear" w:color="auto" w:fill="FCE9E8"/>
          </w:tcPr>
          <w:p>
            <w:pPr>
              <w:spacing w:after="0"/>
              <w:rPr>
                <w:sz w:val="16"/>
                <w:szCs w:val="16"/>
                <w:color w:val="auto"/>
              </w:rPr>
            </w:pPr>
          </w:p>
        </w:tc>
        <w:tc>
          <w:tcPr>
            <w:tcW w:w="880" w:type="dxa"/>
            <w:vAlign w:val="bottom"/>
            <w:shd w:val="clear" w:color="auto" w:fill="FCE9E8"/>
          </w:tcPr>
          <w:p>
            <w:pPr>
              <w:jc w:val="right"/>
              <w:ind w:right="84"/>
              <w:spacing w:after="0"/>
              <w:rPr>
                <w:sz w:val="20"/>
                <w:szCs w:val="20"/>
                <w:color w:val="auto"/>
              </w:rPr>
            </w:pPr>
            <w:r>
              <w:rPr>
                <w:rFonts w:ascii="Arial" w:cs="Arial" w:eastAsia="Arial" w:hAnsi="Arial"/>
                <w:sz w:val="16"/>
                <w:szCs w:val="16"/>
                <w:color w:val="auto"/>
              </w:rPr>
              <w:t>—</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FCE9E8"/>
          </w:tcPr>
          <w:p>
            <w:pPr>
              <w:jc w:val="right"/>
              <w:ind w:right="102"/>
              <w:spacing w:after="0"/>
              <w:rPr>
                <w:sz w:val="20"/>
                <w:szCs w:val="20"/>
                <w:color w:val="auto"/>
              </w:rPr>
            </w:pPr>
            <w:r>
              <w:rPr>
                <w:rFonts w:ascii="Arial" w:cs="Arial" w:eastAsia="Arial" w:hAnsi="Arial"/>
                <w:sz w:val="16"/>
                <w:szCs w:val="16"/>
                <w:color w:val="auto"/>
              </w:rPr>
              <w:t>76,460</w:t>
            </w:r>
          </w:p>
        </w:tc>
      </w:tr>
      <w:tr>
        <w:trPr>
          <w:trHeight w:val="186"/>
        </w:trPr>
        <w:tc>
          <w:tcPr>
            <w:tcW w:w="2000" w:type="dxa"/>
            <w:vAlign w:val="bottom"/>
          </w:tcPr>
          <w:p>
            <w:pPr>
              <w:ind w:left="80"/>
              <w:spacing w:after="0"/>
              <w:rPr>
                <w:sz w:val="20"/>
                <w:szCs w:val="20"/>
                <w:color w:val="auto"/>
              </w:rPr>
            </w:pPr>
            <w:r>
              <w:rPr>
                <w:rFonts w:ascii="Arial" w:cs="Arial" w:eastAsia="Arial" w:hAnsi="Arial"/>
                <w:sz w:val="16"/>
                <w:szCs w:val="16"/>
                <w:color w:val="auto"/>
              </w:rPr>
              <w:t>Frank C. Orsini</w:t>
            </w:r>
          </w:p>
        </w:tc>
        <w:tc>
          <w:tcPr>
            <w:tcW w:w="500" w:type="dxa"/>
            <w:vAlign w:val="bottom"/>
          </w:tcPr>
          <w:p>
            <w:pPr>
              <w:ind w:left="40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24,212</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18,325</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9,076</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84"/>
              <w:spacing w:after="0"/>
              <w:rPr>
                <w:sz w:val="20"/>
                <w:szCs w:val="20"/>
                <w:color w:val="auto"/>
              </w:rPr>
            </w:pPr>
            <w:r>
              <w:rPr>
                <w:rFonts w:ascii="Arial" w:cs="Arial" w:eastAsia="Arial" w:hAnsi="Arial"/>
                <w:sz w:val="16"/>
                <w:szCs w:val="16"/>
                <w:color w:val="auto"/>
              </w:rPr>
              <w:t>7,373</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84"/>
              <w:spacing w:after="0"/>
              <w:rPr>
                <w:sz w:val="20"/>
                <w:szCs w:val="20"/>
                <w:color w:val="auto"/>
              </w:rPr>
            </w:pPr>
            <w:r>
              <w:rPr>
                <w:rFonts w:ascii="Arial" w:cs="Arial" w:eastAsia="Arial" w:hAnsi="Arial"/>
                <w:sz w:val="16"/>
                <w:szCs w:val="16"/>
                <w:color w:val="auto"/>
              </w:rPr>
              <w:t>3,822</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84"/>
              <w:spacing w:after="0"/>
              <w:rPr>
                <w:sz w:val="20"/>
                <w:szCs w:val="20"/>
                <w:color w:val="auto"/>
              </w:rPr>
            </w:pPr>
            <w:r>
              <w:rPr>
                <w:rFonts w:ascii="Arial" w:cs="Arial" w:eastAsia="Arial" w:hAnsi="Arial"/>
                <w:sz w:val="16"/>
                <w:szCs w:val="16"/>
                <w:color w:val="auto"/>
              </w:rPr>
              <w:t>1,012</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63,820</w:t>
            </w:r>
          </w:p>
        </w:tc>
      </w:tr>
      <w:tr>
        <w:trPr>
          <w:trHeight w:val="186"/>
        </w:trPr>
        <w:tc>
          <w:tcPr>
            <w:tcW w:w="2000" w:type="dxa"/>
            <w:vAlign w:val="bottom"/>
            <w:shd w:val="clear" w:color="auto" w:fill="FCE9E8"/>
          </w:tcPr>
          <w:p>
            <w:pPr>
              <w:ind w:left="80"/>
              <w:spacing w:after="0"/>
              <w:rPr>
                <w:sz w:val="20"/>
                <w:szCs w:val="20"/>
                <w:color w:val="auto"/>
              </w:rPr>
            </w:pPr>
            <w:r>
              <w:rPr>
                <w:rFonts w:ascii="Arial" w:cs="Arial" w:eastAsia="Arial" w:hAnsi="Arial"/>
                <w:sz w:val="16"/>
                <w:szCs w:val="16"/>
                <w:color w:val="auto"/>
              </w:rPr>
              <w:t>Thomas A. DiDonato</w:t>
            </w:r>
          </w:p>
        </w:tc>
        <w:tc>
          <w:tcPr>
            <w:tcW w:w="500" w:type="dxa"/>
            <w:vAlign w:val="bottom"/>
            <w:shd w:val="clear" w:color="auto" w:fill="FCE9E8"/>
          </w:tcPr>
          <w:p>
            <w:pPr>
              <w:ind w:left="40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61"/>
              <w:spacing w:after="0"/>
              <w:rPr>
                <w:sz w:val="20"/>
                <w:szCs w:val="20"/>
                <w:color w:val="auto"/>
              </w:rPr>
            </w:pPr>
            <w:r>
              <w:rPr>
                <w:rFonts w:ascii="Arial" w:cs="Arial" w:eastAsia="Arial" w:hAnsi="Arial"/>
                <w:sz w:val="16"/>
                <w:szCs w:val="16"/>
                <w:color w:val="auto"/>
              </w:rPr>
              <w:t>19,793</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CE9E8"/>
          </w:tcPr>
          <w:p>
            <w:pPr>
              <w:jc w:val="right"/>
              <w:ind w:right="81"/>
              <w:spacing w:after="0"/>
              <w:rPr>
                <w:sz w:val="20"/>
                <w:szCs w:val="20"/>
                <w:color w:val="auto"/>
              </w:rPr>
            </w:pPr>
            <w:r>
              <w:rPr>
                <w:rFonts w:ascii="Arial" w:cs="Arial" w:eastAsia="Arial" w:hAnsi="Arial"/>
                <w:sz w:val="16"/>
                <w:szCs w:val="16"/>
                <w:color w:val="auto"/>
              </w:rPr>
              <w:t>15,839</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61"/>
              <w:spacing w:after="0"/>
              <w:rPr>
                <w:sz w:val="20"/>
                <w:szCs w:val="20"/>
                <w:color w:val="auto"/>
              </w:rPr>
            </w:pPr>
            <w:r>
              <w:rPr>
                <w:rFonts w:ascii="Arial" w:cs="Arial" w:eastAsia="Arial" w:hAnsi="Arial"/>
                <w:sz w:val="16"/>
                <w:szCs w:val="16"/>
                <w:color w:val="auto"/>
              </w:rPr>
              <w:t>7,245</w:t>
            </w:r>
          </w:p>
        </w:tc>
        <w:tc>
          <w:tcPr>
            <w:tcW w:w="240" w:type="dxa"/>
            <w:vAlign w:val="bottom"/>
            <w:shd w:val="clear" w:color="auto" w:fill="FCE9E8"/>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CE9E8"/>
          </w:tcPr>
          <w:p>
            <w:pPr>
              <w:jc w:val="right"/>
              <w:ind w:right="84"/>
              <w:spacing w:after="0"/>
              <w:rPr>
                <w:sz w:val="20"/>
                <w:szCs w:val="20"/>
                <w:color w:val="auto"/>
              </w:rPr>
            </w:pPr>
            <w:r>
              <w:rPr>
                <w:rFonts w:ascii="Arial" w:cs="Arial" w:eastAsia="Arial" w:hAnsi="Arial"/>
                <w:sz w:val="16"/>
                <w:szCs w:val="16"/>
                <w:color w:val="auto"/>
              </w:rPr>
              <w:t>11,592</w:t>
            </w:r>
          </w:p>
        </w:tc>
        <w:tc>
          <w:tcPr>
            <w:tcW w:w="240" w:type="dxa"/>
            <w:vAlign w:val="bottom"/>
            <w:shd w:val="clear" w:color="auto" w:fill="FCE9E8"/>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CE9E8"/>
          </w:tcPr>
          <w:p>
            <w:pPr>
              <w:jc w:val="right"/>
              <w:ind w:right="84"/>
              <w:spacing w:after="0"/>
              <w:rPr>
                <w:sz w:val="20"/>
                <w:szCs w:val="20"/>
                <w:color w:val="auto"/>
              </w:rPr>
            </w:pPr>
            <w:r>
              <w:rPr>
                <w:rFonts w:ascii="Arial" w:cs="Arial" w:eastAsia="Arial" w:hAnsi="Arial"/>
                <w:sz w:val="16"/>
                <w:szCs w:val="16"/>
                <w:color w:val="auto"/>
              </w:rPr>
              <w:t>5,736</w:t>
            </w:r>
          </w:p>
        </w:tc>
        <w:tc>
          <w:tcPr>
            <w:tcW w:w="240" w:type="dxa"/>
            <w:vAlign w:val="bottom"/>
            <w:shd w:val="clear" w:color="auto" w:fill="FCE9E8"/>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CE9E8"/>
          </w:tcPr>
          <w:p>
            <w:pPr>
              <w:jc w:val="right"/>
              <w:ind w:right="84"/>
              <w:spacing w:after="0"/>
              <w:rPr>
                <w:sz w:val="20"/>
                <w:szCs w:val="20"/>
                <w:color w:val="auto"/>
              </w:rPr>
            </w:pPr>
            <w:r>
              <w:rPr>
                <w:rFonts w:ascii="Arial" w:cs="Arial" w:eastAsia="Arial" w:hAnsi="Arial"/>
                <w:sz w:val="16"/>
                <w:szCs w:val="16"/>
                <w:color w:val="auto"/>
              </w:rPr>
              <w:t>1,518</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FCE9E8"/>
          </w:tcPr>
          <w:p>
            <w:pPr>
              <w:jc w:val="right"/>
              <w:ind w:right="102"/>
              <w:spacing w:after="0"/>
              <w:rPr>
                <w:sz w:val="20"/>
                <w:szCs w:val="20"/>
                <w:color w:val="auto"/>
              </w:rPr>
            </w:pPr>
            <w:r>
              <w:rPr>
                <w:rFonts w:ascii="Arial" w:cs="Arial" w:eastAsia="Arial" w:hAnsi="Arial"/>
                <w:sz w:val="16"/>
                <w:szCs w:val="16"/>
                <w:color w:val="auto"/>
              </w:rPr>
              <w:t>61,723</w:t>
            </w:r>
          </w:p>
        </w:tc>
      </w:tr>
      <w:tr>
        <w:trPr>
          <w:trHeight w:val="186"/>
        </w:trPr>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Matthew J. Simoncini</w:t>
            </w:r>
          </w:p>
        </w:tc>
        <w:tc>
          <w:tcPr>
            <w:tcW w:w="50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103,101</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82,803</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27,402</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213,306</w:t>
            </w:r>
          </w:p>
        </w:tc>
      </w:tr>
    </w:tbl>
    <w:p>
      <w:pPr>
        <w:spacing w:after="0" w:line="125" w:lineRule="exact"/>
        <w:rPr>
          <w:sz w:val="20"/>
          <w:szCs w:val="20"/>
          <w:color w:val="auto"/>
        </w:rPr>
      </w:pPr>
    </w:p>
    <w:p>
      <w:pPr>
        <w:ind w:left="600" w:hanging="320"/>
        <w:spacing w:after="0" w:line="227" w:lineRule="auto"/>
        <w:tabs>
          <w:tab w:leader="none" w:pos="60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The total amounts and values in columns (i) and (j) equal the total number of Performance Shares, at the target level for the 2018-2020 performance period and at the maximum level for the 2017-2019 performance period, held by each Named Executive Officer multiplied by the market price of Company common stock at the close of the last trading day in 2018, which was $122.86 per share. These amounts exclude the Performance Shares for the 2016-2018 performance period that vested based on performance through December 31, 2018, and are reported in the “2018 Option Exercises and Stock Vested” table. In calculating the number of Performance Shares and their value, we are required by SEC rules to compare our performance through 2018 under the Performance Share grant against the threshold, target and maximum performance levels for the grant and report in these columns the applicable potential share number and payout amount. If the performance is between levels, we are required to report the potential payout at the next highest level. For example, if performance through the previous year exceeded target, even by only a modest amount, and even if it is unlikely that we will achieve the results that would dictate the payment of the maximum amount, we are required by SEC rules to report the maximum potential payouts. For the first year of the 2018-2020 performance period, we exceeded threshold levels of Adjusted ROIC and Cumulative Adjusted Pre-Tax Income, and for the second year of the 2017-2019 performance period, we exceeded target levels of Adjusted ROIC and Cumulative Adjusted Pre-Tax Income (on a combined, pro-rated basis) and have accordingly reported the following Performance Shares at the target and maximum award level, respectively, for each of these two performance periods. Amounts also include the following accrued dividend equivalents at the target or maximum level, as applicable (which are not paid unless the performance goals are met with respect to the underlying Performance Shares):</w:t>
      </w:r>
    </w:p>
    <w:p>
      <w:pPr>
        <w:spacing w:after="0" w:line="90"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740" w:type="dxa"/>
            <w:vAlign w:val="bottom"/>
          </w:tcPr>
          <w:p>
            <w:pPr>
              <w:jc w:val="right"/>
              <w:ind w:right="164"/>
              <w:spacing w:after="0"/>
              <w:rPr>
                <w:sz w:val="20"/>
                <w:szCs w:val="20"/>
                <w:color w:val="auto"/>
              </w:rPr>
            </w:pPr>
            <w:r>
              <w:rPr>
                <w:rFonts w:ascii="Arial" w:cs="Arial" w:eastAsia="Arial" w:hAnsi="Arial"/>
                <w:sz w:val="14"/>
                <w:szCs w:val="14"/>
                <w:b w:val="1"/>
                <w:bCs w:val="1"/>
                <w:color w:val="E2231A"/>
              </w:rPr>
              <w:t>Number of 2017</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E2231A"/>
              </w:rPr>
              <w:t>Number of 2018</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2017 Performance</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2018 Performance</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0"/>
        </w:trPr>
        <w:tc>
          <w:tcPr>
            <w:tcW w:w="2040" w:type="dxa"/>
            <w:vAlign w:val="bottom"/>
          </w:tcPr>
          <w:p>
            <w:pPr>
              <w:spacing w:after="0"/>
              <w:rPr>
                <w:sz w:val="13"/>
                <w:szCs w:val="13"/>
                <w:color w:val="auto"/>
              </w:rPr>
            </w:pPr>
          </w:p>
        </w:tc>
        <w:tc>
          <w:tcPr>
            <w:tcW w:w="1740" w:type="dxa"/>
            <w:vAlign w:val="bottom"/>
          </w:tcPr>
          <w:p>
            <w:pPr>
              <w:jc w:val="center"/>
              <w:ind w:left="124"/>
              <w:spacing w:after="0" w:line="160" w:lineRule="exact"/>
              <w:rPr>
                <w:sz w:val="20"/>
                <w:szCs w:val="20"/>
                <w:color w:val="auto"/>
              </w:rPr>
            </w:pPr>
            <w:r>
              <w:rPr>
                <w:rFonts w:ascii="Arial" w:cs="Arial" w:eastAsia="Arial" w:hAnsi="Arial"/>
                <w:sz w:val="14"/>
                <w:szCs w:val="14"/>
                <w:b w:val="1"/>
                <w:bCs w:val="1"/>
                <w:color w:val="E2231A"/>
              </w:rPr>
              <w:t>Performance</w:t>
            </w:r>
          </w:p>
        </w:tc>
        <w:tc>
          <w:tcPr>
            <w:tcW w:w="152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Performance</w:t>
            </w:r>
          </w:p>
        </w:tc>
        <w:tc>
          <w:tcPr>
            <w:tcW w:w="360" w:type="dxa"/>
            <w:vAlign w:val="bottom"/>
          </w:tcPr>
          <w:p>
            <w:pPr>
              <w:spacing w:after="0"/>
              <w:rPr>
                <w:sz w:val="13"/>
                <w:szCs w:val="13"/>
                <w:color w:val="auto"/>
              </w:rPr>
            </w:pPr>
          </w:p>
        </w:tc>
        <w:tc>
          <w:tcPr>
            <w:tcW w:w="1440" w:type="dxa"/>
            <w:vAlign w:val="bottom"/>
          </w:tcPr>
          <w:p>
            <w:pPr>
              <w:jc w:val="center"/>
              <w:ind w:right="282"/>
              <w:spacing w:after="0" w:line="160" w:lineRule="exact"/>
              <w:rPr>
                <w:sz w:val="20"/>
                <w:szCs w:val="20"/>
                <w:color w:val="auto"/>
              </w:rPr>
            </w:pPr>
            <w:r>
              <w:rPr>
                <w:rFonts w:ascii="Arial" w:cs="Arial" w:eastAsia="Arial" w:hAnsi="Arial"/>
                <w:sz w:val="14"/>
                <w:szCs w:val="14"/>
                <w:b w:val="1"/>
                <w:bCs w:val="1"/>
                <w:color w:val="E2231A"/>
              </w:rPr>
              <w:t>Share Dividend</w:t>
            </w:r>
          </w:p>
        </w:tc>
        <w:tc>
          <w:tcPr>
            <w:tcW w:w="360" w:type="dxa"/>
            <w:vAlign w:val="bottom"/>
          </w:tcPr>
          <w:p>
            <w:pPr>
              <w:spacing w:after="0"/>
              <w:rPr>
                <w:sz w:val="13"/>
                <w:szCs w:val="13"/>
                <w:color w:val="auto"/>
              </w:rPr>
            </w:pPr>
          </w:p>
        </w:tc>
        <w:tc>
          <w:tcPr>
            <w:tcW w:w="1440" w:type="dxa"/>
            <w:vAlign w:val="bottom"/>
          </w:tcPr>
          <w:p>
            <w:pPr>
              <w:jc w:val="center"/>
              <w:ind w:right="282"/>
              <w:spacing w:after="0" w:line="160" w:lineRule="exact"/>
              <w:rPr>
                <w:sz w:val="20"/>
                <w:szCs w:val="20"/>
                <w:color w:val="auto"/>
              </w:rPr>
            </w:pPr>
            <w:r>
              <w:rPr>
                <w:rFonts w:ascii="Arial" w:cs="Arial" w:eastAsia="Arial" w:hAnsi="Arial"/>
                <w:sz w:val="14"/>
                <w:szCs w:val="14"/>
                <w:b w:val="1"/>
                <w:bCs w:val="1"/>
                <w:color w:val="E2231A"/>
              </w:rPr>
              <w:t>Share Dividend</w:t>
            </w:r>
          </w:p>
        </w:tc>
        <w:tc>
          <w:tcPr>
            <w:tcW w:w="340" w:type="dxa"/>
            <w:vAlign w:val="bottom"/>
          </w:tcPr>
          <w:p>
            <w:pPr>
              <w:spacing w:after="0"/>
              <w:rPr>
                <w:sz w:val="13"/>
                <w:szCs w:val="13"/>
                <w:color w:val="auto"/>
              </w:rPr>
            </w:pPr>
          </w:p>
        </w:tc>
        <w:tc>
          <w:tcPr>
            <w:tcW w:w="760" w:type="dxa"/>
            <w:vAlign w:val="bottom"/>
          </w:tcPr>
          <w:p>
            <w:pPr>
              <w:ind w:left="140"/>
              <w:spacing w:after="0" w:line="160" w:lineRule="exact"/>
              <w:rPr>
                <w:sz w:val="20"/>
                <w:szCs w:val="20"/>
                <w:color w:val="auto"/>
              </w:rPr>
            </w:pPr>
            <w:r>
              <w:rPr>
                <w:rFonts w:ascii="Arial" w:cs="Arial" w:eastAsia="Arial" w:hAnsi="Arial"/>
                <w:sz w:val="14"/>
                <w:szCs w:val="14"/>
                <w:b w:val="1"/>
                <w:bCs w:val="1"/>
                <w:color w:val="E2231A"/>
              </w:rPr>
              <w:t>Total</w:t>
            </w:r>
          </w:p>
        </w:tc>
      </w:tr>
      <w:tr>
        <w:trPr>
          <w:trHeight w:val="160"/>
        </w:trPr>
        <w:tc>
          <w:tcPr>
            <w:tcW w:w="2040" w:type="dxa"/>
            <w:vAlign w:val="bottom"/>
          </w:tcPr>
          <w:p>
            <w:pPr>
              <w:spacing w:after="0"/>
              <w:rPr>
                <w:sz w:val="13"/>
                <w:szCs w:val="13"/>
                <w:color w:val="auto"/>
              </w:rPr>
            </w:pPr>
          </w:p>
        </w:tc>
        <w:tc>
          <w:tcPr>
            <w:tcW w:w="1740" w:type="dxa"/>
            <w:vAlign w:val="bottom"/>
          </w:tcPr>
          <w:p>
            <w:pPr>
              <w:jc w:val="center"/>
              <w:ind w:left="124"/>
              <w:spacing w:after="0" w:line="160" w:lineRule="exact"/>
              <w:rPr>
                <w:sz w:val="20"/>
                <w:szCs w:val="20"/>
                <w:color w:val="auto"/>
              </w:rPr>
            </w:pPr>
            <w:r>
              <w:rPr>
                <w:rFonts w:ascii="Arial" w:cs="Arial" w:eastAsia="Arial" w:hAnsi="Arial"/>
                <w:sz w:val="14"/>
                <w:szCs w:val="14"/>
                <w:b w:val="1"/>
                <w:bCs w:val="1"/>
                <w:color w:val="E2231A"/>
                <w:w w:val="98"/>
              </w:rPr>
              <w:t>Shares</w:t>
            </w:r>
          </w:p>
        </w:tc>
        <w:tc>
          <w:tcPr>
            <w:tcW w:w="152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Shares</w:t>
            </w:r>
          </w:p>
        </w:tc>
        <w:tc>
          <w:tcPr>
            <w:tcW w:w="360" w:type="dxa"/>
            <w:vAlign w:val="bottom"/>
          </w:tcPr>
          <w:p>
            <w:pPr>
              <w:spacing w:after="0"/>
              <w:rPr>
                <w:sz w:val="13"/>
                <w:szCs w:val="13"/>
                <w:color w:val="auto"/>
              </w:rPr>
            </w:pPr>
          </w:p>
        </w:tc>
        <w:tc>
          <w:tcPr>
            <w:tcW w:w="1440" w:type="dxa"/>
            <w:vAlign w:val="bottom"/>
          </w:tcPr>
          <w:p>
            <w:pPr>
              <w:jc w:val="center"/>
              <w:ind w:right="282"/>
              <w:spacing w:after="0" w:line="160" w:lineRule="exact"/>
              <w:rPr>
                <w:sz w:val="20"/>
                <w:szCs w:val="20"/>
                <w:color w:val="auto"/>
              </w:rPr>
            </w:pPr>
            <w:r>
              <w:rPr>
                <w:rFonts w:ascii="Arial" w:cs="Arial" w:eastAsia="Arial" w:hAnsi="Arial"/>
                <w:sz w:val="14"/>
                <w:szCs w:val="14"/>
                <w:b w:val="1"/>
                <w:bCs w:val="1"/>
                <w:color w:val="E2231A"/>
              </w:rPr>
              <w:t>Equivalents</w:t>
            </w:r>
          </w:p>
        </w:tc>
        <w:tc>
          <w:tcPr>
            <w:tcW w:w="360" w:type="dxa"/>
            <w:vAlign w:val="bottom"/>
          </w:tcPr>
          <w:p>
            <w:pPr>
              <w:spacing w:after="0"/>
              <w:rPr>
                <w:sz w:val="13"/>
                <w:szCs w:val="13"/>
                <w:color w:val="auto"/>
              </w:rPr>
            </w:pPr>
          </w:p>
        </w:tc>
        <w:tc>
          <w:tcPr>
            <w:tcW w:w="1440" w:type="dxa"/>
            <w:vAlign w:val="bottom"/>
          </w:tcPr>
          <w:p>
            <w:pPr>
              <w:jc w:val="center"/>
              <w:ind w:right="282"/>
              <w:spacing w:after="0" w:line="160" w:lineRule="exact"/>
              <w:rPr>
                <w:sz w:val="20"/>
                <w:szCs w:val="20"/>
                <w:color w:val="auto"/>
              </w:rPr>
            </w:pPr>
            <w:r>
              <w:rPr>
                <w:rFonts w:ascii="Arial" w:cs="Arial" w:eastAsia="Arial" w:hAnsi="Arial"/>
                <w:sz w:val="14"/>
                <w:szCs w:val="14"/>
                <w:b w:val="1"/>
                <w:bCs w:val="1"/>
                <w:color w:val="E2231A"/>
              </w:rPr>
              <w:t>Equivalents</w:t>
            </w:r>
          </w:p>
        </w:tc>
        <w:tc>
          <w:tcPr>
            <w:tcW w:w="340" w:type="dxa"/>
            <w:vAlign w:val="bottom"/>
          </w:tcPr>
          <w:p>
            <w:pPr>
              <w:spacing w:after="0"/>
              <w:rPr>
                <w:sz w:val="13"/>
                <w:szCs w:val="13"/>
                <w:color w:val="auto"/>
              </w:rPr>
            </w:pPr>
          </w:p>
        </w:tc>
        <w:tc>
          <w:tcPr>
            <w:tcW w:w="760" w:type="dxa"/>
            <w:vAlign w:val="bottom"/>
          </w:tcPr>
          <w:p>
            <w:pPr>
              <w:spacing w:after="0" w:line="160" w:lineRule="exact"/>
              <w:rPr>
                <w:sz w:val="20"/>
                <w:szCs w:val="20"/>
                <w:color w:val="auto"/>
              </w:rPr>
            </w:pPr>
            <w:r>
              <w:rPr>
                <w:rFonts w:ascii="Arial" w:cs="Arial" w:eastAsia="Arial" w:hAnsi="Arial"/>
                <w:sz w:val="14"/>
                <w:szCs w:val="14"/>
                <w:b w:val="1"/>
                <w:bCs w:val="1"/>
                <w:color w:val="E2231A"/>
              </w:rPr>
              <w:t>Dividend</w:t>
            </w:r>
          </w:p>
        </w:tc>
      </w:tr>
      <w:tr>
        <w:trPr>
          <w:trHeight w:val="173"/>
        </w:trPr>
        <w:tc>
          <w:tcPr>
            <w:tcW w:w="20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ind w:left="124"/>
              <w:spacing w:after="0"/>
              <w:rPr>
                <w:sz w:val="20"/>
                <w:szCs w:val="20"/>
                <w:color w:val="auto"/>
              </w:rPr>
            </w:pPr>
            <w:r>
              <w:rPr>
                <w:rFonts w:ascii="Arial" w:cs="Arial" w:eastAsia="Arial" w:hAnsi="Arial"/>
                <w:sz w:val="14"/>
                <w:szCs w:val="14"/>
                <w:b w:val="1"/>
                <w:bCs w:val="1"/>
                <w:color w:val="E2231A"/>
              </w:rPr>
              <w:t>(Maximum)</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w w:val="99"/>
              </w:rPr>
              <w:t>(Target)</w:t>
            </w:r>
          </w:p>
        </w:tc>
        <w:tc>
          <w:tcPr>
            <w:tcW w:w="18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E2231A"/>
              </w:rPr>
              <w:t>(2017-2019 Awards)</w:t>
            </w:r>
          </w:p>
        </w:tc>
        <w:tc>
          <w:tcPr>
            <w:tcW w:w="18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E2231A"/>
              </w:rPr>
              <w:t>(2018-2020 Awards)</w:t>
            </w: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E2231A"/>
              </w:rPr>
              <w:t>Equivalents</w:t>
            </w:r>
          </w:p>
        </w:tc>
      </w:tr>
      <w:tr>
        <w:trPr>
          <w:trHeight w:val="180"/>
        </w:trPr>
        <w:tc>
          <w:tcPr>
            <w:tcW w:w="2040" w:type="dxa"/>
            <w:vAlign w:val="bottom"/>
            <w:shd w:val="clear" w:color="auto" w:fill="FCE9E8"/>
          </w:tcPr>
          <w:p>
            <w:pPr>
              <w:ind w:left="80"/>
              <w:spacing w:after="0" w:line="180" w:lineRule="exact"/>
              <w:rPr>
                <w:sz w:val="20"/>
                <w:szCs w:val="20"/>
                <w:color w:val="auto"/>
              </w:rPr>
            </w:pPr>
            <w:r>
              <w:rPr>
                <w:rFonts w:ascii="Arial" w:cs="Arial" w:eastAsia="Arial" w:hAnsi="Arial"/>
                <w:sz w:val="16"/>
                <w:szCs w:val="16"/>
                <w:color w:val="auto"/>
              </w:rPr>
              <w:t>Raymond E. Scott</w:t>
            </w:r>
          </w:p>
        </w:tc>
        <w:tc>
          <w:tcPr>
            <w:tcW w:w="1740" w:type="dxa"/>
            <w:vAlign w:val="bottom"/>
            <w:shd w:val="clear" w:color="auto" w:fill="FCE9E8"/>
          </w:tcPr>
          <w:p>
            <w:pPr>
              <w:jc w:val="right"/>
              <w:ind w:right="164"/>
              <w:spacing w:after="0" w:line="180" w:lineRule="exact"/>
              <w:rPr>
                <w:sz w:val="20"/>
                <w:szCs w:val="20"/>
                <w:color w:val="auto"/>
              </w:rPr>
            </w:pPr>
            <w:r>
              <w:rPr>
                <w:rFonts w:ascii="Arial" w:cs="Arial" w:eastAsia="Arial" w:hAnsi="Arial"/>
                <w:sz w:val="16"/>
                <w:szCs w:val="16"/>
                <w:color w:val="auto"/>
              </w:rPr>
              <w:t>26,928</w:t>
            </w:r>
          </w:p>
        </w:tc>
        <w:tc>
          <w:tcPr>
            <w:tcW w:w="1520" w:type="dxa"/>
            <w:vAlign w:val="bottom"/>
            <w:shd w:val="clear" w:color="auto" w:fill="FCE9E8"/>
          </w:tcPr>
          <w:p>
            <w:pPr>
              <w:jc w:val="right"/>
              <w:ind w:right="144"/>
              <w:spacing w:after="0" w:line="180" w:lineRule="exact"/>
              <w:rPr>
                <w:sz w:val="20"/>
                <w:szCs w:val="20"/>
                <w:color w:val="auto"/>
              </w:rPr>
            </w:pPr>
            <w:r>
              <w:rPr>
                <w:rFonts w:ascii="Arial" w:cs="Arial" w:eastAsia="Arial" w:hAnsi="Arial"/>
                <w:sz w:val="16"/>
                <w:szCs w:val="16"/>
                <w:color w:val="auto"/>
              </w:rPr>
              <w:t>26,912</w:t>
            </w:r>
          </w:p>
        </w:tc>
        <w:tc>
          <w:tcPr>
            <w:tcW w:w="360" w:type="dxa"/>
            <w:vAlign w:val="bottom"/>
            <w:shd w:val="clear" w:color="auto" w:fill="FCE9E8"/>
          </w:tcPr>
          <w:p>
            <w:pPr>
              <w:ind w:left="240"/>
              <w:spacing w:after="0" w:line="180" w:lineRule="exact"/>
              <w:rPr>
                <w:sz w:val="20"/>
                <w:szCs w:val="20"/>
                <w:color w:val="auto"/>
              </w:rPr>
            </w:pPr>
            <w:r>
              <w:rPr>
                <w:rFonts w:ascii="Arial" w:cs="Arial" w:eastAsia="Arial" w:hAnsi="Arial"/>
                <w:sz w:val="16"/>
                <w:szCs w:val="16"/>
                <w:color w:val="auto"/>
              </w:rPr>
              <w:t>$</w:t>
            </w:r>
          </w:p>
        </w:tc>
        <w:tc>
          <w:tcPr>
            <w:tcW w:w="1440" w:type="dxa"/>
            <w:vAlign w:val="bottom"/>
            <w:shd w:val="clear" w:color="auto" w:fill="FCE9E8"/>
          </w:tcPr>
          <w:p>
            <w:pPr>
              <w:jc w:val="right"/>
              <w:ind w:right="162"/>
              <w:spacing w:after="0" w:line="180" w:lineRule="exact"/>
              <w:rPr>
                <w:sz w:val="20"/>
                <w:szCs w:val="20"/>
                <w:color w:val="auto"/>
              </w:rPr>
            </w:pPr>
            <w:r>
              <w:rPr>
                <w:rFonts w:ascii="Arial" w:cs="Arial" w:eastAsia="Arial" w:hAnsi="Arial"/>
                <w:sz w:val="16"/>
                <w:szCs w:val="16"/>
                <w:color w:val="auto"/>
              </w:rPr>
              <w:t>134,418</w:t>
            </w:r>
          </w:p>
        </w:tc>
        <w:tc>
          <w:tcPr>
            <w:tcW w:w="360" w:type="dxa"/>
            <w:vAlign w:val="bottom"/>
            <w:shd w:val="clear" w:color="auto" w:fill="FCE9E8"/>
          </w:tcPr>
          <w:p>
            <w:pPr>
              <w:ind w:left="240"/>
              <w:spacing w:after="0" w:line="180" w:lineRule="exact"/>
              <w:rPr>
                <w:sz w:val="20"/>
                <w:szCs w:val="20"/>
                <w:color w:val="auto"/>
              </w:rPr>
            </w:pPr>
            <w:r>
              <w:rPr>
                <w:rFonts w:ascii="Arial" w:cs="Arial" w:eastAsia="Arial" w:hAnsi="Arial"/>
                <w:sz w:val="16"/>
                <w:szCs w:val="16"/>
                <w:color w:val="auto"/>
              </w:rPr>
              <w:t>$</w:t>
            </w:r>
          </w:p>
        </w:tc>
        <w:tc>
          <w:tcPr>
            <w:tcW w:w="1440" w:type="dxa"/>
            <w:vAlign w:val="bottom"/>
            <w:shd w:val="clear" w:color="auto" w:fill="FCE9E8"/>
          </w:tcPr>
          <w:p>
            <w:pPr>
              <w:jc w:val="right"/>
              <w:ind w:right="162"/>
              <w:spacing w:after="0" w:line="180" w:lineRule="exact"/>
              <w:rPr>
                <w:sz w:val="20"/>
                <w:szCs w:val="20"/>
                <w:color w:val="auto"/>
              </w:rPr>
            </w:pPr>
            <w:r>
              <w:rPr>
                <w:rFonts w:ascii="Arial" w:cs="Arial" w:eastAsia="Arial" w:hAnsi="Arial"/>
                <w:sz w:val="16"/>
                <w:szCs w:val="16"/>
                <w:color w:val="auto"/>
              </w:rPr>
              <w:t>76,882</w:t>
            </w:r>
          </w:p>
        </w:tc>
        <w:tc>
          <w:tcPr>
            <w:tcW w:w="340" w:type="dxa"/>
            <w:vAlign w:val="bottom"/>
            <w:shd w:val="clear" w:color="auto" w:fill="FCE9E8"/>
          </w:tcPr>
          <w:p>
            <w:pPr>
              <w:ind w:left="240"/>
              <w:spacing w:after="0" w:line="180" w:lineRule="exact"/>
              <w:rPr>
                <w:sz w:val="20"/>
                <w:szCs w:val="20"/>
                <w:color w:val="auto"/>
              </w:rPr>
            </w:pPr>
            <w:r>
              <w:rPr>
                <w:rFonts w:ascii="Arial" w:cs="Arial" w:eastAsia="Arial" w:hAnsi="Arial"/>
                <w:sz w:val="16"/>
                <w:szCs w:val="16"/>
                <w:color w:val="auto"/>
                <w:w w:val="89"/>
              </w:rPr>
              <w:t>$</w:t>
            </w:r>
          </w:p>
        </w:tc>
        <w:tc>
          <w:tcPr>
            <w:tcW w:w="760" w:type="dxa"/>
            <w:vAlign w:val="bottom"/>
            <w:shd w:val="clear" w:color="auto" w:fill="FCE9E8"/>
          </w:tcPr>
          <w:p>
            <w:pPr>
              <w:ind w:left="120"/>
              <w:spacing w:after="0" w:line="180" w:lineRule="exact"/>
              <w:rPr>
                <w:sz w:val="20"/>
                <w:szCs w:val="20"/>
                <w:color w:val="auto"/>
              </w:rPr>
            </w:pPr>
            <w:r>
              <w:rPr>
                <w:rFonts w:ascii="Arial" w:cs="Arial" w:eastAsia="Arial" w:hAnsi="Arial"/>
                <w:sz w:val="16"/>
                <w:szCs w:val="16"/>
                <w:color w:val="auto"/>
              </w:rPr>
              <w:t>211,300</w:t>
            </w:r>
          </w:p>
        </w:tc>
      </w:tr>
      <w:tr>
        <w:trPr>
          <w:trHeight w:val="186"/>
        </w:trPr>
        <w:tc>
          <w:tcPr>
            <w:tcW w:w="2040" w:type="dxa"/>
            <w:vAlign w:val="bottom"/>
          </w:tcPr>
          <w:p>
            <w:pPr>
              <w:ind w:left="80"/>
              <w:spacing w:after="0"/>
              <w:rPr>
                <w:sz w:val="20"/>
                <w:szCs w:val="20"/>
                <w:color w:val="auto"/>
              </w:rPr>
            </w:pPr>
            <w:r>
              <w:rPr>
                <w:rFonts w:ascii="Arial" w:cs="Arial" w:eastAsia="Arial" w:hAnsi="Arial"/>
                <w:sz w:val="16"/>
                <w:szCs w:val="16"/>
                <w:color w:val="auto"/>
              </w:rPr>
              <w:t>Jeffrey H. Vanneste</w:t>
            </w:r>
          </w:p>
        </w:tc>
        <w:tc>
          <w:tcPr>
            <w:tcW w:w="1740" w:type="dxa"/>
            <w:vAlign w:val="bottom"/>
          </w:tcPr>
          <w:p>
            <w:pPr>
              <w:jc w:val="right"/>
              <w:ind w:right="164"/>
              <w:spacing w:after="0"/>
              <w:rPr>
                <w:sz w:val="20"/>
                <w:szCs w:val="20"/>
                <w:color w:val="auto"/>
              </w:rPr>
            </w:pPr>
            <w:r>
              <w:rPr>
                <w:rFonts w:ascii="Arial" w:cs="Arial" w:eastAsia="Arial" w:hAnsi="Arial"/>
                <w:sz w:val="16"/>
                <w:szCs w:val="16"/>
                <w:color w:val="auto"/>
              </w:rPr>
              <w:t>23,460</w:t>
            </w:r>
          </w:p>
        </w:tc>
        <w:tc>
          <w:tcPr>
            <w:tcW w:w="1520" w:type="dxa"/>
            <w:vAlign w:val="bottom"/>
          </w:tcPr>
          <w:p>
            <w:pPr>
              <w:jc w:val="right"/>
              <w:ind w:right="144"/>
              <w:spacing w:after="0"/>
              <w:rPr>
                <w:sz w:val="20"/>
                <w:szCs w:val="20"/>
                <w:color w:val="auto"/>
              </w:rPr>
            </w:pPr>
            <w:r>
              <w:rPr>
                <w:rFonts w:ascii="Arial" w:cs="Arial" w:eastAsia="Arial" w:hAnsi="Arial"/>
                <w:sz w:val="16"/>
                <w:szCs w:val="16"/>
                <w:color w:val="auto"/>
              </w:rPr>
              <w:t>9,374</w:t>
            </w:r>
          </w:p>
        </w:tc>
        <w:tc>
          <w:tcPr>
            <w:tcW w:w="360" w:type="dxa"/>
            <w:vAlign w:val="bottom"/>
          </w:tcPr>
          <w:p>
            <w:pPr>
              <w:ind w:left="2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62"/>
              <w:spacing w:after="0"/>
              <w:rPr>
                <w:sz w:val="20"/>
                <w:szCs w:val="20"/>
                <w:color w:val="auto"/>
              </w:rPr>
            </w:pPr>
            <w:r>
              <w:rPr>
                <w:rFonts w:ascii="Arial" w:cs="Arial" w:eastAsia="Arial" w:hAnsi="Arial"/>
                <w:sz w:val="16"/>
                <w:szCs w:val="16"/>
                <w:color w:val="auto"/>
              </w:rPr>
              <w:t>117,107</w:t>
            </w:r>
          </w:p>
        </w:tc>
        <w:tc>
          <w:tcPr>
            <w:tcW w:w="360" w:type="dxa"/>
            <w:vAlign w:val="bottom"/>
          </w:tcPr>
          <w:p>
            <w:pPr>
              <w:ind w:left="2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62"/>
              <w:spacing w:after="0"/>
              <w:rPr>
                <w:sz w:val="20"/>
                <w:szCs w:val="20"/>
                <w:color w:val="auto"/>
              </w:rPr>
            </w:pPr>
            <w:r>
              <w:rPr>
                <w:rFonts w:ascii="Arial" w:cs="Arial" w:eastAsia="Arial" w:hAnsi="Arial"/>
                <w:sz w:val="16"/>
                <w:szCs w:val="16"/>
                <w:color w:val="auto"/>
              </w:rPr>
              <w:t>26,780</w:t>
            </w:r>
          </w:p>
        </w:tc>
        <w:tc>
          <w:tcPr>
            <w:tcW w:w="340" w:type="dxa"/>
            <w:vAlign w:val="bottom"/>
          </w:tcPr>
          <w:p>
            <w:pPr>
              <w:ind w:left="240"/>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120"/>
              <w:spacing w:after="0"/>
              <w:rPr>
                <w:sz w:val="20"/>
                <w:szCs w:val="20"/>
                <w:color w:val="auto"/>
              </w:rPr>
            </w:pPr>
            <w:r>
              <w:rPr>
                <w:rFonts w:ascii="Arial" w:cs="Arial" w:eastAsia="Arial" w:hAnsi="Arial"/>
                <w:sz w:val="16"/>
                <w:szCs w:val="16"/>
                <w:color w:val="auto"/>
              </w:rPr>
              <w:t>143,887</w:t>
            </w:r>
          </w:p>
        </w:tc>
      </w:tr>
      <w:tr>
        <w:trPr>
          <w:trHeight w:val="186"/>
        </w:trPr>
        <w:tc>
          <w:tcPr>
            <w:tcW w:w="2040" w:type="dxa"/>
            <w:vAlign w:val="bottom"/>
            <w:shd w:val="clear" w:color="auto" w:fill="FCE9E8"/>
          </w:tcPr>
          <w:p>
            <w:pPr>
              <w:ind w:left="80"/>
              <w:spacing w:after="0"/>
              <w:rPr>
                <w:sz w:val="20"/>
                <w:szCs w:val="20"/>
                <w:color w:val="auto"/>
              </w:rPr>
            </w:pPr>
            <w:r>
              <w:rPr>
                <w:rFonts w:ascii="Arial" w:cs="Arial" w:eastAsia="Arial" w:hAnsi="Arial"/>
                <w:sz w:val="16"/>
                <w:szCs w:val="16"/>
                <w:color w:val="auto"/>
              </w:rPr>
              <w:t>Terrence B. Larkin</w:t>
            </w:r>
          </w:p>
        </w:tc>
        <w:tc>
          <w:tcPr>
            <w:tcW w:w="1740" w:type="dxa"/>
            <w:vAlign w:val="bottom"/>
            <w:shd w:val="clear" w:color="auto" w:fill="FCE9E8"/>
          </w:tcPr>
          <w:p>
            <w:pPr>
              <w:jc w:val="right"/>
              <w:ind w:right="164"/>
              <w:spacing w:after="0"/>
              <w:rPr>
                <w:sz w:val="20"/>
                <w:szCs w:val="20"/>
                <w:color w:val="auto"/>
              </w:rPr>
            </w:pPr>
            <w:r>
              <w:rPr>
                <w:rFonts w:ascii="Arial" w:cs="Arial" w:eastAsia="Arial" w:hAnsi="Arial"/>
                <w:sz w:val="16"/>
                <w:szCs w:val="16"/>
                <w:color w:val="auto"/>
              </w:rPr>
              <w:t>25,582</w:t>
            </w:r>
          </w:p>
        </w:tc>
        <w:tc>
          <w:tcPr>
            <w:tcW w:w="1520" w:type="dxa"/>
            <w:vAlign w:val="bottom"/>
            <w:shd w:val="clear" w:color="auto" w:fill="FCE9E8"/>
          </w:tcPr>
          <w:p>
            <w:pPr>
              <w:jc w:val="right"/>
              <w:ind w:right="144"/>
              <w:spacing w:after="0"/>
              <w:rPr>
                <w:sz w:val="20"/>
                <w:szCs w:val="20"/>
                <w:color w:val="auto"/>
              </w:rPr>
            </w:pPr>
            <w:r>
              <w:rPr>
                <w:rFonts w:ascii="Arial" w:cs="Arial" w:eastAsia="Arial" w:hAnsi="Arial"/>
                <w:sz w:val="16"/>
                <w:szCs w:val="16"/>
                <w:color w:val="auto"/>
              </w:rPr>
              <w:t>10,222</w:t>
            </w:r>
          </w:p>
        </w:tc>
        <w:tc>
          <w:tcPr>
            <w:tcW w:w="36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FCE9E8"/>
          </w:tcPr>
          <w:p>
            <w:pPr>
              <w:jc w:val="right"/>
              <w:ind w:right="162"/>
              <w:spacing w:after="0"/>
              <w:rPr>
                <w:sz w:val="20"/>
                <w:szCs w:val="20"/>
                <w:color w:val="auto"/>
              </w:rPr>
            </w:pPr>
            <w:r>
              <w:rPr>
                <w:rFonts w:ascii="Arial" w:cs="Arial" w:eastAsia="Arial" w:hAnsi="Arial"/>
                <w:sz w:val="16"/>
                <w:szCs w:val="16"/>
                <w:color w:val="auto"/>
              </w:rPr>
              <w:t>127,699</w:t>
            </w:r>
          </w:p>
        </w:tc>
        <w:tc>
          <w:tcPr>
            <w:tcW w:w="36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FCE9E8"/>
          </w:tcPr>
          <w:p>
            <w:pPr>
              <w:jc w:val="right"/>
              <w:ind w:right="162"/>
              <w:spacing w:after="0"/>
              <w:rPr>
                <w:sz w:val="20"/>
                <w:szCs w:val="20"/>
                <w:color w:val="auto"/>
              </w:rPr>
            </w:pPr>
            <w:r>
              <w:rPr>
                <w:rFonts w:ascii="Arial" w:cs="Arial" w:eastAsia="Arial" w:hAnsi="Arial"/>
                <w:sz w:val="16"/>
                <w:szCs w:val="16"/>
                <w:color w:val="auto"/>
              </w:rPr>
              <w:t>29,202</w:t>
            </w:r>
          </w:p>
        </w:tc>
        <w:tc>
          <w:tcPr>
            <w:tcW w:w="340" w:type="dxa"/>
            <w:vAlign w:val="bottom"/>
            <w:shd w:val="clear" w:color="auto" w:fill="FCE9E8"/>
          </w:tcPr>
          <w:p>
            <w:pPr>
              <w:ind w:left="2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FCE9E8"/>
          </w:tcPr>
          <w:p>
            <w:pPr>
              <w:ind w:left="120"/>
              <w:spacing w:after="0"/>
              <w:rPr>
                <w:sz w:val="20"/>
                <w:szCs w:val="20"/>
                <w:color w:val="auto"/>
              </w:rPr>
            </w:pPr>
            <w:r>
              <w:rPr>
                <w:rFonts w:ascii="Arial" w:cs="Arial" w:eastAsia="Arial" w:hAnsi="Arial"/>
                <w:sz w:val="16"/>
                <w:szCs w:val="16"/>
                <w:color w:val="auto"/>
              </w:rPr>
              <w:t>156,901</w:t>
            </w:r>
          </w:p>
        </w:tc>
      </w:tr>
      <w:tr>
        <w:trPr>
          <w:trHeight w:val="186"/>
        </w:trPr>
        <w:tc>
          <w:tcPr>
            <w:tcW w:w="2040" w:type="dxa"/>
            <w:vAlign w:val="bottom"/>
          </w:tcPr>
          <w:p>
            <w:pPr>
              <w:ind w:left="80"/>
              <w:spacing w:after="0"/>
              <w:rPr>
                <w:sz w:val="20"/>
                <w:szCs w:val="20"/>
                <w:color w:val="auto"/>
              </w:rPr>
            </w:pPr>
            <w:r>
              <w:rPr>
                <w:rFonts w:ascii="Arial" w:cs="Arial" w:eastAsia="Arial" w:hAnsi="Arial"/>
                <w:sz w:val="16"/>
                <w:szCs w:val="16"/>
                <w:color w:val="auto"/>
              </w:rPr>
              <w:t>Frank C. Orsini</w:t>
            </w:r>
          </w:p>
        </w:tc>
        <w:tc>
          <w:tcPr>
            <w:tcW w:w="1740" w:type="dxa"/>
            <w:vAlign w:val="bottom"/>
          </w:tcPr>
          <w:p>
            <w:pPr>
              <w:jc w:val="right"/>
              <w:ind w:right="164"/>
              <w:spacing w:after="0"/>
              <w:rPr>
                <w:sz w:val="20"/>
                <w:szCs w:val="20"/>
                <w:color w:val="auto"/>
              </w:rPr>
            </w:pPr>
            <w:r>
              <w:rPr>
                <w:rFonts w:ascii="Arial" w:cs="Arial" w:eastAsia="Arial" w:hAnsi="Arial"/>
                <w:sz w:val="16"/>
                <w:szCs w:val="16"/>
                <w:color w:val="auto"/>
              </w:rPr>
              <w:t>22,030</w:t>
            </w:r>
          </w:p>
        </w:tc>
        <w:tc>
          <w:tcPr>
            <w:tcW w:w="1520" w:type="dxa"/>
            <w:vAlign w:val="bottom"/>
          </w:tcPr>
          <w:p>
            <w:pPr>
              <w:jc w:val="right"/>
              <w:ind w:right="144"/>
              <w:spacing w:after="0"/>
              <w:rPr>
                <w:sz w:val="20"/>
                <w:szCs w:val="20"/>
                <w:color w:val="auto"/>
              </w:rPr>
            </w:pPr>
            <w:r>
              <w:rPr>
                <w:rFonts w:ascii="Arial" w:cs="Arial" w:eastAsia="Arial" w:hAnsi="Arial"/>
                <w:sz w:val="16"/>
                <w:szCs w:val="16"/>
                <w:color w:val="auto"/>
              </w:rPr>
              <w:t>9,531</w:t>
            </w:r>
          </w:p>
        </w:tc>
        <w:tc>
          <w:tcPr>
            <w:tcW w:w="360" w:type="dxa"/>
            <w:vAlign w:val="bottom"/>
          </w:tcPr>
          <w:p>
            <w:pPr>
              <w:ind w:left="2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62"/>
              <w:spacing w:after="0"/>
              <w:rPr>
                <w:sz w:val="20"/>
                <w:szCs w:val="20"/>
                <w:color w:val="auto"/>
              </w:rPr>
            </w:pPr>
            <w:r>
              <w:rPr>
                <w:rFonts w:ascii="Arial" w:cs="Arial" w:eastAsia="Arial" w:hAnsi="Arial"/>
                <w:sz w:val="16"/>
                <w:szCs w:val="16"/>
                <w:color w:val="auto"/>
              </w:rPr>
              <w:t>109,968</w:t>
            </w:r>
          </w:p>
        </w:tc>
        <w:tc>
          <w:tcPr>
            <w:tcW w:w="360" w:type="dxa"/>
            <w:vAlign w:val="bottom"/>
          </w:tcPr>
          <w:p>
            <w:pPr>
              <w:ind w:left="2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62"/>
              <w:spacing w:after="0"/>
              <w:rPr>
                <w:sz w:val="20"/>
                <w:szCs w:val="20"/>
                <w:color w:val="auto"/>
              </w:rPr>
            </w:pPr>
            <w:r>
              <w:rPr>
                <w:rFonts w:ascii="Arial" w:cs="Arial" w:eastAsia="Arial" w:hAnsi="Arial"/>
                <w:sz w:val="16"/>
                <w:szCs w:val="16"/>
                <w:color w:val="auto"/>
              </w:rPr>
              <w:t>27,228</w:t>
            </w:r>
          </w:p>
        </w:tc>
        <w:tc>
          <w:tcPr>
            <w:tcW w:w="340" w:type="dxa"/>
            <w:vAlign w:val="bottom"/>
          </w:tcPr>
          <w:p>
            <w:pPr>
              <w:ind w:left="240"/>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120"/>
              <w:spacing w:after="0"/>
              <w:rPr>
                <w:sz w:val="20"/>
                <w:szCs w:val="20"/>
                <w:color w:val="auto"/>
              </w:rPr>
            </w:pPr>
            <w:r>
              <w:rPr>
                <w:rFonts w:ascii="Arial" w:cs="Arial" w:eastAsia="Arial" w:hAnsi="Arial"/>
                <w:sz w:val="16"/>
                <w:szCs w:val="16"/>
                <w:color w:val="auto"/>
              </w:rPr>
              <w:t>137,196</w:t>
            </w:r>
          </w:p>
        </w:tc>
      </w:tr>
      <w:tr>
        <w:trPr>
          <w:trHeight w:val="186"/>
        </w:trPr>
        <w:tc>
          <w:tcPr>
            <w:tcW w:w="2040" w:type="dxa"/>
            <w:vAlign w:val="bottom"/>
            <w:shd w:val="clear" w:color="auto" w:fill="FCE9E8"/>
          </w:tcPr>
          <w:p>
            <w:pPr>
              <w:ind w:left="80"/>
              <w:spacing w:after="0"/>
              <w:rPr>
                <w:sz w:val="20"/>
                <w:szCs w:val="20"/>
                <w:color w:val="auto"/>
              </w:rPr>
            </w:pPr>
            <w:r>
              <w:rPr>
                <w:rFonts w:ascii="Arial" w:cs="Arial" w:eastAsia="Arial" w:hAnsi="Arial"/>
                <w:sz w:val="16"/>
                <w:szCs w:val="16"/>
                <w:color w:val="auto"/>
              </w:rPr>
              <w:t>Thomas A. DiDonato</w:t>
            </w:r>
          </w:p>
        </w:tc>
        <w:tc>
          <w:tcPr>
            <w:tcW w:w="1740" w:type="dxa"/>
            <w:vAlign w:val="bottom"/>
            <w:shd w:val="clear" w:color="auto" w:fill="FCE9E8"/>
          </w:tcPr>
          <w:p>
            <w:pPr>
              <w:jc w:val="right"/>
              <w:ind w:right="164"/>
              <w:spacing w:after="0"/>
              <w:rPr>
                <w:sz w:val="20"/>
                <w:szCs w:val="20"/>
                <w:color w:val="auto"/>
              </w:rPr>
            </w:pPr>
            <w:r>
              <w:rPr>
                <w:rFonts w:ascii="Arial" w:cs="Arial" w:eastAsia="Arial" w:hAnsi="Arial"/>
                <w:sz w:val="16"/>
                <w:szCs w:val="16"/>
                <w:color w:val="auto"/>
              </w:rPr>
              <w:t>19,042</w:t>
            </w:r>
          </w:p>
        </w:tc>
        <w:tc>
          <w:tcPr>
            <w:tcW w:w="1520" w:type="dxa"/>
            <w:vAlign w:val="bottom"/>
            <w:shd w:val="clear" w:color="auto" w:fill="FCE9E8"/>
          </w:tcPr>
          <w:p>
            <w:pPr>
              <w:jc w:val="right"/>
              <w:ind w:right="144"/>
              <w:spacing w:after="0"/>
              <w:rPr>
                <w:sz w:val="20"/>
                <w:szCs w:val="20"/>
                <w:color w:val="auto"/>
              </w:rPr>
            </w:pPr>
            <w:r>
              <w:rPr>
                <w:rFonts w:ascii="Arial" w:cs="Arial" w:eastAsia="Arial" w:hAnsi="Arial"/>
                <w:sz w:val="16"/>
                <w:szCs w:val="16"/>
                <w:color w:val="auto"/>
              </w:rPr>
              <w:t>7,609</w:t>
            </w:r>
          </w:p>
        </w:tc>
        <w:tc>
          <w:tcPr>
            <w:tcW w:w="36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FCE9E8"/>
          </w:tcPr>
          <w:p>
            <w:pPr>
              <w:jc w:val="right"/>
              <w:ind w:right="162"/>
              <w:spacing w:after="0"/>
              <w:rPr>
                <w:sz w:val="20"/>
                <w:szCs w:val="20"/>
                <w:color w:val="auto"/>
              </w:rPr>
            </w:pPr>
            <w:r>
              <w:rPr>
                <w:rFonts w:ascii="Arial" w:cs="Arial" w:eastAsia="Arial" w:hAnsi="Arial"/>
                <w:sz w:val="16"/>
                <w:szCs w:val="16"/>
                <w:color w:val="auto"/>
              </w:rPr>
              <w:t>95,053</w:t>
            </w:r>
          </w:p>
        </w:tc>
        <w:tc>
          <w:tcPr>
            <w:tcW w:w="36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FCE9E8"/>
          </w:tcPr>
          <w:p>
            <w:pPr>
              <w:jc w:val="right"/>
              <w:ind w:right="162"/>
              <w:spacing w:after="0"/>
              <w:rPr>
                <w:sz w:val="20"/>
                <w:szCs w:val="20"/>
                <w:color w:val="auto"/>
              </w:rPr>
            </w:pPr>
            <w:r>
              <w:rPr>
                <w:rFonts w:ascii="Arial" w:cs="Arial" w:eastAsia="Arial" w:hAnsi="Arial"/>
                <w:sz w:val="16"/>
                <w:szCs w:val="16"/>
                <w:color w:val="auto"/>
              </w:rPr>
              <w:t>21,737</w:t>
            </w:r>
          </w:p>
        </w:tc>
        <w:tc>
          <w:tcPr>
            <w:tcW w:w="340" w:type="dxa"/>
            <w:vAlign w:val="bottom"/>
            <w:shd w:val="clear" w:color="auto" w:fill="FCE9E8"/>
          </w:tcPr>
          <w:p>
            <w:pPr>
              <w:ind w:left="2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FCE9E8"/>
          </w:tcPr>
          <w:p>
            <w:pPr>
              <w:ind w:left="120"/>
              <w:spacing w:after="0"/>
              <w:rPr>
                <w:sz w:val="20"/>
                <w:szCs w:val="20"/>
                <w:color w:val="auto"/>
              </w:rPr>
            </w:pPr>
            <w:r>
              <w:rPr>
                <w:rFonts w:ascii="Arial" w:cs="Arial" w:eastAsia="Arial" w:hAnsi="Arial"/>
                <w:sz w:val="16"/>
                <w:szCs w:val="16"/>
                <w:color w:val="auto"/>
              </w:rPr>
              <w:t>116,790</w:t>
            </w:r>
          </w:p>
        </w:tc>
      </w:tr>
      <w:tr>
        <w:trPr>
          <w:trHeight w:val="186"/>
        </w:trPr>
        <w:tc>
          <w:tcPr>
            <w:tcW w:w="20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Matthew J. Simoncini</w:t>
            </w:r>
          </w:p>
        </w:tc>
        <w:tc>
          <w:tcPr>
            <w:tcW w:w="174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color w:val="auto"/>
              </w:rPr>
              <w:t>99,532</w:t>
            </w:r>
          </w:p>
        </w:tc>
        <w:tc>
          <w:tcPr>
            <w:tcW w:w="152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496,840</w:t>
            </w: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496,840</w:t>
            </w:r>
          </w:p>
        </w:tc>
      </w:tr>
    </w:tbl>
    <w:p>
      <w:pPr>
        <w:spacing w:after="0" w:line="125" w:lineRule="exact"/>
        <w:rPr>
          <w:sz w:val="20"/>
          <w:szCs w:val="20"/>
          <w:color w:val="auto"/>
        </w:rPr>
      </w:pPr>
    </w:p>
    <w:p>
      <w:pPr>
        <w:ind w:left="600" w:right="60" w:hanging="320"/>
        <w:spacing w:after="0" w:line="196" w:lineRule="auto"/>
        <w:tabs>
          <w:tab w:leader="none" w:pos="60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Mr. Simoncini’s outstanding awards under the LTSIP vested on January 4, 2019, upon his retirement from the Company, in accordance with the applicable award agreements pursuant to the “Qualifying Retirement” and/or “End of Service” provisions. His 2017 Performance Shares will vest based on actual performance at the end of the performance period, prorated for the time in the performance period during which Mr. Simoncini remained employed by the Company.</w:t>
      </w:r>
    </w:p>
    <w:p>
      <w:pPr>
        <w:spacing w:after="0" w:line="110"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49</w:t>
      </w:r>
    </w:p>
    <w:p>
      <w:pPr>
        <w:sectPr>
          <w:pgSz w:w="11900" w:h="16838" w:orient="portrait"/>
          <w:cols w:equalWidth="0" w:num="1">
            <w:col w:w="11140"/>
          </w:cols>
          <w:pgMar w:left="240" w:top="455" w:right="5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250825</wp:posOffset>
            </wp:positionV>
            <wp:extent cx="6901815" cy="1860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01815" cy="186055"/>
                    </a:xfrm>
                    <a:prstGeom prst="rect">
                      <a:avLst/>
                    </a:prstGeom>
                    <a:noFill/>
                  </pic:spPr>
                </pic:pic>
              </a:graphicData>
            </a:graphic>
          </wp:anchor>
        </w:drawing>
      </w: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FFFFFF"/>
        </w:rPr>
        <w:t>2018 Option Exercises and Stock Vested</w:t>
      </w:r>
    </w:p>
    <w:p>
      <w:pPr>
        <w:spacing w:after="0" w:line="246" w:lineRule="exact"/>
        <w:rPr>
          <w:sz w:val="20"/>
          <w:szCs w:val="20"/>
          <w:color w:val="auto"/>
        </w:rPr>
      </w:pPr>
    </w:p>
    <w:p>
      <w:pPr>
        <w:ind w:left="280" w:right="60"/>
        <w:spacing w:after="0" w:line="254" w:lineRule="auto"/>
        <w:rPr>
          <w:sz w:val="20"/>
          <w:szCs w:val="20"/>
          <w:color w:val="auto"/>
        </w:rPr>
      </w:pPr>
      <w:r>
        <w:rPr>
          <w:rFonts w:ascii="Arial" w:cs="Arial" w:eastAsia="Arial" w:hAnsi="Arial"/>
          <w:sz w:val="16"/>
          <w:szCs w:val="16"/>
          <w:color w:val="auto"/>
        </w:rPr>
        <w:t>The following table sets forth certain information regarding stock-based awards that vested during 2018 for our Named Executive Officers. No options are outstanding and none were exercised in 2018.</w:t>
      </w:r>
    </w:p>
    <w:p>
      <w:pPr>
        <w:spacing w:after="0" w:line="208"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E2231A"/>
              </w:rPr>
              <w:t>Stock Awards</w:t>
            </w: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140"/>
        </w:trPr>
        <w:tc>
          <w:tcPr>
            <w:tcW w:w="6900" w:type="dxa"/>
            <w:vAlign w:val="bottom"/>
          </w:tcPr>
          <w:p>
            <w:pPr>
              <w:spacing w:after="0"/>
              <w:rPr>
                <w:sz w:val="12"/>
                <w:szCs w:val="12"/>
                <w:color w:val="auto"/>
              </w:rPr>
            </w:pPr>
          </w:p>
        </w:tc>
        <w:tc>
          <w:tcPr>
            <w:tcW w:w="2420" w:type="dxa"/>
            <w:vAlign w:val="bottom"/>
          </w:tcPr>
          <w:p>
            <w:pPr>
              <w:jc w:val="center"/>
              <w:ind w:right="406"/>
              <w:spacing w:after="0" w:line="140" w:lineRule="exact"/>
              <w:rPr>
                <w:sz w:val="20"/>
                <w:szCs w:val="20"/>
                <w:color w:val="auto"/>
              </w:rPr>
            </w:pPr>
            <w:r>
              <w:rPr>
                <w:rFonts w:ascii="Arial" w:cs="Arial" w:eastAsia="Arial" w:hAnsi="Arial"/>
                <w:sz w:val="14"/>
                <w:szCs w:val="14"/>
                <w:b w:val="1"/>
                <w:bCs w:val="1"/>
                <w:color w:val="E2231A"/>
                <w:w w:val="99"/>
              </w:rPr>
              <w:t>Number of</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60"/>
        </w:trPr>
        <w:tc>
          <w:tcPr>
            <w:tcW w:w="6900" w:type="dxa"/>
            <w:vAlign w:val="bottom"/>
          </w:tcPr>
          <w:p>
            <w:pPr>
              <w:spacing w:after="0"/>
              <w:rPr>
                <w:sz w:val="13"/>
                <w:szCs w:val="13"/>
                <w:color w:val="auto"/>
              </w:rPr>
            </w:pPr>
          </w:p>
        </w:tc>
        <w:tc>
          <w:tcPr>
            <w:tcW w:w="2420" w:type="dxa"/>
            <w:vAlign w:val="bottom"/>
          </w:tcPr>
          <w:p>
            <w:pPr>
              <w:jc w:val="center"/>
              <w:ind w:right="426"/>
              <w:spacing w:after="0" w:line="160" w:lineRule="exact"/>
              <w:rPr>
                <w:sz w:val="20"/>
                <w:szCs w:val="20"/>
                <w:color w:val="auto"/>
              </w:rPr>
            </w:pPr>
            <w:r>
              <w:rPr>
                <w:rFonts w:ascii="Arial" w:cs="Arial" w:eastAsia="Arial" w:hAnsi="Arial"/>
                <w:sz w:val="14"/>
                <w:szCs w:val="14"/>
                <w:b w:val="1"/>
                <w:bCs w:val="1"/>
                <w:color w:val="E2231A"/>
              </w:rPr>
              <w:t>Shares Acquired</w:t>
            </w:r>
          </w:p>
        </w:tc>
        <w:tc>
          <w:tcPr>
            <w:tcW w:w="120" w:type="dxa"/>
            <w:vAlign w:val="bottom"/>
          </w:tcPr>
          <w:p>
            <w:pPr>
              <w:spacing w:after="0"/>
              <w:rPr>
                <w:sz w:val="13"/>
                <w:szCs w:val="13"/>
                <w:color w:val="auto"/>
              </w:rPr>
            </w:pPr>
          </w:p>
        </w:tc>
        <w:tc>
          <w:tcPr>
            <w:tcW w:w="1440" w:type="dxa"/>
            <w:vAlign w:val="bottom"/>
          </w:tcPr>
          <w:p>
            <w:pPr>
              <w:jc w:val="right"/>
              <w:ind w:right="762"/>
              <w:spacing w:after="0" w:line="160" w:lineRule="exact"/>
              <w:rPr>
                <w:sz w:val="20"/>
                <w:szCs w:val="20"/>
                <w:color w:val="auto"/>
              </w:rPr>
            </w:pPr>
            <w:r>
              <w:rPr>
                <w:rFonts w:ascii="Arial" w:cs="Arial" w:eastAsia="Arial" w:hAnsi="Arial"/>
                <w:sz w:val="14"/>
                <w:szCs w:val="14"/>
                <w:b w:val="1"/>
                <w:bCs w:val="1"/>
                <w:color w:val="E2231A"/>
              </w:rPr>
              <w:t>Value</w:t>
            </w:r>
          </w:p>
        </w:tc>
      </w:tr>
      <w:tr>
        <w:trPr>
          <w:trHeight w:val="156"/>
        </w:trPr>
        <w:tc>
          <w:tcPr>
            <w:tcW w:w="6900" w:type="dxa"/>
            <w:vAlign w:val="bottom"/>
          </w:tcPr>
          <w:p>
            <w:pPr>
              <w:spacing w:after="0"/>
              <w:rPr>
                <w:sz w:val="13"/>
                <w:szCs w:val="13"/>
                <w:color w:val="auto"/>
              </w:rPr>
            </w:pPr>
          </w:p>
        </w:tc>
        <w:tc>
          <w:tcPr>
            <w:tcW w:w="2420" w:type="dxa"/>
            <w:vAlign w:val="bottom"/>
          </w:tcPr>
          <w:p>
            <w:pPr>
              <w:jc w:val="center"/>
              <w:ind w:right="426"/>
              <w:spacing w:after="0" w:line="157" w:lineRule="exact"/>
              <w:rPr>
                <w:sz w:val="20"/>
                <w:szCs w:val="20"/>
                <w:color w:val="auto"/>
              </w:rPr>
            </w:pPr>
            <w:r>
              <w:rPr>
                <w:rFonts w:ascii="Arial" w:cs="Arial" w:eastAsia="Arial" w:hAnsi="Arial"/>
                <w:sz w:val="14"/>
                <w:szCs w:val="14"/>
                <w:b w:val="1"/>
                <w:bCs w:val="1"/>
                <w:color w:val="E2231A"/>
              </w:rPr>
              <w:t>on Vesting</w:t>
            </w:r>
          </w:p>
        </w:tc>
        <w:tc>
          <w:tcPr>
            <w:tcW w:w="120" w:type="dxa"/>
            <w:vAlign w:val="bottom"/>
          </w:tcPr>
          <w:p>
            <w:pPr>
              <w:spacing w:after="0"/>
              <w:rPr>
                <w:sz w:val="13"/>
                <w:szCs w:val="13"/>
                <w:color w:val="auto"/>
              </w:rPr>
            </w:pPr>
          </w:p>
        </w:tc>
        <w:tc>
          <w:tcPr>
            <w:tcW w:w="1440" w:type="dxa"/>
            <w:vAlign w:val="bottom"/>
          </w:tcPr>
          <w:p>
            <w:pPr>
              <w:jc w:val="right"/>
              <w:ind w:right="562"/>
              <w:spacing w:after="0" w:line="157" w:lineRule="exact"/>
              <w:rPr>
                <w:sz w:val="20"/>
                <w:szCs w:val="20"/>
                <w:color w:val="auto"/>
              </w:rPr>
            </w:pPr>
            <w:r>
              <w:rPr>
                <w:rFonts w:ascii="Arial" w:cs="Arial" w:eastAsia="Arial" w:hAnsi="Arial"/>
                <w:sz w:val="14"/>
                <w:szCs w:val="14"/>
                <w:b w:val="1"/>
                <w:bCs w:val="1"/>
                <w:color w:val="E2231A"/>
              </w:rPr>
              <w:t>Realized on</w:t>
            </w:r>
          </w:p>
        </w:tc>
      </w:tr>
      <w:tr>
        <w:trPr>
          <w:trHeight w:val="176"/>
        </w:trPr>
        <w:tc>
          <w:tcPr>
            <w:tcW w:w="6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Name(a)</w:t>
            </w:r>
          </w:p>
        </w:tc>
        <w:tc>
          <w:tcPr>
            <w:tcW w:w="2420" w:type="dxa"/>
            <w:vAlign w:val="bottom"/>
            <w:tcBorders>
              <w:bottom w:val="single" w:sz="8" w:color="auto"/>
            </w:tcBorders>
          </w:tcPr>
          <w:p>
            <w:pPr>
              <w:jc w:val="center"/>
              <w:ind w:right="426"/>
              <w:spacing w:after="0" w:line="177" w:lineRule="exact"/>
              <w:rPr>
                <w:sz w:val="20"/>
                <w:szCs w:val="20"/>
                <w:color w:val="auto"/>
              </w:rPr>
            </w:pPr>
            <w:r>
              <w:rPr>
                <w:rFonts w:ascii="Arial" w:cs="Arial" w:eastAsia="Arial" w:hAnsi="Arial"/>
                <w:sz w:val="20"/>
                <w:szCs w:val="20"/>
                <w:b w:val="1"/>
                <w:bCs w:val="1"/>
                <w:color w:val="E2231A"/>
                <w:vertAlign w:val="subscript"/>
              </w:rPr>
              <w:t>(d)</w:t>
            </w:r>
            <w:r>
              <w:rPr>
                <w:rFonts w:ascii="Arial" w:cs="Arial" w:eastAsia="Arial" w:hAnsi="Arial"/>
                <w:sz w:val="10"/>
                <w:szCs w:val="10"/>
                <w:b w:val="1"/>
                <w:bCs w:val="1"/>
                <w:color w:val="E2231A"/>
              </w:rPr>
              <w:t>(1)</w:t>
            </w:r>
          </w:p>
        </w:tc>
        <w:tc>
          <w:tcPr>
            <w:tcW w:w="1560" w:type="dxa"/>
            <w:vAlign w:val="bottom"/>
            <w:tcBorders>
              <w:bottom w:val="single" w:sz="8" w:color="auto"/>
            </w:tcBorders>
            <w:gridSpan w:val="2"/>
          </w:tcPr>
          <w:p>
            <w:pPr>
              <w:ind w:left="20"/>
              <w:spacing w:after="0" w:line="177" w:lineRule="exact"/>
              <w:rPr>
                <w:sz w:val="20"/>
                <w:szCs w:val="20"/>
                <w:color w:val="auto"/>
              </w:rPr>
            </w:pPr>
            <w:r>
              <w:rPr>
                <w:rFonts w:ascii="Arial" w:cs="Arial" w:eastAsia="Arial" w:hAnsi="Arial"/>
                <w:sz w:val="12"/>
                <w:szCs w:val="12"/>
                <w:b w:val="1"/>
                <w:bCs w:val="1"/>
                <w:color w:val="E2231A"/>
              </w:rPr>
              <w:t>Vesting (e)</w:t>
            </w:r>
            <w:r>
              <w:rPr>
                <w:rFonts w:ascii="Arial" w:cs="Arial" w:eastAsia="Arial" w:hAnsi="Arial"/>
                <w:sz w:val="20"/>
                <w:szCs w:val="20"/>
                <w:b w:val="1"/>
                <w:bCs w:val="1"/>
                <w:color w:val="E2231A"/>
                <w:vertAlign w:val="superscript"/>
              </w:rPr>
              <w:t>(1)(2)</w:t>
            </w:r>
          </w:p>
        </w:tc>
      </w:tr>
      <w:tr>
        <w:trPr>
          <w:trHeight w:val="180"/>
        </w:trPr>
        <w:tc>
          <w:tcPr>
            <w:tcW w:w="6900" w:type="dxa"/>
            <w:vAlign w:val="bottom"/>
            <w:shd w:val="clear" w:color="auto" w:fill="FCE9E8"/>
          </w:tcPr>
          <w:p>
            <w:pPr>
              <w:ind w:left="80"/>
              <w:spacing w:after="0" w:line="180" w:lineRule="exact"/>
              <w:rPr>
                <w:sz w:val="20"/>
                <w:szCs w:val="20"/>
                <w:color w:val="auto"/>
              </w:rPr>
            </w:pPr>
            <w:r>
              <w:rPr>
                <w:rFonts w:ascii="Arial" w:cs="Arial" w:eastAsia="Arial" w:hAnsi="Arial"/>
                <w:sz w:val="16"/>
                <w:szCs w:val="16"/>
                <w:color w:val="auto"/>
              </w:rPr>
              <w:t>Raymond E. Scott</w:t>
            </w:r>
          </w:p>
        </w:tc>
        <w:tc>
          <w:tcPr>
            <w:tcW w:w="2420" w:type="dxa"/>
            <w:vAlign w:val="bottom"/>
            <w:shd w:val="clear" w:color="auto" w:fill="FCE9E8"/>
          </w:tcPr>
          <w:p>
            <w:pPr>
              <w:jc w:val="right"/>
              <w:ind w:right="806"/>
              <w:spacing w:after="0" w:line="180" w:lineRule="exact"/>
              <w:rPr>
                <w:sz w:val="20"/>
                <w:szCs w:val="20"/>
                <w:color w:val="auto"/>
              </w:rPr>
            </w:pPr>
            <w:r>
              <w:rPr>
                <w:rFonts w:ascii="Arial" w:cs="Arial" w:eastAsia="Arial" w:hAnsi="Arial"/>
                <w:sz w:val="16"/>
                <w:szCs w:val="16"/>
                <w:color w:val="auto"/>
              </w:rPr>
              <w:t>34,217</w:t>
            </w:r>
          </w:p>
        </w:tc>
        <w:tc>
          <w:tcPr>
            <w:tcW w:w="120" w:type="dxa"/>
            <w:vAlign w:val="bottom"/>
            <w:shd w:val="clear" w:color="auto" w:fill="FCE9E8"/>
          </w:tcPr>
          <w:p>
            <w:pPr>
              <w:ind w:left="20"/>
              <w:spacing w:after="0" w:line="180" w:lineRule="exact"/>
              <w:rPr>
                <w:sz w:val="20"/>
                <w:szCs w:val="20"/>
                <w:color w:val="auto"/>
              </w:rPr>
            </w:pPr>
            <w:r>
              <w:rPr>
                <w:rFonts w:ascii="Arial" w:cs="Arial" w:eastAsia="Arial" w:hAnsi="Arial"/>
                <w:sz w:val="16"/>
                <w:szCs w:val="16"/>
                <w:color w:val="auto"/>
                <w:w w:val="89"/>
              </w:rPr>
              <w:t>$</w:t>
            </w:r>
          </w:p>
        </w:tc>
        <w:tc>
          <w:tcPr>
            <w:tcW w:w="1440" w:type="dxa"/>
            <w:vAlign w:val="bottom"/>
            <w:shd w:val="clear" w:color="auto" w:fill="FCE9E8"/>
          </w:tcPr>
          <w:p>
            <w:pPr>
              <w:jc w:val="right"/>
              <w:ind w:right="442"/>
              <w:spacing w:after="0" w:line="180" w:lineRule="exact"/>
              <w:rPr>
                <w:sz w:val="20"/>
                <w:szCs w:val="20"/>
                <w:color w:val="auto"/>
              </w:rPr>
            </w:pPr>
            <w:r>
              <w:rPr>
                <w:rFonts w:ascii="Arial" w:cs="Arial" w:eastAsia="Arial" w:hAnsi="Arial"/>
                <w:sz w:val="16"/>
                <w:szCs w:val="16"/>
                <w:color w:val="auto"/>
              </w:rPr>
              <w:t>5,591,180</w:t>
            </w:r>
          </w:p>
        </w:tc>
      </w:tr>
      <w:tr>
        <w:trPr>
          <w:trHeight w:val="186"/>
        </w:trPr>
        <w:tc>
          <w:tcPr>
            <w:tcW w:w="6900" w:type="dxa"/>
            <w:vAlign w:val="bottom"/>
          </w:tcPr>
          <w:p>
            <w:pPr>
              <w:ind w:left="80"/>
              <w:spacing w:after="0"/>
              <w:rPr>
                <w:sz w:val="20"/>
                <w:szCs w:val="20"/>
                <w:color w:val="auto"/>
              </w:rPr>
            </w:pPr>
            <w:r>
              <w:rPr>
                <w:rFonts w:ascii="Arial" w:cs="Arial" w:eastAsia="Arial" w:hAnsi="Arial"/>
                <w:sz w:val="16"/>
                <w:szCs w:val="16"/>
                <w:color w:val="auto"/>
              </w:rPr>
              <w:t>Jeffrey H. Vanneste</w:t>
            </w:r>
          </w:p>
        </w:tc>
        <w:tc>
          <w:tcPr>
            <w:tcW w:w="2420" w:type="dxa"/>
            <w:vAlign w:val="bottom"/>
          </w:tcPr>
          <w:p>
            <w:pPr>
              <w:jc w:val="right"/>
              <w:ind w:right="806"/>
              <w:spacing w:after="0"/>
              <w:rPr>
                <w:sz w:val="20"/>
                <w:szCs w:val="20"/>
                <w:color w:val="auto"/>
              </w:rPr>
            </w:pPr>
            <w:r>
              <w:rPr>
                <w:rFonts w:ascii="Arial" w:cs="Arial" w:eastAsia="Arial" w:hAnsi="Arial"/>
                <w:sz w:val="16"/>
                <w:szCs w:val="16"/>
                <w:color w:val="auto"/>
              </w:rPr>
              <w:t>31,061</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42"/>
              <w:spacing w:after="0"/>
              <w:rPr>
                <w:sz w:val="20"/>
                <w:szCs w:val="20"/>
                <w:color w:val="auto"/>
              </w:rPr>
            </w:pPr>
            <w:r>
              <w:rPr>
                <w:rFonts w:ascii="Arial" w:cs="Arial" w:eastAsia="Arial" w:hAnsi="Arial"/>
                <w:sz w:val="16"/>
                <w:szCs w:val="16"/>
                <w:color w:val="auto"/>
              </w:rPr>
              <w:t>5,068,301</w:t>
            </w:r>
          </w:p>
        </w:tc>
      </w:tr>
      <w:tr>
        <w:trPr>
          <w:trHeight w:val="186"/>
        </w:trPr>
        <w:tc>
          <w:tcPr>
            <w:tcW w:w="6900" w:type="dxa"/>
            <w:vAlign w:val="bottom"/>
            <w:shd w:val="clear" w:color="auto" w:fill="FCE9E8"/>
          </w:tcPr>
          <w:p>
            <w:pPr>
              <w:ind w:left="80"/>
              <w:spacing w:after="0"/>
              <w:rPr>
                <w:sz w:val="20"/>
                <w:szCs w:val="20"/>
                <w:color w:val="auto"/>
              </w:rPr>
            </w:pPr>
            <w:r>
              <w:rPr>
                <w:rFonts w:ascii="Arial" w:cs="Arial" w:eastAsia="Arial" w:hAnsi="Arial"/>
                <w:sz w:val="16"/>
                <w:szCs w:val="16"/>
                <w:color w:val="auto"/>
              </w:rPr>
              <w:t>Terrence B. Larkin</w:t>
            </w:r>
          </w:p>
        </w:tc>
        <w:tc>
          <w:tcPr>
            <w:tcW w:w="2420" w:type="dxa"/>
            <w:vAlign w:val="bottom"/>
            <w:shd w:val="clear" w:color="auto" w:fill="FCE9E8"/>
          </w:tcPr>
          <w:p>
            <w:pPr>
              <w:jc w:val="right"/>
              <w:ind w:right="806"/>
              <w:spacing w:after="0"/>
              <w:rPr>
                <w:sz w:val="20"/>
                <w:szCs w:val="20"/>
                <w:color w:val="auto"/>
              </w:rPr>
            </w:pPr>
            <w:r>
              <w:rPr>
                <w:rFonts w:ascii="Arial" w:cs="Arial" w:eastAsia="Arial" w:hAnsi="Arial"/>
                <w:sz w:val="16"/>
                <w:szCs w:val="16"/>
                <w:color w:val="auto"/>
              </w:rPr>
              <w:t>34,217</w:t>
            </w:r>
          </w:p>
        </w:tc>
        <w:tc>
          <w:tcPr>
            <w:tcW w:w="120" w:type="dxa"/>
            <w:vAlign w:val="bottom"/>
            <w:shd w:val="clear" w:color="auto" w:fill="FCE9E8"/>
          </w:tcPr>
          <w:p>
            <w:pPr>
              <w:ind w:left="20"/>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FCE9E8"/>
          </w:tcPr>
          <w:p>
            <w:pPr>
              <w:jc w:val="right"/>
              <w:ind w:right="442"/>
              <w:spacing w:after="0"/>
              <w:rPr>
                <w:sz w:val="20"/>
                <w:szCs w:val="20"/>
                <w:color w:val="auto"/>
              </w:rPr>
            </w:pPr>
            <w:r>
              <w:rPr>
                <w:rFonts w:ascii="Arial" w:cs="Arial" w:eastAsia="Arial" w:hAnsi="Arial"/>
                <w:sz w:val="16"/>
                <w:szCs w:val="16"/>
                <w:color w:val="auto"/>
              </w:rPr>
              <w:t>5,591,180</w:t>
            </w:r>
          </w:p>
        </w:tc>
      </w:tr>
      <w:tr>
        <w:trPr>
          <w:trHeight w:val="186"/>
        </w:trPr>
        <w:tc>
          <w:tcPr>
            <w:tcW w:w="6900" w:type="dxa"/>
            <w:vAlign w:val="bottom"/>
          </w:tcPr>
          <w:p>
            <w:pPr>
              <w:ind w:left="80"/>
              <w:spacing w:after="0"/>
              <w:rPr>
                <w:sz w:val="20"/>
                <w:szCs w:val="20"/>
                <w:color w:val="auto"/>
              </w:rPr>
            </w:pPr>
            <w:r>
              <w:rPr>
                <w:rFonts w:ascii="Arial" w:cs="Arial" w:eastAsia="Arial" w:hAnsi="Arial"/>
                <w:sz w:val="16"/>
                <w:szCs w:val="16"/>
                <w:color w:val="auto"/>
              </w:rPr>
              <w:t>Frank C. Orsini</w:t>
            </w:r>
          </w:p>
        </w:tc>
        <w:tc>
          <w:tcPr>
            <w:tcW w:w="2420" w:type="dxa"/>
            <w:vAlign w:val="bottom"/>
          </w:tcPr>
          <w:p>
            <w:pPr>
              <w:jc w:val="right"/>
              <w:ind w:right="806"/>
              <w:spacing w:after="0"/>
              <w:rPr>
                <w:sz w:val="20"/>
                <w:szCs w:val="20"/>
                <w:color w:val="auto"/>
              </w:rPr>
            </w:pPr>
            <w:r>
              <w:rPr>
                <w:rFonts w:ascii="Arial" w:cs="Arial" w:eastAsia="Arial" w:hAnsi="Arial"/>
                <w:sz w:val="16"/>
                <w:szCs w:val="16"/>
                <w:color w:val="auto"/>
              </w:rPr>
              <w:t>28,871</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42"/>
              <w:spacing w:after="0"/>
              <w:rPr>
                <w:sz w:val="20"/>
                <w:szCs w:val="20"/>
                <w:color w:val="auto"/>
              </w:rPr>
            </w:pPr>
            <w:r>
              <w:rPr>
                <w:rFonts w:ascii="Arial" w:cs="Arial" w:eastAsia="Arial" w:hAnsi="Arial"/>
                <w:sz w:val="16"/>
                <w:szCs w:val="16"/>
                <w:color w:val="auto"/>
              </w:rPr>
              <w:t>4,727,178</w:t>
            </w:r>
          </w:p>
        </w:tc>
      </w:tr>
      <w:tr>
        <w:trPr>
          <w:trHeight w:val="186"/>
        </w:trPr>
        <w:tc>
          <w:tcPr>
            <w:tcW w:w="6900" w:type="dxa"/>
            <w:vAlign w:val="bottom"/>
            <w:shd w:val="clear" w:color="auto" w:fill="FCE9E8"/>
          </w:tcPr>
          <w:p>
            <w:pPr>
              <w:ind w:left="80"/>
              <w:spacing w:after="0"/>
              <w:rPr>
                <w:sz w:val="20"/>
                <w:szCs w:val="20"/>
                <w:color w:val="auto"/>
              </w:rPr>
            </w:pPr>
            <w:r>
              <w:rPr>
                <w:rFonts w:ascii="Arial" w:cs="Arial" w:eastAsia="Arial" w:hAnsi="Arial"/>
                <w:sz w:val="16"/>
                <w:szCs w:val="16"/>
                <w:color w:val="auto"/>
              </w:rPr>
              <w:t>Thomas A. DiDonato</w:t>
            </w:r>
          </w:p>
        </w:tc>
        <w:tc>
          <w:tcPr>
            <w:tcW w:w="2420" w:type="dxa"/>
            <w:vAlign w:val="bottom"/>
            <w:shd w:val="clear" w:color="auto" w:fill="FCE9E8"/>
          </w:tcPr>
          <w:p>
            <w:pPr>
              <w:jc w:val="right"/>
              <w:ind w:right="806"/>
              <w:spacing w:after="0"/>
              <w:rPr>
                <w:sz w:val="20"/>
                <w:szCs w:val="20"/>
                <w:color w:val="auto"/>
              </w:rPr>
            </w:pPr>
            <w:r>
              <w:rPr>
                <w:rFonts w:ascii="Arial" w:cs="Arial" w:eastAsia="Arial" w:hAnsi="Arial"/>
                <w:sz w:val="16"/>
                <w:szCs w:val="16"/>
                <w:color w:val="auto"/>
              </w:rPr>
              <w:t>24,795</w:t>
            </w:r>
          </w:p>
        </w:tc>
        <w:tc>
          <w:tcPr>
            <w:tcW w:w="120" w:type="dxa"/>
            <w:vAlign w:val="bottom"/>
            <w:shd w:val="clear" w:color="auto" w:fill="FCE9E8"/>
          </w:tcPr>
          <w:p>
            <w:pPr>
              <w:ind w:left="20"/>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FCE9E8"/>
          </w:tcPr>
          <w:p>
            <w:pPr>
              <w:jc w:val="right"/>
              <w:ind w:right="442"/>
              <w:spacing w:after="0"/>
              <w:rPr>
                <w:sz w:val="20"/>
                <w:szCs w:val="20"/>
                <w:color w:val="auto"/>
              </w:rPr>
            </w:pPr>
            <w:r>
              <w:rPr>
                <w:rFonts w:ascii="Arial" w:cs="Arial" w:eastAsia="Arial" w:hAnsi="Arial"/>
                <w:sz w:val="16"/>
                <w:szCs w:val="16"/>
                <w:color w:val="auto"/>
              </w:rPr>
              <w:t>4,037,650</w:t>
            </w:r>
          </w:p>
        </w:tc>
      </w:tr>
      <w:tr>
        <w:trPr>
          <w:trHeight w:val="195"/>
        </w:trPr>
        <w:tc>
          <w:tcPr>
            <w:tcW w:w="6900" w:type="dxa"/>
            <w:vAlign w:val="bottom"/>
          </w:tcPr>
          <w:p>
            <w:pPr>
              <w:ind w:left="80"/>
              <w:spacing w:after="0"/>
              <w:rPr>
                <w:sz w:val="20"/>
                <w:szCs w:val="20"/>
                <w:color w:val="auto"/>
              </w:rPr>
            </w:pPr>
            <w:r>
              <w:rPr>
                <w:rFonts w:ascii="Arial" w:cs="Arial" w:eastAsia="Arial" w:hAnsi="Arial"/>
                <w:sz w:val="16"/>
                <w:szCs w:val="16"/>
                <w:color w:val="auto"/>
              </w:rPr>
              <w:t>Matthew J. Simoncini</w:t>
            </w:r>
          </w:p>
        </w:tc>
        <w:tc>
          <w:tcPr>
            <w:tcW w:w="2420" w:type="dxa"/>
            <w:vAlign w:val="bottom"/>
          </w:tcPr>
          <w:p>
            <w:pPr>
              <w:jc w:val="right"/>
              <w:ind w:right="806"/>
              <w:spacing w:after="0"/>
              <w:rPr>
                <w:sz w:val="20"/>
                <w:szCs w:val="20"/>
                <w:color w:val="auto"/>
              </w:rPr>
            </w:pPr>
            <w:r>
              <w:rPr>
                <w:rFonts w:ascii="Arial" w:cs="Arial" w:eastAsia="Arial" w:hAnsi="Arial"/>
                <w:sz w:val="16"/>
                <w:szCs w:val="16"/>
                <w:color w:val="auto"/>
              </w:rPr>
              <w:t>122,248</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42"/>
              <w:spacing w:after="0"/>
              <w:rPr>
                <w:sz w:val="20"/>
                <w:szCs w:val="20"/>
                <w:color w:val="auto"/>
              </w:rPr>
            </w:pPr>
            <w:r>
              <w:rPr>
                <w:rFonts w:ascii="Arial" w:cs="Arial" w:eastAsia="Arial" w:hAnsi="Arial"/>
                <w:sz w:val="16"/>
                <w:szCs w:val="16"/>
                <w:color w:val="auto"/>
              </w:rPr>
              <w:t>20,035,279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-4445</wp:posOffset>
            </wp:positionV>
            <wp:extent cx="69018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ind w:left="600" w:right="120" w:hanging="320"/>
        <w:spacing w:after="0" w:line="181" w:lineRule="auto"/>
        <w:tabs>
          <w:tab w:leader="none" w:pos="60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Consists of 2015 RSU awards that vested on January 2, 2018, 2015 Career Shares that vested on November 18, 2018, and performance shares that vested based on performance during the three-year period ended December 31, 2018 (which were paid in 2019), in the following amounts:</w:t>
      </w:r>
    </w:p>
    <w:p>
      <w:pPr>
        <w:spacing w:after="0" w:line="91"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E2231A"/>
                <w:w w:val="99"/>
              </w:rPr>
              <w:t>Number of</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0"/>
        </w:trPr>
        <w:tc>
          <w:tcPr>
            <w:tcW w:w="20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jc w:val="right"/>
              <w:ind w:right="69"/>
              <w:spacing w:after="0" w:line="160" w:lineRule="exact"/>
              <w:rPr>
                <w:sz w:val="20"/>
                <w:szCs w:val="20"/>
                <w:color w:val="auto"/>
              </w:rPr>
            </w:pPr>
            <w:r>
              <w:rPr>
                <w:rFonts w:ascii="Arial" w:cs="Arial" w:eastAsia="Arial" w:hAnsi="Arial"/>
                <w:sz w:val="14"/>
                <w:szCs w:val="14"/>
                <w:b w:val="1"/>
                <w:bCs w:val="1"/>
                <w:color w:val="E2231A"/>
              </w:rPr>
              <w:t>Number of</w:t>
            </w:r>
          </w:p>
        </w:tc>
        <w:tc>
          <w:tcPr>
            <w:tcW w:w="90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2015</w:t>
            </w:r>
          </w:p>
        </w:tc>
        <w:tc>
          <w:tcPr>
            <w:tcW w:w="1180" w:type="dxa"/>
            <w:vAlign w:val="bottom"/>
          </w:tcPr>
          <w:p>
            <w:pPr>
              <w:jc w:val="right"/>
              <w:ind w:right="369"/>
              <w:spacing w:after="0" w:line="160" w:lineRule="exact"/>
              <w:rPr>
                <w:sz w:val="20"/>
                <w:szCs w:val="20"/>
                <w:color w:val="auto"/>
              </w:rPr>
            </w:pPr>
            <w:r>
              <w:rPr>
                <w:rFonts w:ascii="Arial" w:cs="Arial" w:eastAsia="Arial" w:hAnsi="Arial"/>
                <w:sz w:val="14"/>
                <w:szCs w:val="14"/>
                <w:b w:val="1"/>
                <w:bCs w:val="1"/>
                <w:color w:val="E2231A"/>
              </w:rPr>
              <w:t>2016</w:t>
            </w:r>
          </w:p>
        </w:tc>
        <w:tc>
          <w:tcPr>
            <w:tcW w:w="260" w:type="dxa"/>
            <w:vAlign w:val="bottom"/>
          </w:tcPr>
          <w:p>
            <w:pPr>
              <w:spacing w:after="0"/>
              <w:rPr>
                <w:sz w:val="13"/>
                <w:szCs w:val="13"/>
                <w:color w:val="auto"/>
              </w:rPr>
            </w:pPr>
          </w:p>
        </w:tc>
        <w:tc>
          <w:tcPr>
            <w:tcW w:w="900" w:type="dxa"/>
            <w:vAlign w:val="bottom"/>
          </w:tcPr>
          <w:p>
            <w:pPr>
              <w:jc w:val="right"/>
              <w:ind w:right="349"/>
              <w:spacing w:after="0" w:line="160" w:lineRule="exact"/>
              <w:rPr>
                <w:sz w:val="20"/>
                <w:szCs w:val="20"/>
                <w:color w:val="auto"/>
              </w:rPr>
            </w:pPr>
            <w:r>
              <w:rPr>
                <w:rFonts w:ascii="Arial" w:cs="Arial" w:eastAsia="Arial" w:hAnsi="Arial"/>
                <w:sz w:val="14"/>
                <w:szCs w:val="14"/>
                <w:b w:val="1"/>
                <w:bCs w:val="1"/>
                <w:color w:val="E2231A"/>
              </w:rPr>
              <w:t>2016</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0"/>
        </w:trPr>
        <w:tc>
          <w:tcPr>
            <w:tcW w:w="2060" w:type="dxa"/>
            <w:vAlign w:val="bottom"/>
          </w:tcPr>
          <w:p>
            <w:pPr>
              <w:spacing w:after="0"/>
              <w:rPr>
                <w:sz w:val="13"/>
                <w:szCs w:val="13"/>
                <w:color w:val="auto"/>
              </w:rPr>
            </w:pPr>
          </w:p>
        </w:tc>
        <w:tc>
          <w:tcPr>
            <w:tcW w:w="1600" w:type="dxa"/>
            <w:vAlign w:val="bottom"/>
          </w:tcPr>
          <w:p>
            <w:pPr>
              <w:jc w:val="center"/>
              <w:ind w:left="429"/>
              <w:spacing w:after="0" w:line="160" w:lineRule="exact"/>
              <w:rPr>
                <w:sz w:val="20"/>
                <w:szCs w:val="20"/>
                <w:color w:val="auto"/>
              </w:rPr>
            </w:pPr>
            <w:r>
              <w:rPr>
                <w:rFonts w:ascii="Arial" w:cs="Arial" w:eastAsia="Arial" w:hAnsi="Arial"/>
                <w:sz w:val="14"/>
                <w:szCs w:val="14"/>
                <w:b w:val="1"/>
                <w:bCs w:val="1"/>
                <w:color w:val="E2231A"/>
                <w:w w:val="99"/>
              </w:rPr>
              <w:t>Number of</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2015</w:t>
            </w:r>
          </w:p>
        </w:tc>
        <w:tc>
          <w:tcPr>
            <w:tcW w:w="90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Career</w:t>
            </w:r>
          </w:p>
        </w:tc>
        <w:tc>
          <w:tcPr>
            <w:tcW w:w="1180" w:type="dxa"/>
            <w:vAlign w:val="bottom"/>
          </w:tcPr>
          <w:p>
            <w:pPr>
              <w:jc w:val="right"/>
              <w:ind w:right="89"/>
              <w:spacing w:after="0" w:line="160" w:lineRule="exact"/>
              <w:rPr>
                <w:sz w:val="20"/>
                <w:szCs w:val="20"/>
                <w:color w:val="auto"/>
              </w:rPr>
            </w:pPr>
            <w:r>
              <w:rPr>
                <w:rFonts w:ascii="Arial" w:cs="Arial" w:eastAsia="Arial" w:hAnsi="Arial"/>
                <w:sz w:val="14"/>
                <w:szCs w:val="14"/>
                <w:b w:val="1"/>
                <w:bCs w:val="1"/>
                <w:color w:val="E2231A"/>
              </w:rPr>
              <w:t>Performance</w:t>
            </w:r>
          </w:p>
        </w:tc>
        <w:tc>
          <w:tcPr>
            <w:tcW w:w="1160" w:type="dxa"/>
            <w:vAlign w:val="bottom"/>
            <w:gridSpan w:val="2"/>
          </w:tcPr>
          <w:p>
            <w:pPr>
              <w:ind w:left="140"/>
              <w:spacing w:after="0" w:line="160" w:lineRule="exact"/>
              <w:rPr>
                <w:sz w:val="20"/>
                <w:szCs w:val="20"/>
                <w:color w:val="auto"/>
              </w:rPr>
            </w:pPr>
            <w:r>
              <w:rPr>
                <w:rFonts w:ascii="Arial" w:cs="Arial" w:eastAsia="Arial" w:hAnsi="Arial"/>
                <w:sz w:val="14"/>
                <w:szCs w:val="14"/>
                <w:b w:val="1"/>
                <w:bCs w:val="1"/>
                <w:color w:val="E2231A"/>
              </w:rPr>
              <w:t>Performance</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0"/>
        </w:trPr>
        <w:tc>
          <w:tcPr>
            <w:tcW w:w="2060" w:type="dxa"/>
            <w:vAlign w:val="bottom"/>
          </w:tcPr>
          <w:p>
            <w:pPr>
              <w:spacing w:after="0"/>
              <w:rPr>
                <w:sz w:val="13"/>
                <w:szCs w:val="13"/>
                <w:color w:val="auto"/>
              </w:rPr>
            </w:pPr>
          </w:p>
        </w:tc>
        <w:tc>
          <w:tcPr>
            <w:tcW w:w="1600" w:type="dxa"/>
            <w:vAlign w:val="bottom"/>
          </w:tcPr>
          <w:p>
            <w:pPr>
              <w:jc w:val="center"/>
              <w:ind w:left="429"/>
              <w:spacing w:after="0" w:line="160" w:lineRule="exact"/>
              <w:rPr>
                <w:sz w:val="20"/>
                <w:szCs w:val="20"/>
                <w:color w:val="auto"/>
              </w:rPr>
            </w:pPr>
            <w:r>
              <w:rPr>
                <w:rFonts w:ascii="Arial" w:cs="Arial" w:eastAsia="Arial" w:hAnsi="Arial"/>
                <w:sz w:val="14"/>
                <w:szCs w:val="14"/>
                <w:b w:val="1"/>
                <w:bCs w:val="1"/>
                <w:color w:val="E2231A"/>
                <w:w w:val="96"/>
              </w:rPr>
              <w:t>2015</w:t>
            </w:r>
          </w:p>
        </w:tc>
        <w:tc>
          <w:tcPr>
            <w:tcW w:w="102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E2231A"/>
              </w:rPr>
              <w:t>2015 RSU</w:t>
            </w:r>
          </w:p>
        </w:tc>
        <w:tc>
          <w:tcPr>
            <w:tcW w:w="100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w w:val="99"/>
              </w:rPr>
              <w:t>Career</w:t>
            </w:r>
          </w:p>
        </w:tc>
        <w:tc>
          <w:tcPr>
            <w:tcW w:w="90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w w:val="98"/>
              </w:rPr>
              <w:t>Shares</w:t>
            </w:r>
          </w:p>
        </w:tc>
        <w:tc>
          <w:tcPr>
            <w:tcW w:w="118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Shares</w:t>
            </w:r>
          </w:p>
        </w:tc>
        <w:tc>
          <w:tcPr>
            <w:tcW w:w="11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E2231A"/>
                <w:w w:val="99"/>
              </w:rPr>
              <w:t>Share Value</w:t>
            </w:r>
          </w:p>
        </w:tc>
        <w:tc>
          <w:tcPr>
            <w:tcW w:w="240" w:type="dxa"/>
            <w:vAlign w:val="bottom"/>
          </w:tcPr>
          <w:p>
            <w:pPr>
              <w:spacing w:after="0"/>
              <w:rPr>
                <w:sz w:val="13"/>
                <w:szCs w:val="13"/>
                <w:color w:val="auto"/>
              </w:rPr>
            </w:pPr>
          </w:p>
        </w:tc>
        <w:tc>
          <w:tcPr>
            <w:tcW w:w="840" w:type="dxa"/>
            <w:vAlign w:val="bottom"/>
          </w:tcPr>
          <w:p>
            <w:pPr>
              <w:jc w:val="center"/>
              <w:ind w:right="69"/>
              <w:spacing w:after="0" w:line="160" w:lineRule="exact"/>
              <w:rPr>
                <w:sz w:val="20"/>
                <w:szCs w:val="20"/>
                <w:color w:val="auto"/>
              </w:rPr>
            </w:pPr>
            <w:r>
              <w:rPr>
                <w:rFonts w:ascii="Arial" w:cs="Arial" w:eastAsia="Arial" w:hAnsi="Arial"/>
                <w:sz w:val="14"/>
                <w:szCs w:val="14"/>
                <w:b w:val="1"/>
                <w:bCs w:val="1"/>
                <w:color w:val="E2231A"/>
              </w:rPr>
              <w:t>Total</w:t>
            </w:r>
          </w:p>
        </w:tc>
      </w:tr>
      <w:tr>
        <w:trPr>
          <w:trHeight w:val="160"/>
        </w:trPr>
        <w:tc>
          <w:tcPr>
            <w:tcW w:w="2060" w:type="dxa"/>
            <w:vAlign w:val="bottom"/>
          </w:tcPr>
          <w:p>
            <w:pPr>
              <w:spacing w:after="0"/>
              <w:rPr>
                <w:sz w:val="13"/>
                <w:szCs w:val="13"/>
                <w:color w:val="auto"/>
              </w:rPr>
            </w:pPr>
          </w:p>
        </w:tc>
        <w:tc>
          <w:tcPr>
            <w:tcW w:w="1600" w:type="dxa"/>
            <w:vAlign w:val="bottom"/>
          </w:tcPr>
          <w:p>
            <w:pPr>
              <w:jc w:val="center"/>
              <w:ind w:left="429"/>
              <w:spacing w:after="0" w:line="160" w:lineRule="exact"/>
              <w:rPr>
                <w:sz w:val="20"/>
                <w:szCs w:val="20"/>
                <w:color w:val="auto"/>
              </w:rPr>
            </w:pPr>
            <w:r>
              <w:rPr>
                <w:rFonts w:ascii="Arial" w:cs="Arial" w:eastAsia="Arial" w:hAnsi="Arial"/>
                <w:sz w:val="14"/>
                <w:szCs w:val="14"/>
                <w:b w:val="1"/>
                <w:bCs w:val="1"/>
                <w:color w:val="E2231A"/>
              </w:rPr>
              <w:t>RSU</w:t>
            </w:r>
          </w:p>
        </w:tc>
        <w:tc>
          <w:tcPr>
            <w:tcW w:w="240" w:type="dxa"/>
            <w:vAlign w:val="bottom"/>
          </w:tcPr>
          <w:p>
            <w:pPr>
              <w:spacing w:after="0"/>
              <w:rPr>
                <w:sz w:val="13"/>
                <w:szCs w:val="13"/>
                <w:color w:val="auto"/>
              </w:rPr>
            </w:pPr>
          </w:p>
        </w:tc>
        <w:tc>
          <w:tcPr>
            <w:tcW w:w="780" w:type="dxa"/>
            <w:vAlign w:val="bottom"/>
          </w:tcPr>
          <w:p>
            <w:pPr>
              <w:jc w:val="center"/>
              <w:ind w:right="169"/>
              <w:spacing w:after="0" w:line="160" w:lineRule="exact"/>
              <w:rPr>
                <w:sz w:val="20"/>
                <w:szCs w:val="20"/>
                <w:color w:val="auto"/>
              </w:rPr>
            </w:pPr>
            <w:r>
              <w:rPr>
                <w:rFonts w:ascii="Arial" w:cs="Arial" w:eastAsia="Arial" w:hAnsi="Arial"/>
                <w:sz w:val="14"/>
                <w:szCs w:val="14"/>
                <w:b w:val="1"/>
                <w:bCs w:val="1"/>
                <w:color w:val="E2231A"/>
              </w:rPr>
              <w:t>Value</w:t>
            </w:r>
          </w:p>
        </w:tc>
        <w:tc>
          <w:tcPr>
            <w:tcW w:w="100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Shares</w:t>
            </w:r>
          </w:p>
        </w:tc>
        <w:tc>
          <w:tcPr>
            <w:tcW w:w="90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Value</w:t>
            </w:r>
          </w:p>
        </w:tc>
        <w:tc>
          <w:tcPr>
            <w:tcW w:w="118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Acquired</w:t>
            </w:r>
          </w:p>
        </w:tc>
        <w:tc>
          <w:tcPr>
            <w:tcW w:w="11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E2231A"/>
              </w:rPr>
              <w:t>Realized on</w:t>
            </w:r>
          </w:p>
        </w:tc>
        <w:tc>
          <w:tcPr>
            <w:tcW w:w="1080" w:type="dxa"/>
            <w:vAlign w:val="bottom"/>
            <w:gridSpan w:val="2"/>
          </w:tcPr>
          <w:p>
            <w:pPr>
              <w:jc w:val="center"/>
              <w:ind w:left="29"/>
              <w:spacing w:after="0" w:line="160" w:lineRule="exact"/>
              <w:rPr>
                <w:sz w:val="20"/>
                <w:szCs w:val="20"/>
                <w:color w:val="auto"/>
              </w:rPr>
            </w:pPr>
            <w:r>
              <w:rPr>
                <w:rFonts w:ascii="Arial" w:cs="Arial" w:eastAsia="Arial" w:hAnsi="Arial"/>
                <w:sz w:val="14"/>
                <w:szCs w:val="14"/>
                <w:b w:val="1"/>
                <w:bCs w:val="1"/>
                <w:color w:val="E2231A"/>
              </w:rPr>
              <w:t>RSU, Career</w:t>
            </w:r>
          </w:p>
        </w:tc>
      </w:tr>
      <w:tr>
        <w:trPr>
          <w:trHeight w:val="160"/>
        </w:trPr>
        <w:tc>
          <w:tcPr>
            <w:tcW w:w="2060" w:type="dxa"/>
            <w:vAlign w:val="bottom"/>
          </w:tcPr>
          <w:p>
            <w:pPr>
              <w:spacing w:after="0"/>
              <w:rPr>
                <w:sz w:val="13"/>
                <w:szCs w:val="13"/>
                <w:color w:val="auto"/>
              </w:rPr>
            </w:pPr>
          </w:p>
        </w:tc>
        <w:tc>
          <w:tcPr>
            <w:tcW w:w="1600" w:type="dxa"/>
            <w:vAlign w:val="bottom"/>
          </w:tcPr>
          <w:p>
            <w:pPr>
              <w:jc w:val="center"/>
              <w:ind w:left="429"/>
              <w:spacing w:after="0" w:line="160" w:lineRule="exact"/>
              <w:rPr>
                <w:sz w:val="20"/>
                <w:szCs w:val="20"/>
                <w:color w:val="auto"/>
              </w:rPr>
            </w:pPr>
            <w:r>
              <w:rPr>
                <w:rFonts w:ascii="Arial" w:cs="Arial" w:eastAsia="Arial" w:hAnsi="Arial"/>
                <w:sz w:val="14"/>
                <w:szCs w:val="14"/>
                <w:b w:val="1"/>
                <w:bCs w:val="1"/>
                <w:color w:val="E2231A"/>
                <w:w w:val="98"/>
              </w:rPr>
              <w:t>Shares</w:t>
            </w:r>
          </w:p>
        </w:tc>
        <w:tc>
          <w:tcPr>
            <w:tcW w:w="102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E2231A"/>
              </w:rPr>
              <w:t>Realized</w:t>
            </w:r>
          </w:p>
        </w:tc>
        <w:tc>
          <w:tcPr>
            <w:tcW w:w="100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w w:val="98"/>
              </w:rPr>
              <w:t>Acquired</w:t>
            </w:r>
          </w:p>
        </w:tc>
        <w:tc>
          <w:tcPr>
            <w:tcW w:w="90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Realized</w:t>
            </w:r>
          </w:p>
        </w:tc>
        <w:tc>
          <w:tcPr>
            <w:tcW w:w="118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On Vesting</w:t>
            </w:r>
          </w:p>
        </w:tc>
        <w:tc>
          <w:tcPr>
            <w:tcW w:w="260" w:type="dxa"/>
            <w:vAlign w:val="bottom"/>
          </w:tcPr>
          <w:p>
            <w:pPr>
              <w:spacing w:after="0"/>
              <w:rPr>
                <w:sz w:val="13"/>
                <w:szCs w:val="13"/>
                <w:color w:val="auto"/>
              </w:rPr>
            </w:pPr>
          </w:p>
        </w:tc>
        <w:tc>
          <w:tcPr>
            <w:tcW w:w="900" w:type="dxa"/>
            <w:vAlign w:val="bottom"/>
          </w:tcPr>
          <w:p>
            <w:pPr>
              <w:jc w:val="center"/>
              <w:ind w:right="209"/>
              <w:spacing w:after="0" w:line="160" w:lineRule="exact"/>
              <w:rPr>
                <w:sz w:val="20"/>
                <w:szCs w:val="20"/>
                <w:color w:val="auto"/>
              </w:rPr>
            </w:pPr>
            <w:r>
              <w:rPr>
                <w:rFonts w:ascii="Arial" w:cs="Arial" w:eastAsia="Arial" w:hAnsi="Arial"/>
                <w:sz w:val="14"/>
                <w:szCs w:val="14"/>
                <w:b w:val="1"/>
                <w:bCs w:val="1"/>
                <w:color w:val="E2231A"/>
                <w:w w:val="98"/>
              </w:rPr>
              <w:t>Vesting</w:t>
            </w:r>
          </w:p>
        </w:tc>
        <w:tc>
          <w:tcPr>
            <w:tcW w:w="240" w:type="dxa"/>
            <w:vAlign w:val="bottom"/>
          </w:tcPr>
          <w:p>
            <w:pPr>
              <w:spacing w:after="0"/>
              <w:rPr>
                <w:sz w:val="13"/>
                <w:szCs w:val="13"/>
                <w:color w:val="auto"/>
              </w:rPr>
            </w:pPr>
          </w:p>
        </w:tc>
        <w:tc>
          <w:tcPr>
            <w:tcW w:w="840" w:type="dxa"/>
            <w:vAlign w:val="bottom"/>
          </w:tcPr>
          <w:p>
            <w:pPr>
              <w:jc w:val="center"/>
              <w:ind w:right="69"/>
              <w:spacing w:after="0" w:line="160" w:lineRule="exact"/>
              <w:rPr>
                <w:sz w:val="20"/>
                <w:szCs w:val="20"/>
                <w:color w:val="auto"/>
              </w:rPr>
            </w:pPr>
            <w:r>
              <w:rPr>
                <w:rFonts w:ascii="Arial" w:cs="Arial" w:eastAsia="Arial" w:hAnsi="Arial"/>
                <w:sz w:val="14"/>
                <w:szCs w:val="14"/>
                <w:b w:val="1"/>
                <w:bCs w:val="1"/>
                <w:color w:val="E2231A"/>
              </w:rPr>
              <w:t>Share and</w:t>
            </w:r>
          </w:p>
        </w:tc>
      </w:tr>
      <w:tr>
        <w:trPr>
          <w:trHeight w:val="160"/>
        </w:trPr>
        <w:tc>
          <w:tcPr>
            <w:tcW w:w="2060" w:type="dxa"/>
            <w:vAlign w:val="bottom"/>
          </w:tcPr>
          <w:p>
            <w:pPr>
              <w:spacing w:after="0"/>
              <w:rPr>
                <w:sz w:val="13"/>
                <w:szCs w:val="13"/>
                <w:color w:val="auto"/>
              </w:rPr>
            </w:pPr>
          </w:p>
        </w:tc>
        <w:tc>
          <w:tcPr>
            <w:tcW w:w="1600" w:type="dxa"/>
            <w:vAlign w:val="bottom"/>
          </w:tcPr>
          <w:p>
            <w:pPr>
              <w:jc w:val="center"/>
              <w:ind w:left="429"/>
              <w:spacing w:after="0" w:line="160" w:lineRule="exact"/>
              <w:rPr>
                <w:sz w:val="20"/>
                <w:szCs w:val="20"/>
                <w:color w:val="auto"/>
              </w:rPr>
            </w:pPr>
            <w:r>
              <w:rPr>
                <w:rFonts w:ascii="Arial" w:cs="Arial" w:eastAsia="Arial" w:hAnsi="Arial"/>
                <w:sz w:val="14"/>
                <w:szCs w:val="14"/>
                <w:b w:val="1"/>
                <w:bCs w:val="1"/>
                <w:color w:val="E2231A"/>
              </w:rPr>
              <w:t>Acquired on</w:t>
            </w:r>
          </w:p>
        </w:tc>
        <w:tc>
          <w:tcPr>
            <w:tcW w:w="240" w:type="dxa"/>
            <w:vAlign w:val="bottom"/>
          </w:tcPr>
          <w:p>
            <w:pPr>
              <w:spacing w:after="0"/>
              <w:rPr>
                <w:sz w:val="13"/>
                <w:szCs w:val="13"/>
                <w:color w:val="auto"/>
              </w:rPr>
            </w:pPr>
          </w:p>
        </w:tc>
        <w:tc>
          <w:tcPr>
            <w:tcW w:w="780" w:type="dxa"/>
            <w:vAlign w:val="bottom"/>
          </w:tcPr>
          <w:p>
            <w:pPr>
              <w:jc w:val="center"/>
              <w:ind w:right="169"/>
              <w:spacing w:after="0" w:line="160" w:lineRule="exact"/>
              <w:rPr>
                <w:sz w:val="20"/>
                <w:szCs w:val="20"/>
                <w:color w:val="auto"/>
              </w:rPr>
            </w:pPr>
            <w:r>
              <w:rPr>
                <w:rFonts w:ascii="Arial" w:cs="Arial" w:eastAsia="Arial" w:hAnsi="Arial"/>
                <w:sz w:val="14"/>
                <w:szCs w:val="14"/>
                <w:b w:val="1"/>
                <w:bCs w:val="1"/>
                <w:color w:val="E2231A"/>
              </w:rPr>
              <w:t>on</w:t>
            </w:r>
          </w:p>
        </w:tc>
        <w:tc>
          <w:tcPr>
            <w:tcW w:w="100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w w:val="93"/>
              </w:rPr>
              <w:t>on</w:t>
            </w:r>
          </w:p>
        </w:tc>
        <w:tc>
          <w:tcPr>
            <w:tcW w:w="90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on</w:t>
            </w:r>
          </w:p>
        </w:tc>
        <w:tc>
          <w:tcPr>
            <w:tcW w:w="1180" w:type="dxa"/>
            <w:vAlign w:val="bottom"/>
          </w:tcPr>
          <w:p>
            <w:pPr>
              <w:jc w:val="right"/>
              <w:ind w:right="169"/>
              <w:spacing w:after="0" w:line="160" w:lineRule="exact"/>
              <w:rPr>
                <w:sz w:val="20"/>
                <w:szCs w:val="20"/>
                <w:color w:val="auto"/>
              </w:rPr>
            </w:pPr>
            <w:r>
              <w:rPr>
                <w:rFonts w:ascii="Arial" w:cs="Arial" w:eastAsia="Arial" w:hAnsi="Arial"/>
                <w:sz w:val="14"/>
                <w:szCs w:val="14"/>
                <w:b w:val="1"/>
                <w:bCs w:val="1"/>
                <w:color w:val="E2231A"/>
              </w:rPr>
              <w:t>(2016-2018</w:t>
            </w:r>
          </w:p>
        </w:tc>
        <w:tc>
          <w:tcPr>
            <w:tcW w:w="1160" w:type="dxa"/>
            <w:vAlign w:val="bottom"/>
            <w:gridSpan w:val="2"/>
          </w:tcPr>
          <w:p>
            <w:pPr>
              <w:jc w:val="right"/>
              <w:ind w:right="149"/>
              <w:spacing w:after="0" w:line="160" w:lineRule="exact"/>
              <w:rPr>
                <w:sz w:val="20"/>
                <w:szCs w:val="20"/>
                <w:color w:val="auto"/>
              </w:rPr>
            </w:pPr>
            <w:r>
              <w:rPr>
                <w:rFonts w:ascii="Arial" w:cs="Arial" w:eastAsia="Arial" w:hAnsi="Arial"/>
                <w:sz w:val="14"/>
                <w:szCs w:val="14"/>
                <w:b w:val="1"/>
                <w:bCs w:val="1"/>
                <w:color w:val="E2231A"/>
              </w:rPr>
              <w:t>(2016-2018</w:t>
            </w:r>
          </w:p>
        </w:tc>
        <w:tc>
          <w:tcPr>
            <w:tcW w:w="1080" w:type="dxa"/>
            <w:vAlign w:val="bottom"/>
            <w:gridSpan w:val="2"/>
          </w:tcPr>
          <w:p>
            <w:pPr>
              <w:ind w:left="160"/>
              <w:spacing w:after="0" w:line="160" w:lineRule="exact"/>
              <w:rPr>
                <w:sz w:val="20"/>
                <w:szCs w:val="20"/>
                <w:color w:val="auto"/>
              </w:rPr>
            </w:pPr>
            <w:r>
              <w:rPr>
                <w:rFonts w:ascii="Arial" w:cs="Arial" w:eastAsia="Arial" w:hAnsi="Arial"/>
                <w:sz w:val="14"/>
                <w:szCs w:val="14"/>
                <w:b w:val="1"/>
                <w:bCs w:val="1"/>
                <w:color w:val="E2231A"/>
              </w:rPr>
              <w:t>Performance</w:t>
            </w:r>
          </w:p>
        </w:tc>
      </w:tr>
      <w:tr>
        <w:trPr>
          <w:trHeight w:val="186"/>
        </w:trPr>
        <w:tc>
          <w:tcPr>
            <w:tcW w:w="20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left="429"/>
              <w:spacing w:after="0"/>
              <w:rPr>
                <w:sz w:val="20"/>
                <w:szCs w:val="20"/>
                <w:color w:val="auto"/>
              </w:rPr>
            </w:pPr>
            <w:r>
              <w:rPr>
                <w:rFonts w:ascii="Arial" w:cs="Arial" w:eastAsia="Arial" w:hAnsi="Arial"/>
                <w:sz w:val="14"/>
                <w:szCs w:val="14"/>
                <w:b w:val="1"/>
                <w:bCs w:val="1"/>
                <w:color w:val="E2231A"/>
                <w:w w:val="98"/>
              </w:rPr>
              <w:t>Vesting</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E2231A"/>
                <w:w w:val="98"/>
              </w:rPr>
              <w:t>Vesting</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Vesting</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w w:val="98"/>
              </w:rPr>
              <w:t>Vesting</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Awards)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E2231A"/>
              </w:rPr>
              <w:t>Awards)</w:t>
            </w:r>
          </w:p>
        </w:tc>
        <w:tc>
          <w:tcPr>
            <w:tcW w:w="1080" w:type="dxa"/>
            <w:vAlign w:val="bottom"/>
            <w:tcBorders>
              <w:bottom w:val="single" w:sz="8" w:color="auto"/>
            </w:tcBorders>
            <w:gridSpan w:val="2"/>
          </w:tcPr>
          <w:p>
            <w:pPr>
              <w:jc w:val="center"/>
              <w:ind w:left="29"/>
              <w:spacing w:after="0"/>
              <w:rPr>
                <w:sz w:val="20"/>
                <w:szCs w:val="20"/>
                <w:color w:val="auto"/>
              </w:rPr>
            </w:pPr>
            <w:r>
              <w:rPr>
                <w:rFonts w:ascii="Arial" w:cs="Arial" w:eastAsia="Arial" w:hAnsi="Arial"/>
                <w:sz w:val="14"/>
                <w:szCs w:val="14"/>
                <w:b w:val="1"/>
                <w:bCs w:val="1"/>
                <w:color w:val="E2231A"/>
              </w:rPr>
              <w:t>Share Value</w:t>
            </w:r>
          </w:p>
        </w:tc>
      </w:tr>
      <w:tr>
        <w:trPr>
          <w:trHeight w:val="153"/>
        </w:trPr>
        <w:tc>
          <w:tcPr>
            <w:tcW w:w="2060" w:type="dxa"/>
            <w:vAlign w:val="bottom"/>
            <w:shd w:val="clear" w:color="auto" w:fill="FCE9E8"/>
          </w:tcPr>
          <w:p>
            <w:pPr>
              <w:ind w:left="80"/>
              <w:spacing w:after="0" w:line="153" w:lineRule="exact"/>
              <w:rPr>
                <w:sz w:val="20"/>
                <w:szCs w:val="20"/>
                <w:color w:val="auto"/>
              </w:rPr>
            </w:pPr>
            <w:r>
              <w:rPr>
                <w:rFonts w:ascii="Arial" w:cs="Arial" w:eastAsia="Arial" w:hAnsi="Arial"/>
                <w:sz w:val="14"/>
                <w:szCs w:val="14"/>
                <w:color w:val="auto"/>
              </w:rPr>
              <w:t>Raymond E. Scott</w:t>
            </w:r>
          </w:p>
        </w:tc>
        <w:tc>
          <w:tcPr>
            <w:tcW w:w="1600" w:type="dxa"/>
            <w:vAlign w:val="bottom"/>
            <w:shd w:val="clear" w:color="auto" w:fill="FCE9E8"/>
          </w:tcPr>
          <w:p>
            <w:pPr>
              <w:jc w:val="right"/>
              <w:ind w:right="69"/>
              <w:spacing w:after="0" w:line="153" w:lineRule="exact"/>
              <w:rPr>
                <w:sz w:val="20"/>
                <w:szCs w:val="20"/>
                <w:color w:val="auto"/>
              </w:rPr>
            </w:pPr>
            <w:r>
              <w:rPr>
                <w:rFonts w:ascii="Arial" w:cs="Arial" w:eastAsia="Arial" w:hAnsi="Arial"/>
                <w:sz w:val="14"/>
                <w:szCs w:val="14"/>
                <w:color w:val="auto"/>
              </w:rPr>
              <w:t>5,312</w:t>
            </w:r>
          </w:p>
        </w:tc>
        <w:tc>
          <w:tcPr>
            <w:tcW w:w="240" w:type="dxa"/>
            <w:vAlign w:val="bottom"/>
            <w:shd w:val="clear" w:color="auto" w:fill="FCE9E8"/>
          </w:tcPr>
          <w:p>
            <w:pPr>
              <w:jc w:val="right"/>
              <w:spacing w:after="0" w:line="153" w:lineRule="exact"/>
              <w:rPr>
                <w:sz w:val="20"/>
                <w:szCs w:val="20"/>
                <w:color w:val="auto"/>
              </w:rPr>
            </w:pPr>
            <w:r>
              <w:rPr>
                <w:rFonts w:ascii="Arial" w:cs="Arial" w:eastAsia="Arial" w:hAnsi="Arial"/>
                <w:sz w:val="14"/>
                <w:szCs w:val="14"/>
                <w:color w:val="auto"/>
              </w:rPr>
              <w:t>$</w:t>
            </w:r>
          </w:p>
        </w:tc>
        <w:tc>
          <w:tcPr>
            <w:tcW w:w="780" w:type="dxa"/>
            <w:vAlign w:val="bottom"/>
            <w:shd w:val="clear" w:color="auto" w:fill="FCE9E8"/>
          </w:tcPr>
          <w:p>
            <w:pPr>
              <w:jc w:val="right"/>
              <w:ind w:right="89"/>
              <w:spacing w:after="0" w:line="153" w:lineRule="exact"/>
              <w:rPr>
                <w:sz w:val="20"/>
                <w:szCs w:val="20"/>
                <w:color w:val="auto"/>
              </w:rPr>
            </w:pPr>
            <w:r>
              <w:rPr>
                <w:rFonts w:ascii="Arial" w:cs="Arial" w:eastAsia="Arial" w:hAnsi="Arial"/>
                <w:sz w:val="14"/>
                <w:szCs w:val="14"/>
                <w:color w:val="auto"/>
              </w:rPr>
              <w:t>949,786</w:t>
            </w:r>
          </w:p>
        </w:tc>
        <w:tc>
          <w:tcPr>
            <w:tcW w:w="1000" w:type="dxa"/>
            <w:vAlign w:val="bottom"/>
            <w:shd w:val="clear" w:color="auto" w:fill="FCE9E8"/>
          </w:tcPr>
          <w:p>
            <w:pPr>
              <w:jc w:val="right"/>
              <w:ind w:right="69"/>
              <w:spacing w:after="0" w:line="153" w:lineRule="exact"/>
              <w:rPr>
                <w:sz w:val="20"/>
                <w:szCs w:val="20"/>
                <w:color w:val="auto"/>
              </w:rPr>
            </w:pPr>
            <w:r>
              <w:rPr>
                <w:rFonts w:ascii="Arial" w:cs="Arial" w:eastAsia="Arial" w:hAnsi="Arial"/>
                <w:sz w:val="14"/>
                <w:szCs w:val="14"/>
                <w:color w:val="auto"/>
              </w:rPr>
              <w:t>2,217</w:t>
            </w:r>
          </w:p>
        </w:tc>
        <w:tc>
          <w:tcPr>
            <w:tcW w:w="900" w:type="dxa"/>
            <w:vAlign w:val="bottom"/>
            <w:shd w:val="clear" w:color="auto" w:fill="FCE9E8"/>
          </w:tcPr>
          <w:p>
            <w:pPr>
              <w:jc w:val="center"/>
              <w:spacing w:after="0" w:line="153" w:lineRule="exact"/>
              <w:rPr>
                <w:sz w:val="20"/>
                <w:szCs w:val="20"/>
                <w:color w:val="auto"/>
              </w:rPr>
            </w:pPr>
            <w:r>
              <w:rPr>
                <w:rFonts w:ascii="Arial" w:cs="Arial" w:eastAsia="Arial" w:hAnsi="Arial"/>
                <w:sz w:val="14"/>
                <w:szCs w:val="14"/>
                <w:color w:val="auto"/>
              </w:rPr>
              <w:t>$298,674</w:t>
            </w:r>
          </w:p>
        </w:tc>
        <w:tc>
          <w:tcPr>
            <w:tcW w:w="1180" w:type="dxa"/>
            <w:vAlign w:val="bottom"/>
            <w:shd w:val="clear" w:color="auto" w:fill="FCE9E8"/>
          </w:tcPr>
          <w:p>
            <w:pPr>
              <w:jc w:val="right"/>
              <w:ind w:right="89"/>
              <w:spacing w:after="0" w:line="153" w:lineRule="exact"/>
              <w:rPr>
                <w:sz w:val="20"/>
                <w:szCs w:val="20"/>
                <w:color w:val="auto"/>
              </w:rPr>
            </w:pPr>
            <w:r>
              <w:rPr>
                <w:rFonts w:ascii="Arial" w:cs="Arial" w:eastAsia="Arial" w:hAnsi="Arial"/>
                <w:sz w:val="14"/>
                <w:szCs w:val="14"/>
                <w:color w:val="auto"/>
              </w:rPr>
              <w:t>26,688</w:t>
            </w:r>
          </w:p>
        </w:tc>
        <w:tc>
          <w:tcPr>
            <w:tcW w:w="260" w:type="dxa"/>
            <w:vAlign w:val="bottom"/>
            <w:shd w:val="clear" w:color="auto" w:fill="FCE9E8"/>
          </w:tcPr>
          <w:p>
            <w:pPr>
              <w:ind w:left="140"/>
              <w:spacing w:after="0" w:line="153" w:lineRule="exact"/>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69"/>
              <w:spacing w:after="0" w:line="153" w:lineRule="exact"/>
              <w:rPr>
                <w:sz w:val="20"/>
                <w:szCs w:val="20"/>
                <w:color w:val="auto"/>
              </w:rPr>
            </w:pPr>
            <w:r>
              <w:rPr>
                <w:rFonts w:ascii="Arial" w:cs="Arial" w:eastAsia="Arial" w:hAnsi="Arial"/>
                <w:sz w:val="14"/>
                <w:szCs w:val="14"/>
                <w:color w:val="auto"/>
              </w:rPr>
              <w:t>4,136,907</w:t>
            </w:r>
          </w:p>
        </w:tc>
        <w:tc>
          <w:tcPr>
            <w:tcW w:w="240" w:type="dxa"/>
            <w:vAlign w:val="bottom"/>
            <w:shd w:val="clear" w:color="auto" w:fill="FCE9E8"/>
          </w:tcPr>
          <w:p>
            <w:pPr>
              <w:ind w:left="140"/>
              <w:spacing w:after="0" w:line="153" w:lineRule="exact"/>
              <w:rPr>
                <w:sz w:val="20"/>
                <w:szCs w:val="20"/>
                <w:color w:val="auto"/>
              </w:rPr>
            </w:pPr>
            <w:r>
              <w:rPr>
                <w:rFonts w:ascii="Arial" w:cs="Arial" w:eastAsia="Arial" w:hAnsi="Arial"/>
                <w:sz w:val="14"/>
                <w:szCs w:val="14"/>
                <w:color w:val="auto"/>
              </w:rPr>
              <w:t>$</w:t>
            </w:r>
          </w:p>
        </w:tc>
        <w:tc>
          <w:tcPr>
            <w:tcW w:w="840" w:type="dxa"/>
            <w:vAlign w:val="bottom"/>
            <w:shd w:val="clear" w:color="auto" w:fill="FCE9E8"/>
          </w:tcPr>
          <w:p>
            <w:pPr>
              <w:jc w:val="right"/>
              <w:spacing w:after="0" w:line="153" w:lineRule="exact"/>
              <w:rPr>
                <w:sz w:val="20"/>
                <w:szCs w:val="20"/>
                <w:color w:val="auto"/>
              </w:rPr>
            </w:pPr>
            <w:r>
              <w:rPr>
                <w:rFonts w:ascii="Arial" w:cs="Arial" w:eastAsia="Arial" w:hAnsi="Arial"/>
                <w:sz w:val="14"/>
                <w:szCs w:val="14"/>
                <w:color w:val="auto"/>
              </w:rPr>
              <w:t>5,385,367</w:t>
            </w:r>
          </w:p>
        </w:tc>
      </w:tr>
      <w:tr>
        <w:trPr>
          <w:trHeight w:val="160"/>
        </w:trPr>
        <w:tc>
          <w:tcPr>
            <w:tcW w:w="2060" w:type="dxa"/>
            <w:vAlign w:val="bottom"/>
          </w:tcPr>
          <w:p>
            <w:pPr>
              <w:ind w:left="80"/>
              <w:spacing w:after="0" w:line="160" w:lineRule="exact"/>
              <w:rPr>
                <w:sz w:val="20"/>
                <w:szCs w:val="20"/>
                <w:color w:val="auto"/>
              </w:rPr>
            </w:pPr>
            <w:r>
              <w:rPr>
                <w:rFonts w:ascii="Arial" w:cs="Arial" w:eastAsia="Arial" w:hAnsi="Arial"/>
                <w:sz w:val="14"/>
                <w:szCs w:val="14"/>
                <w:color w:val="auto"/>
              </w:rPr>
              <w:t>Jeffrey H. Vanneste</w:t>
            </w:r>
          </w:p>
        </w:tc>
        <w:tc>
          <w:tcPr>
            <w:tcW w:w="1600" w:type="dxa"/>
            <w:vAlign w:val="bottom"/>
          </w:tcPr>
          <w:p>
            <w:pPr>
              <w:jc w:val="right"/>
              <w:ind w:right="69"/>
              <w:spacing w:after="0" w:line="160" w:lineRule="exact"/>
              <w:rPr>
                <w:sz w:val="20"/>
                <w:szCs w:val="20"/>
                <w:color w:val="auto"/>
              </w:rPr>
            </w:pPr>
            <w:r>
              <w:rPr>
                <w:rFonts w:ascii="Arial" w:cs="Arial" w:eastAsia="Arial" w:hAnsi="Arial"/>
                <w:sz w:val="14"/>
                <w:szCs w:val="14"/>
                <w:color w:val="auto"/>
              </w:rPr>
              <w:t>4,688</w:t>
            </w:r>
          </w:p>
        </w:tc>
        <w:tc>
          <w:tcPr>
            <w:tcW w:w="240" w:type="dxa"/>
            <w:vAlign w:val="bottom"/>
          </w:tcPr>
          <w:p>
            <w:pPr>
              <w:jc w:val="right"/>
              <w:spacing w:after="0" w:line="160"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line="160" w:lineRule="exact"/>
              <w:rPr>
                <w:sz w:val="20"/>
                <w:szCs w:val="20"/>
                <w:color w:val="auto"/>
              </w:rPr>
            </w:pPr>
            <w:r>
              <w:rPr>
                <w:rFonts w:ascii="Arial" w:cs="Arial" w:eastAsia="Arial" w:hAnsi="Arial"/>
                <w:sz w:val="14"/>
                <w:szCs w:val="14"/>
                <w:color w:val="auto"/>
              </w:rPr>
              <w:t>838,214</w:t>
            </w:r>
          </w:p>
        </w:tc>
        <w:tc>
          <w:tcPr>
            <w:tcW w:w="1000" w:type="dxa"/>
            <w:vAlign w:val="bottom"/>
          </w:tcPr>
          <w:p>
            <w:pPr>
              <w:jc w:val="right"/>
              <w:ind w:right="69"/>
              <w:spacing w:after="0" w:line="160" w:lineRule="exact"/>
              <w:rPr>
                <w:sz w:val="20"/>
                <w:szCs w:val="20"/>
                <w:color w:val="auto"/>
              </w:rPr>
            </w:pPr>
            <w:r>
              <w:rPr>
                <w:rFonts w:ascii="Arial" w:cs="Arial" w:eastAsia="Arial" w:hAnsi="Arial"/>
                <w:sz w:val="14"/>
                <w:szCs w:val="14"/>
                <w:color w:val="auto"/>
              </w:rPr>
              <w:t>2,217</w:t>
            </w:r>
          </w:p>
        </w:tc>
        <w:tc>
          <w:tcPr>
            <w:tcW w:w="900" w:type="dxa"/>
            <w:vAlign w:val="bottom"/>
          </w:tcPr>
          <w:p>
            <w:pPr>
              <w:jc w:val="center"/>
              <w:spacing w:after="0" w:line="160" w:lineRule="exact"/>
              <w:rPr>
                <w:sz w:val="20"/>
                <w:szCs w:val="20"/>
                <w:color w:val="auto"/>
              </w:rPr>
            </w:pPr>
            <w:r>
              <w:rPr>
                <w:rFonts w:ascii="Arial" w:cs="Arial" w:eastAsia="Arial" w:hAnsi="Arial"/>
                <w:sz w:val="14"/>
                <w:szCs w:val="14"/>
                <w:color w:val="auto"/>
              </w:rPr>
              <w:t>$298,674</w:t>
            </w:r>
          </w:p>
        </w:tc>
        <w:tc>
          <w:tcPr>
            <w:tcW w:w="1180" w:type="dxa"/>
            <w:vAlign w:val="bottom"/>
          </w:tcPr>
          <w:p>
            <w:pPr>
              <w:jc w:val="right"/>
              <w:ind w:right="89"/>
              <w:spacing w:after="0" w:line="160" w:lineRule="exact"/>
              <w:rPr>
                <w:sz w:val="20"/>
                <w:szCs w:val="20"/>
                <w:color w:val="auto"/>
              </w:rPr>
            </w:pPr>
            <w:r>
              <w:rPr>
                <w:rFonts w:ascii="Arial" w:cs="Arial" w:eastAsia="Arial" w:hAnsi="Arial"/>
                <w:sz w:val="14"/>
                <w:szCs w:val="14"/>
                <w:color w:val="auto"/>
              </w:rPr>
              <w:t>24,156</w:t>
            </w:r>
          </w:p>
        </w:tc>
        <w:tc>
          <w:tcPr>
            <w:tcW w:w="260" w:type="dxa"/>
            <w:vAlign w:val="bottom"/>
          </w:tcPr>
          <w:p>
            <w:pPr>
              <w:ind w:left="140"/>
              <w:spacing w:after="0" w:line="160"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60" w:lineRule="exact"/>
              <w:rPr>
                <w:sz w:val="20"/>
                <w:szCs w:val="20"/>
                <w:color w:val="auto"/>
              </w:rPr>
            </w:pPr>
            <w:r>
              <w:rPr>
                <w:rFonts w:ascii="Arial" w:cs="Arial" w:eastAsia="Arial" w:hAnsi="Arial"/>
                <w:sz w:val="14"/>
                <w:szCs w:val="14"/>
                <w:color w:val="auto"/>
              </w:rPr>
              <w:t>3,744,422</w:t>
            </w:r>
          </w:p>
        </w:tc>
        <w:tc>
          <w:tcPr>
            <w:tcW w:w="240" w:type="dxa"/>
            <w:vAlign w:val="bottom"/>
          </w:tcPr>
          <w:p>
            <w:pPr>
              <w:ind w:left="140"/>
              <w:spacing w:after="0" w:line="160"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60" w:lineRule="exact"/>
              <w:rPr>
                <w:sz w:val="20"/>
                <w:szCs w:val="20"/>
                <w:color w:val="auto"/>
              </w:rPr>
            </w:pPr>
            <w:r>
              <w:rPr>
                <w:rFonts w:ascii="Arial" w:cs="Arial" w:eastAsia="Arial" w:hAnsi="Arial"/>
                <w:sz w:val="14"/>
                <w:szCs w:val="14"/>
                <w:color w:val="auto"/>
              </w:rPr>
              <w:t>4,881,310</w:t>
            </w:r>
          </w:p>
        </w:tc>
      </w:tr>
      <w:tr>
        <w:trPr>
          <w:trHeight w:val="160"/>
        </w:trPr>
        <w:tc>
          <w:tcPr>
            <w:tcW w:w="2060" w:type="dxa"/>
            <w:vAlign w:val="bottom"/>
            <w:shd w:val="clear" w:color="auto" w:fill="FCE9E8"/>
          </w:tcPr>
          <w:p>
            <w:pPr>
              <w:ind w:left="80"/>
              <w:spacing w:after="0" w:line="160" w:lineRule="exact"/>
              <w:rPr>
                <w:sz w:val="20"/>
                <w:szCs w:val="20"/>
                <w:color w:val="auto"/>
              </w:rPr>
            </w:pPr>
            <w:r>
              <w:rPr>
                <w:rFonts w:ascii="Arial" w:cs="Arial" w:eastAsia="Arial" w:hAnsi="Arial"/>
                <w:sz w:val="14"/>
                <w:szCs w:val="14"/>
                <w:color w:val="auto"/>
              </w:rPr>
              <w:t>Terrence B. Larkin</w:t>
            </w:r>
          </w:p>
        </w:tc>
        <w:tc>
          <w:tcPr>
            <w:tcW w:w="1600" w:type="dxa"/>
            <w:vAlign w:val="bottom"/>
            <w:shd w:val="clear" w:color="auto" w:fill="FCE9E8"/>
          </w:tcPr>
          <w:p>
            <w:pPr>
              <w:jc w:val="right"/>
              <w:ind w:right="69"/>
              <w:spacing w:after="0" w:line="160" w:lineRule="exact"/>
              <w:rPr>
                <w:sz w:val="20"/>
                <w:szCs w:val="20"/>
                <w:color w:val="auto"/>
              </w:rPr>
            </w:pPr>
            <w:r>
              <w:rPr>
                <w:rFonts w:ascii="Arial" w:cs="Arial" w:eastAsia="Arial" w:hAnsi="Arial"/>
                <w:sz w:val="14"/>
                <w:szCs w:val="14"/>
                <w:color w:val="auto"/>
              </w:rPr>
              <w:t>5,312</w:t>
            </w:r>
          </w:p>
        </w:tc>
        <w:tc>
          <w:tcPr>
            <w:tcW w:w="240" w:type="dxa"/>
            <w:vAlign w:val="bottom"/>
            <w:shd w:val="clear" w:color="auto" w:fill="FCE9E8"/>
          </w:tcPr>
          <w:p>
            <w:pPr>
              <w:jc w:val="right"/>
              <w:spacing w:after="0" w:line="160" w:lineRule="exact"/>
              <w:rPr>
                <w:sz w:val="20"/>
                <w:szCs w:val="20"/>
                <w:color w:val="auto"/>
              </w:rPr>
            </w:pPr>
            <w:r>
              <w:rPr>
                <w:rFonts w:ascii="Arial" w:cs="Arial" w:eastAsia="Arial" w:hAnsi="Arial"/>
                <w:sz w:val="14"/>
                <w:szCs w:val="14"/>
                <w:color w:val="auto"/>
              </w:rPr>
              <w:t>$</w:t>
            </w:r>
          </w:p>
        </w:tc>
        <w:tc>
          <w:tcPr>
            <w:tcW w:w="780" w:type="dxa"/>
            <w:vAlign w:val="bottom"/>
            <w:shd w:val="clear" w:color="auto" w:fill="FCE9E8"/>
          </w:tcPr>
          <w:p>
            <w:pPr>
              <w:jc w:val="right"/>
              <w:ind w:right="89"/>
              <w:spacing w:after="0" w:line="160" w:lineRule="exact"/>
              <w:rPr>
                <w:sz w:val="20"/>
                <w:szCs w:val="20"/>
                <w:color w:val="auto"/>
              </w:rPr>
            </w:pPr>
            <w:r>
              <w:rPr>
                <w:rFonts w:ascii="Arial" w:cs="Arial" w:eastAsia="Arial" w:hAnsi="Arial"/>
                <w:sz w:val="14"/>
                <w:szCs w:val="14"/>
                <w:color w:val="auto"/>
              </w:rPr>
              <w:t>949,786</w:t>
            </w:r>
          </w:p>
        </w:tc>
        <w:tc>
          <w:tcPr>
            <w:tcW w:w="1000" w:type="dxa"/>
            <w:vAlign w:val="bottom"/>
            <w:shd w:val="clear" w:color="auto" w:fill="FCE9E8"/>
          </w:tcPr>
          <w:p>
            <w:pPr>
              <w:jc w:val="right"/>
              <w:ind w:right="69"/>
              <w:spacing w:after="0" w:line="160" w:lineRule="exact"/>
              <w:rPr>
                <w:sz w:val="20"/>
                <w:szCs w:val="20"/>
                <w:color w:val="auto"/>
              </w:rPr>
            </w:pPr>
            <w:r>
              <w:rPr>
                <w:rFonts w:ascii="Arial" w:cs="Arial" w:eastAsia="Arial" w:hAnsi="Arial"/>
                <w:sz w:val="14"/>
                <w:szCs w:val="14"/>
                <w:color w:val="auto"/>
              </w:rPr>
              <w:t>2,217</w:t>
            </w:r>
          </w:p>
        </w:tc>
        <w:tc>
          <w:tcPr>
            <w:tcW w:w="900" w:type="dxa"/>
            <w:vAlign w:val="bottom"/>
            <w:shd w:val="clear" w:color="auto" w:fill="FCE9E8"/>
          </w:tcPr>
          <w:p>
            <w:pPr>
              <w:jc w:val="center"/>
              <w:spacing w:after="0" w:line="160" w:lineRule="exact"/>
              <w:rPr>
                <w:sz w:val="20"/>
                <w:szCs w:val="20"/>
                <w:color w:val="auto"/>
              </w:rPr>
            </w:pPr>
            <w:r>
              <w:rPr>
                <w:rFonts w:ascii="Arial" w:cs="Arial" w:eastAsia="Arial" w:hAnsi="Arial"/>
                <w:sz w:val="14"/>
                <w:szCs w:val="14"/>
                <w:color w:val="auto"/>
              </w:rPr>
              <w:t>$298,674</w:t>
            </w:r>
          </w:p>
        </w:tc>
        <w:tc>
          <w:tcPr>
            <w:tcW w:w="1180" w:type="dxa"/>
            <w:vAlign w:val="bottom"/>
            <w:shd w:val="clear" w:color="auto" w:fill="FCE9E8"/>
          </w:tcPr>
          <w:p>
            <w:pPr>
              <w:jc w:val="right"/>
              <w:ind w:right="89"/>
              <w:spacing w:after="0" w:line="160" w:lineRule="exact"/>
              <w:rPr>
                <w:sz w:val="20"/>
                <w:szCs w:val="20"/>
                <w:color w:val="auto"/>
              </w:rPr>
            </w:pPr>
            <w:r>
              <w:rPr>
                <w:rFonts w:ascii="Arial" w:cs="Arial" w:eastAsia="Arial" w:hAnsi="Arial"/>
                <w:sz w:val="14"/>
                <w:szCs w:val="14"/>
                <w:color w:val="auto"/>
              </w:rPr>
              <w:t>26,688</w:t>
            </w:r>
          </w:p>
        </w:tc>
        <w:tc>
          <w:tcPr>
            <w:tcW w:w="260" w:type="dxa"/>
            <w:vAlign w:val="bottom"/>
            <w:shd w:val="clear" w:color="auto" w:fill="FCE9E8"/>
          </w:tcPr>
          <w:p>
            <w:pPr>
              <w:ind w:left="140"/>
              <w:spacing w:after="0" w:line="160" w:lineRule="exact"/>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69"/>
              <w:spacing w:after="0" w:line="160" w:lineRule="exact"/>
              <w:rPr>
                <w:sz w:val="20"/>
                <w:szCs w:val="20"/>
                <w:color w:val="auto"/>
              </w:rPr>
            </w:pPr>
            <w:r>
              <w:rPr>
                <w:rFonts w:ascii="Arial" w:cs="Arial" w:eastAsia="Arial" w:hAnsi="Arial"/>
                <w:sz w:val="14"/>
                <w:szCs w:val="14"/>
                <w:color w:val="auto"/>
              </w:rPr>
              <w:t>4,136,907</w:t>
            </w:r>
          </w:p>
        </w:tc>
        <w:tc>
          <w:tcPr>
            <w:tcW w:w="240" w:type="dxa"/>
            <w:vAlign w:val="bottom"/>
            <w:shd w:val="clear" w:color="auto" w:fill="FCE9E8"/>
          </w:tcPr>
          <w:p>
            <w:pPr>
              <w:ind w:left="140"/>
              <w:spacing w:after="0" w:line="160" w:lineRule="exact"/>
              <w:rPr>
                <w:sz w:val="20"/>
                <w:szCs w:val="20"/>
                <w:color w:val="auto"/>
              </w:rPr>
            </w:pPr>
            <w:r>
              <w:rPr>
                <w:rFonts w:ascii="Arial" w:cs="Arial" w:eastAsia="Arial" w:hAnsi="Arial"/>
                <w:sz w:val="14"/>
                <w:szCs w:val="14"/>
                <w:color w:val="auto"/>
              </w:rPr>
              <w:t>$</w:t>
            </w:r>
          </w:p>
        </w:tc>
        <w:tc>
          <w:tcPr>
            <w:tcW w:w="840" w:type="dxa"/>
            <w:vAlign w:val="bottom"/>
            <w:shd w:val="clear" w:color="auto" w:fill="FCE9E8"/>
          </w:tcPr>
          <w:p>
            <w:pPr>
              <w:jc w:val="right"/>
              <w:spacing w:after="0" w:line="160" w:lineRule="exact"/>
              <w:rPr>
                <w:sz w:val="20"/>
                <w:szCs w:val="20"/>
                <w:color w:val="auto"/>
              </w:rPr>
            </w:pPr>
            <w:r>
              <w:rPr>
                <w:rFonts w:ascii="Arial" w:cs="Arial" w:eastAsia="Arial" w:hAnsi="Arial"/>
                <w:sz w:val="14"/>
                <w:szCs w:val="14"/>
                <w:color w:val="auto"/>
              </w:rPr>
              <w:t>5,385,367</w:t>
            </w:r>
          </w:p>
        </w:tc>
      </w:tr>
      <w:tr>
        <w:trPr>
          <w:trHeight w:val="160"/>
        </w:trPr>
        <w:tc>
          <w:tcPr>
            <w:tcW w:w="2060" w:type="dxa"/>
            <w:vAlign w:val="bottom"/>
          </w:tcPr>
          <w:p>
            <w:pPr>
              <w:ind w:left="80"/>
              <w:spacing w:after="0" w:line="160" w:lineRule="exact"/>
              <w:rPr>
                <w:sz w:val="20"/>
                <w:szCs w:val="20"/>
                <w:color w:val="auto"/>
              </w:rPr>
            </w:pPr>
            <w:r>
              <w:rPr>
                <w:rFonts w:ascii="Arial" w:cs="Arial" w:eastAsia="Arial" w:hAnsi="Arial"/>
                <w:sz w:val="14"/>
                <w:szCs w:val="14"/>
                <w:color w:val="auto"/>
              </w:rPr>
              <w:t>Frank C. Orsini</w:t>
            </w:r>
          </w:p>
        </w:tc>
        <w:tc>
          <w:tcPr>
            <w:tcW w:w="1600" w:type="dxa"/>
            <w:vAlign w:val="bottom"/>
          </w:tcPr>
          <w:p>
            <w:pPr>
              <w:jc w:val="right"/>
              <w:ind w:right="69"/>
              <w:spacing w:after="0" w:line="160" w:lineRule="exact"/>
              <w:rPr>
                <w:sz w:val="20"/>
                <w:szCs w:val="20"/>
                <w:color w:val="auto"/>
              </w:rPr>
            </w:pPr>
            <w:r>
              <w:rPr>
                <w:rFonts w:ascii="Arial" w:cs="Arial" w:eastAsia="Arial" w:hAnsi="Arial"/>
                <w:sz w:val="14"/>
                <w:szCs w:val="14"/>
                <w:color w:val="auto"/>
              </w:rPr>
              <w:t>4,481</w:t>
            </w:r>
          </w:p>
        </w:tc>
        <w:tc>
          <w:tcPr>
            <w:tcW w:w="240" w:type="dxa"/>
            <w:vAlign w:val="bottom"/>
          </w:tcPr>
          <w:p>
            <w:pPr>
              <w:jc w:val="right"/>
              <w:spacing w:after="0" w:line="160"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line="160" w:lineRule="exact"/>
              <w:rPr>
                <w:sz w:val="20"/>
                <w:szCs w:val="20"/>
                <w:color w:val="auto"/>
              </w:rPr>
            </w:pPr>
            <w:r>
              <w:rPr>
                <w:rFonts w:ascii="Arial" w:cs="Arial" w:eastAsia="Arial" w:hAnsi="Arial"/>
                <w:sz w:val="14"/>
                <w:szCs w:val="14"/>
                <w:color w:val="auto"/>
              </w:rPr>
              <w:t>801,203</w:t>
            </w:r>
          </w:p>
        </w:tc>
        <w:tc>
          <w:tcPr>
            <w:tcW w:w="1000" w:type="dxa"/>
            <w:vAlign w:val="bottom"/>
          </w:tcPr>
          <w:p>
            <w:pPr>
              <w:jc w:val="right"/>
              <w:ind w:right="69"/>
              <w:spacing w:after="0" w:line="160" w:lineRule="exact"/>
              <w:rPr>
                <w:sz w:val="20"/>
                <w:szCs w:val="20"/>
                <w:color w:val="auto"/>
              </w:rPr>
            </w:pPr>
            <w:r>
              <w:rPr>
                <w:rFonts w:ascii="Arial" w:cs="Arial" w:eastAsia="Arial" w:hAnsi="Arial"/>
                <w:sz w:val="14"/>
                <w:szCs w:val="14"/>
                <w:color w:val="auto"/>
              </w:rPr>
              <w:t>1,410</w:t>
            </w:r>
          </w:p>
        </w:tc>
        <w:tc>
          <w:tcPr>
            <w:tcW w:w="900" w:type="dxa"/>
            <w:vAlign w:val="bottom"/>
          </w:tcPr>
          <w:p>
            <w:pPr>
              <w:jc w:val="center"/>
              <w:spacing w:after="0" w:line="160" w:lineRule="exact"/>
              <w:rPr>
                <w:sz w:val="20"/>
                <w:szCs w:val="20"/>
                <w:color w:val="auto"/>
              </w:rPr>
            </w:pPr>
            <w:r>
              <w:rPr>
                <w:rFonts w:ascii="Arial" w:cs="Arial" w:eastAsia="Arial" w:hAnsi="Arial"/>
                <w:sz w:val="14"/>
                <w:szCs w:val="14"/>
                <w:color w:val="auto"/>
              </w:rPr>
              <w:t>$189,955</w:t>
            </w:r>
          </w:p>
        </w:tc>
        <w:tc>
          <w:tcPr>
            <w:tcW w:w="1180" w:type="dxa"/>
            <w:vAlign w:val="bottom"/>
          </w:tcPr>
          <w:p>
            <w:pPr>
              <w:jc w:val="right"/>
              <w:ind w:right="89"/>
              <w:spacing w:after="0" w:line="160" w:lineRule="exact"/>
              <w:rPr>
                <w:sz w:val="20"/>
                <w:szCs w:val="20"/>
                <w:color w:val="auto"/>
              </w:rPr>
            </w:pPr>
            <w:r>
              <w:rPr>
                <w:rFonts w:ascii="Arial" w:cs="Arial" w:eastAsia="Arial" w:hAnsi="Arial"/>
                <w:sz w:val="14"/>
                <w:szCs w:val="14"/>
                <w:color w:val="auto"/>
              </w:rPr>
              <w:t>22,980</w:t>
            </w:r>
          </w:p>
        </w:tc>
        <w:tc>
          <w:tcPr>
            <w:tcW w:w="260" w:type="dxa"/>
            <w:vAlign w:val="bottom"/>
          </w:tcPr>
          <w:p>
            <w:pPr>
              <w:ind w:left="140"/>
              <w:spacing w:after="0" w:line="160"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60" w:lineRule="exact"/>
              <w:rPr>
                <w:sz w:val="20"/>
                <w:szCs w:val="20"/>
                <w:color w:val="auto"/>
              </w:rPr>
            </w:pPr>
            <w:r>
              <w:rPr>
                <w:rFonts w:ascii="Arial" w:cs="Arial" w:eastAsia="Arial" w:hAnsi="Arial"/>
                <w:sz w:val="14"/>
                <w:szCs w:val="14"/>
                <w:color w:val="auto"/>
              </w:rPr>
              <w:t>3,562,130</w:t>
            </w:r>
          </w:p>
        </w:tc>
        <w:tc>
          <w:tcPr>
            <w:tcW w:w="240" w:type="dxa"/>
            <w:vAlign w:val="bottom"/>
          </w:tcPr>
          <w:p>
            <w:pPr>
              <w:ind w:left="140"/>
              <w:spacing w:after="0" w:line="160"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60" w:lineRule="exact"/>
              <w:rPr>
                <w:sz w:val="20"/>
                <w:szCs w:val="20"/>
                <w:color w:val="auto"/>
              </w:rPr>
            </w:pPr>
            <w:r>
              <w:rPr>
                <w:rFonts w:ascii="Arial" w:cs="Arial" w:eastAsia="Arial" w:hAnsi="Arial"/>
                <w:sz w:val="14"/>
                <w:szCs w:val="14"/>
                <w:color w:val="auto"/>
              </w:rPr>
              <w:t>4,553,288</w:t>
            </w:r>
          </w:p>
        </w:tc>
      </w:tr>
      <w:tr>
        <w:trPr>
          <w:trHeight w:val="160"/>
        </w:trPr>
        <w:tc>
          <w:tcPr>
            <w:tcW w:w="2060" w:type="dxa"/>
            <w:vAlign w:val="bottom"/>
            <w:shd w:val="clear" w:color="auto" w:fill="FCE9E8"/>
          </w:tcPr>
          <w:p>
            <w:pPr>
              <w:ind w:left="80"/>
              <w:spacing w:after="0" w:line="160" w:lineRule="exact"/>
              <w:rPr>
                <w:sz w:val="20"/>
                <w:szCs w:val="20"/>
                <w:color w:val="auto"/>
              </w:rPr>
            </w:pPr>
            <w:r>
              <w:rPr>
                <w:rFonts w:ascii="Arial" w:cs="Arial" w:eastAsia="Arial" w:hAnsi="Arial"/>
                <w:sz w:val="14"/>
                <w:szCs w:val="14"/>
                <w:color w:val="auto"/>
              </w:rPr>
              <w:t>Thomas A. DiDonato</w:t>
            </w:r>
          </w:p>
        </w:tc>
        <w:tc>
          <w:tcPr>
            <w:tcW w:w="1600" w:type="dxa"/>
            <w:vAlign w:val="bottom"/>
            <w:shd w:val="clear" w:color="auto" w:fill="FCE9E8"/>
          </w:tcPr>
          <w:p>
            <w:pPr>
              <w:jc w:val="right"/>
              <w:ind w:right="69"/>
              <w:spacing w:after="0" w:line="160" w:lineRule="exact"/>
              <w:rPr>
                <w:sz w:val="20"/>
                <w:szCs w:val="20"/>
                <w:color w:val="auto"/>
              </w:rPr>
            </w:pPr>
            <w:r>
              <w:rPr>
                <w:rFonts w:ascii="Arial" w:cs="Arial" w:eastAsia="Arial" w:hAnsi="Arial"/>
                <w:sz w:val="14"/>
                <w:szCs w:val="14"/>
                <w:color w:val="auto"/>
              </w:rPr>
              <w:t>3,792</w:t>
            </w:r>
          </w:p>
        </w:tc>
        <w:tc>
          <w:tcPr>
            <w:tcW w:w="240" w:type="dxa"/>
            <w:vAlign w:val="bottom"/>
            <w:shd w:val="clear" w:color="auto" w:fill="FCE9E8"/>
          </w:tcPr>
          <w:p>
            <w:pPr>
              <w:jc w:val="right"/>
              <w:spacing w:after="0" w:line="160" w:lineRule="exact"/>
              <w:rPr>
                <w:sz w:val="20"/>
                <w:szCs w:val="20"/>
                <w:color w:val="auto"/>
              </w:rPr>
            </w:pPr>
            <w:r>
              <w:rPr>
                <w:rFonts w:ascii="Arial" w:cs="Arial" w:eastAsia="Arial" w:hAnsi="Arial"/>
                <w:sz w:val="14"/>
                <w:szCs w:val="14"/>
                <w:color w:val="auto"/>
              </w:rPr>
              <w:t>$</w:t>
            </w:r>
          </w:p>
        </w:tc>
        <w:tc>
          <w:tcPr>
            <w:tcW w:w="780" w:type="dxa"/>
            <w:vAlign w:val="bottom"/>
            <w:shd w:val="clear" w:color="auto" w:fill="FCE9E8"/>
          </w:tcPr>
          <w:p>
            <w:pPr>
              <w:jc w:val="right"/>
              <w:ind w:right="89"/>
              <w:spacing w:after="0" w:line="160" w:lineRule="exact"/>
              <w:rPr>
                <w:sz w:val="20"/>
                <w:szCs w:val="20"/>
                <w:color w:val="auto"/>
              </w:rPr>
            </w:pPr>
            <w:r>
              <w:rPr>
                <w:rFonts w:ascii="Arial" w:cs="Arial" w:eastAsia="Arial" w:hAnsi="Arial"/>
                <w:sz w:val="14"/>
                <w:szCs w:val="14"/>
                <w:color w:val="auto"/>
              </w:rPr>
              <w:t>678,010</w:t>
            </w:r>
          </w:p>
        </w:tc>
        <w:tc>
          <w:tcPr>
            <w:tcW w:w="1000" w:type="dxa"/>
            <w:vAlign w:val="bottom"/>
            <w:shd w:val="clear" w:color="auto" w:fill="FCE9E8"/>
          </w:tcPr>
          <w:p>
            <w:pPr>
              <w:jc w:val="right"/>
              <w:ind w:right="69"/>
              <w:spacing w:after="0" w:line="160" w:lineRule="exact"/>
              <w:rPr>
                <w:sz w:val="20"/>
                <w:szCs w:val="20"/>
                <w:color w:val="auto"/>
              </w:rPr>
            </w:pPr>
            <w:r>
              <w:rPr>
                <w:rFonts w:ascii="Arial" w:cs="Arial" w:eastAsia="Arial" w:hAnsi="Arial"/>
                <w:sz w:val="14"/>
                <w:szCs w:val="14"/>
                <w:color w:val="auto"/>
              </w:rPr>
              <w:t>2,217</w:t>
            </w:r>
          </w:p>
        </w:tc>
        <w:tc>
          <w:tcPr>
            <w:tcW w:w="900" w:type="dxa"/>
            <w:vAlign w:val="bottom"/>
            <w:shd w:val="clear" w:color="auto" w:fill="FCE9E8"/>
          </w:tcPr>
          <w:p>
            <w:pPr>
              <w:jc w:val="center"/>
              <w:spacing w:after="0" w:line="160" w:lineRule="exact"/>
              <w:rPr>
                <w:sz w:val="20"/>
                <w:szCs w:val="20"/>
                <w:color w:val="auto"/>
              </w:rPr>
            </w:pPr>
            <w:r>
              <w:rPr>
                <w:rFonts w:ascii="Arial" w:cs="Arial" w:eastAsia="Arial" w:hAnsi="Arial"/>
                <w:sz w:val="14"/>
                <w:szCs w:val="14"/>
                <w:color w:val="auto"/>
              </w:rPr>
              <w:t>$298,674</w:t>
            </w:r>
          </w:p>
        </w:tc>
        <w:tc>
          <w:tcPr>
            <w:tcW w:w="1180" w:type="dxa"/>
            <w:vAlign w:val="bottom"/>
            <w:shd w:val="clear" w:color="auto" w:fill="FCE9E8"/>
          </w:tcPr>
          <w:p>
            <w:pPr>
              <w:jc w:val="right"/>
              <w:ind w:right="89"/>
              <w:spacing w:after="0" w:line="160" w:lineRule="exact"/>
              <w:rPr>
                <w:sz w:val="20"/>
                <w:szCs w:val="20"/>
                <w:color w:val="auto"/>
              </w:rPr>
            </w:pPr>
            <w:r>
              <w:rPr>
                <w:rFonts w:ascii="Arial" w:cs="Arial" w:eastAsia="Arial" w:hAnsi="Arial"/>
                <w:sz w:val="14"/>
                <w:szCs w:val="14"/>
                <w:color w:val="auto"/>
              </w:rPr>
              <w:t>18,786</w:t>
            </w:r>
          </w:p>
        </w:tc>
        <w:tc>
          <w:tcPr>
            <w:tcW w:w="260" w:type="dxa"/>
            <w:vAlign w:val="bottom"/>
            <w:shd w:val="clear" w:color="auto" w:fill="FCE9E8"/>
          </w:tcPr>
          <w:p>
            <w:pPr>
              <w:ind w:left="140"/>
              <w:spacing w:after="0" w:line="160" w:lineRule="exact"/>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69"/>
              <w:spacing w:after="0" w:line="160" w:lineRule="exact"/>
              <w:rPr>
                <w:sz w:val="20"/>
                <w:szCs w:val="20"/>
                <w:color w:val="auto"/>
              </w:rPr>
            </w:pPr>
            <w:r>
              <w:rPr>
                <w:rFonts w:ascii="Arial" w:cs="Arial" w:eastAsia="Arial" w:hAnsi="Arial"/>
                <w:sz w:val="14"/>
                <w:szCs w:val="14"/>
                <w:color w:val="auto"/>
              </w:rPr>
              <w:t>2,912,018</w:t>
            </w:r>
          </w:p>
        </w:tc>
        <w:tc>
          <w:tcPr>
            <w:tcW w:w="240" w:type="dxa"/>
            <w:vAlign w:val="bottom"/>
            <w:shd w:val="clear" w:color="auto" w:fill="FCE9E8"/>
          </w:tcPr>
          <w:p>
            <w:pPr>
              <w:ind w:left="140"/>
              <w:spacing w:after="0" w:line="160" w:lineRule="exact"/>
              <w:rPr>
                <w:sz w:val="20"/>
                <w:szCs w:val="20"/>
                <w:color w:val="auto"/>
              </w:rPr>
            </w:pPr>
            <w:r>
              <w:rPr>
                <w:rFonts w:ascii="Arial" w:cs="Arial" w:eastAsia="Arial" w:hAnsi="Arial"/>
                <w:sz w:val="14"/>
                <w:szCs w:val="14"/>
                <w:color w:val="auto"/>
              </w:rPr>
              <w:t>$</w:t>
            </w:r>
          </w:p>
        </w:tc>
        <w:tc>
          <w:tcPr>
            <w:tcW w:w="840" w:type="dxa"/>
            <w:vAlign w:val="bottom"/>
            <w:shd w:val="clear" w:color="auto" w:fill="FCE9E8"/>
          </w:tcPr>
          <w:p>
            <w:pPr>
              <w:jc w:val="right"/>
              <w:spacing w:after="0" w:line="160" w:lineRule="exact"/>
              <w:rPr>
                <w:sz w:val="20"/>
                <w:szCs w:val="20"/>
                <w:color w:val="auto"/>
              </w:rPr>
            </w:pPr>
            <w:r>
              <w:rPr>
                <w:rFonts w:ascii="Arial" w:cs="Arial" w:eastAsia="Arial" w:hAnsi="Arial"/>
                <w:sz w:val="14"/>
                <w:szCs w:val="14"/>
                <w:color w:val="auto"/>
              </w:rPr>
              <w:t>3,888,702</w:t>
            </w:r>
          </w:p>
        </w:tc>
      </w:tr>
      <w:tr>
        <w:trPr>
          <w:trHeight w:val="160"/>
        </w:trPr>
        <w:tc>
          <w:tcPr>
            <w:tcW w:w="2060" w:type="dxa"/>
            <w:vAlign w:val="bottom"/>
            <w:tcBorders>
              <w:bottom w:val="single" w:sz="8" w:color="auto"/>
            </w:tcBorders>
          </w:tcPr>
          <w:p>
            <w:pPr>
              <w:ind w:left="80"/>
              <w:spacing w:after="0" w:line="160" w:lineRule="exact"/>
              <w:rPr>
                <w:sz w:val="20"/>
                <w:szCs w:val="20"/>
                <w:color w:val="auto"/>
              </w:rPr>
            </w:pPr>
            <w:r>
              <w:rPr>
                <w:rFonts w:ascii="Arial" w:cs="Arial" w:eastAsia="Arial" w:hAnsi="Arial"/>
                <w:sz w:val="14"/>
                <w:szCs w:val="14"/>
                <w:color w:val="auto"/>
              </w:rPr>
              <w:t>Matthew J. Simoncini</w:t>
            </w:r>
          </w:p>
        </w:tc>
        <w:tc>
          <w:tcPr>
            <w:tcW w:w="1600" w:type="dxa"/>
            <w:vAlign w:val="bottom"/>
            <w:tcBorders>
              <w:bottom w:val="single" w:sz="8" w:color="auto"/>
            </w:tcBorders>
          </w:tcPr>
          <w:p>
            <w:pPr>
              <w:jc w:val="right"/>
              <w:ind w:right="69"/>
              <w:spacing w:after="0" w:line="160" w:lineRule="exact"/>
              <w:rPr>
                <w:sz w:val="20"/>
                <w:szCs w:val="20"/>
                <w:color w:val="auto"/>
              </w:rPr>
            </w:pPr>
            <w:r>
              <w:rPr>
                <w:rFonts w:ascii="Arial" w:cs="Arial" w:eastAsia="Arial" w:hAnsi="Arial"/>
                <w:sz w:val="14"/>
                <w:szCs w:val="14"/>
                <w:color w:val="auto"/>
              </w:rPr>
              <w:t>19,152</w:t>
            </w:r>
          </w:p>
        </w:tc>
        <w:tc>
          <w:tcPr>
            <w:tcW w:w="2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9"/>
              <w:spacing w:after="0" w:line="160" w:lineRule="exact"/>
              <w:rPr>
                <w:sz w:val="20"/>
                <w:szCs w:val="20"/>
                <w:color w:val="auto"/>
              </w:rPr>
            </w:pPr>
            <w:r>
              <w:rPr>
                <w:rFonts w:ascii="Arial" w:cs="Arial" w:eastAsia="Arial" w:hAnsi="Arial"/>
                <w:sz w:val="14"/>
                <w:szCs w:val="14"/>
                <w:color w:val="auto"/>
                <w:w w:val="96"/>
              </w:rPr>
              <w:t>3,424,378</w:t>
            </w:r>
          </w:p>
        </w:tc>
        <w:tc>
          <w:tcPr>
            <w:tcW w:w="1000" w:type="dxa"/>
            <w:vAlign w:val="bottom"/>
            <w:tcBorders>
              <w:bottom w:val="single" w:sz="8" w:color="auto"/>
            </w:tcBorders>
          </w:tcPr>
          <w:p>
            <w:pPr>
              <w:jc w:val="right"/>
              <w:ind w:right="69"/>
              <w:spacing w:after="0" w:line="160" w:lineRule="exact"/>
              <w:rPr>
                <w:sz w:val="20"/>
                <w:szCs w:val="20"/>
                <w:color w:val="auto"/>
              </w:rPr>
            </w:pPr>
            <w:r>
              <w:rPr>
                <w:rFonts w:ascii="Arial" w:cs="Arial" w:eastAsia="Arial" w:hAnsi="Arial"/>
                <w:sz w:val="14"/>
                <w:szCs w:val="14"/>
                <w:color w:val="auto"/>
              </w:rPr>
              <w:t>5,240</w:t>
            </w:r>
          </w:p>
        </w:tc>
        <w:tc>
          <w:tcPr>
            <w:tcW w:w="90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4"/>
                <w:szCs w:val="14"/>
                <w:color w:val="auto"/>
              </w:rPr>
              <w:t>$705,933</w:t>
            </w:r>
          </w:p>
        </w:tc>
        <w:tc>
          <w:tcPr>
            <w:tcW w:w="1180" w:type="dxa"/>
            <w:vAlign w:val="bottom"/>
            <w:tcBorders>
              <w:bottom w:val="single" w:sz="8" w:color="auto"/>
            </w:tcBorders>
          </w:tcPr>
          <w:p>
            <w:pPr>
              <w:jc w:val="right"/>
              <w:ind w:right="89"/>
              <w:spacing w:after="0" w:line="160" w:lineRule="exact"/>
              <w:rPr>
                <w:sz w:val="20"/>
                <w:szCs w:val="20"/>
                <w:color w:val="auto"/>
              </w:rPr>
            </w:pPr>
            <w:r>
              <w:rPr>
                <w:rFonts w:ascii="Arial" w:cs="Arial" w:eastAsia="Arial" w:hAnsi="Arial"/>
                <w:sz w:val="14"/>
                <w:szCs w:val="14"/>
                <w:color w:val="auto"/>
              </w:rPr>
              <w:t>97,856</w:t>
            </w:r>
          </w:p>
        </w:tc>
        <w:tc>
          <w:tcPr>
            <w:tcW w:w="260" w:type="dxa"/>
            <w:vAlign w:val="bottom"/>
            <w:tcBorders>
              <w:bottom w:val="single" w:sz="8" w:color="auto"/>
            </w:tcBorders>
          </w:tcPr>
          <w:p>
            <w:pPr>
              <w:ind w:left="140"/>
              <w:spacing w:after="0" w:line="160"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9"/>
              <w:spacing w:after="0" w:line="160" w:lineRule="exact"/>
              <w:rPr>
                <w:sz w:val="20"/>
                <w:szCs w:val="20"/>
                <w:color w:val="auto"/>
              </w:rPr>
            </w:pPr>
            <w:r>
              <w:rPr>
                <w:rFonts w:ascii="Arial" w:cs="Arial" w:eastAsia="Arial" w:hAnsi="Arial"/>
                <w:sz w:val="14"/>
                <w:szCs w:val="14"/>
                <w:color w:val="auto"/>
              </w:rPr>
              <w:t>15,168,659</w:t>
            </w:r>
          </w:p>
        </w:tc>
        <w:tc>
          <w:tcPr>
            <w:tcW w:w="240" w:type="dxa"/>
            <w:vAlign w:val="bottom"/>
            <w:tcBorders>
              <w:bottom w:val="single" w:sz="8" w:color="auto"/>
            </w:tcBorders>
          </w:tcPr>
          <w:p>
            <w:pPr>
              <w:ind w:left="140"/>
              <w:spacing w:after="0" w:line="160"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4"/>
                <w:szCs w:val="14"/>
                <w:color w:val="auto"/>
              </w:rPr>
              <w:t>19,298,970</w:t>
            </w:r>
          </w:p>
        </w:tc>
      </w:tr>
    </w:tbl>
    <w:p>
      <w:pPr>
        <w:spacing w:after="0" w:line="19" w:lineRule="exact"/>
        <w:rPr>
          <w:sz w:val="20"/>
          <w:szCs w:val="20"/>
          <w:color w:val="auto"/>
        </w:rPr>
      </w:pPr>
    </w:p>
    <w:p>
      <w:pPr>
        <w:ind w:left="600" w:hanging="320"/>
        <w:spacing w:after="0"/>
        <w:tabs>
          <w:tab w:leader="none" w:pos="60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Includes dividend equivalent payments, including interest, in the following amounts:</w:t>
      </w:r>
    </w:p>
    <w:p>
      <w:pPr>
        <w:spacing w:after="0" w:line="210"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gridSpan w:val="2"/>
          </w:tcPr>
          <w:p>
            <w:pPr>
              <w:ind w:left="440"/>
              <w:spacing w:after="0"/>
              <w:rPr>
                <w:sz w:val="20"/>
                <w:szCs w:val="20"/>
                <w:color w:val="auto"/>
              </w:rPr>
            </w:pPr>
            <w:r>
              <w:rPr>
                <w:rFonts w:ascii="Arial" w:cs="Arial" w:eastAsia="Arial" w:hAnsi="Arial"/>
                <w:sz w:val="14"/>
                <w:szCs w:val="14"/>
                <w:b w:val="1"/>
                <w:bCs w:val="1"/>
                <w:color w:val="E2231A"/>
              </w:rPr>
              <w:t>2016 Performance</w:t>
            </w:r>
          </w:p>
        </w:tc>
        <w:tc>
          <w:tcPr>
            <w:tcW w:w="1780" w:type="dxa"/>
            <w:vAlign w:val="bottom"/>
          </w:tcPr>
          <w:p>
            <w:pPr>
              <w:spacing w:after="0"/>
              <w:rPr>
                <w:sz w:val="14"/>
                <w:szCs w:val="14"/>
                <w:color w:val="auto"/>
              </w:rPr>
            </w:pPr>
          </w:p>
        </w:tc>
      </w:tr>
      <w:tr>
        <w:trPr>
          <w:trHeight w:val="160"/>
        </w:trPr>
        <w:tc>
          <w:tcPr>
            <w:tcW w:w="2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center"/>
              <w:ind w:right="544"/>
              <w:spacing w:after="0" w:line="160" w:lineRule="exact"/>
              <w:rPr>
                <w:sz w:val="20"/>
                <w:szCs w:val="20"/>
                <w:color w:val="auto"/>
              </w:rPr>
            </w:pPr>
            <w:r>
              <w:rPr>
                <w:rFonts w:ascii="Arial" w:cs="Arial" w:eastAsia="Arial" w:hAnsi="Arial"/>
                <w:sz w:val="14"/>
                <w:szCs w:val="14"/>
                <w:b w:val="1"/>
                <w:bCs w:val="1"/>
                <w:color w:val="E2231A"/>
              </w:rPr>
              <w:t>Share Dividend</w:t>
            </w:r>
          </w:p>
        </w:tc>
        <w:tc>
          <w:tcPr>
            <w:tcW w:w="178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Total</w:t>
            </w:r>
          </w:p>
        </w:tc>
      </w:tr>
      <w:tr>
        <w:trPr>
          <w:trHeight w:val="160"/>
        </w:trPr>
        <w:tc>
          <w:tcPr>
            <w:tcW w:w="2580" w:type="dxa"/>
            <w:vAlign w:val="bottom"/>
          </w:tcPr>
          <w:p>
            <w:pPr>
              <w:spacing w:after="0"/>
              <w:rPr>
                <w:sz w:val="13"/>
                <w:szCs w:val="13"/>
                <w:color w:val="auto"/>
              </w:rPr>
            </w:pPr>
          </w:p>
        </w:tc>
        <w:tc>
          <w:tcPr>
            <w:tcW w:w="2220" w:type="dxa"/>
            <w:vAlign w:val="bottom"/>
            <w:gridSpan w:val="2"/>
          </w:tcPr>
          <w:p>
            <w:pPr>
              <w:ind w:left="1060"/>
              <w:spacing w:after="0" w:line="160" w:lineRule="exact"/>
              <w:rPr>
                <w:sz w:val="20"/>
                <w:szCs w:val="20"/>
                <w:color w:val="auto"/>
              </w:rPr>
            </w:pPr>
            <w:r>
              <w:rPr>
                <w:rFonts w:ascii="Arial" w:cs="Arial" w:eastAsia="Arial" w:hAnsi="Arial"/>
                <w:sz w:val="14"/>
                <w:szCs w:val="14"/>
                <w:b w:val="1"/>
                <w:bCs w:val="1"/>
                <w:color w:val="E2231A"/>
              </w:rPr>
              <w:t>2015 RSU</w:t>
            </w:r>
          </w:p>
        </w:tc>
        <w:tc>
          <w:tcPr>
            <w:tcW w:w="2120" w:type="dxa"/>
            <w:vAlign w:val="bottom"/>
            <w:gridSpan w:val="2"/>
          </w:tcPr>
          <w:p>
            <w:pPr>
              <w:ind w:left="440"/>
              <w:spacing w:after="0" w:line="160" w:lineRule="exact"/>
              <w:rPr>
                <w:sz w:val="20"/>
                <w:szCs w:val="20"/>
                <w:color w:val="auto"/>
              </w:rPr>
            </w:pPr>
            <w:r>
              <w:rPr>
                <w:rFonts w:ascii="Arial" w:cs="Arial" w:eastAsia="Arial" w:hAnsi="Arial"/>
                <w:sz w:val="14"/>
                <w:szCs w:val="14"/>
                <w:b w:val="1"/>
                <w:bCs w:val="1"/>
                <w:color w:val="E2231A"/>
              </w:rPr>
              <w:t>2015 Career Share</w:t>
            </w:r>
          </w:p>
        </w:tc>
        <w:tc>
          <w:tcPr>
            <w:tcW w:w="520" w:type="dxa"/>
            <w:vAlign w:val="bottom"/>
          </w:tcPr>
          <w:p>
            <w:pPr>
              <w:spacing w:after="0"/>
              <w:rPr>
                <w:sz w:val="13"/>
                <w:szCs w:val="13"/>
                <w:color w:val="auto"/>
              </w:rPr>
            </w:pPr>
          </w:p>
        </w:tc>
        <w:tc>
          <w:tcPr>
            <w:tcW w:w="1660" w:type="dxa"/>
            <w:vAlign w:val="bottom"/>
          </w:tcPr>
          <w:p>
            <w:pPr>
              <w:jc w:val="center"/>
              <w:ind w:right="544"/>
              <w:spacing w:after="0" w:line="160" w:lineRule="exact"/>
              <w:rPr>
                <w:sz w:val="20"/>
                <w:szCs w:val="20"/>
                <w:color w:val="auto"/>
              </w:rPr>
            </w:pPr>
            <w:r>
              <w:rPr>
                <w:rFonts w:ascii="Arial" w:cs="Arial" w:eastAsia="Arial" w:hAnsi="Arial"/>
                <w:sz w:val="14"/>
                <w:szCs w:val="14"/>
                <w:b w:val="1"/>
                <w:bCs w:val="1"/>
                <w:color w:val="E2231A"/>
              </w:rPr>
              <w:t>Equivalents</w:t>
            </w:r>
          </w:p>
        </w:tc>
        <w:tc>
          <w:tcPr>
            <w:tcW w:w="178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Dividend</w:t>
            </w:r>
          </w:p>
        </w:tc>
      </w:tr>
      <w:tr>
        <w:trPr>
          <w:trHeight w:val="160"/>
        </w:trPr>
        <w:tc>
          <w:tcPr>
            <w:tcW w:w="2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jc w:val="right"/>
              <w:ind w:right="461"/>
              <w:spacing w:after="0" w:line="160" w:lineRule="exact"/>
              <w:rPr>
                <w:sz w:val="20"/>
                <w:szCs w:val="20"/>
                <w:color w:val="auto"/>
              </w:rPr>
            </w:pPr>
            <w:r>
              <w:rPr>
                <w:rFonts w:ascii="Arial" w:cs="Arial" w:eastAsia="Arial" w:hAnsi="Arial"/>
                <w:sz w:val="14"/>
                <w:szCs w:val="14"/>
                <w:b w:val="1"/>
                <w:bCs w:val="1"/>
                <w:color w:val="E2231A"/>
                <w:w w:val="98"/>
              </w:rPr>
              <w:t>Dividend</w:t>
            </w:r>
          </w:p>
        </w:tc>
        <w:tc>
          <w:tcPr>
            <w:tcW w:w="600" w:type="dxa"/>
            <w:vAlign w:val="bottom"/>
          </w:tcPr>
          <w:p>
            <w:pPr>
              <w:spacing w:after="0"/>
              <w:rPr>
                <w:sz w:val="13"/>
                <w:szCs w:val="13"/>
                <w:color w:val="auto"/>
              </w:rPr>
            </w:pPr>
          </w:p>
        </w:tc>
        <w:tc>
          <w:tcPr>
            <w:tcW w:w="1520" w:type="dxa"/>
            <w:vAlign w:val="bottom"/>
          </w:tcPr>
          <w:p>
            <w:pPr>
              <w:jc w:val="right"/>
              <w:ind w:right="682"/>
              <w:spacing w:after="0" w:line="160" w:lineRule="exact"/>
              <w:rPr>
                <w:sz w:val="20"/>
                <w:szCs w:val="20"/>
                <w:color w:val="auto"/>
              </w:rPr>
            </w:pPr>
            <w:r>
              <w:rPr>
                <w:rFonts w:ascii="Arial" w:cs="Arial" w:eastAsia="Arial" w:hAnsi="Arial"/>
                <w:sz w:val="14"/>
                <w:szCs w:val="14"/>
                <w:b w:val="1"/>
                <w:bCs w:val="1"/>
                <w:color w:val="E2231A"/>
              </w:rPr>
              <w:t>Dividend</w:t>
            </w:r>
          </w:p>
        </w:tc>
        <w:tc>
          <w:tcPr>
            <w:tcW w:w="520" w:type="dxa"/>
            <w:vAlign w:val="bottom"/>
          </w:tcPr>
          <w:p>
            <w:pPr>
              <w:spacing w:after="0"/>
              <w:rPr>
                <w:sz w:val="13"/>
                <w:szCs w:val="13"/>
                <w:color w:val="auto"/>
              </w:rPr>
            </w:pPr>
          </w:p>
        </w:tc>
        <w:tc>
          <w:tcPr>
            <w:tcW w:w="1660" w:type="dxa"/>
            <w:vAlign w:val="bottom"/>
          </w:tcPr>
          <w:p>
            <w:pPr>
              <w:jc w:val="center"/>
              <w:ind w:right="544"/>
              <w:spacing w:after="0" w:line="160" w:lineRule="exact"/>
              <w:rPr>
                <w:sz w:val="20"/>
                <w:szCs w:val="20"/>
                <w:color w:val="auto"/>
              </w:rPr>
            </w:pPr>
            <w:r>
              <w:rPr>
                <w:rFonts w:ascii="Arial" w:cs="Arial" w:eastAsia="Arial" w:hAnsi="Arial"/>
                <w:sz w:val="14"/>
                <w:szCs w:val="14"/>
                <w:b w:val="1"/>
                <w:bCs w:val="1"/>
                <w:color w:val="E2231A"/>
              </w:rPr>
              <w:t>(2016-2018</w:t>
            </w:r>
          </w:p>
        </w:tc>
        <w:tc>
          <w:tcPr>
            <w:tcW w:w="178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w w:val="98"/>
              </w:rPr>
              <w:t>Equivalent</w:t>
            </w:r>
          </w:p>
        </w:tc>
      </w:tr>
      <w:tr>
        <w:trPr>
          <w:trHeight w:val="173"/>
        </w:trPr>
        <w:tc>
          <w:tcPr>
            <w:tcW w:w="25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E2231A"/>
              </w:rPr>
              <w:t>Equivalents</w:t>
            </w:r>
          </w:p>
        </w:tc>
        <w:tc>
          <w:tcPr>
            <w:tcW w:w="6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E2231A"/>
              </w:rPr>
              <w:t>Equivalents</w:t>
            </w:r>
          </w:p>
        </w:tc>
        <w:tc>
          <w:tcPr>
            <w:tcW w:w="5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544"/>
              <w:spacing w:after="0"/>
              <w:rPr>
                <w:sz w:val="20"/>
                <w:szCs w:val="20"/>
                <w:color w:val="auto"/>
              </w:rPr>
            </w:pPr>
            <w:r>
              <w:rPr>
                <w:rFonts w:ascii="Arial" w:cs="Arial" w:eastAsia="Arial" w:hAnsi="Arial"/>
                <w:sz w:val="14"/>
                <w:szCs w:val="14"/>
                <w:b w:val="1"/>
                <w:bCs w:val="1"/>
                <w:color w:val="E2231A"/>
              </w:rPr>
              <w:t>Awards)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w w:val="99"/>
              </w:rPr>
              <w:t>Payments</w:t>
            </w:r>
          </w:p>
        </w:tc>
      </w:tr>
      <w:tr>
        <w:trPr>
          <w:trHeight w:val="180"/>
        </w:trPr>
        <w:tc>
          <w:tcPr>
            <w:tcW w:w="2580" w:type="dxa"/>
            <w:vAlign w:val="bottom"/>
            <w:shd w:val="clear" w:color="auto" w:fill="FCE9E8"/>
          </w:tcPr>
          <w:p>
            <w:pPr>
              <w:ind w:left="80"/>
              <w:spacing w:after="0" w:line="180" w:lineRule="exact"/>
              <w:rPr>
                <w:sz w:val="20"/>
                <w:szCs w:val="20"/>
                <w:color w:val="auto"/>
              </w:rPr>
            </w:pPr>
            <w:r>
              <w:rPr>
                <w:rFonts w:ascii="Arial" w:cs="Arial" w:eastAsia="Arial" w:hAnsi="Arial"/>
                <w:sz w:val="16"/>
                <w:szCs w:val="16"/>
                <w:color w:val="auto"/>
              </w:rPr>
              <w:t>Raymond E. Scott</w:t>
            </w:r>
          </w:p>
        </w:tc>
        <w:tc>
          <w:tcPr>
            <w:tcW w:w="1080" w:type="dxa"/>
            <w:vAlign w:val="bottom"/>
            <w:shd w:val="clear" w:color="auto" w:fill="FCE9E8"/>
          </w:tcPr>
          <w:p>
            <w:pPr>
              <w:ind w:left="980"/>
              <w:spacing w:after="0" w:line="180" w:lineRule="exact"/>
              <w:rPr>
                <w:sz w:val="20"/>
                <w:szCs w:val="20"/>
                <w:color w:val="auto"/>
              </w:rPr>
            </w:pPr>
            <w:r>
              <w:rPr>
                <w:rFonts w:ascii="Arial" w:cs="Arial" w:eastAsia="Arial" w:hAnsi="Arial"/>
                <w:sz w:val="16"/>
                <w:szCs w:val="16"/>
                <w:color w:val="auto"/>
                <w:w w:val="89"/>
              </w:rPr>
              <w:t>$</w:t>
            </w:r>
          </w:p>
        </w:tc>
        <w:tc>
          <w:tcPr>
            <w:tcW w:w="1140" w:type="dxa"/>
            <w:vAlign w:val="bottom"/>
            <w:shd w:val="clear" w:color="auto" w:fill="FCE9E8"/>
          </w:tcPr>
          <w:p>
            <w:pPr>
              <w:jc w:val="right"/>
              <w:ind w:right="361"/>
              <w:spacing w:after="0" w:line="180" w:lineRule="exact"/>
              <w:rPr>
                <w:sz w:val="20"/>
                <w:szCs w:val="20"/>
                <w:color w:val="auto"/>
              </w:rPr>
            </w:pPr>
            <w:r>
              <w:rPr>
                <w:rFonts w:ascii="Arial" w:cs="Arial" w:eastAsia="Arial" w:hAnsi="Arial"/>
                <w:sz w:val="16"/>
                <w:szCs w:val="16"/>
                <w:color w:val="auto"/>
              </w:rPr>
              <w:t>23,334</w:t>
            </w:r>
          </w:p>
        </w:tc>
        <w:tc>
          <w:tcPr>
            <w:tcW w:w="600" w:type="dxa"/>
            <w:vAlign w:val="bottom"/>
            <w:shd w:val="clear" w:color="auto" w:fill="FCE9E8"/>
          </w:tcPr>
          <w:p>
            <w:pPr>
              <w:ind w:left="440"/>
              <w:spacing w:after="0" w:line="180" w:lineRule="exact"/>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362"/>
              <w:spacing w:after="0" w:line="180" w:lineRule="exact"/>
              <w:rPr>
                <w:sz w:val="20"/>
                <w:szCs w:val="20"/>
                <w:color w:val="auto"/>
              </w:rPr>
            </w:pPr>
            <w:r>
              <w:rPr>
                <w:rFonts w:ascii="Arial" w:cs="Arial" w:eastAsia="Arial" w:hAnsi="Arial"/>
                <w:sz w:val="16"/>
                <w:szCs w:val="16"/>
                <w:color w:val="auto"/>
              </w:rPr>
              <w:t>12,976</w:t>
            </w:r>
          </w:p>
        </w:tc>
        <w:tc>
          <w:tcPr>
            <w:tcW w:w="520" w:type="dxa"/>
            <w:vAlign w:val="bottom"/>
            <w:shd w:val="clear" w:color="auto" w:fill="FCE9E8"/>
          </w:tcPr>
          <w:p>
            <w:pPr>
              <w:ind w:left="440"/>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FCE9E8"/>
          </w:tcPr>
          <w:p>
            <w:pPr>
              <w:jc w:val="right"/>
              <w:ind w:right="444"/>
              <w:spacing w:after="0" w:line="180" w:lineRule="exact"/>
              <w:rPr>
                <w:sz w:val="20"/>
                <w:szCs w:val="20"/>
                <w:color w:val="auto"/>
              </w:rPr>
            </w:pPr>
            <w:r>
              <w:rPr>
                <w:rFonts w:ascii="Arial" w:cs="Arial" w:eastAsia="Arial" w:hAnsi="Arial"/>
                <w:sz w:val="16"/>
                <w:szCs w:val="16"/>
                <w:color w:val="auto"/>
              </w:rPr>
              <w:t>169,503</w:t>
            </w:r>
          </w:p>
        </w:tc>
        <w:tc>
          <w:tcPr>
            <w:tcW w:w="1780" w:type="dxa"/>
            <w:vAlign w:val="bottom"/>
            <w:shd w:val="clear" w:color="auto" w:fill="FCE9E8"/>
          </w:tcPr>
          <w:p>
            <w:pPr>
              <w:jc w:val="center"/>
              <w:spacing w:after="0" w:line="180" w:lineRule="exact"/>
              <w:rPr>
                <w:sz w:val="20"/>
                <w:szCs w:val="20"/>
                <w:color w:val="auto"/>
              </w:rPr>
            </w:pPr>
            <w:r>
              <w:rPr>
                <w:rFonts w:ascii="Arial" w:cs="Arial" w:eastAsia="Arial" w:hAnsi="Arial"/>
                <w:sz w:val="16"/>
                <w:szCs w:val="16"/>
                <w:color w:val="auto"/>
              </w:rPr>
              <w:t>$ 205,813</w:t>
            </w:r>
          </w:p>
        </w:tc>
      </w:tr>
      <w:tr>
        <w:trPr>
          <w:trHeight w:val="186"/>
        </w:trPr>
        <w:tc>
          <w:tcPr>
            <w:tcW w:w="2580" w:type="dxa"/>
            <w:vAlign w:val="bottom"/>
          </w:tcPr>
          <w:p>
            <w:pPr>
              <w:ind w:left="80"/>
              <w:spacing w:after="0"/>
              <w:rPr>
                <w:sz w:val="20"/>
                <w:szCs w:val="20"/>
                <w:color w:val="auto"/>
              </w:rPr>
            </w:pPr>
            <w:r>
              <w:rPr>
                <w:rFonts w:ascii="Arial" w:cs="Arial" w:eastAsia="Arial" w:hAnsi="Arial"/>
                <w:sz w:val="16"/>
                <w:szCs w:val="16"/>
                <w:color w:val="auto"/>
              </w:rPr>
              <w:t>Jeffrey H. Vanneste</w:t>
            </w:r>
          </w:p>
        </w:tc>
        <w:tc>
          <w:tcPr>
            <w:tcW w:w="1080" w:type="dxa"/>
            <w:vAlign w:val="bottom"/>
          </w:tcPr>
          <w:p>
            <w:pPr>
              <w:ind w:left="98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61"/>
              <w:spacing w:after="0"/>
              <w:rPr>
                <w:sz w:val="20"/>
                <w:szCs w:val="20"/>
                <w:color w:val="auto"/>
              </w:rPr>
            </w:pPr>
            <w:r>
              <w:rPr>
                <w:rFonts w:ascii="Arial" w:cs="Arial" w:eastAsia="Arial" w:hAnsi="Arial"/>
                <w:sz w:val="16"/>
                <w:szCs w:val="16"/>
                <w:color w:val="auto"/>
              </w:rPr>
              <w:t>20,593</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62"/>
              <w:spacing w:after="0"/>
              <w:rPr>
                <w:sz w:val="20"/>
                <w:szCs w:val="20"/>
                <w:color w:val="auto"/>
              </w:rPr>
            </w:pPr>
            <w:r>
              <w:rPr>
                <w:rFonts w:ascii="Arial" w:cs="Arial" w:eastAsia="Arial" w:hAnsi="Arial"/>
                <w:sz w:val="16"/>
                <w:szCs w:val="16"/>
                <w:color w:val="auto"/>
              </w:rPr>
              <w:t>12,976</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ind w:right="444"/>
              <w:spacing w:after="0"/>
              <w:rPr>
                <w:sz w:val="20"/>
                <w:szCs w:val="20"/>
                <w:color w:val="auto"/>
              </w:rPr>
            </w:pPr>
            <w:r>
              <w:rPr>
                <w:rFonts w:ascii="Arial" w:cs="Arial" w:eastAsia="Arial" w:hAnsi="Arial"/>
                <w:sz w:val="16"/>
                <w:szCs w:val="16"/>
                <w:color w:val="auto"/>
              </w:rPr>
              <w:t>153,422</w:t>
            </w:r>
          </w:p>
        </w:tc>
        <w:tc>
          <w:tcPr>
            <w:tcW w:w="1780" w:type="dxa"/>
            <w:vAlign w:val="bottom"/>
          </w:tcPr>
          <w:p>
            <w:pPr>
              <w:jc w:val="center"/>
              <w:spacing w:after="0"/>
              <w:rPr>
                <w:sz w:val="20"/>
                <w:szCs w:val="20"/>
                <w:color w:val="auto"/>
              </w:rPr>
            </w:pPr>
            <w:r>
              <w:rPr>
                <w:rFonts w:ascii="Arial" w:cs="Arial" w:eastAsia="Arial" w:hAnsi="Arial"/>
                <w:sz w:val="16"/>
                <w:szCs w:val="16"/>
                <w:color w:val="auto"/>
              </w:rPr>
              <w:t>$ 186,991</w:t>
            </w:r>
          </w:p>
        </w:tc>
      </w:tr>
      <w:tr>
        <w:trPr>
          <w:trHeight w:val="186"/>
        </w:trPr>
        <w:tc>
          <w:tcPr>
            <w:tcW w:w="2580" w:type="dxa"/>
            <w:vAlign w:val="bottom"/>
            <w:shd w:val="clear" w:color="auto" w:fill="FCE9E8"/>
          </w:tcPr>
          <w:p>
            <w:pPr>
              <w:ind w:left="80"/>
              <w:spacing w:after="0"/>
              <w:rPr>
                <w:sz w:val="20"/>
                <w:szCs w:val="20"/>
                <w:color w:val="auto"/>
              </w:rPr>
            </w:pPr>
            <w:r>
              <w:rPr>
                <w:rFonts w:ascii="Arial" w:cs="Arial" w:eastAsia="Arial" w:hAnsi="Arial"/>
                <w:sz w:val="16"/>
                <w:szCs w:val="16"/>
                <w:color w:val="auto"/>
              </w:rPr>
              <w:t>Terrence B. Larkin</w:t>
            </w:r>
          </w:p>
        </w:tc>
        <w:tc>
          <w:tcPr>
            <w:tcW w:w="1080" w:type="dxa"/>
            <w:vAlign w:val="bottom"/>
            <w:shd w:val="clear" w:color="auto" w:fill="FCE9E8"/>
          </w:tcPr>
          <w:p>
            <w:pPr>
              <w:ind w:left="98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23,334</w:t>
            </w:r>
          </w:p>
        </w:tc>
        <w:tc>
          <w:tcPr>
            <w:tcW w:w="600" w:type="dxa"/>
            <w:vAlign w:val="bottom"/>
            <w:shd w:val="clear" w:color="auto" w:fill="FCE9E8"/>
          </w:tcPr>
          <w:p>
            <w:pPr>
              <w:ind w:left="4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362"/>
              <w:spacing w:after="0"/>
              <w:rPr>
                <w:sz w:val="20"/>
                <w:szCs w:val="20"/>
                <w:color w:val="auto"/>
              </w:rPr>
            </w:pPr>
            <w:r>
              <w:rPr>
                <w:rFonts w:ascii="Arial" w:cs="Arial" w:eastAsia="Arial" w:hAnsi="Arial"/>
                <w:sz w:val="16"/>
                <w:szCs w:val="16"/>
                <w:color w:val="auto"/>
              </w:rPr>
              <w:t>12,976</w:t>
            </w:r>
          </w:p>
        </w:tc>
        <w:tc>
          <w:tcPr>
            <w:tcW w:w="520" w:type="dxa"/>
            <w:vAlign w:val="bottom"/>
            <w:shd w:val="clear" w:color="auto" w:fill="FCE9E8"/>
          </w:tcPr>
          <w:p>
            <w:pPr>
              <w:ind w:left="440"/>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FCE9E8"/>
          </w:tcPr>
          <w:p>
            <w:pPr>
              <w:jc w:val="right"/>
              <w:ind w:right="444"/>
              <w:spacing w:after="0"/>
              <w:rPr>
                <w:sz w:val="20"/>
                <w:szCs w:val="20"/>
                <w:color w:val="auto"/>
              </w:rPr>
            </w:pPr>
            <w:r>
              <w:rPr>
                <w:rFonts w:ascii="Arial" w:cs="Arial" w:eastAsia="Arial" w:hAnsi="Arial"/>
                <w:sz w:val="16"/>
                <w:szCs w:val="16"/>
                <w:color w:val="auto"/>
              </w:rPr>
              <w:t>169,503</w:t>
            </w:r>
          </w:p>
        </w:tc>
        <w:tc>
          <w:tcPr>
            <w:tcW w:w="17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$ 205,813</w:t>
            </w:r>
          </w:p>
        </w:tc>
      </w:tr>
      <w:tr>
        <w:trPr>
          <w:trHeight w:val="186"/>
        </w:trPr>
        <w:tc>
          <w:tcPr>
            <w:tcW w:w="2580" w:type="dxa"/>
            <w:vAlign w:val="bottom"/>
          </w:tcPr>
          <w:p>
            <w:pPr>
              <w:ind w:left="80"/>
              <w:spacing w:after="0"/>
              <w:rPr>
                <w:sz w:val="20"/>
                <w:szCs w:val="20"/>
                <w:color w:val="auto"/>
              </w:rPr>
            </w:pPr>
            <w:r>
              <w:rPr>
                <w:rFonts w:ascii="Arial" w:cs="Arial" w:eastAsia="Arial" w:hAnsi="Arial"/>
                <w:sz w:val="16"/>
                <w:szCs w:val="16"/>
                <w:color w:val="auto"/>
              </w:rPr>
              <w:t>Frank C. Orsini</w:t>
            </w:r>
          </w:p>
        </w:tc>
        <w:tc>
          <w:tcPr>
            <w:tcW w:w="1080" w:type="dxa"/>
            <w:vAlign w:val="bottom"/>
          </w:tcPr>
          <w:p>
            <w:pPr>
              <w:ind w:left="98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61"/>
              <w:spacing w:after="0"/>
              <w:rPr>
                <w:sz w:val="20"/>
                <w:szCs w:val="20"/>
                <w:color w:val="auto"/>
              </w:rPr>
            </w:pPr>
            <w:r>
              <w:rPr>
                <w:rFonts w:ascii="Arial" w:cs="Arial" w:eastAsia="Arial" w:hAnsi="Arial"/>
                <w:sz w:val="16"/>
                <w:szCs w:val="16"/>
                <w:color w:val="auto"/>
              </w:rPr>
              <w:t>19,684</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62"/>
              <w:spacing w:after="0"/>
              <w:rPr>
                <w:sz w:val="20"/>
                <w:szCs w:val="20"/>
                <w:color w:val="auto"/>
              </w:rPr>
            </w:pPr>
            <w:r>
              <w:rPr>
                <w:rFonts w:ascii="Arial" w:cs="Arial" w:eastAsia="Arial" w:hAnsi="Arial"/>
                <w:sz w:val="16"/>
                <w:szCs w:val="16"/>
                <w:color w:val="auto"/>
              </w:rPr>
              <w:t>8,253</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ind w:right="444"/>
              <w:spacing w:after="0"/>
              <w:rPr>
                <w:sz w:val="20"/>
                <w:szCs w:val="20"/>
                <w:color w:val="auto"/>
              </w:rPr>
            </w:pPr>
            <w:r>
              <w:rPr>
                <w:rFonts w:ascii="Arial" w:cs="Arial" w:eastAsia="Arial" w:hAnsi="Arial"/>
                <w:sz w:val="16"/>
                <w:szCs w:val="16"/>
                <w:color w:val="auto"/>
              </w:rPr>
              <w:t>145,953</w:t>
            </w:r>
          </w:p>
        </w:tc>
        <w:tc>
          <w:tcPr>
            <w:tcW w:w="1780" w:type="dxa"/>
            <w:vAlign w:val="bottom"/>
          </w:tcPr>
          <w:p>
            <w:pPr>
              <w:jc w:val="center"/>
              <w:spacing w:after="0"/>
              <w:rPr>
                <w:sz w:val="20"/>
                <w:szCs w:val="20"/>
                <w:color w:val="auto"/>
              </w:rPr>
            </w:pPr>
            <w:r>
              <w:rPr>
                <w:rFonts w:ascii="Arial" w:cs="Arial" w:eastAsia="Arial" w:hAnsi="Arial"/>
                <w:sz w:val="16"/>
                <w:szCs w:val="16"/>
                <w:color w:val="auto"/>
              </w:rPr>
              <w:t>$ 173,890</w:t>
            </w:r>
          </w:p>
        </w:tc>
      </w:tr>
      <w:tr>
        <w:trPr>
          <w:trHeight w:val="186"/>
        </w:trPr>
        <w:tc>
          <w:tcPr>
            <w:tcW w:w="2580" w:type="dxa"/>
            <w:vAlign w:val="bottom"/>
            <w:shd w:val="clear" w:color="auto" w:fill="FCE9E8"/>
          </w:tcPr>
          <w:p>
            <w:pPr>
              <w:ind w:left="80"/>
              <w:spacing w:after="0"/>
              <w:rPr>
                <w:sz w:val="20"/>
                <w:szCs w:val="20"/>
                <w:color w:val="auto"/>
              </w:rPr>
            </w:pPr>
            <w:r>
              <w:rPr>
                <w:rFonts w:ascii="Arial" w:cs="Arial" w:eastAsia="Arial" w:hAnsi="Arial"/>
                <w:sz w:val="16"/>
                <w:szCs w:val="16"/>
                <w:color w:val="auto"/>
              </w:rPr>
              <w:t>Thomas A. DiDonato</w:t>
            </w:r>
          </w:p>
        </w:tc>
        <w:tc>
          <w:tcPr>
            <w:tcW w:w="1080" w:type="dxa"/>
            <w:vAlign w:val="bottom"/>
            <w:shd w:val="clear" w:color="auto" w:fill="FCE9E8"/>
          </w:tcPr>
          <w:p>
            <w:pPr>
              <w:ind w:left="98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16,657</w:t>
            </w:r>
          </w:p>
        </w:tc>
        <w:tc>
          <w:tcPr>
            <w:tcW w:w="600" w:type="dxa"/>
            <w:vAlign w:val="bottom"/>
            <w:shd w:val="clear" w:color="auto" w:fill="FCE9E8"/>
          </w:tcPr>
          <w:p>
            <w:pPr>
              <w:ind w:left="4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362"/>
              <w:spacing w:after="0"/>
              <w:rPr>
                <w:sz w:val="20"/>
                <w:szCs w:val="20"/>
                <w:color w:val="auto"/>
              </w:rPr>
            </w:pPr>
            <w:r>
              <w:rPr>
                <w:rFonts w:ascii="Arial" w:cs="Arial" w:eastAsia="Arial" w:hAnsi="Arial"/>
                <w:sz w:val="16"/>
                <w:szCs w:val="16"/>
                <w:color w:val="auto"/>
              </w:rPr>
              <w:t>12,976</w:t>
            </w:r>
          </w:p>
        </w:tc>
        <w:tc>
          <w:tcPr>
            <w:tcW w:w="520" w:type="dxa"/>
            <w:vAlign w:val="bottom"/>
            <w:shd w:val="clear" w:color="auto" w:fill="FCE9E8"/>
          </w:tcPr>
          <w:p>
            <w:pPr>
              <w:ind w:left="440"/>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FCE9E8"/>
          </w:tcPr>
          <w:p>
            <w:pPr>
              <w:jc w:val="right"/>
              <w:ind w:right="444"/>
              <w:spacing w:after="0"/>
              <w:rPr>
                <w:sz w:val="20"/>
                <w:szCs w:val="20"/>
                <w:color w:val="auto"/>
              </w:rPr>
            </w:pPr>
            <w:r>
              <w:rPr>
                <w:rFonts w:ascii="Arial" w:cs="Arial" w:eastAsia="Arial" w:hAnsi="Arial"/>
                <w:sz w:val="16"/>
                <w:szCs w:val="16"/>
                <w:color w:val="auto"/>
              </w:rPr>
              <w:t>119,315</w:t>
            </w:r>
          </w:p>
        </w:tc>
        <w:tc>
          <w:tcPr>
            <w:tcW w:w="17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$ 148,948</w:t>
            </w:r>
          </w:p>
        </w:tc>
      </w:tr>
      <w:tr>
        <w:trPr>
          <w:trHeight w:val="186"/>
        </w:trPr>
        <w:tc>
          <w:tcPr>
            <w:tcW w:w="25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Matthew J. Simoncini</w:t>
            </w:r>
          </w:p>
        </w:tc>
        <w:tc>
          <w:tcPr>
            <w:tcW w:w="108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84,129</w:t>
            </w:r>
          </w:p>
        </w:tc>
        <w:tc>
          <w:tcPr>
            <w:tcW w:w="60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30,669</w:t>
            </w:r>
          </w:p>
        </w:tc>
        <w:tc>
          <w:tcPr>
            <w:tcW w:w="52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ind w:right="444"/>
              <w:spacing w:after="0"/>
              <w:rPr>
                <w:sz w:val="20"/>
                <w:szCs w:val="20"/>
                <w:color w:val="auto"/>
              </w:rPr>
            </w:pPr>
            <w:r>
              <w:rPr>
                <w:rFonts w:ascii="Arial" w:cs="Arial" w:eastAsia="Arial" w:hAnsi="Arial"/>
                <w:sz w:val="16"/>
                <w:szCs w:val="16"/>
                <w:color w:val="auto"/>
              </w:rPr>
              <w:t>621,511</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$ 736,309</w:t>
            </w:r>
          </w:p>
        </w:tc>
      </w:tr>
    </w:tbl>
    <w:p>
      <w:pPr>
        <w:spacing w:after="0" w:line="124" w:lineRule="exact"/>
        <w:rPr>
          <w:sz w:val="20"/>
          <w:szCs w:val="20"/>
          <w:color w:val="auto"/>
        </w:rPr>
      </w:pPr>
    </w:p>
    <w:p>
      <w:pPr>
        <w:ind w:left="740" w:hanging="359"/>
        <w:spacing w:after="0"/>
        <w:tabs>
          <w:tab w:leader="none" w:pos="7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60"/>
          </w:cols>
          <w:pgMar w:left="240" w:top="455"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904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411480</wp:posOffset>
            </wp:positionV>
            <wp:extent cx="6901815" cy="1860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01815" cy="18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FFFFFF"/>
        </w:rPr>
        <w:t>2018 Pension Benefits</w:t>
      </w:r>
    </w:p>
    <w:p>
      <w:pPr>
        <w:spacing w:after="0" w:line="16"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E2231A"/>
              </w:rPr>
              <w:t>Number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E2231A"/>
              </w:rPr>
              <w:t>Number</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0"/>
        </w:trPr>
        <w:tc>
          <w:tcPr>
            <w:tcW w:w="23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w w:val="97"/>
              </w:rPr>
              <w:t>of Years</w:t>
            </w:r>
          </w:p>
        </w:tc>
        <w:tc>
          <w:tcPr>
            <w:tcW w:w="114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of Years</w:t>
            </w:r>
          </w:p>
        </w:tc>
        <w:tc>
          <w:tcPr>
            <w:tcW w:w="380" w:type="dxa"/>
            <w:vAlign w:val="bottom"/>
          </w:tcPr>
          <w:p>
            <w:pPr>
              <w:spacing w:after="0"/>
              <w:rPr>
                <w:sz w:val="13"/>
                <w:szCs w:val="13"/>
                <w:color w:val="auto"/>
              </w:rPr>
            </w:pPr>
          </w:p>
        </w:tc>
        <w:tc>
          <w:tcPr>
            <w:tcW w:w="1000" w:type="dxa"/>
            <w:vAlign w:val="bottom"/>
          </w:tcPr>
          <w:p>
            <w:pPr>
              <w:jc w:val="center"/>
              <w:ind w:right="307"/>
              <w:spacing w:after="0" w:line="160" w:lineRule="exact"/>
              <w:rPr>
                <w:sz w:val="20"/>
                <w:szCs w:val="20"/>
                <w:color w:val="auto"/>
              </w:rPr>
            </w:pPr>
            <w:r>
              <w:rPr>
                <w:rFonts w:ascii="Arial" w:cs="Arial" w:eastAsia="Arial" w:hAnsi="Arial"/>
                <w:sz w:val="14"/>
                <w:szCs w:val="14"/>
                <w:b w:val="1"/>
                <w:bCs w:val="1"/>
                <w:color w:val="E2231A"/>
              </w:rPr>
              <w:t>Present</w:t>
            </w:r>
          </w:p>
        </w:tc>
        <w:tc>
          <w:tcPr>
            <w:tcW w:w="1060" w:type="dxa"/>
            <w:vAlign w:val="bottom"/>
            <w:gridSpan w:val="2"/>
          </w:tcPr>
          <w:p>
            <w:pPr>
              <w:jc w:val="center"/>
              <w:ind w:left="107"/>
              <w:spacing w:after="0" w:line="160" w:lineRule="exact"/>
              <w:rPr>
                <w:sz w:val="20"/>
                <w:szCs w:val="20"/>
                <w:color w:val="auto"/>
              </w:rPr>
            </w:pPr>
            <w:r>
              <w:rPr>
                <w:rFonts w:ascii="Arial" w:cs="Arial" w:eastAsia="Arial" w:hAnsi="Arial"/>
                <w:sz w:val="14"/>
                <w:szCs w:val="14"/>
                <w:b w:val="1"/>
                <w:bCs w:val="1"/>
                <w:color w:val="E2231A"/>
              </w:rPr>
              <w:t>Payments</w:t>
            </w:r>
          </w:p>
        </w:tc>
      </w:tr>
      <w:tr>
        <w:trPr>
          <w:trHeight w:val="160"/>
        </w:trPr>
        <w:tc>
          <w:tcPr>
            <w:tcW w:w="23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Credited</w:t>
            </w:r>
          </w:p>
        </w:tc>
        <w:tc>
          <w:tcPr>
            <w:tcW w:w="1140" w:type="dxa"/>
            <w:vAlign w:val="bottom"/>
          </w:tcPr>
          <w:p>
            <w:pPr>
              <w:jc w:val="center"/>
              <w:spacing w:after="0" w:line="160" w:lineRule="exact"/>
              <w:rPr>
                <w:sz w:val="20"/>
                <w:szCs w:val="20"/>
                <w:color w:val="auto"/>
              </w:rPr>
            </w:pPr>
            <w:r>
              <w:rPr>
                <w:rFonts w:ascii="Arial" w:cs="Arial" w:eastAsia="Arial" w:hAnsi="Arial"/>
                <w:sz w:val="14"/>
                <w:szCs w:val="14"/>
                <w:b w:val="1"/>
                <w:bCs w:val="1"/>
                <w:color w:val="E2231A"/>
              </w:rPr>
              <w:t>of</w:t>
            </w:r>
          </w:p>
        </w:tc>
        <w:tc>
          <w:tcPr>
            <w:tcW w:w="380" w:type="dxa"/>
            <w:vAlign w:val="bottom"/>
          </w:tcPr>
          <w:p>
            <w:pPr>
              <w:spacing w:after="0"/>
              <w:rPr>
                <w:sz w:val="13"/>
                <w:szCs w:val="13"/>
                <w:color w:val="auto"/>
              </w:rPr>
            </w:pPr>
          </w:p>
        </w:tc>
        <w:tc>
          <w:tcPr>
            <w:tcW w:w="1000" w:type="dxa"/>
            <w:vAlign w:val="bottom"/>
          </w:tcPr>
          <w:p>
            <w:pPr>
              <w:jc w:val="center"/>
              <w:ind w:right="307"/>
              <w:spacing w:after="0" w:line="160" w:lineRule="exact"/>
              <w:rPr>
                <w:sz w:val="20"/>
                <w:szCs w:val="20"/>
                <w:color w:val="auto"/>
              </w:rPr>
            </w:pPr>
            <w:r>
              <w:rPr>
                <w:rFonts w:ascii="Arial" w:cs="Arial" w:eastAsia="Arial" w:hAnsi="Arial"/>
                <w:sz w:val="14"/>
                <w:szCs w:val="14"/>
                <w:b w:val="1"/>
                <w:bCs w:val="1"/>
                <w:color w:val="E2231A"/>
                <w:w w:val="99"/>
              </w:rPr>
              <w:t>Value of</w:t>
            </w:r>
          </w:p>
        </w:tc>
        <w:tc>
          <w:tcPr>
            <w:tcW w:w="360" w:type="dxa"/>
            <w:vAlign w:val="bottom"/>
          </w:tcPr>
          <w:p>
            <w:pPr>
              <w:spacing w:after="0"/>
              <w:rPr>
                <w:sz w:val="13"/>
                <w:szCs w:val="13"/>
                <w:color w:val="auto"/>
              </w:rPr>
            </w:pPr>
          </w:p>
        </w:tc>
        <w:tc>
          <w:tcPr>
            <w:tcW w:w="700" w:type="dxa"/>
            <w:vAlign w:val="bottom"/>
          </w:tcPr>
          <w:p>
            <w:pPr>
              <w:jc w:val="center"/>
              <w:ind w:right="87"/>
              <w:spacing w:after="0" w:line="160" w:lineRule="exact"/>
              <w:rPr>
                <w:sz w:val="20"/>
                <w:szCs w:val="20"/>
                <w:color w:val="auto"/>
              </w:rPr>
            </w:pPr>
            <w:r>
              <w:rPr>
                <w:rFonts w:ascii="Arial" w:cs="Arial" w:eastAsia="Arial" w:hAnsi="Arial"/>
                <w:sz w:val="14"/>
                <w:szCs w:val="14"/>
                <w:b w:val="1"/>
                <w:bCs w:val="1"/>
                <w:color w:val="E2231A"/>
              </w:rPr>
              <w:t>During</w:t>
            </w:r>
          </w:p>
        </w:tc>
      </w:tr>
      <w:tr>
        <w:trPr>
          <w:trHeight w:val="156"/>
        </w:trPr>
        <w:tc>
          <w:tcPr>
            <w:tcW w:w="23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060" w:type="dxa"/>
            <w:vAlign w:val="bottom"/>
          </w:tcPr>
          <w:p>
            <w:pPr>
              <w:jc w:val="center"/>
              <w:spacing w:after="0" w:line="157" w:lineRule="exact"/>
              <w:rPr>
                <w:sz w:val="20"/>
                <w:szCs w:val="20"/>
                <w:color w:val="auto"/>
              </w:rPr>
            </w:pPr>
            <w:r>
              <w:rPr>
                <w:rFonts w:ascii="Arial" w:cs="Arial" w:eastAsia="Arial" w:hAnsi="Arial"/>
                <w:sz w:val="14"/>
                <w:szCs w:val="14"/>
                <w:b w:val="1"/>
                <w:bCs w:val="1"/>
                <w:color w:val="E2231A"/>
              </w:rPr>
              <w:t>Service</w:t>
            </w:r>
          </w:p>
        </w:tc>
        <w:tc>
          <w:tcPr>
            <w:tcW w:w="1140" w:type="dxa"/>
            <w:vAlign w:val="bottom"/>
          </w:tcPr>
          <w:p>
            <w:pPr>
              <w:jc w:val="center"/>
              <w:spacing w:after="0" w:line="157" w:lineRule="exact"/>
              <w:rPr>
                <w:sz w:val="20"/>
                <w:szCs w:val="20"/>
                <w:color w:val="auto"/>
              </w:rPr>
            </w:pPr>
            <w:r>
              <w:rPr>
                <w:rFonts w:ascii="Arial" w:cs="Arial" w:eastAsia="Arial" w:hAnsi="Arial"/>
                <w:sz w:val="14"/>
                <w:szCs w:val="14"/>
                <w:b w:val="1"/>
                <w:bCs w:val="1"/>
                <w:color w:val="E2231A"/>
                <w:w w:val="98"/>
              </w:rPr>
              <w:t>Vesting</w:t>
            </w:r>
          </w:p>
        </w:tc>
        <w:tc>
          <w:tcPr>
            <w:tcW w:w="1380" w:type="dxa"/>
            <w:vAlign w:val="bottom"/>
            <w:gridSpan w:val="2"/>
          </w:tcPr>
          <w:p>
            <w:pPr>
              <w:ind w:left="240"/>
              <w:spacing w:after="0" w:line="157" w:lineRule="exact"/>
              <w:rPr>
                <w:sz w:val="20"/>
                <w:szCs w:val="20"/>
                <w:color w:val="auto"/>
              </w:rPr>
            </w:pPr>
            <w:r>
              <w:rPr>
                <w:rFonts w:ascii="Arial" w:cs="Arial" w:eastAsia="Arial" w:hAnsi="Arial"/>
                <w:sz w:val="14"/>
                <w:szCs w:val="14"/>
                <w:b w:val="1"/>
                <w:bCs w:val="1"/>
                <w:color w:val="E2231A"/>
              </w:rPr>
              <w:t>Accumulated</w:t>
            </w:r>
          </w:p>
        </w:tc>
        <w:tc>
          <w:tcPr>
            <w:tcW w:w="1060" w:type="dxa"/>
            <w:vAlign w:val="bottom"/>
            <w:gridSpan w:val="2"/>
          </w:tcPr>
          <w:p>
            <w:pPr>
              <w:ind w:left="260"/>
              <w:spacing w:after="0" w:line="157" w:lineRule="exact"/>
              <w:rPr>
                <w:sz w:val="20"/>
                <w:szCs w:val="20"/>
                <w:color w:val="auto"/>
              </w:rPr>
            </w:pPr>
            <w:r>
              <w:rPr>
                <w:rFonts w:ascii="Arial" w:cs="Arial" w:eastAsia="Arial" w:hAnsi="Arial"/>
                <w:sz w:val="14"/>
                <w:szCs w:val="14"/>
                <w:b w:val="1"/>
                <w:bCs w:val="1"/>
                <w:color w:val="E2231A"/>
              </w:rPr>
              <w:t>Last Fiscal</w:t>
            </w:r>
          </w:p>
        </w:tc>
      </w:tr>
      <w:tr>
        <w:trPr>
          <w:trHeight w:val="176"/>
        </w:trPr>
        <w:tc>
          <w:tcPr>
            <w:tcW w:w="23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Name(a)</w:t>
            </w:r>
          </w:p>
        </w:tc>
        <w:tc>
          <w:tcPr>
            <w:tcW w:w="3860" w:type="dxa"/>
            <w:vAlign w:val="bottom"/>
            <w:tcBorders>
              <w:bottom w:val="single" w:sz="8" w:color="auto"/>
            </w:tcBorders>
          </w:tcPr>
          <w:p>
            <w:pPr>
              <w:jc w:val="right"/>
              <w:ind w:right="1326"/>
              <w:spacing w:after="0"/>
              <w:rPr>
                <w:sz w:val="20"/>
                <w:szCs w:val="20"/>
                <w:color w:val="auto"/>
              </w:rPr>
            </w:pPr>
            <w:r>
              <w:rPr>
                <w:rFonts w:ascii="Arial" w:cs="Arial" w:eastAsia="Arial" w:hAnsi="Arial"/>
                <w:sz w:val="14"/>
                <w:szCs w:val="14"/>
                <w:b w:val="1"/>
                <w:bCs w:val="1"/>
                <w:color w:val="E2231A"/>
              </w:rPr>
              <w:t>Plan Name(s)(b)</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(c)</w:t>
            </w:r>
          </w:p>
        </w:tc>
        <w:tc>
          <w:tcPr>
            <w:tcW w:w="1140" w:type="dxa"/>
            <w:vAlign w:val="bottom"/>
            <w:tcBorders>
              <w:bottom w:val="single" w:sz="8" w:color="auto"/>
            </w:tcBorders>
          </w:tcPr>
          <w:p>
            <w:pPr>
              <w:jc w:val="right"/>
              <w:ind w:right="168"/>
              <w:spacing w:after="0" w:line="177" w:lineRule="exact"/>
              <w:rPr>
                <w:sz w:val="20"/>
                <w:szCs w:val="20"/>
                <w:color w:val="auto"/>
              </w:rPr>
            </w:pPr>
            <w:r>
              <w:rPr>
                <w:rFonts w:ascii="Arial" w:cs="Arial" w:eastAsia="Arial" w:hAnsi="Arial"/>
                <w:sz w:val="12"/>
                <w:szCs w:val="12"/>
                <w:b w:val="1"/>
                <w:bCs w:val="1"/>
                <w:color w:val="E2231A"/>
              </w:rPr>
              <w:t>Service</w:t>
            </w:r>
            <w:r>
              <w:rPr>
                <w:rFonts w:ascii="Arial" w:cs="Arial" w:eastAsia="Arial" w:hAnsi="Arial"/>
                <w:sz w:val="20"/>
                <w:szCs w:val="20"/>
                <w:b w:val="1"/>
                <w:bCs w:val="1"/>
                <w:color w:val="E2231A"/>
                <w:vertAlign w:val="superscript"/>
              </w:rPr>
              <w:t>(1)</w:t>
            </w:r>
          </w:p>
        </w:tc>
        <w:tc>
          <w:tcPr>
            <w:tcW w:w="1380" w:type="dxa"/>
            <w:vAlign w:val="bottom"/>
            <w:tcBorders>
              <w:bottom w:val="single" w:sz="8" w:color="auto"/>
            </w:tcBorders>
            <w:gridSpan w:val="2"/>
          </w:tcPr>
          <w:p>
            <w:pPr>
              <w:jc w:val="center"/>
              <w:spacing w:after="0" w:line="177" w:lineRule="exact"/>
              <w:rPr>
                <w:sz w:val="20"/>
                <w:szCs w:val="20"/>
                <w:color w:val="auto"/>
              </w:rPr>
            </w:pPr>
            <w:r>
              <w:rPr>
                <w:rFonts w:ascii="Arial" w:cs="Arial" w:eastAsia="Arial" w:hAnsi="Arial"/>
                <w:sz w:val="12"/>
                <w:szCs w:val="12"/>
                <w:b w:val="1"/>
                <w:bCs w:val="1"/>
                <w:color w:val="E2231A"/>
              </w:rPr>
              <w:t>Benefit</w:t>
            </w:r>
            <w:r>
              <w:rPr>
                <w:rFonts w:ascii="Arial" w:cs="Arial" w:eastAsia="Arial" w:hAnsi="Arial"/>
                <w:sz w:val="20"/>
                <w:szCs w:val="20"/>
                <w:b w:val="1"/>
                <w:bCs w:val="1"/>
                <w:color w:val="E2231A"/>
                <w:vertAlign w:val="superscript"/>
              </w:rPr>
              <w:t>(2)</w:t>
            </w:r>
            <w:r>
              <w:rPr>
                <w:rFonts w:ascii="Arial" w:cs="Arial" w:eastAsia="Arial" w:hAnsi="Arial"/>
                <w:sz w:val="12"/>
                <w:szCs w:val="12"/>
                <w:b w:val="1"/>
                <w:bCs w:val="1"/>
                <w:color w:val="E2231A"/>
              </w:rPr>
              <w:t>(d)</w:t>
            </w: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E2231A"/>
              </w:rPr>
              <w:t>Year(e)</w:t>
            </w:r>
          </w:p>
        </w:tc>
      </w:tr>
      <w:tr>
        <w:trPr>
          <w:trHeight w:val="180"/>
        </w:trPr>
        <w:tc>
          <w:tcPr>
            <w:tcW w:w="2380" w:type="dxa"/>
            <w:vAlign w:val="bottom"/>
            <w:shd w:val="clear" w:color="auto" w:fill="FCE9E8"/>
          </w:tcPr>
          <w:p>
            <w:pPr>
              <w:ind w:left="80"/>
              <w:spacing w:after="0" w:line="180" w:lineRule="exact"/>
              <w:rPr>
                <w:sz w:val="20"/>
                <w:szCs w:val="20"/>
                <w:color w:val="auto"/>
              </w:rPr>
            </w:pPr>
            <w:r>
              <w:rPr>
                <w:rFonts w:ascii="Arial" w:cs="Arial" w:eastAsia="Arial" w:hAnsi="Arial"/>
                <w:sz w:val="16"/>
                <w:szCs w:val="16"/>
                <w:color w:val="auto"/>
              </w:rPr>
              <w:t>Raymond E. Scott</w:t>
            </w:r>
          </w:p>
        </w:tc>
        <w:tc>
          <w:tcPr>
            <w:tcW w:w="3860" w:type="dxa"/>
            <w:vAlign w:val="bottom"/>
            <w:shd w:val="clear" w:color="auto" w:fill="FCE9E8"/>
          </w:tcPr>
          <w:p>
            <w:pPr>
              <w:jc w:val="right"/>
              <w:ind w:right="146"/>
              <w:spacing w:after="0" w:line="180" w:lineRule="exact"/>
              <w:rPr>
                <w:sz w:val="20"/>
                <w:szCs w:val="20"/>
                <w:color w:val="auto"/>
              </w:rPr>
            </w:pPr>
            <w:r>
              <w:rPr>
                <w:rFonts w:ascii="Arial" w:cs="Arial" w:eastAsia="Arial" w:hAnsi="Arial"/>
                <w:sz w:val="16"/>
                <w:szCs w:val="16"/>
                <w:color w:val="auto"/>
              </w:rPr>
              <w:t>Pension Plan (tax-qualified plan)</w:t>
            </w:r>
          </w:p>
        </w:tc>
        <w:tc>
          <w:tcPr>
            <w:tcW w:w="1060" w:type="dxa"/>
            <w:vAlign w:val="bottom"/>
            <w:shd w:val="clear" w:color="auto" w:fill="FCE9E8"/>
          </w:tcPr>
          <w:p>
            <w:pPr>
              <w:jc w:val="right"/>
              <w:ind w:right="187"/>
              <w:spacing w:after="0" w:line="180" w:lineRule="exact"/>
              <w:rPr>
                <w:sz w:val="20"/>
                <w:szCs w:val="20"/>
                <w:color w:val="auto"/>
              </w:rPr>
            </w:pPr>
            <w:r>
              <w:rPr>
                <w:rFonts w:ascii="Arial" w:cs="Arial" w:eastAsia="Arial" w:hAnsi="Arial"/>
                <w:sz w:val="16"/>
                <w:szCs w:val="16"/>
                <w:color w:val="auto"/>
              </w:rPr>
              <w:t>18.4</w:t>
            </w:r>
          </w:p>
        </w:tc>
        <w:tc>
          <w:tcPr>
            <w:tcW w:w="1140" w:type="dxa"/>
            <w:vAlign w:val="bottom"/>
            <w:shd w:val="clear" w:color="auto" w:fill="FCE9E8"/>
          </w:tcPr>
          <w:p>
            <w:pPr>
              <w:jc w:val="right"/>
              <w:ind w:right="168"/>
              <w:spacing w:after="0" w:line="180" w:lineRule="exact"/>
              <w:rPr>
                <w:sz w:val="20"/>
                <w:szCs w:val="20"/>
                <w:color w:val="auto"/>
              </w:rPr>
            </w:pPr>
            <w:r>
              <w:rPr>
                <w:rFonts w:ascii="Arial" w:cs="Arial" w:eastAsia="Arial" w:hAnsi="Arial"/>
                <w:sz w:val="16"/>
                <w:szCs w:val="16"/>
                <w:color w:val="auto"/>
              </w:rPr>
              <w:t>30.4</w:t>
            </w:r>
          </w:p>
        </w:tc>
        <w:tc>
          <w:tcPr>
            <w:tcW w:w="380" w:type="dxa"/>
            <w:vAlign w:val="bottom"/>
            <w:shd w:val="clear" w:color="auto" w:fill="FCE9E8"/>
          </w:tcPr>
          <w:p>
            <w:pPr>
              <w:ind w:left="240"/>
              <w:spacing w:after="0" w:line="180" w:lineRule="exact"/>
              <w:rPr>
                <w:sz w:val="20"/>
                <w:szCs w:val="20"/>
                <w:color w:val="auto"/>
              </w:rPr>
            </w:pPr>
            <w:r>
              <w:rPr>
                <w:rFonts w:ascii="Arial" w:cs="Arial" w:eastAsia="Arial" w:hAnsi="Arial"/>
                <w:sz w:val="16"/>
                <w:szCs w:val="16"/>
                <w:color w:val="auto"/>
              </w:rPr>
              <w:t>$</w:t>
            </w:r>
          </w:p>
        </w:tc>
        <w:tc>
          <w:tcPr>
            <w:tcW w:w="1000" w:type="dxa"/>
            <w:vAlign w:val="bottom"/>
            <w:shd w:val="clear" w:color="auto" w:fill="FCE9E8"/>
          </w:tcPr>
          <w:p>
            <w:pPr>
              <w:jc w:val="right"/>
              <w:ind w:right="167"/>
              <w:spacing w:after="0" w:line="180" w:lineRule="exact"/>
              <w:rPr>
                <w:sz w:val="20"/>
                <w:szCs w:val="20"/>
                <w:color w:val="auto"/>
              </w:rPr>
            </w:pPr>
            <w:r>
              <w:rPr>
                <w:rFonts w:ascii="Arial" w:cs="Arial" w:eastAsia="Arial" w:hAnsi="Arial"/>
                <w:sz w:val="16"/>
                <w:szCs w:val="16"/>
                <w:color w:val="auto"/>
              </w:rPr>
              <w:t>437,293</w:t>
            </w:r>
          </w:p>
        </w:tc>
        <w:tc>
          <w:tcPr>
            <w:tcW w:w="360" w:type="dxa"/>
            <w:vAlign w:val="bottom"/>
            <w:shd w:val="clear" w:color="auto" w:fill="FCE9E8"/>
          </w:tcPr>
          <w:p>
            <w:pPr>
              <w:ind w:left="240"/>
              <w:spacing w:after="0" w:line="180" w:lineRule="exact"/>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380"/>
              <w:spacing w:after="0" w:line="180" w:lineRule="exact"/>
              <w:rPr>
                <w:sz w:val="20"/>
                <w:szCs w:val="20"/>
                <w:color w:val="auto"/>
              </w:rPr>
            </w:pPr>
            <w:r>
              <w:rPr>
                <w:rFonts w:ascii="Arial" w:cs="Arial" w:eastAsia="Arial" w:hAnsi="Arial"/>
                <w:sz w:val="16"/>
                <w:szCs w:val="16"/>
                <w:color w:val="auto"/>
              </w:rPr>
              <w:t>—</w:t>
            </w:r>
          </w:p>
        </w:tc>
      </w:tr>
      <w:tr>
        <w:trPr>
          <w:trHeight w:val="186"/>
        </w:trPr>
        <w:tc>
          <w:tcPr>
            <w:tcW w:w="2380" w:type="dxa"/>
            <w:vAlign w:val="bottom"/>
            <w:shd w:val="clear" w:color="auto" w:fill="FCE9E8"/>
          </w:tcPr>
          <w:p>
            <w:pPr>
              <w:spacing w:after="0"/>
              <w:rPr>
                <w:sz w:val="16"/>
                <w:szCs w:val="16"/>
                <w:color w:val="auto"/>
              </w:rPr>
            </w:pPr>
          </w:p>
        </w:tc>
        <w:tc>
          <w:tcPr>
            <w:tcW w:w="3860" w:type="dxa"/>
            <w:vAlign w:val="bottom"/>
            <w:shd w:val="clear" w:color="auto" w:fill="FCE9E8"/>
          </w:tcPr>
          <w:p>
            <w:pPr>
              <w:jc w:val="right"/>
              <w:ind w:right="146"/>
              <w:spacing w:after="0"/>
              <w:rPr>
                <w:sz w:val="20"/>
                <w:szCs w:val="20"/>
                <w:color w:val="auto"/>
              </w:rPr>
            </w:pPr>
            <w:r>
              <w:rPr>
                <w:rFonts w:ascii="Arial" w:cs="Arial" w:eastAsia="Arial" w:hAnsi="Arial"/>
                <w:sz w:val="16"/>
                <w:szCs w:val="16"/>
                <w:color w:val="auto"/>
              </w:rPr>
              <w:t>Pension Equalization Program</w:t>
            </w:r>
          </w:p>
        </w:tc>
        <w:tc>
          <w:tcPr>
            <w:tcW w:w="1060" w:type="dxa"/>
            <w:vAlign w:val="bottom"/>
            <w:shd w:val="clear" w:color="auto" w:fill="FCE9E8"/>
          </w:tcPr>
          <w:p>
            <w:pPr>
              <w:jc w:val="right"/>
              <w:ind w:right="187"/>
              <w:spacing w:after="0"/>
              <w:rPr>
                <w:sz w:val="20"/>
                <w:szCs w:val="20"/>
                <w:color w:val="auto"/>
              </w:rPr>
            </w:pPr>
            <w:r>
              <w:rPr>
                <w:rFonts w:ascii="Arial" w:cs="Arial" w:eastAsia="Arial" w:hAnsi="Arial"/>
                <w:sz w:val="16"/>
                <w:szCs w:val="16"/>
                <w:color w:val="auto"/>
              </w:rPr>
              <w:t>18.4</w:t>
            </w:r>
          </w:p>
        </w:tc>
        <w:tc>
          <w:tcPr>
            <w:tcW w:w="1140" w:type="dxa"/>
            <w:vAlign w:val="bottom"/>
            <w:shd w:val="clear" w:color="auto" w:fill="FCE9E8"/>
          </w:tcPr>
          <w:p>
            <w:pPr>
              <w:jc w:val="right"/>
              <w:ind w:right="168"/>
              <w:spacing w:after="0"/>
              <w:rPr>
                <w:sz w:val="20"/>
                <w:szCs w:val="20"/>
                <w:color w:val="auto"/>
              </w:rPr>
            </w:pPr>
            <w:r>
              <w:rPr>
                <w:rFonts w:ascii="Arial" w:cs="Arial" w:eastAsia="Arial" w:hAnsi="Arial"/>
                <w:sz w:val="16"/>
                <w:szCs w:val="16"/>
                <w:color w:val="auto"/>
              </w:rPr>
              <w:t>30.4</w:t>
            </w:r>
          </w:p>
        </w:tc>
        <w:tc>
          <w:tcPr>
            <w:tcW w:w="38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FCE9E8"/>
          </w:tcPr>
          <w:p>
            <w:pPr>
              <w:jc w:val="right"/>
              <w:ind w:right="167"/>
              <w:spacing w:after="0"/>
              <w:rPr>
                <w:sz w:val="20"/>
                <w:szCs w:val="20"/>
                <w:color w:val="auto"/>
              </w:rPr>
            </w:pPr>
            <w:r>
              <w:rPr>
                <w:rFonts w:ascii="Arial" w:cs="Arial" w:eastAsia="Arial" w:hAnsi="Arial"/>
                <w:sz w:val="16"/>
                <w:szCs w:val="16"/>
                <w:color w:val="auto"/>
              </w:rPr>
              <w:t>539,980</w:t>
            </w:r>
          </w:p>
        </w:tc>
        <w:tc>
          <w:tcPr>
            <w:tcW w:w="36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380"/>
              <w:spacing w:after="0"/>
              <w:rPr>
                <w:sz w:val="20"/>
                <w:szCs w:val="20"/>
                <w:color w:val="auto"/>
              </w:rPr>
            </w:pPr>
            <w:r>
              <w:rPr>
                <w:rFonts w:ascii="Arial" w:cs="Arial" w:eastAsia="Arial" w:hAnsi="Arial"/>
                <w:sz w:val="16"/>
                <w:szCs w:val="16"/>
                <w:color w:val="auto"/>
              </w:rPr>
              <w:t>—</w:t>
            </w:r>
          </w:p>
        </w:tc>
      </w:tr>
      <w:tr>
        <w:trPr>
          <w:trHeight w:val="186"/>
        </w:trPr>
        <w:tc>
          <w:tcPr>
            <w:tcW w:w="2380" w:type="dxa"/>
            <w:vAlign w:val="bottom"/>
            <w:shd w:val="clear" w:color="auto" w:fill="FCE9E8"/>
          </w:tcPr>
          <w:p>
            <w:pPr>
              <w:spacing w:after="0"/>
              <w:rPr>
                <w:sz w:val="16"/>
                <w:szCs w:val="16"/>
                <w:color w:val="auto"/>
              </w:rPr>
            </w:pPr>
          </w:p>
        </w:tc>
        <w:tc>
          <w:tcPr>
            <w:tcW w:w="3860" w:type="dxa"/>
            <w:vAlign w:val="bottom"/>
            <w:shd w:val="clear" w:color="auto" w:fill="FCE9E8"/>
          </w:tcPr>
          <w:p>
            <w:pPr>
              <w:jc w:val="right"/>
              <w:ind w:right="146"/>
              <w:spacing w:after="0"/>
              <w:rPr>
                <w:sz w:val="20"/>
                <w:szCs w:val="20"/>
                <w:color w:val="auto"/>
              </w:rPr>
            </w:pPr>
            <w:r>
              <w:rPr>
                <w:rFonts w:ascii="Arial" w:cs="Arial" w:eastAsia="Arial" w:hAnsi="Arial"/>
                <w:sz w:val="16"/>
                <w:szCs w:val="16"/>
                <w:color w:val="auto"/>
              </w:rPr>
              <w:t>Salaried Retirement Restoration Program</w:t>
            </w:r>
          </w:p>
        </w:tc>
        <w:tc>
          <w:tcPr>
            <w:tcW w:w="1060" w:type="dxa"/>
            <w:vAlign w:val="bottom"/>
            <w:shd w:val="clear" w:color="auto" w:fill="FCE9E8"/>
          </w:tcPr>
          <w:p>
            <w:pPr>
              <w:jc w:val="right"/>
              <w:ind w:right="187"/>
              <w:spacing w:after="0"/>
              <w:rPr>
                <w:sz w:val="20"/>
                <w:szCs w:val="20"/>
                <w:color w:val="auto"/>
              </w:rPr>
            </w:pPr>
            <w:r>
              <w:rPr>
                <w:rFonts w:ascii="Arial" w:cs="Arial" w:eastAsia="Arial" w:hAnsi="Arial"/>
                <w:sz w:val="16"/>
                <w:szCs w:val="16"/>
                <w:color w:val="auto"/>
              </w:rPr>
              <w:t>18.4</w:t>
            </w:r>
          </w:p>
        </w:tc>
        <w:tc>
          <w:tcPr>
            <w:tcW w:w="1140" w:type="dxa"/>
            <w:vAlign w:val="bottom"/>
            <w:shd w:val="clear" w:color="auto" w:fill="FCE9E8"/>
          </w:tcPr>
          <w:p>
            <w:pPr>
              <w:jc w:val="right"/>
              <w:ind w:right="168"/>
              <w:spacing w:after="0"/>
              <w:rPr>
                <w:sz w:val="20"/>
                <w:szCs w:val="20"/>
                <w:color w:val="auto"/>
              </w:rPr>
            </w:pPr>
            <w:r>
              <w:rPr>
                <w:rFonts w:ascii="Arial" w:cs="Arial" w:eastAsia="Arial" w:hAnsi="Arial"/>
                <w:sz w:val="16"/>
                <w:szCs w:val="16"/>
                <w:color w:val="auto"/>
              </w:rPr>
              <w:t>30.4</w:t>
            </w:r>
          </w:p>
        </w:tc>
        <w:tc>
          <w:tcPr>
            <w:tcW w:w="38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FCE9E8"/>
          </w:tcPr>
          <w:p>
            <w:pPr>
              <w:jc w:val="right"/>
              <w:ind w:right="167"/>
              <w:spacing w:after="0"/>
              <w:rPr>
                <w:sz w:val="20"/>
                <w:szCs w:val="20"/>
                <w:color w:val="auto"/>
              </w:rPr>
            </w:pPr>
            <w:r>
              <w:rPr>
                <w:rFonts w:ascii="Arial" w:cs="Arial" w:eastAsia="Arial" w:hAnsi="Arial"/>
                <w:sz w:val="16"/>
                <w:szCs w:val="16"/>
                <w:color w:val="auto"/>
              </w:rPr>
              <w:t>350,140</w:t>
            </w:r>
          </w:p>
        </w:tc>
        <w:tc>
          <w:tcPr>
            <w:tcW w:w="36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380"/>
              <w:spacing w:after="0"/>
              <w:rPr>
                <w:sz w:val="20"/>
                <w:szCs w:val="20"/>
                <w:color w:val="auto"/>
              </w:rPr>
            </w:pPr>
            <w:r>
              <w:rPr>
                <w:rFonts w:ascii="Arial" w:cs="Arial" w:eastAsia="Arial" w:hAnsi="Arial"/>
                <w:sz w:val="16"/>
                <w:szCs w:val="16"/>
                <w:color w:val="auto"/>
              </w:rPr>
              <w:t>—</w:t>
            </w:r>
          </w:p>
        </w:tc>
      </w:tr>
      <w:tr>
        <w:trPr>
          <w:trHeight w:val="17"/>
        </w:trPr>
        <w:tc>
          <w:tcPr>
            <w:tcW w:w="2380" w:type="dxa"/>
            <w:vAlign w:val="bottom"/>
            <w:shd w:val="clear" w:color="auto" w:fill="000000"/>
          </w:tcPr>
          <w:p>
            <w:pPr>
              <w:ind w:left="100"/>
              <w:spacing w:after="0"/>
              <w:rPr>
                <w:sz w:val="20"/>
                <w:szCs w:val="20"/>
                <w:color w:val="auto"/>
              </w:rPr>
            </w:pPr>
            <w:r>
              <w:rPr>
                <w:rFonts w:ascii="Arial" w:cs="Arial" w:eastAsia="Arial" w:hAnsi="Arial"/>
                <w:sz w:val="1"/>
                <w:szCs w:val="1"/>
                <w:color w:val="auto"/>
              </w:rPr>
              <w:t>Jeffrey H. Vanneste</w:t>
            </w:r>
          </w:p>
        </w:tc>
        <w:tc>
          <w:tcPr>
            <w:tcW w:w="3860" w:type="dxa"/>
            <w:vAlign w:val="bottom"/>
            <w:shd w:val="clear" w:color="auto" w:fill="000000"/>
          </w:tcPr>
          <w:p>
            <w:pPr>
              <w:jc w:val="right"/>
              <w:ind w:right="146"/>
              <w:spacing w:after="0"/>
              <w:rPr>
                <w:sz w:val="20"/>
                <w:szCs w:val="20"/>
                <w:color w:val="auto"/>
              </w:rPr>
            </w:pPr>
            <w:r>
              <w:rPr>
                <w:rFonts w:ascii="Arial" w:cs="Arial" w:eastAsia="Arial" w:hAnsi="Arial"/>
                <w:sz w:val="1"/>
                <w:szCs w:val="1"/>
                <w:color w:val="auto"/>
              </w:rPr>
              <w:t>Pension Plan (tax-qualified plan)</w:t>
            </w:r>
          </w:p>
        </w:tc>
        <w:tc>
          <w:tcPr>
            <w:tcW w:w="1060" w:type="dxa"/>
            <w:vAlign w:val="bottom"/>
            <w:shd w:val="clear" w:color="auto" w:fill="000000"/>
          </w:tcPr>
          <w:p>
            <w:pPr>
              <w:jc w:val="right"/>
              <w:ind w:right="187"/>
              <w:spacing w:after="0"/>
              <w:rPr>
                <w:sz w:val="20"/>
                <w:szCs w:val="20"/>
                <w:color w:val="auto"/>
              </w:rPr>
            </w:pPr>
            <w:r>
              <w:rPr>
                <w:rFonts w:ascii="Arial" w:cs="Arial" w:eastAsia="Arial" w:hAnsi="Arial"/>
                <w:sz w:val="1"/>
                <w:szCs w:val="1"/>
                <w:color w:val="auto"/>
              </w:rPr>
              <w:t>15.3</w:t>
            </w:r>
          </w:p>
        </w:tc>
        <w:tc>
          <w:tcPr>
            <w:tcW w:w="1140" w:type="dxa"/>
            <w:vAlign w:val="bottom"/>
            <w:shd w:val="clear" w:color="auto" w:fill="000000"/>
          </w:tcPr>
          <w:p>
            <w:pPr>
              <w:jc w:val="right"/>
              <w:ind w:right="168"/>
              <w:spacing w:after="0"/>
              <w:rPr>
                <w:sz w:val="20"/>
                <w:szCs w:val="20"/>
                <w:color w:val="auto"/>
              </w:rPr>
            </w:pPr>
            <w:r>
              <w:rPr>
                <w:rFonts w:ascii="Arial" w:cs="Arial" w:eastAsia="Arial" w:hAnsi="Arial"/>
                <w:sz w:val="1"/>
                <w:szCs w:val="1"/>
                <w:color w:val="auto"/>
              </w:rPr>
              <w:t>27.3</w:t>
            </w:r>
          </w:p>
        </w:tc>
        <w:tc>
          <w:tcPr>
            <w:tcW w:w="380" w:type="dxa"/>
            <w:vAlign w:val="bottom"/>
            <w:shd w:val="clear" w:color="auto" w:fill="000000"/>
          </w:tcPr>
          <w:p>
            <w:pPr>
              <w:ind w:left="240"/>
              <w:spacing w:after="0"/>
              <w:rPr>
                <w:sz w:val="20"/>
                <w:szCs w:val="20"/>
                <w:color w:val="auto"/>
              </w:rPr>
            </w:pPr>
            <w:r>
              <w:rPr>
                <w:rFonts w:ascii="Arial" w:cs="Arial" w:eastAsia="Arial" w:hAnsi="Arial"/>
                <w:sz w:val="1"/>
                <w:szCs w:val="1"/>
                <w:color w:val="auto"/>
              </w:rPr>
              <w:t>$</w:t>
            </w:r>
          </w:p>
        </w:tc>
        <w:tc>
          <w:tcPr>
            <w:tcW w:w="1000" w:type="dxa"/>
            <w:vAlign w:val="bottom"/>
            <w:shd w:val="clear" w:color="auto" w:fill="000000"/>
          </w:tcPr>
          <w:p>
            <w:pPr>
              <w:jc w:val="right"/>
              <w:ind w:right="167"/>
              <w:spacing w:after="0"/>
              <w:rPr>
                <w:sz w:val="20"/>
                <w:szCs w:val="20"/>
                <w:color w:val="auto"/>
              </w:rPr>
            </w:pPr>
            <w:r>
              <w:rPr>
                <w:rFonts w:ascii="Arial" w:cs="Arial" w:eastAsia="Arial" w:hAnsi="Arial"/>
                <w:sz w:val="1"/>
                <w:szCs w:val="1"/>
                <w:color w:val="auto"/>
              </w:rPr>
              <w:t>461,961</w:t>
            </w:r>
          </w:p>
        </w:tc>
        <w:tc>
          <w:tcPr>
            <w:tcW w:w="360" w:type="dxa"/>
            <w:vAlign w:val="bottom"/>
            <w:shd w:val="clear" w:color="auto" w:fill="000000"/>
          </w:tcPr>
          <w:p>
            <w:pPr>
              <w:ind w:left="240"/>
              <w:spacing w:after="0"/>
              <w:rPr>
                <w:sz w:val="20"/>
                <w:szCs w:val="20"/>
                <w:color w:val="auto"/>
              </w:rPr>
            </w:pPr>
            <w:r>
              <w:rPr>
                <w:rFonts w:ascii="Arial" w:cs="Arial" w:eastAsia="Arial" w:hAnsi="Arial"/>
                <w:sz w:val="1"/>
                <w:szCs w:val="1"/>
                <w:color w:val="auto"/>
              </w:rPr>
              <w:t>$</w:t>
            </w:r>
          </w:p>
        </w:tc>
        <w:tc>
          <w:tcPr>
            <w:tcW w:w="700" w:type="dxa"/>
            <w:vAlign w:val="bottom"/>
            <w:shd w:val="clear" w:color="auto" w:fill="000000"/>
          </w:tcPr>
          <w:p>
            <w:pPr>
              <w:ind w:left="380"/>
              <w:spacing w:after="0"/>
              <w:rPr>
                <w:sz w:val="20"/>
                <w:szCs w:val="20"/>
                <w:color w:val="auto"/>
              </w:rPr>
            </w:pPr>
            <w:r>
              <w:rPr>
                <w:rFonts w:ascii="Arial" w:cs="Arial" w:eastAsia="Arial" w:hAnsi="Arial"/>
                <w:sz w:val="1"/>
                <w:szCs w:val="1"/>
                <w:color w:val="auto"/>
              </w:rPr>
              <w:t>—</w:t>
            </w:r>
          </w:p>
        </w:tc>
      </w:tr>
      <w:tr>
        <w:trPr>
          <w:trHeight w:val="172"/>
        </w:trPr>
        <w:tc>
          <w:tcPr>
            <w:tcW w:w="2380" w:type="dxa"/>
            <w:vAlign w:val="bottom"/>
          </w:tcPr>
          <w:p>
            <w:pPr>
              <w:ind w:left="1560"/>
              <w:spacing w:after="0"/>
              <w:rPr>
                <w:sz w:val="20"/>
                <w:szCs w:val="20"/>
                <w:color w:val="auto"/>
              </w:rPr>
            </w:pPr>
            <w:r>
              <w:rPr>
                <w:rFonts w:ascii="Arial" w:cs="Arial" w:eastAsia="Arial" w:hAnsi="Arial"/>
                <w:sz w:val="14"/>
                <w:szCs w:val="14"/>
                <w:color w:val="auto"/>
              </w:rPr>
              <w:t>(3)</w:t>
            </w:r>
          </w:p>
        </w:tc>
        <w:tc>
          <w:tcPr>
            <w:tcW w:w="3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0"/>
        </w:trPr>
        <w:tc>
          <w:tcPr>
            <w:tcW w:w="2380" w:type="dxa"/>
            <w:vAlign w:val="bottom"/>
          </w:tcPr>
          <w:p>
            <w:pPr>
              <w:spacing w:after="0"/>
              <w:rPr>
                <w:sz w:val="17"/>
                <w:szCs w:val="17"/>
                <w:color w:val="auto"/>
              </w:rPr>
            </w:pPr>
          </w:p>
        </w:tc>
        <w:tc>
          <w:tcPr>
            <w:tcW w:w="3860" w:type="dxa"/>
            <w:vAlign w:val="bottom"/>
          </w:tcPr>
          <w:p>
            <w:pPr>
              <w:jc w:val="right"/>
              <w:ind w:right="146"/>
              <w:spacing w:after="0"/>
              <w:rPr>
                <w:sz w:val="20"/>
                <w:szCs w:val="20"/>
                <w:color w:val="auto"/>
              </w:rPr>
            </w:pPr>
            <w:r>
              <w:rPr>
                <w:rFonts w:ascii="Arial" w:cs="Arial" w:eastAsia="Arial" w:hAnsi="Arial"/>
                <w:sz w:val="16"/>
                <w:szCs w:val="16"/>
                <w:color w:val="auto"/>
              </w:rPr>
              <w:t>Pension Equalization Program</w:t>
            </w:r>
          </w:p>
        </w:tc>
        <w:tc>
          <w:tcPr>
            <w:tcW w:w="1060" w:type="dxa"/>
            <w:vAlign w:val="bottom"/>
          </w:tcPr>
          <w:p>
            <w:pPr>
              <w:jc w:val="right"/>
              <w:ind w:right="187"/>
              <w:spacing w:after="0"/>
              <w:rPr>
                <w:sz w:val="20"/>
                <w:szCs w:val="20"/>
                <w:color w:val="auto"/>
              </w:rPr>
            </w:pPr>
            <w:r>
              <w:rPr>
                <w:rFonts w:ascii="Arial" w:cs="Arial" w:eastAsia="Arial" w:hAnsi="Arial"/>
                <w:sz w:val="16"/>
                <w:szCs w:val="16"/>
                <w:color w:val="auto"/>
              </w:rPr>
              <w:t>15.3</w:t>
            </w:r>
          </w:p>
        </w:tc>
        <w:tc>
          <w:tcPr>
            <w:tcW w:w="1140" w:type="dxa"/>
            <w:vAlign w:val="bottom"/>
          </w:tcPr>
          <w:p>
            <w:pPr>
              <w:jc w:val="right"/>
              <w:ind w:right="168"/>
              <w:spacing w:after="0"/>
              <w:rPr>
                <w:sz w:val="20"/>
                <w:szCs w:val="20"/>
                <w:color w:val="auto"/>
              </w:rPr>
            </w:pPr>
            <w:r>
              <w:rPr>
                <w:rFonts w:ascii="Arial" w:cs="Arial" w:eastAsia="Arial" w:hAnsi="Arial"/>
                <w:sz w:val="16"/>
                <w:szCs w:val="16"/>
                <w:color w:val="auto"/>
              </w:rPr>
              <w:t>27.3</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67"/>
              <w:spacing w:after="0"/>
              <w:rPr>
                <w:sz w:val="20"/>
                <w:szCs w:val="20"/>
                <w:color w:val="auto"/>
              </w:rPr>
            </w:pPr>
            <w:r>
              <w:rPr>
                <w:rFonts w:ascii="Arial" w:cs="Arial" w:eastAsia="Arial" w:hAnsi="Arial"/>
                <w:sz w:val="16"/>
                <w:szCs w:val="16"/>
                <w:color w:val="auto"/>
              </w:rPr>
              <w:t>86,627</w:t>
            </w:r>
          </w:p>
        </w:tc>
        <w:tc>
          <w:tcPr>
            <w:tcW w:w="360" w:type="dxa"/>
            <w:vAlign w:val="bottom"/>
          </w:tcPr>
          <w:p>
            <w:pPr>
              <w:ind w:left="240"/>
              <w:spacing w:after="0"/>
              <w:rPr>
                <w:sz w:val="20"/>
                <w:szCs w:val="20"/>
                <w:color w:val="auto"/>
              </w:rPr>
            </w:pPr>
            <w:r>
              <w:rPr>
                <w:rFonts w:ascii="Arial" w:cs="Arial" w:eastAsia="Arial" w:hAnsi="Arial"/>
                <w:sz w:val="16"/>
                <w:szCs w:val="16"/>
                <w:color w:val="auto"/>
              </w:rPr>
              <w:t>$</w:t>
            </w:r>
          </w:p>
        </w:tc>
        <w:tc>
          <w:tcPr>
            <w:tcW w:w="70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185"/>
        </w:trPr>
        <w:tc>
          <w:tcPr>
            <w:tcW w:w="238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jc w:val="right"/>
              <w:ind w:right="146"/>
              <w:spacing w:after="0"/>
              <w:rPr>
                <w:sz w:val="20"/>
                <w:szCs w:val="20"/>
                <w:color w:val="auto"/>
              </w:rPr>
            </w:pPr>
            <w:r>
              <w:rPr>
                <w:rFonts w:ascii="Arial" w:cs="Arial" w:eastAsia="Arial" w:hAnsi="Arial"/>
                <w:sz w:val="16"/>
                <w:szCs w:val="16"/>
                <w:color w:val="auto"/>
              </w:rPr>
              <w:t>Salaried Retirement Restoration Program</w:t>
            </w:r>
          </w:p>
        </w:tc>
        <w:tc>
          <w:tcPr>
            <w:tcW w:w="1060" w:type="dxa"/>
            <w:vAlign w:val="bottom"/>
            <w:tcBorders>
              <w:bottom w:val="single" w:sz="8" w:color="auto"/>
            </w:tcBorders>
          </w:tcPr>
          <w:p>
            <w:pPr>
              <w:jc w:val="right"/>
              <w:ind w:right="187"/>
              <w:spacing w:after="0"/>
              <w:rPr>
                <w:sz w:val="20"/>
                <w:szCs w:val="20"/>
                <w:color w:val="auto"/>
              </w:rPr>
            </w:pPr>
            <w:r>
              <w:rPr>
                <w:rFonts w:ascii="Arial" w:cs="Arial" w:eastAsia="Arial" w:hAnsi="Arial"/>
                <w:sz w:val="16"/>
                <w:szCs w:val="16"/>
                <w:color w:val="auto"/>
              </w:rPr>
              <w:t>15.3</w:t>
            </w: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6"/>
                <w:szCs w:val="16"/>
                <w:color w:val="auto"/>
              </w:rPr>
              <w:t>27.3</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67"/>
              <w:spacing w:after="0"/>
              <w:rPr>
                <w:sz w:val="20"/>
                <w:szCs w:val="20"/>
                <w:color w:val="auto"/>
              </w:rPr>
            </w:pPr>
            <w:r>
              <w:rPr>
                <w:rFonts w:ascii="Arial" w:cs="Arial" w:eastAsia="Arial" w:hAnsi="Arial"/>
                <w:sz w:val="16"/>
                <w:szCs w:val="16"/>
                <w:color w:val="auto"/>
              </w:rPr>
              <w:t>373,074</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r>
      <w:tr>
        <w:trPr>
          <w:trHeight w:val="180"/>
        </w:trPr>
        <w:tc>
          <w:tcPr>
            <w:tcW w:w="2380" w:type="dxa"/>
            <w:vAlign w:val="bottom"/>
            <w:tcBorders>
              <w:bottom w:val="single" w:sz="8" w:color="auto"/>
            </w:tcBorders>
            <w:shd w:val="clear" w:color="auto" w:fill="FCE9E8"/>
          </w:tcPr>
          <w:p>
            <w:pPr>
              <w:ind w:left="80"/>
              <w:spacing w:after="0" w:line="180" w:lineRule="exact"/>
              <w:rPr>
                <w:sz w:val="20"/>
                <w:szCs w:val="20"/>
                <w:color w:val="auto"/>
              </w:rPr>
            </w:pPr>
            <w:r>
              <w:rPr>
                <w:rFonts w:ascii="Arial" w:cs="Arial" w:eastAsia="Arial" w:hAnsi="Arial"/>
                <w:sz w:val="13"/>
                <w:szCs w:val="13"/>
                <w:color w:val="auto"/>
              </w:rPr>
              <w:t>Terrence B. Larkin</w:t>
            </w:r>
            <w:r>
              <w:rPr>
                <w:rFonts w:ascii="Arial" w:cs="Arial" w:eastAsia="Arial" w:hAnsi="Arial"/>
                <w:sz w:val="20"/>
                <w:szCs w:val="20"/>
                <w:color w:val="auto"/>
                <w:vertAlign w:val="superscript"/>
              </w:rPr>
              <w:t>(4)</w:t>
            </w:r>
          </w:p>
        </w:tc>
        <w:tc>
          <w:tcPr>
            <w:tcW w:w="3860" w:type="dxa"/>
            <w:vAlign w:val="bottom"/>
            <w:tcBorders>
              <w:bottom w:val="single" w:sz="8" w:color="auto"/>
            </w:tcBorders>
            <w:shd w:val="clear" w:color="auto" w:fill="FCE9E8"/>
          </w:tcPr>
          <w:p>
            <w:pPr>
              <w:jc w:val="right"/>
              <w:ind w:right="146"/>
              <w:spacing w:after="0" w:line="180" w:lineRule="exact"/>
              <w:rPr>
                <w:sz w:val="20"/>
                <w:szCs w:val="20"/>
                <w:color w:val="auto"/>
              </w:rPr>
            </w:pPr>
            <w:r>
              <w:rPr>
                <w:rFonts w:ascii="Arial" w:cs="Arial" w:eastAsia="Arial" w:hAnsi="Arial"/>
                <w:sz w:val="16"/>
                <w:szCs w:val="16"/>
                <w:color w:val="auto"/>
              </w:rPr>
              <w:t>N/A</w:t>
            </w:r>
          </w:p>
        </w:tc>
        <w:tc>
          <w:tcPr>
            <w:tcW w:w="1060" w:type="dxa"/>
            <w:vAlign w:val="bottom"/>
            <w:tcBorders>
              <w:bottom w:val="single" w:sz="8" w:color="auto"/>
            </w:tcBorders>
            <w:shd w:val="clear" w:color="auto" w:fill="FCE9E8"/>
          </w:tcPr>
          <w:p>
            <w:pPr>
              <w:spacing w:after="0"/>
              <w:rPr>
                <w:sz w:val="15"/>
                <w:szCs w:val="15"/>
                <w:color w:val="auto"/>
              </w:rPr>
            </w:pPr>
          </w:p>
        </w:tc>
        <w:tc>
          <w:tcPr>
            <w:tcW w:w="1140" w:type="dxa"/>
            <w:vAlign w:val="bottom"/>
            <w:tcBorders>
              <w:bottom w:val="single" w:sz="8" w:color="auto"/>
            </w:tcBorders>
            <w:shd w:val="clear" w:color="auto" w:fill="FCE9E8"/>
          </w:tcPr>
          <w:p>
            <w:pPr>
              <w:spacing w:after="0"/>
              <w:rPr>
                <w:sz w:val="15"/>
                <w:szCs w:val="15"/>
                <w:color w:val="auto"/>
              </w:rPr>
            </w:pPr>
          </w:p>
        </w:tc>
        <w:tc>
          <w:tcPr>
            <w:tcW w:w="380" w:type="dxa"/>
            <w:vAlign w:val="bottom"/>
            <w:tcBorders>
              <w:bottom w:val="single" w:sz="8" w:color="auto"/>
            </w:tcBorders>
            <w:shd w:val="clear" w:color="auto" w:fill="FCE9E8"/>
          </w:tcPr>
          <w:p>
            <w:pPr>
              <w:spacing w:after="0"/>
              <w:rPr>
                <w:sz w:val="15"/>
                <w:szCs w:val="15"/>
                <w:color w:val="auto"/>
              </w:rPr>
            </w:pPr>
          </w:p>
        </w:tc>
        <w:tc>
          <w:tcPr>
            <w:tcW w:w="1000" w:type="dxa"/>
            <w:vAlign w:val="bottom"/>
            <w:tcBorders>
              <w:bottom w:val="single" w:sz="8" w:color="auto"/>
            </w:tcBorders>
            <w:shd w:val="clear" w:color="auto" w:fill="FCE9E8"/>
          </w:tcPr>
          <w:p>
            <w:pPr>
              <w:spacing w:after="0"/>
              <w:rPr>
                <w:sz w:val="15"/>
                <w:szCs w:val="15"/>
                <w:color w:val="auto"/>
              </w:rPr>
            </w:pPr>
          </w:p>
        </w:tc>
        <w:tc>
          <w:tcPr>
            <w:tcW w:w="360" w:type="dxa"/>
            <w:vAlign w:val="bottom"/>
            <w:tcBorders>
              <w:bottom w:val="single" w:sz="8" w:color="auto"/>
            </w:tcBorders>
            <w:shd w:val="clear" w:color="auto" w:fill="FCE9E8"/>
          </w:tcPr>
          <w:p>
            <w:pPr>
              <w:spacing w:after="0"/>
              <w:rPr>
                <w:sz w:val="15"/>
                <w:szCs w:val="15"/>
                <w:color w:val="auto"/>
              </w:rPr>
            </w:pPr>
          </w:p>
        </w:tc>
        <w:tc>
          <w:tcPr>
            <w:tcW w:w="700" w:type="dxa"/>
            <w:vAlign w:val="bottom"/>
            <w:tcBorders>
              <w:bottom w:val="single" w:sz="8" w:color="auto"/>
            </w:tcBorders>
            <w:shd w:val="clear" w:color="auto" w:fill="FCE9E8"/>
          </w:tcPr>
          <w:p>
            <w:pPr>
              <w:spacing w:after="0"/>
              <w:rPr>
                <w:sz w:val="15"/>
                <w:szCs w:val="15"/>
                <w:color w:val="auto"/>
              </w:rPr>
            </w:pPr>
          </w:p>
        </w:tc>
      </w:tr>
      <w:tr>
        <w:trPr>
          <w:trHeight w:val="182"/>
        </w:trPr>
        <w:tc>
          <w:tcPr>
            <w:tcW w:w="2380" w:type="dxa"/>
            <w:vAlign w:val="bottom"/>
          </w:tcPr>
          <w:p>
            <w:pPr>
              <w:ind w:left="100"/>
              <w:spacing w:after="0" w:line="182" w:lineRule="exact"/>
              <w:rPr>
                <w:sz w:val="20"/>
                <w:szCs w:val="20"/>
                <w:color w:val="auto"/>
              </w:rPr>
            </w:pPr>
            <w:r>
              <w:rPr>
                <w:rFonts w:ascii="Arial" w:cs="Arial" w:eastAsia="Arial" w:hAnsi="Arial"/>
                <w:sz w:val="17"/>
                <w:szCs w:val="17"/>
                <w:color w:val="auto"/>
              </w:rPr>
              <w:t>Frank C. Orsini</w:t>
            </w:r>
          </w:p>
        </w:tc>
        <w:tc>
          <w:tcPr>
            <w:tcW w:w="3860" w:type="dxa"/>
            <w:vAlign w:val="bottom"/>
          </w:tcPr>
          <w:p>
            <w:pPr>
              <w:jc w:val="right"/>
              <w:ind w:right="146"/>
              <w:spacing w:after="0" w:line="181" w:lineRule="exact"/>
              <w:rPr>
                <w:sz w:val="20"/>
                <w:szCs w:val="20"/>
                <w:color w:val="auto"/>
              </w:rPr>
            </w:pPr>
            <w:r>
              <w:rPr>
                <w:rFonts w:ascii="Arial" w:cs="Arial" w:eastAsia="Arial" w:hAnsi="Arial"/>
                <w:sz w:val="16"/>
                <w:szCs w:val="16"/>
                <w:color w:val="auto"/>
              </w:rPr>
              <w:t>Pension Plan (tax-qualified plan)</w:t>
            </w:r>
          </w:p>
        </w:tc>
        <w:tc>
          <w:tcPr>
            <w:tcW w:w="1060" w:type="dxa"/>
            <w:vAlign w:val="bottom"/>
          </w:tcPr>
          <w:p>
            <w:pPr>
              <w:jc w:val="right"/>
              <w:ind w:right="187"/>
              <w:spacing w:after="0" w:line="181" w:lineRule="exact"/>
              <w:rPr>
                <w:sz w:val="20"/>
                <w:szCs w:val="20"/>
                <w:color w:val="auto"/>
              </w:rPr>
            </w:pPr>
            <w:r>
              <w:rPr>
                <w:rFonts w:ascii="Arial" w:cs="Arial" w:eastAsia="Arial" w:hAnsi="Arial"/>
                <w:sz w:val="16"/>
                <w:szCs w:val="16"/>
                <w:color w:val="auto"/>
              </w:rPr>
              <w:t>12.7</w:t>
            </w:r>
          </w:p>
        </w:tc>
        <w:tc>
          <w:tcPr>
            <w:tcW w:w="1140" w:type="dxa"/>
            <w:vAlign w:val="bottom"/>
          </w:tcPr>
          <w:p>
            <w:pPr>
              <w:jc w:val="right"/>
              <w:ind w:right="168"/>
              <w:spacing w:after="0" w:line="181" w:lineRule="exact"/>
              <w:rPr>
                <w:sz w:val="20"/>
                <w:szCs w:val="20"/>
                <w:color w:val="auto"/>
              </w:rPr>
            </w:pPr>
            <w:r>
              <w:rPr>
                <w:rFonts w:ascii="Arial" w:cs="Arial" w:eastAsia="Arial" w:hAnsi="Arial"/>
                <w:sz w:val="16"/>
                <w:szCs w:val="16"/>
                <w:color w:val="auto"/>
              </w:rPr>
              <w:t>24.7</w:t>
            </w:r>
          </w:p>
        </w:tc>
        <w:tc>
          <w:tcPr>
            <w:tcW w:w="380" w:type="dxa"/>
            <w:vAlign w:val="bottom"/>
          </w:tcPr>
          <w:p>
            <w:pPr>
              <w:ind w:left="24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67"/>
              <w:spacing w:after="0" w:line="181" w:lineRule="exact"/>
              <w:rPr>
                <w:sz w:val="20"/>
                <w:szCs w:val="20"/>
                <w:color w:val="auto"/>
              </w:rPr>
            </w:pPr>
            <w:r>
              <w:rPr>
                <w:rFonts w:ascii="Arial" w:cs="Arial" w:eastAsia="Arial" w:hAnsi="Arial"/>
                <w:sz w:val="16"/>
                <w:szCs w:val="16"/>
                <w:color w:val="auto"/>
              </w:rPr>
              <w:t>222,693</w:t>
            </w:r>
          </w:p>
        </w:tc>
        <w:tc>
          <w:tcPr>
            <w:tcW w:w="360" w:type="dxa"/>
            <w:vAlign w:val="bottom"/>
          </w:tcPr>
          <w:p>
            <w:pPr>
              <w:ind w:left="240"/>
              <w:spacing w:after="0" w:line="181" w:lineRule="exact"/>
              <w:rPr>
                <w:sz w:val="20"/>
                <w:szCs w:val="20"/>
                <w:color w:val="auto"/>
              </w:rPr>
            </w:pPr>
            <w:r>
              <w:rPr>
                <w:rFonts w:ascii="Arial" w:cs="Arial" w:eastAsia="Arial" w:hAnsi="Arial"/>
                <w:sz w:val="16"/>
                <w:szCs w:val="16"/>
                <w:color w:val="auto"/>
              </w:rPr>
              <w:t>$</w:t>
            </w:r>
          </w:p>
        </w:tc>
        <w:tc>
          <w:tcPr>
            <w:tcW w:w="700" w:type="dxa"/>
            <w:vAlign w:val="bottom"/>
          </w:tcPr>
          <w:p>
            <w:pPr>
              <w:ind w:left="380"/>
              <w:spacing w:after="0" w:line="181" w:lineRule="exact"/>
              <w:rPr>
                <w:sz w:val="20"/>
                <w:szCs w:val="20"/>
                <w:color w:val="auto"/>
              </w:rPr>
            </w:pPr>
            <w:r>
              <w:rPr>
                <w:rFonts w:ascii="Arial" w:cs="Arial" w:eastAsia="Arial" w:hAnsi="Arial"/>
                <w:sz w:val="16"/>
                <w:szCs w:val="16"/>
                <w:color w:val="auto"/>
              </w:rPr>
              <w:t>—</w:t>
            </w:r>
          </w:p>
        </w:tc>
      </w:tr>
      <w:tr>
        <w:trPr>
          <w:trHeight w:val="186"/>
        </w:trPr>
        <w:tc>
          <w:tcPr>
            <w:tcW w:w="2380" w:type="dxa"/>
            <w:vAlign w:val="bottom"/>
          </w:tcPr>
          <w:p>
            <w:pPr>
              <w:spacing w:after="0"/>
              <w:rPr>
                <w:sz w:val="16"/>
                <w:szCs w:val="16"/>
                <w:color w:val="auto"/>
              </w:rPr>
            </w:pPr>
          </w:p>
        </w:tc>
        <w:tc>
          <w:tcPr>
            <w:tcW w:w="3860" w:type="dxa"/>
            <w:vAlign w:val="bottom"/>
          </w:tcPr>
          <w:p>
            <w:pPr>
              <w:jc w:val="right"/>
              <w:ind w:right="146"/>
              <w:spacing w:after="0"/>
              <w:rPr>
                <w:sz w:val="20"/>
                <w:szCs w:val="20"/>
                <w:color w:val="auto"/>
              </w:rPr>
            </w:pPr>
            <w:r>
              <w:rPr>
                <w:rFonts w:ascii="Arial" w:cs="Arial" w:eastAsia="Arial" w:hAnsi="Arial"/>
                <w:sz w:val="16"/>
                <w:szCs w:val="16"/>
                <w:color w:val="auto"/>
              </w:rPr>
              <w:t>Pension Equalization Program</w:t>
            </w:r>
          </w:p>
        </w:tc>
        <w:tc>
          <w:tcPr>
            <w:tcW w:w="1060" w:type="dxa"/>
            <w:vAlign w:val="bottom"/>
          </w:tcPr>
          <w:p>
            <w:pPr>
              <w:jc w:val="right"/>
              <w:ind w:right="187"/>
              <w:spacing w:after="0"/>
              <w:rPr>
                <w:sz w:val="20"/>
                <w:szCs w:val="20"/>
                <w:color w:val="auto"/>
              </w:rPr>
            </w:pPr>
            <w:r>
              <w:rPr>
                <w:rFonts w:ascii="Arial" w:cs="Arial" w:eastAsia="Arial" w:hAnsi="Arial"/>
                <w:sz w:val="16"/>
                <w:szCs w:val="16"/>
                <w:color w:val="auto"/>
              </w:rPr>
              <w:t>12.7</w:t>
            </w:r>
          </w:p>
        </w:tc>
        <w:tc>
          <w:tcPr>
            <w:tcW w:w="1140" w:type="dxa"/>
            <w:vAlign w:val="bottom"/>
          </w:tcPr>
          <w:p>
            <w:pPr>
              <w:jc w:val="right"/>
              <w:ind w:right="168"/>
              <w:spacing w:after="0"/>
              <w:rPr>
                <w:sz w:val="20"/>
                <w:szCs w:val="20"/>
                <w:color w:val="auto"/>
              </w:rPr>
            </w:pPr>
            <w:r>
              <w:rPr>
                <w:rFonts w:ascii="Arial" w:cs="Arial" w:eastAsia="Arial" w:hAnsi="Arial"/>
                <w:sz w:val="16"/>
                <w:szCs w:val="16"/>
                <w:color w:val="auto"/>
              </w:rPr>
              <w:t>24.7</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67"/>
              <w:spacing w:after="0"/>
              <w:rPr>
                <w:sz w:val="20"/>
                <w:szCs w:val="20"/>
                <w:color w:val="auto"/>
              </w:rPr>
            </w:pPr>
            <w:r>
              <w:rPr>
                <w:rFonts w:ascii="Arial" w:cs="Arial" w:eastAsia="Arial" w:hAnsi="Arial"/>
                <w:sz w:val="16"/>
                <w:szCs w:val="16"/>
                <w:color w:val="auto"/>
              </w:rPr>
              <w:t>81,330</w:t>
            </w:r>
          </w:p>
        </w:tc>
        <w:tc>
          <w:tcPr>
            <w:tcW w:w="360" w:type="dxa"/>
            <w:vAlign w:val="bottom"/>
          </w:tcPr>
          <w:p>
            <w:pPr>
              <w:ind w:left="240"/>
              <w:spacing w:after="0"/>
              <w:rPr>
                <w:sz w:val="20"/>
                <w:szCs w:val="20"/>
                <w:color w:val="auto"/>
              </w:rPr>
            </w:pPr>
            <w:r>
              <w:rPr>
                <w:rFonts w:ascii="Arial" w:cs="Arial" w:eastAsia="Arial" w:hAnsi="Arial"/>
                <w:sz w:val="16"/>
                <w:szCs w:val="16"/>
                <w:color w:val="auto"/>
              </w:rPr>
              <w:t>$</w:t>
            </w:r>
          </w:p>
        </w:tc>
        <w:tc>
          <w:tcPr>
            <w:tcW w:w="70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185"/>
        </w:trPr>
        <w:tc>
          <w:tcPr>
            <w:tcW w:w="238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jc w:val="right"/>
              <w:ind w:right="146"/>
              <w:spacing w:after="0"/>
              <w:rPr>
                <w:sz w:val="20"/>
                <w:szCs w:val="20"/>
                <w:color w:val="auto"/>
              </w:rPr>
            </w:pPr>
            <w:r>
              <w:rPr>
                <w:rFonts w:ascii="Arial" w:cs="Arial" w:eastAsia="Arial" w:hAnsi="Arial"/>
                <w:sz w:val="16"/>
                <w:szCs w:val="16"/>
                <w:color w:val="auto"/>
              </w:rPr>
              <w:t>Salaried Retirement Restoration Program</w:t>
            </w:r>
          </w:p>
        </w:tc>
        <w:tc>
          <w:tcPr>
            <w:tcW w:w="1060" w:type="dxa"/>
            <w:vAlign w:val="bottom"/>
            <w:tcBorders>
              <w:bottom w:val="single" w:sz="8" w:color="auto"/>
            </w:tcBorders>
          </w:tcPr>
          <w:p>
            <w:pPr>
              <w:jc w:val="right"/>
              <w:ind w:right="187"/>
              <w:spacing w:after="0"/>
              <w:rPr>
                <w:sz w:val="20"/>
                <w:szCs w:val="20"/>
                <w:color w:val="auto"/>
              </w:rPr>
            </w:pPr>
            <w:r>
              <w:rPr>
                <w:rFonts w:ascii="Arial" w:cs="Arial" w:eastAsia="Arial" w:hAnsi="Arial"/>
                <w:sz w:val="16"/>
                <w:szCs w:val="16"/>
                <w:color w:val="auto"/>
              </w:rPr>
              <w:t>12.7</w:t>
            </w: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6"/>
                <w:szCs w:val="16"/>
                <w:color w:val="auto"/>
              </w:rPr>
              <w:t>24.7</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67"/>
              <w:spacing w:after="0"/>
              <w:rPr>
                <w:sz w:val="20"/>
                <w:szCs w:val="20"/>
                <w:color w:val="auto"/>
              </w:rPr>
            </w:pPr>
            <w:r>
              <w:rPr>
                <w:rFonts w:ascii="Arial" w:cs="Arial" w:eastAsia="Arial" w:hAnsi="Arial"/>
                <w:sz w:val="16"/>
                <w:szCs w:val="16"/>
                <w:color w:val="auto"/>
              </w:rPr>
              <w:t>104,035</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r>
      <w:tr>
        <w:trPr>
          <w:trHeight w:val="180"/>
        </w:trPr>
        <w:tc>
          <w:tcPr>
            <w:tcW w:w="2380" w:type="dxa"/>
            <w:vAlign w:val="bottom"/>
            <w:tcBorders>
              <w:bottom w:val="single" w:sz="8" w:color="auto"/>
            </w:tcBorders>
            <w:shd w:val="clear" w:color="auto" w:fill="FCE9E8"/>
          </w:tcPr>
          <w:p>
            <w:pPr>
              <w:ind w:left="80"/>
              <w:spacing w:after="0" w:line="180" w:lineRule="exact"/>
              <w:rPr>
                <w:sz w:val="20"/>
                <w:szCs w:val="20"/>
                <w:color w:val="auto"/>
              </w:rPr>
            </w:pPr>
            <w:r>
              <w:rPr>
                <w:rFonts w:ascii="Arial" w:cs="Arial" w:eastAsia="Arial" w:hAnsi="Arial"/>
                <w:sz w:val="13"/>
                <w:szCs w:val="13"/>
                <w:color w:val="auto"/>
              </w:rPr>
              <w:t>Thomas A. DiDonato</w:t>
            </w:r>
            <w:r>
              <w:rPr>
                <w:rFonts w:ascii="Arial" w:cs="Arial" w:eastAsia="Arial" w:hAnsi="Arial"/>
                <w:sz w:val="20"/>
                <w:szCs w:val="20"/>
                <w:color w:val="auto"/>
                <w:vertAlign w:val="superscript"/>
              </w:rPr>
              <w:t>(4)</w:t>
            </w:r>
          </w:p>
        </w:tc>
        <w:tc>
          <w:tcPr>
            <w:tcW w:w="3860" w:type="dxa"/>
            <w:vAlign w:val="bottom"/>
            <w:tcBorders>
              <w:bottom w:val="single" w:sz="8" w:color="auto"/>
            </w:tcBorders>
            <w:shd w:val="clear" w:color="auto" w:fill="FCE9E8"/>
          </w:tcPr>
          <w:p>
            <w:pPr>
              <w:jc w:val="right"/>
              <w:ind w:right="146"/>
              <w:spacing w:after="0" w:line="180" w:lineRule="exact"/>
              <w:rPr>
                <w:sz w:val="20"/>
                <w:szCs w:val="20"/>
                <w:color w:val="auto"/>
              </w:rPr>
            </w:pPr>
            <w:r>
              <w:rPr>
                <w:rFonts w:ascii="Arial" w:cs="Arial" w:eastAsia="Arial" w:hAnsi="Arial"/>
                <w:sz w:val="16"/>
                <w:szCs w:val="16"/>
                <w:color w:val="auto"/>
              </w:rPr>
              <w:t>N/A</w:t>
            </w:r>
          </w:p>
        </w:tc>
        <w:tc>
          <w:tcPr>
            <w:tcW w:w="1060" w:type="dxa"/>
            <w:vAlign w:val="bottom"/>
            <w:tcBorders>
              <w:bottom w:val="single" w:sz="8" w:color="auto"/>
            </w:tcBorders>
            <w:shd w:val="clear" w:color="auto" w:fill="FCE9E8"/>
          </w:tcPr>
          <w:p>
            <w:pPr>
              <w:spacing w:after="0"/>
              <w:rPr>
                <w:sz w:val="15"/>
                <w:szCs w:val="15"/>
                <w:color w:val="auto"/>
              </w:rPr>
            </w:pPr>
          </w:p>
        </w:tc>
        <w:tc>
          <w:tcPr>
            <w:tcW w:w="1140" w:type="dxa"/>
            <w:vAlign w:val="bottom"/>
            <w:tcBorders>
              <w:bottom w:val="single" w:sz="8" w:color="auto"/>
            </w:tcBorders>
            <w:shd w:val="clear" w:color="auto" w:fill="FCE9E8"/>
          </w:tcPr>
          <w:p>
            <w:pPr>
              <w:spacing w:after="0"/>
              <w:rPr>
                <w:sz w:val="15"/>
                <w:szCs w:val="15"/>
                <w:color w:val="auto"/>
              </w:rPr>
            </w:pPr>
          </w:p>
        </w:tc>
        <w:tc>
          <w:tcPr>
            <w:tcW w:w="380" w:type="dxa"/>
            <w:vAlign w:val="bottom"/>
            <w:tcBorders>
              <w:bottom w:val="single" w:sz="8" w:color="auto"/>
            </w:tcBorders>
            <w:shd w:val="clear" w:color="auto" w:fill="FCE9E8"/>
          </w:tcPr>
          <w:p>
            <w:pPr>
              <w:spacing w:after="0"/>
              <w:rPr>
                <w:sz w:val="15"/>
                <w:szCs w:val="15"/>
                <w:color w:val="auto"/>
              </w:rPr>
            </w:pPr>
          </w:p>
        </w:tc>
        <w:tc>
          <w:tcPr>
            <w:tcW w:w="1000" w:type="dxa"/>
            <w:vAlign w:val="bottom"/>
            <w:tcBorders>
              <w:bottom w:val="single" w:sz="8" w:color="auto"/>
            </w:tcBorders>
            <w:shd w:val="clear" w:color="auto" w:fill="FCE9E8"/>
          </w:tcPr>
          <w:p>
            <w:pPr>
              <w:spacing w:after="0"/>
              <w:rPr>
                <w:sz w:val="15"/>
                <w:szCs w:val="15"/>
                <w:color w:val="auto"/>
              </w:rPr>
            </w:pPr>
          </w:p>
        </w:tc>
        <w:tc>
          <w:tcPr>
            <w:tcW w:w="360" w:type="dxa"/>
            <w:vAlign w:val="bottom"/>
            <w:tcBorders>
              <w:bottom w:val="single" w:sz="8" w:color="auto"/>
            </w:tcBorders>
            <w:shd w:val="clear" w:color="auto" w:fill="FCE9E8"/>
          </w:tcPr>
          <w:p>
            <w:pPr>
              <w:spacing w:after="0"/>
              <w:rPr>
                <w:sz w:val="15"/>
                <w:szCs w:val="15"/>
                <w:color w:val="auto"/>
              </w:rPr>
            </w:pPr>
          </w:p>
        </w:tc>
        <w:tc>
          <w:tcPr>
            <w:tcW w:w="700" w:type="dxa"/>
            <w:vAlign w:val="bottom"/>
            <w:tcBorders>
              <w:bottom w:val="single" w:sz="8" w:color="auto"/>
            </w:tcBorders>
            <w:shd w:val="clear" w:color="auto" w:fill="FCE9E8"/>
          </w:tcPr>
          <w:p>
            <w:pPr>
              <w:spacing w:after="0"/>
              <w:rPr>
                <w:sz w:val="15"/>
                <w:szCs w:val="15"/>
                <w:color w:val="auto"/>
              </w:rPr>
            </w:pPr>
          </w:p>
        </w:tc>
      </w:tr>
      <w:tr>
        <w:trPr>
          <w:trHeight w:val="182"/>
        </w:trPr>
        <w:tc>
          <w:tcPr>
            <w:tcW w:w="2380" w:type="dxa"/>
            <w:vAlign w:val="bottom"/>
          </w:tcPr>
          <w:p>
            <w:pPr>
              <w:ind w:left="100"/>
              <w:spacing w:after="0" w:line="182" w:lineRule="exact"/>
              <w:rPr>
                <w:sz w:val="20"/>
                <w:szCs w:val="20"/>
                <w:color w:val="auto"/>
              </w:rPr>
            </w:pPr>
            <w:r>
              <w:rPr>
                <w:rFonts w:ascii="Arial" w:cs="Arial" w:eastAsia="Arial" w:hAnsi="Arial"/>
                <w:sz w:val="17"/>
                <w:szCs w:val="17"/>
                <w:color w:val="auto"/>
              </w:rPr>
              <w:t>Matthew J. Simoncini</w:t>
            </w:r>
          </w:p>
        </w:tc>
        <w:tc>
          <w:tcPr>
            <w:tcW w:w="3860" w:type="dxa"/>
            <w:vAlign w:val="bottom"/>
          </w:tcPr>
          <w:p>
            <w:pPr>
              <w:jc w:val="right"/>
              <w:ind w:right="146"/>
              <w:spacing w:after="0" w:line="181" w:lineRule="exact"/>
              <w:rPr>
                <w:sz w:val="20"/>
                <w:szCs w:val="20"/>
                <w:color w:val="auto"/>
              </w:rPr>
            </w:pPr>
            <w:r>
              <w:rPr>
                <w:rFonts w:ascii="Arial" w:cs="Arial" w:eastAsia="Arial" w:hAnsi="Arial"/>
                <w:sz w:val="16"/>
                <w:szCs w:val="16"/>
                <w:color w:val="auto"/>
              </w:rPr>
              <w:t>Pension Plan (tax-qualified plan)</w:t>
            </w:r>
          </w:p>
        </w:tc>
        <w:tc>
          <w:tcPr>
            <w:tcW w:w="1060" w:type="dxa"/>
            <w:vAlign w:val="bottom"/>
          </w:tcPr>
          <w:p>
            <w:pPr>
              <w:jc w:val="right"/>
              <w:ind w:right="187"/>
              <w:spacing w:after="0" w:line="181" w:lineRule="exact"/>
              <w:rPr>
                <w:sz w:val="20"/>
                <w:szCs w:val="20"/>
                <w:color w:val="auto"/>
              </w:rPr>
            </w:pPr>
            <w:r>
              <w:rPr>
                <w:rFonts w:ascii="Arial" w:cs="Arial" w:eastAsia="Arial" w:hAnsi="Arial"/>
                <w:sz w:val="16"/>
                <w:szCs w:val="16"/>
                <w:color w:val="auto"/>
              </w:rPr>
              <w:t>7.7</w:t>
            </w:r>
          </w:p>
        </w:tc>
        <w:tc>
          <w:tcPr>
            <w:tcW w:w="1140" w:type="dxa"/>
            <w:vAlign w:val="bottom"/>
          </w:tcPr>
          <w:p>
            <w:pPr>
              <w:jc w:val="right"/>
              <w:ind w:right="168"/>
              <w:spacing w:after="0" w:line="181" w:lineRule="exact"/>
              <w:rPr>
                <w:sz w:val="20"/>
                <w:szCs w:val="20"/>
                <w:color w:val="auto"/>
              </w:rPr>
            </w:pPr>
            <w:r>
              <w:rPr>
                <w:rFonts w:ascii="Arial" w:cs="Arial" w:eastAsia="Arial" w:hAnsi="Arial"/>
                <w:sz w:val="16"/>
                <w:szCs w:val="16"/>
                <w:color w:val="auto"/>
              </w:rPr>
              <w:t>19.7</w:t>
            </w:r>
          </w:p>
        </w:tc>
        <w:tc>
          <w:tcPr>
            <w:tcW w:w="380" w:type="dxa"/>
            <w:vAlign w:val="bottom"/>
          </w:tcPr>
          <w:p>
            <w:pPr>
              <w:ind w:left="24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67"/>
              <w:spacing w:after="0" w:line="181" w:lineRule="exact"/>
              <w:rPr>
                <w:sz w:val="20"/>
                <w:szCs w:val="20"/>
                <w:color w:val="auto"/>
              </w:rPr>
            </w:pPr>
            <w:r>
              <w:rPr>
                <w:rFonts w:ascii="Arial" w:cs="Arial" w:eastAsia="Arial" w:hAnsi="Arial"/>
                <w:sz w:val="16"/>
                <w:szCs w:val="16"/>
                <w:color w:val="auto"/>
              </w:rPr>
              <w:t>216,146</w:t>
            </w:r>
          </w:p>
        </w:tc>
        <w:tc>
          <w:tcPr>
            <w:tcW w:w="360" w:type="dxa"/>
            <w:vAlign w:val="bottom"/>
          </w:tcPr>
          <w:p>
            <w:pPr>
              <w:ind w:left="240"/>
              <w:spacing w:after="0" w:line="181" w:lineRule="exact"/>
              <w:rPr>
                <w:sz w:val="20"/>
                <w:szCs w:val="20"/>
                <w:color w:val="auto"/>
              </w:rPr>
            </w:pPr>
            <w:r>
              <w:rPr>
                <w:rFonts w:ascii="Arial" w:cs="Arial" w:eastAsia="Arial" w:hAnsi="Arial"/>
                <w:sz w:val="16"/>
                <w:szCs w:val="16"/>
                <w:color w:val="auto"/>
              </w:rPr>
              <w:t>$</w:t>
            </w:r>
          </w:p>
        </w:tc>
        <w:tc>
          <w:tcPr>
            <w:tcW w:w="700" w:type="dxa"/>
            <w:vAlign w:val="bottom"/>
          </w:tcPr>
          <w:p>
            <w:pPr>
              <w:ind w:left="380"/>
              <w:spacing w:after="0" w:line="181" w:lineRule="exact"/>
              <w:rPr>
                <w:sz w:val="20"/>
                <w:szCs w:val="20"/>
                <w:color w:val="auto"/>
              </w:rPr>
            </w:pPr>
            <w:r>
              <w:rPr>
                <w:rFonts w:ascii="Arial" w:cs="Arial" w:eastAsia="Arial" w:hAnsi="Arial"/>
                <w:sz w:val="16"/>
                <w:szCs w:val="16"/>
                <w:color w:val="auto"/>
              </w:rPr>
              <w:t>—</w:t>
            </w:r>
          </w:p>
        </w:tc>
      </w:tr>
      <w:tr>
        <w:trPr>
          <w:trHeight w:val="186"/>
        </w:trPr>
        <w:tc>
          <w:tcPr>
            <w:tcW w:w="2380" w:type="dxa"/>
            <w:vAlign w:val="bottom"/>
          </w:tcPr>
          <w:p>
            <w:pPr>
              <w:spacing w:after="0"/>
              <w:rPr>
                <w:sz w:val="16"/>
                <w:szCs w:val="16"/>
                <w:color w:val="auto"/>
              </w:rPr>
            </w:pPr>
          </w:p>
        </w:tc>
        <w:tc>
          <w:tcPr>
            <w:tcW w:w="3860" w:type="dxa"/>
            <w:vAlign w:val="bottom"/>
          </w:tcPr>
          <w:p>
            <w:pPr>
              <w:jc w:val="right"/>
              <w:ind w:right="146"/>
              <w:spacing w:after="0"/>
              <w:rPr>
                <w:sz w:val="20"/>
                <w:szCs w:val="20"/>
                <w:color w:val="auto"/>
              </w:rPr>
            </w:pPr>
            <w:r>
              <w:rPr>
                <w:rFonts w:ascii="Arial" w:cs="Arial" w:eastAsia="Arial" w:hAnsi="Arial"/>
                <w:sz w:val="16"/>
                <w:szCs w:val="16"/>
                <w:color w:val="auto"/>
              </w:rPr>
              <w:t>Pension Equalization Program</w:t>
            </w:r>
          </w:p>
        </w:tc>
        <w:tc>
          <w:tcPr>
            <w:tcW w:w="1060" w:type="dxa"/>
            <w:vAlign w:val="bottom"/>
          </w:tcPr>
          <w:p>
            <w:pPr>
              <w:jc w:val="right"/>
              <w:ind w:right="187"/>
              <w:spacing w:after="0"/>
              <w:rPr>
                <w:sz w:val="20"/>
                <w:szCs w:val="20"/>
                <w:color w:val="auto"/>
              </w:rPr>
            </w:pPr>
            <w:r>
              <w:rPr>
                <w:rFonts w:ascii="Arial" w:cs="Arial" w:eastAsia="Arial" w:hAnsi="Arial"/>
                <w:sz w:val="16"/>
                <w:szCs w:val="16"/>
                <w:color w:val="auto"/>
              </w:rPr>
              <w:t>7.7</w:t>
            </w:r>
          </w:p>
        </w:tc>
        <w:tc>
          <w:tcPr>
            <w:tcW w:w="1140" w:type="dxa"/>
            <w:vAlign w:val="bottom"/>
          </w:tcPr>
          <w:p>
            <w:pPr>
              <w:jc w:val="right"/>
              <w:ind w:right="168"/>
              <w:spacing w:after="0"/>
              <w:rPr>
                <w:sz w:val="20"/>
                <w:szCs w:val="20"/>
                <w:color w:val="auto"/>
              </w:rPr>
            </w:pPr>
            <w:r>
              <w:rPr>
                <w:rFonts w:ascii="Arial" w:cs="Arial" w:eastAsia="Arial" w:hAnsi="Arial"/>
                <w:sz w:val="16"/>
                <w:szCs w:val="16"/>
                <w:color w:val="auto"/>
              </w:rPr>
              <w:t>19.7</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67"/>
              <w:spacing w:after="0"/>
              <w:rPr>
                <w:sz w:val="20"/>
                <w:szCs w:val="20"/>
                <w:color w:val="auto"/>
              </w:rPr>
            </w:pPr>
            <w:r>
              <w:rPr>
                <w:rFonts w:ascii="Arial" w:cs="Arial" w:eastAsia="Arial" w:hAnsi="Arial"/>
                <w:sz w:val="16"/>
                <w:szCs w:val="16"/>
                <w:color w:val="auto"/>
              </w:rPr>
              <w:t>94,204</w:t>
            </w:r>
          </w:p>
        </w:tc>
        <w:tc>
          <w:tcPr>
            <w:tcW w:w="360" w:type="dxa"/>
            <w:vAlign w:val="bottom"/>
          </w:tcPr>
          <w:p>
            <w:pPr>
              <w:ind w:left="240"/>
              <w:spacing w:after="0"/>
              <w:rPr>
                <w:sz w:val="20"/>
                <w:szCs w:val="20"/>
                <w:color w:val="auto"/>
              </w:rPr>
            </w:pPr>
            <w:r>
              <w:rPr>
                <w:rFonts w:ascii="Arial" w:cs="Arial" w:eastAsia="Arial" w:hAnsi="Arial"/>
                <w:sz w:val="16"/>
                <w:szCs w:val="16"/>
                <w:color w:val="auto"/>
              </w:rPr>
              <w:t>$</w:t>
            </w:r>
          </w:p>
        </w:tc>
        <w:tc>
          <w:tcPr>
            <w:tcW w:w="70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193"/>
        </w:trPr>
        <w:tc>
          <w:tcPr>
            <w:tcW w:w="2380" w:type="dxa"/>
            <w:vAlign w:val="bottom"/>
          </w:tcPr>
          <w:p>
            <w:pPr>
              <w:spacing w:after="0"/>
              <w:rPr>
                <w:sz w:val="16"/>
                <w:szCs w:val="16"/>
                <w:color w:val="auto"/>
              </w:rPr>
            </w:pPr>
          </w:p>
        </w:tc>
        <w:tc>
          <w:tcPr>
            <w:tcW w:w="3860" w:type="dxa"/>
            <w:vAlign w:val="bottom"/>
          </w:tcPr>
          <w:p>
            <w:pPr>
              <w:jc w:val="right"/>
              <w:ind w:right="146"/>
              <w:spacing w:after="0"/>
              <w:rPr>
                <w:sz w:val="20"/>
                <w:szCs w:val="20"/>
                <w:color w:val="auto"/>
              </w:rPr>
            </w:pPr>
            <w:r>
              <w:rPr>
                <w:rFonts w:ascii="Arial" w:cs="Arial" w:eastAsia="Arial" w:hAnsi="Arial"/>
                <w:sz w:val="16"/>
                <w:szCs w:val="16"/>
                <w:color w:val="auto"/>
              </w:rPr>
              <w:t>Salaried Retirement Restoration Program</w:t>
            </w:r>
          </w:p>
        </w:tc>
        <w:tc>
          <w:tcPr>
            <w:tcW w:w="1060" w:type="dxa"/>
            <w:vAlign w:val="bottom"/>
          </w:tcPr>
          <w:p>
            <w:pPr>
              <w:jc w:val="right"/>
              <w:ind w:right="187"/>
              <w:spacing w:after="0"/>
              <w:rPr>
                <w:sz w:val="20"/>
                <w:szCs w:val="20"/>
                <w:color w:val="auto"/>
              </w:rPr>
            </w:pPr>
            <w:r>
              <w:rPr>
                <w:rFonts w:ascii="Arial" w:cs="Arial" w:eastAsia="Arial" w:hAnsi="Arial"/>
                <w:sz w:val="16"/>
                <w:szCs w:val="16"/>
                <w:color w:val="auto"/>
              </w:rPr>
              <w:t>7.7</w:t>
            </w:r>
          </w:p>
        </w:tc>
        <w:tc>
          <w:tcPr>
            <w:tcW w:w="1140" w:type="dxa"/>
            <w:vAlign w:val="bottom"/>
          </w:tcPr>
          <w:p>
            <w:pPr>
              <w:jc w:val="right"/>
              <w:ind w:right="168"/>
              <w:spacing w:after="0"/>
              <w:rPr>
                <w:sz w:val="20"/>
                <w:szCs w:val="20"/>
                <w:color w:val="auto"/>
              </w:rPr>
            </w:pPr>
            <w:r>
              <w:rPr>
                <w:rFonts w:ascii="Arial" w:cs="Arial" w:eastAsia="Arial" w:hAnsi="Arial"/>
                <w:sz w:val="16"/>
                <w:szCs w:val="16"/>
                <w:color w:val="auto"/>
              </w:rPr>
              <w:t>19.7</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67"/>
              <w:spacing w:after="0"/>
              <w:rPr>
                <w:sz w:val="20"/>
                <w:szCs w:val="20"/>
                <w:color w:val="auto"/>
              </w:rPr>
            </w:pPr>
            <w:r>
              <w:rPr>
                <w:rFonts w:ascii="Arial" w:cs="Arial" w:eastAsia="Arial" w:hAnsi="Arial"/>
                <w:sz w:val="16"/>
                <w:szCs w:val="16"/>
                <w:color w:val="auto"/>
              </w:rPr>
              <w:t>105,282</w:t>
            </w:r>
          </w:p>
        </w:tc>
        <w:tc>
          <w:tcPr>
            <w:tcW w:w="360" w:type="dxa"/>
            <w:vAlign w:val="bottom"/>
          </w:tcPr>
          <w:p>
            <w:pPr>
              <w:ind w:left="240"/>
              <w:spacing w:after="0"/>
              <w:rPr>
                <w:sz w:val="20"/>
                <w:szCs w:val="20"/>
                <w:color w:val="auto"/>
              </w:rPr>
            </w:pPr>
            <w:r>
              <w:rPr>
                <w:rFonts w:ascii="Arial" w:cs="Arial" w:eastAsia="Arial" w:hAnsi="Arial"/>
                <w:sz w:val="16"/>
                <w:szCs w:val="16"/>
                <w:color w:val="auto"/>
              </w:rPr>
              <w:t>$</w:t>
            </w:r>
          </w:p>
        </w:tc>
        <w:tc>
          <w:tcPr>
            <w:tcW w:w="700" w:type="dxa"/>
            <w:vAlign w:val="bottom"/>
          </w:tcPr>
          <w:p>
            <w:pPr>
              <w:ind w:left="38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-4445</wp:posOffset>
            </wp:positionV>
            <wp:extent cx="69018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ind w:left="600" w:right="140" w:hanging="320"/>
        <w:spacing w:after="0" w:line="181" w:lineRule="auto"/>
        <w:tabs>
          <w:tab w:leader="none" w:pos="60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The pension programs were frozen with respect to any new benefits as of December 31, 2006, but vesting service continues to accrue after such date towards vesting requirements. As a result of their vesting service and/or age and service, all participating NEOs are vested in their pension benefits.</w:t>
      </w:r>
    </w:p>
    <w:p>
      <w:pPr>
        <w:spacing w:after="0" w:line="70" w:lineRule="exact"/>
        <w:rPr>
          <w:rFonts w:ascii="Arial" w:cs="Arial" w:eastAsia="Arial" w:hAnsi="Arial"/>
          <w:sz w:val="24"/>
          <w:szCs w:val="24"/>
          <w:color w:val="auto"/>
          <w:vertAlign w:val="superscript"/>
        </w:rPr>
      </w:pPr>
    </w:p>
    <w:p>
      <w:pPr>
        <w:ind w:left="600" w:right="20" w:hanging="320"/>
        <w:spacing w:after="0" w:line="218" w:lineRule="auto"/>
        <w:tabs>
          <w:tab w:leader="none" w:pos="60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Present values determined using a December 31, 2018 measurement date and reflect benefits accrued based on service and pay earned through such date. Figures for the tax-qualified pension plan are determined based on post-commencement valuation mortality (white collar RP-2014 annuitant with 110.2% experience adjustment, projected generationally using MP-2017 improvement scale, modified using Long Term Improvement Rates (LTIR) based on the proxy SSA rates released by the SOA), commencement of benefits at age 65 and an assumed discount rate of 4.40% as of the measurement date. Figures for the Pension Equalization Program and the Salaried Retirement Restoration Program (collectively, the “SERP”) are determined based on the mortality prescribed by Revenue Ruling 2001-62, commencement of benefits at the later of age 60 and full vesting and an assumed discount rate of 3.75% as of the measurement date. The assumed future SERP present value conversion rate for those not yet in payment is 3.36%.</w:t>
      </w:r>
    </w:p>
    <w:p>
      <w:pPr>
        <w:spacing w:after="0" w:line="1" w:lineRule="exact"/>
        <w:rPr>
          <w:rFonts w:ascii="Arial" w:cs="Arial" w:eastAsia="Arial" w:hAnsi="Arial"/>
          <w:sz w:val="24"/>
          <w:szCs w:val="24"/>
          <w:color w:val="auto"/>
          <w:vertAlign w:val="superscript"/>
        </w:rPr>
      </w:pPr>
    </w:p>
    <w:p>
      <w:pPr>
        <w:ind w:left="600" w:hanging="320"/>
        <w:spacing w:after="0" w:line="208" w:lineRule="auto"/>
        <w:tabs>
          <w:tab w:leader="none" w:pos="60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Mr. Vanneste was credited with prior service for his past affiliation with the Company in accordance with plan provisions.</w:t>
      </w:r>
    </w:p>
    <w:p>
      <w:pPr>
        <w:spacing w:after="0" w:line="69" w:lineRule="exact"/>
        <w:rPr>
          <w:rFonts w:ascii="Arial" w:cs="Arial" w:eastAsia="Arial" w:hAnsi="Arial"/>
          <w:sz w:val="24"/>
          <w:szCs w:val="24"/>
          <w:color w:val="auto"/>
          <w:vertAlign w:val="superscript"/>
        </w:rPr>
      </w:pPr>
    </w:p>
    <w:p>
      <w:pPr>
        <w:ind w:left="600" w:right="300" w:hanging="320"/>
        <w:spacing w:after="0" w:line="181" w:lineRule="auto"/>
        <w:tabs>
          <w:tab w:leader="none" w:pos="60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Messrs. Larkin and DiDonato are not participants in the Pension Plan, Pension Equalization Program or Salaried Retirement Restoration Program pension make-up account (“Pension Make-Up Account”).</w:t>
      </w:r>
    </w:p>
    <w:p>
      <w:pPr>
        <w:sectPr>
          <w:pgSz w:w="11900" w:h="16838" w:orient="portrait"/>
          <w:cols w:equalWidth="0" w:num="1">
            <w:col w:w="11160"/>
          </w:cols>
          <w:pgMar w:left="240" w:top="455" w:right="499" w:bottom="1440" w:gutter="0" w:footer="0" w:header="0"/>
        </w:sectPr>
      </w:pPr>
    </w:p>
    <w:p>
      <w:pPr>
        <w:spacing w:after="0" w:line="17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Qualified Pension Plan</w:t>
      </w:r>
    </w:p>
    <w:p>
      <w:pPr>
        <w:spacing w:after="0" w:line="191"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The Named Executive Officers (as well as other eligible employees), other than Messrs. Larkin and DiDonato, participate in the Lear Corporation Pension Plan (the “Pension Plan”), which was frozen with respect to any new benefits as of December 31, 2006. The Pension Plan is intended to be a qualified pension plan under the Internal Revenue Code, and its benefits are integrated with Social Security benefits. In general, an eligible employee became a participant on July 1st or January 1st after completing one year of service (as defined in the plan). Benefits are funded by employer contributions that are determined under accepted actuarial principles and the Internal Revenue Code. The Company may make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contributions in excess of any minimum funding requirements when the Company believes it is financially advantageous to do so and based on its other capital requirements and other considerations.</w:t>
      </w:r>
    </w:p>
    <w:p>
      <w:pPr>
        <w:spacing w:after="0" w:line="96"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The Pension Plan contains multiple benefit formulas. Under the principal formula, which applies to all applicable Named Executive Officers, pension benefits are based on a participant’s “final average pay,” which is the average of the participant’s compensation for the five calendar years in the last ten years of employment in which the participant had his highest earnings. Compensation is generally defined under the plan to mean (i) all cash compensation reported for federal</w:t>
      </w:r>
    </w:p>
    <w:p>
      <w:pPr>
        <w:spacing w:after="0" w:line="276" w:lineRule="exact"/>
        <w:rPr>
          <w:sz w:val="20"/>
          <w:szCs w:val="20"/>
          <w:color w:val="auto"/>
        </w:rPr>
      </w:pPr>
    </w:p>
    <w:p>
      <w:pPr>
        <w:sectPr>
          <w:pgSz w:w="11900" w:h="16838" w:orient="portrait"/>
          <w:cols w:equalWidth="0" w:num="2">
            <w:col w:w="5420" w:space="400"/>
            <w:col w:w="5340"/>
          </w:cols>
          <w:pgMar w:left="240" w:top="455" w:right="499" w:bottom="1440" w:gutter="0" w:footer="0" w:header="0"/>
          <w:type w:val="continuous"/>
        </w:sectPr>
      </w:pPr>
    </w:p>
    <w:p>
      <w:pPr>
        <w:spacing w:after="0" w:line="62"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51</w:t>
      </w:r>
    </w:p>
    <w:p>
      <w:pPr>
        <w:sectPr>
          <w:pgSz w:w="11900" w:h="16838" w:orient="portrait"/>
          <w:cols w:equalWidth="0" w:num="1">
            <w:col w:w="11160"/>
          </w:cols>
          <w:pgMar w:left="240" w:top="455" w:right="49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10" w:lineRule="exact"/>
        <w:rPr>
          <w:sz w:val="20"/>
          <w:szCs w:val="20"/>
          <w:color w:val="auto"/>
        </w:rPr>
      </w:pPr>
    </w:p>
    <w:p>
      <w:pPr>
        <w:ind w:left="280" w:right="40"/>
        <w:spacing w:after="0" w:line="246" w:lineRule="auto"/>
        <w:rPr>
          <w:sz w:val="20"/>
          <w:szCs w:val="20"/>
          <w:color w:val="auto"/>
        </w:rPr>
      </w:pPr>
      <w:r>
        <w:rPr>
          <w:rFonts w:ascii="Arial" w:cs="Arial" w:eastAsia="Arial" w:hAnsi="Arial"/>
          <w:sz w:val="16"/>
          <w:szCs w:val="16"/>
          <w:color w:val="auto"/>
        </w:rPr>
        <w:t>income tax purposes other than long-term incentive bonuses, and (ii) any elective contributions that are not includable in gross income under Internal Revenue Code Section 125 or 401(k). A participant’s annual retirement benefit, payable as a life annuity at age 65, equals the greater of:</w:t>
      </w:r>
    </w:p>
    <w:p>
      <w:pPr>
        <w:spacing w:after="0" w:line="109" w:lineRule="exact"/>
        <w:rPr>
          <w:sz w:val="20"/>
          <w:szCs w:val="20"/>
          <w:color w:val="auto"/>
        </w:rPr>
      </w:pPr>
    </w:p>
    <w:p>
      <w:pPr>
        <w:ind w:left="480" w:right="40" w:hanging="200"/>
        <w:spacing w:after="0" w:line="244" w:lineRule="auto"/>
        <w:tabs>
          <w:tab w:leader="none" w:pos="4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 1.10% times final average annual earnings times years of credited service before 1997 (to a maximum of 35 years), plus (b) 1.00% times final average annual earnings times years of credited service after 1996 (with a maximum of 35 years reduced by years of credited service before 1997), plus (c) 0.65% times final average annual earnings in excess of covered compensation (as defined in IRS Notice 89-70) times years of credited service (with a maximum of 35 years); and</w:t>
      </w:r>
    </w:p>
    <w:p>
      <w:pPr>
        <w:spacing w:after="0" w:line="35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Pension Equalization Program</w:t>
      </w:r>
    </w:p>
    <w:p>
      <w:pPr>
        <w:spacing w:after="0" w:line="191" w:lineRule="exact"/>
        <w:rPr>
          <w:sz w:val="20"/>
          <w:szCs w:val="20"/>
          <w:color w:val="auto"/>
        </w:rPr>
      </w:pPr>
    </w:p>
    <w:p>
      <w:pPr>
        <w:ind w:left="280"/>
        <w:spacing w:after="0" w:line="243" w:lineRule="auto"/>
        <w:rPr>
          <w:sz w:val="20"/>
          <w:szCs w:val="20"/>
          <w:color w:val="auto"/>
        </w:rPr>
      </w:pPr>
      <w:r>
        <w:rPr>
          <w:rFonts w:ascii="Arial" w:cs="Arial" w:eastAsia="Arial" w:hAnsi="Arial"/>
          <w:sz w:val="16"/>
          <w:szCs w:val="16"/>
          <w:color w:val="auto"/>
        </w:rPr>
        <w:t>The Pension Equalization Program, which was frozen as to any new benefits as of December 31, 2006, provides benefits in addition to the Pension Plan. The Pension Plan is subject to rules in the Internal Revenue Code that restrict the level of retirement income that can be provided to, and the amount of compensation that can be considered for, highly paid executives under the Pension Plan. The Pension Equalization Program is intended to supplement the benefits under the Pension Plan for certain highly paid executives whose Pension Plan benefits are limited by those Internal Revenue Code limits. A participant’s Pension Equalization Program benefit equals the difference between the executive’s actual vested accrued Pension Plan benefit and the Pension Plan benefit the executive would have accrued under the Company’s formula if the Internal Revenue Code limits on considered cash compensation and total benefits did not apply. Highly compensated executives and other employees whose compensation exceeds the Internal Revenue Code limits for at least three years are eligible to participate in the Pension Equalization Program. Each of the Named Executive</w:t>
      </w:r>
    </w:p>
    <w:p>
      <w:pPr>
        <w:spacing w:after="0" w:line="36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Lear Corporation Salaried Retirement Restoration Program</w:t>
      </w:r>
    </w:p>
    <w:p>
      <w:pPr>
        <w:spacing w:after="0" w:line="191" w:lineRule="exact"/>
        <w:rPr>
          <w:sz w:val="20"/>
          <w:szCs w:val="20"/>
          <w:color w:val="auto"/>
        </w:rPr>
      </w:pPr>
    </w:p>
    <w:p>
      <w:pPr>
        <w:ind w:left="280" w:right="100"/>
        <w:spacing w:after="0" w:line="247" w:lineRule="auto"/>
        <w:rPr>
          <w:sz w:val="20"/>
          <w:szCs w:val="20"/>
          <w:color w:val="auto"/>
        </w:rPr>
      </w:pPr>
      <w:r>
        <w:rPr>
          <w:rFonts w:ascii="Arial" w:cs="Arial" w:eastAsia="Arial" w:hAnsi="Arial"/>
          <w:sz w:val="16"/>
          <w:szCs w:val="16"/>
          <w:color w:val="auto"/>
        </w:rPr>
        <w:t>We have established the Lear Corporation Salaried Retirement Restoration Program, which was previously named the Lear Corporation PSP Excess Plan and before that, the Lear Corporation Executive Supplemental Savings Plan.</w:t>
      </w:r>
    </w:p>
    <w:p>
      <w:pPr>
        <w:spacing w:after="0" w:line="95" w:lineRule="exact"/>
        <w:rPr>
          <w:sz w:val="20"/>
          <w:szCs w:val="20"/>
          <w:color w:val="auto"/>
        </w:rPr>
      </w:pPr>
    </w:p>
    <w:p>
      <w:pPr>
        <w:ind w:left="280" w:right="20"/>
        <w:spacing w:after="0" w:line="246" w:lineRule="auto"/>
        <w:rPr>
          <w:sz w:val="20"/>
          <w:szCs w:val="20"/>
          <w:color w:val="auto"/>
        </w:rPr>
      </w:pPr>
      <w:r>
        <w:rPr>
          <w:rFonts w:ascii="Arial" w:cs="Arial" w:eastAsia="Arial" w:hAnsi="Arial"/>
          <w:sz w:val="16"/>
          <w:szCs w:val="16"/>
          <w:color w:val="auto"/>
        </w:rPr>
        <w:t>The Salaried Retirement Restoration Program has both defined benefit and defined contribution elements. The defined benefit element has been quantified and described in the 2018 Pension Benefits table and in the narrative below. The 2018 Nonqualified Deferred Compensation table below identifies the</w:t>
      </w:r>
    </w:p>
    <w:p>
      <w:pPr>
        <w:spacing w:after="0" w:line="244" w:lineRule="exact"/>
        <w:rPr>
          <w:sz w:val="20"/>
          <w:szCs w:val="20"/>
          <w:color w:val="auto"/>
        </w:rPr>
      </w:pPr>
    </w:p>
    <w:p>
      <w:pPr>
        <w:ind w:left="740" w:hanging="359"/>
        <w:spacing w:after="0"/>
        <w:tabs>
          <w:tab w:leader="none" w:pos="7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$360.00 times years of credited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-878840</wp:posOffset>
            </wp:positionV>
            <wp:extent cx="7291070"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89"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Any employee who on December 31, 1996 was an active participant and age 50 or older earned benefits under the 1.10% formula for years of credited service through 2001.</w:t>
      </w:r>
    </w:p>
    <w:p>
      <w:pPr>
        <w:spacing w:after="0" w:line="96"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Credited service under the Pension Plan includes all years of pension service under the Lear Siegler Seating Corp. Pension Plan, and a participant’s retirement benefit under the Pension Plan is reduced by his benefit under the Lear Siegler Seating Corp. Pension Plan. The benefits under the Pension Plan become vested once the participant accrues five years of vesting service under the plan. Service performed after December 31, 2006 will continue to count towards vesting credit even though no additional benefits will accrue under the plan after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60"/>
        <w:spacing w:after="0" w:line="259" w:lineRule="auto"/>
        <w:rPr>
          <w:sz w:val="20"/>
          <w:szCs w:val="20"/>
          <w:color w:val="auto"/>
        </w:rPr>
      </w:pPr>
      <w:r>
        <w:rPr>
          <w:rFonts w:ascii="Arial" w:cs="Arial" w:eastAsia="Arial" w:hAnsi="Arial"/>
          <w:sz w:val="15"/>
          <w:szCs w:val="15"/>
          <w:color w:val="auto"/>
        </w:rPr>
        <w:t>Officers other than Messrs. Larkin and DiDonato participated in the Pension Equalization Program. The benefits under the Pension Equalization Program become vested once the participant has either</w:t>
      </w:r>
    </w:p>
    <w:p>
      <w:pPr>
        <w:spacing w:after="0" w:line="1" w:lineRule="exact"/>
        <w:rPr>
          <w:sz w:val="20"/>
          <w:szCs w:val="20"/>
          <w:color w:val="auto"/>
        </w:rPr>
      </w:pPr>
    </w:p>
    <w:p>
      <w:pPr>
        <w:ind w:right="40" w:firstLine="7"/>
        <w:spacing w:after="0" w:line="243" w:lineRule="auto"/>
        <w:tabs>
          <w:tab w:leader="none" w:pos="18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attained age 55 and has 10 years of vesting service, attained age 65, or becomes eligible for disability retirement under the Pension Plan, or</w:t>
      </w:r>
    </w:p>
    <w:p>
      <w:pPr>
        <w:ind w:right="320" w:firstLine="7"/>
        <w:spacing w:after="0" w:line="254" w:lineRule="auto"/>
        <w:tabs>
          <w:tab w:leader="none" w:pos="21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attained 20 years of vesting service. Vesting service will continue to accrue after December 31, 2006.</w:t>
      </w:r>
    </w:p>
    <w:p>
      <w:pPr>
        <w:spacing w:after="0" w:line="90"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On December 18, 2007, the Pension Equalization Program was amended to provide for its termination and the wind down of the Company’s obligations pursuant thereto. All distributions will be completed within five years after the last participant vests or turns age 60, whichever is later. For an active participant who is eligible to receive benefits, amounts that would otherwise be payable will be used to fund a third party annuity or other investment vehicle. In such event, the participant will not receive any cash payments until the participant retires or otherwise terminates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defined contribution components of the Salaried Retirement Restoration Program.</w:t>
      </w:r>
    </w:p>
    <w:p>
      <w:pPr>
        <w:spacing w:after="0" w:line="90"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Salaried Retirement Restoration Program was most recently amended and restated effective December 29, 2017. The amendment and restatement provides greater flexibility to participants to determine distribution dates for their deferrals, permits participants to defer up to 75% of base salary and up to 90% of their AIP awards and allows participants to modify distribution dates.</w:t>
      </w:r>
    </w:p>
    <w:p>
      <w:pPr>
        <w:sectPr>
          <w:pgSz w:w="11900" w:h="16838" w:orient="portrait"/>
          <w:cols w:equalWidth="0" w:num="2">
            <w:col w:w="5480" w:space="340"/>
            <w:col w:w="5300"/>
          </w:cols>
          <w:pgMar w:left="240" w:top="455" w:right="5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u w:val="single" w:color="auto"/>
          <w:color w:val="E2231A"/>
        </w:rPr>
        <w:t>EXECUTIVE COMPENSATION</w:t>
      </w:r>
    </w:p>
    <w:p>
      <w:pPr>
        <w:sectPr>
          <w:pgSz w:w="11900" w:h="16838" w:orient="portrait"/>
          <w:cols w:equalWidth="0" w:num="1">
            <w:col w:w="11160"/>
          </w:cols>
          <w:pgMar w:left="240" w:top="455" w:right="49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Defined Benefit Element</w:t>
      </w:r>
    </w:p>
    <w:p>
      <w:pPr>
        <w:spacing w:after="0" w:line="120" w:lineRule="exact"/>
        <w:rPr>
          <w:sz w:val="20"/>
          <w:szCs w:val="20"/>
          <w:color w:val="auto"/>
        </w:rPr>
      </w:pPr>
    </w:p>
    <w:p>
      <w:pPr>
        <w:ind w:left="280" w:right="20"/>
        <w:spacing w:after="0" w:line="245" w:lineRule="auto"/>
        <w:rPr>
          <w:sz w:val="20"/>
          <w:szCs w:val="20"/>
          <w:color w:val="auto"/>
        </w:rPr>
      </w:pPr>
      <w:r>
        <w:rPr>
          <w:rFonts w:ascii="Arial" w:cs="Arial" w:eastAsia="Arial" w:hAnsi="Arial"/>
          <w:sz w:val="16"/>
          <w:szCs w:val="16"/>
          <w:color w:val="auto"/>
        </w:rPr>
        <w:t>The Salaried Retirement Restoration Program (through a Pension Make-up Account) provides retirement benefits that would have been accrued through December 31, 2006 under the Pension Plan and/or the Pension Equalization Program if the participant had not elected to defer compensation under the Salaried Retirement Restoration Program as from time to time was in effect.</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Defined Contribution Element</w:t>
      </w:r>
    </w:p>
    <w:p>
      <w:pPr>
        <w:spacing w:after="0" w:line="120" w:lineRule="exact"/>
        <w:rPr>
          <w:sz w:val="20"/>
          <w:szCs w:val="20"/>
          <w:color w:val="auto"/>
        </w:rPr>
      </w:pPr>
    </w:p>
    <w:p>
      <w:pPr>
        <w:ind w:left="280"/>
        <w:spacing w:after="0" w:line="247" w:lineRule="auto"/>
        <w:rPr>
          <w:sz w:val="20"/>
          <w:szCs w:val="20"/>
          <w:color w:val="auto"/>
        </w:rPr>
      </w:pPr>
      <w:r>
        <w:rPr>
          <w:rFonts w:ascii="Arial" w:cs="Arial" w:eastAsia="Arial" w:hAnsi="Arial"/>
          <w:sz w:val="16"/>
          <w:szCs w:val="16"/>
          <w:color w:val="auto"/>
        </w:rPr>
        <w:t>In 2018, the defined contribution component of the Salaried Retirement Restoration Program generally provided a defined contribution benefit of an amount that the participant would have received under the Pension Savings Plan but could not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due to Internal Revenue Code limits applicable to the Pension Savings Plan as well as the opportunity to make deferrals of salary and bonus, and to receive Company matching contributions above Internal Revenue Code limits. Participants generally become vested in excess Pension Savings Plan and Company matching contributions under the Salaried Retirement Restoration Program after three years of vesting service. Distributions of the excess Pension Savings Plan contributions, deferral contributions and Company matching contributions are made in accordance with the participant’s deferral election. Plan earnings under the excess Pension Savings Plan contributions, deferral contributions and Company matching contributions are generally tied to rates of return on investments available under the qualified Retirement Program generally, as directed by plan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408305</wp:posOffset>
            </wp:positionV>
            <wp:extent cx="6901815" cy="152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01815" cy="152400"/>
                    </a:xfrm>
                    <a:prstGeom prst="rect">
                      <a:avLst/>
                    </a:prstGeom>
                    <a:noFill/>
                  </pic:spPr>
                </pic:pic>
              </a:graphicData>
            </a:graphic>
          </wp:anchor>
        </w:drawing>
      </w:r>
    </w:p>
    <w:p>
      <w:pPr>
        <w:spacing w:after="0" w:line="470" w:lineRule="exact"/>
        <w:rPr>
          <w:sz w:val="20"/>
          <w:szCs w:val="20"/>
          <w:color w:val="auto"/>
        </w:rPr>
      </w:pPr>
    </w:p>
    <w:p>
      <w:pPr>
        <w:sectPr>
          <w:pgSz w:w="11900" w:h="16838" w:orient="portrait"/>
          <w:cols w:equalWidth="0" w:num="2">
            <w:col w:w="5380" w:space="440"/>
            <w:col w:w="5340"/>
          </w:cols>
          <w:pgMar w:left="240" w:top="455" w:right="499" w:bottom="1440" w:gutter="0" w:footer="0" w:header="0"/>
          <w:type w:val="continuous"/>
        </w:sectPr>
      </w:pP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FFFFFF"/>
        </w:rPr>
        <w:t>2018 Nonqualified Deferred Compensation</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Aggregate</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0"/>
        </w:trPr>
        <w:tc>
          <w:tcPr>
            <w:tcW w:w="24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269"/>
              <w:spacing w:after="0" w:line="160" w:lineRule="exact"/>
              <w:rPr>
                <w:sz w:val="20"/>
                <w:szCs w:val="20"/>
                <w:color w:val="auto"/>
              </w:rPr>
            </w:pPr>
            <w:r>
              <w:rPr>
                <w:rFonts w:ascii="Arial" w:cs="Arial" w:eastAsia="Arial" w:hAnsi="Arial"/>
                <w:sz w:val="14"/>
                <w:szCs w:val="14"/>
                <w:b w:val="1"/>
                <w:bCs w:val="1"/>
                <w:color w:val="E2231A"/>
              </w:rPr>
              <w:t>Executive</w:t>
            </w:r>
          </w:p>
        </w:tc>
        <w:tc>
          <w:tcPr>
            <w:tcW w:w="340" w:type="dxa"/>
            <w:vAlign w:val="bottom"/>
          </w:tcPr>
          <w:p>
            <w:pPr>
              <w:spacing w:after="0"/>
              <w:rPr>
                <w:sz w:val="13"/>
                <w:szCs w:val="13"/>
                <w:color w:val="auto"/>
              </w:rPr>
            </w:pPr>
          </w:p>
        </w:tc>
        <w:tc>
          <w:tcPr>
            <w:tcW w:w="1080" w:type="dxa"/>
            <w:vAlign w:val="bottom"/>
          </w:tcPr>
          <w:p>
            <w:pPr>
              <w:jc w:val="right"/>
              <w:ind w:right="329"/>
              <w:spacing w:after="0" w:line="160" w:lineRule="exact"/>
              <w:rPr>
                <w:sz w:val="20"/>
                <w:szCs w:val="20"/>
                <w:color w:val="auto"/>
              </w:rPr>
            </w:pPr>
            <w:r>
              <w:rPr>
                <w:rFonts w:ascii="Arial" w:cs="Arial" w:eastAsia="Arial" w:hAnsi="Arial"/>
                <w:sz w:val="14"/>
                <w:szCs w:val="14"/>
                <w:b w:val="1"/>
                <w:bCs w:val="1"/>
                <w:color w:val="E2231A"/>
              </w:rPr>
              <w:t>Company</w:t>
            </w:r>
          </w:p>
        </w:tc>
        <w:tc>
          <w:tcPr>
            <w:tcW w:w="11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E2231A"/>
              </w:rPr>
              <w:t>Earnings</w:t>
            </w:r>
          </w:p>
        </w:tc>
        <w:tc>
          <w:tcPr>
            <w:tcW w:w="260" w:type="dxa"/>
            <w:vAlign w:val="bottom"/>
          </w:tcPr>
          <w:p>
            <w:pPr>
              <w:spacing w:after="0"/>
              <w:rPr>
                <w:sz w:val="13"/>
                <w:szCs w:val="13"/>
                <w:color w:val="auto"/>
              </w:rPr>
            </w:pPr>
          </w:p>
        </w:tc>
        <w:tc>
          <w:tcPr>
            <w:tcW w:w="1160" w:type="dxa"/>
            <w:vAlign w:val="bottom"/>
          </w:tcPr>
          <w:p>
            <w:pPr>
              <w:ind w:left="80"/>
              <w:spacing w:after="0" w:line="160" w:lineRule="exact"/>
              <w:rPr>
                <w:sz w:val="20"/>
                <w:szCs w:val="20"/>
                <w:color w:val="auto"/>
              </w:rPr>
            </w:pPr>
            <w:r>
              <w:rPr>
                <w:rFonts w:ascii="Arial" w:cs="Arial" w:eastAsia="Arial" w:hAnsi="Arial"/>
                <w:sz w:val="14"/>
                <w:szCs w:val="14"/>
                <w:b w:val="1"/>
                <w:bCs w:val="1"/>
                <w:color w:val="E2231A"/>
              </w:rPr>
              <w:t>Aggregate</w:t>
            </w:r>
          </w:p>
        </w:tc>
        <w:tc>
          <w:tcPr>
            <w:tcW w:w="300" w:type="dxa"/>
            <w:vAlign w:val="bottom"/>
          </w:tcPr>
          <w:p>
            <w:pPr>
              <w:spacing w:after="0"/>
              <w:rPr>
                <w:sz w:val="13"/>
                <w:szCs w:val="13"/>
                <w:color w:val="auto"/>
              </w:rPr>
            </w:pPr>
          </w:p>
        </w:tc>
        <w:tc>
          <w:tcPr>
            <w:tcW w:w="1020" w:type="dxa"/>
            <w:vAlign w:val="bottom"/>
          </w:tcPr>
          <w:p>
            <w:pPr>
              <w:jc w:val="right"/>
              <w:ind w:right="249"/>
              <w:spacing w:after="0" w:line="160" w:lineRule="exact"/>
              <w:rPr>
                <w:sz w:val="20"/>
                <w:szCs w:val="20"/>
                <w:color w:val="auto"/>
              </w:rPr>
            </w:pPr>
            <w:r>
              <w:rPr>
                <w:rFonts w:ascii="Arial" w:cs="Arial" w:eastAsia="Arial" w:hAnsi="Arial"/>
                <w:sz w:val="14"/>
                <w:szCs w:val="14"/>
                <w:b w:val="1"/>
                <w:bCs w:val="1"/>
                <w:color w:val="E2231A"/>
                <w:w w:val="98"/>
              </w:rPr>
              <w:t>Aggregate</w:t>
            </w:r>
          </w:p>
        </w:tc>
      </w:tr>
      <w:tr>
        <w:trPr>
          <w:trHeight w:val="156"/>
        </w:trPr>
        <w:tc>
          <w:tcPr>
            <w:tcW w:w="24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320" w:type="dxa"/>
            <w:vAlign w:val="bottom"/>
            <w:gridSpan w:val="2"/>
          </w:tcPr>
          <w:p>
            <w:pPr>
              <w:ind w:left="180"/>
              <w:spacing w:after="0" w:line="157" w:lineRule="exact"/>
              <w:rPr>
                <w:sz w:val="20"/>
                <w:szCs w:val="20"/>
                <w:color w:val="auto"/>
              </w:rPr>
            </w:pPr>
            <w:r>
              <w:rPr>
                <w:rFonts w:ascii="Arial" w:cs="Arial" w:eastAsia="Arial" w:hAnsi="Arial"/>
                <w:sz w:val="14"/>
                <w:szCs w:val="14"/>
                <w:b w:val="1"/>
                <w:bCs w:val="1"/>
                <w:color w:val="E2231A"/>
              </w:rPr>
              <w:t>Contributions</w:t>
            </w:r>
          </w:p>
        </w:tc>
        <w:tc>
          <w:tcPr>
            <w:tcW w:w="1420" w:type="dxa"/>
            <w:vAlign w:val="bottom"/>
            <w:gridSpan w:val="2"/>
          </w:tcPr>
          <w:p>
            <w:pPr>
              <w:ind w:left="240"/>
              <w:spacing w:after="0" w:line="157" w:lineRule="exact"/>
              <w:rPr>
                <w:sz w:val="20"/>
                <w:szCs w:val="20"/>
                <w:color w:val="auto"/>
              </w:rPr>
            </w:pPr>
            <w:r>
              <w:rPr>
                <w:rFonts w:ascii="Arial" w:cs="Arial" w:eastAsia="Arial" w:hAnsi="Arial"/>
                <w:sz w:val="14"/>
                <w:szCs w:val="14"/>
                <w:b w:val="1"/>
                <w:bCs w:val="1"/>
                <w:color w:val="E2231A"/>
              </w:rPr>
              <w:t>Contributions</w:t>
            </w:r>
          </w:p>
        </w:tc>
        <w:tc>
          <w:tcPr>
            <w:tcW w:w="280" w:type="dxa"/>
            <w:vAlign w:val="bottom"/>
          </w:tcPr>
          <w:p>
            <w:pPr>
              <w:spacing w:after="0"/>
              <w:rPr>
                <w:sz w:val="13"/>
                <w:szCs w:val="13"/>
                <w:color w:val="auto"/>
              </w:rPr>
            </w:pPr>
          </w:p>
        </w:tc>
        <w:tc>
          <w:tcPr>
            <w:tcW w:w="900" w:type="dxa"/>
            <w:vAlign w:val="bottom"/>
          </w:tcPr>
          <w:p>
            <w:pPr>
              <w:jc w:val="center"/>
              <w:ind w:right="250"/>
              <w:spacing w:after="0" w:line="157" w:lineRule="exact"/>
              <w:rPr>
                <w:sz w:val="20"/>
                <w:szCs w:val="20"/>
                <w:color w:val="auto"/>
              </w:rPr>
            </w:pPr>
            <w:r>
              <w:rPr>
                <w:rFonts w:ascii="Arial" w:cs="Arial" w:eastAsia="Arial" w:hAnsi="Arial"/>
                <w:sz w:val="14"/>
                <w:szCs w:val="14"/>
                <w:b w:val="1"/>
                <w:bCs w:val="1"/>
                <w:color w:val="E2231A"/>
              </w:rPr>
              <w:t>in Last</w:t>
            </w:r>
          </w:p>
        </w:tc>
        <w:tc>
          <w:tcPr>
            <w:tcW w:w="260" w:type="dxa"/>
            <w:vAlign w:val="bottom"/>
          </w:tcPr>
          <w:p>
            <w:pPr>
              <w:spacing w:after="0"/>
              <w:rPr>
                <w:sz w:val="13"/>
                <w:szCs w:val="13"/>
                <w:color w:val="auto"/>
              </w:rPr>
            </w:pPr>
          </w:p>
        </w:tc>
        <w:tc>
          <w:tcPr>
            <w:tcW w:w="1160" w:type="dxa"/>
            <w:vAlign w:val="bottom"/>
          </w:tcPr>
          <w:p>
            <w:pPr>
              <w:spacing w:after="0" w:line="157" w:lineRule="exact"/>
              <w:rPr>
                <w:sz w:val="20"/>
                <w:szCs w:val="20"/>
                <w:color w:val="auto"/>
              </w:rPr>
            </w:pPr>
            <w:r>
              <w:rPr>
                <w:rFonts w:ascii="Arial" w:cs="Arial" w:eastAsia="Arial" w:hAnsi="Arial"/>
                <w:sz w:val="14"/>
                <w:szCs w:val="14"/>
                <w:b w:val="1"/>
                <w:bCs w:val="1"/>
                <w:color w:val="E2231A"/>
              </w:rPr>
              <w:t>Withdrawals/</w:t>
            </w:r>
          </w:p>
        </w:tc>
        <w:tc>
          <w:tcPr>
            <w:tcW w:w="300" w:type="dxa"/>
            <w:vAlign w:val="bottom"/>
          </w:tcPr>
          <w:p>
            <w:pPr>
              <w:spacing w:after="0"/>
              <w:rPr>
                <w:sz w:val="13"/>
                <w:szCs w:val="13"/>
                <w:color w:val="auto"/>
              </w:rPr>
            </w:pPr>
          </w:p>
        </w:tc>
        <w:tc>
          <w:tcPr>
            <w:tcW w:w="1020" w:type="dxa"/>
            <w:vAlign w:val="bottom"/>
          </w:tcPr>
          <w:p>
            <w:pPr>
              <w:jc w:val="right"/>
              <w:ind w:right="229"/>
              <w:spacing w:after="0" w:line="157" w:lineRule="exact"/>
              <w:rPr>
                <w:sz w:val="20"/>
                <w:szCs w:val="20"/>
                <w:color w:val="auto"/>
              </w:rPr>
            </w:pPr>
            <w:r>
              <w:rPr>
                <w:rFonts w:ascii="Arial" w:cs="Arial" w:eastAsia="Arial" w:hAnsi="Arial"/>
                <w:sz w:val="14"/>
                <w:szCs w:val="14"/>
                <w:b w:val="1"/>
                <w:bCs w:val="1"/>
                <w:color w:val="E2231A"/>
                <w:w w:val="99"/>
              </w:rPr>
              <w:t>Balance at</w:t>
            </w:r>
          </w:p>
        </w:tc>
      </w:tr>
      <w:tr>
        <w:trPr>
          <w:trHeight w:val="176"/>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Name(a)</w:t>
            </w:r>
          </w:p>
        </w:tc>
        <w:tc>
          <w:tcPr>
            <w:tcW w:w="180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E2231A"/>
              </w:rPr>
              <w:t>Plan Name</w:t>
            </w: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E2231A"/>
              </w:rPr>
              <w:t>in Last FY(b)</w:t>
            </w:r>
          </w:p>
        </w:tc>
        <w:tc>
          <w:tcPr>
            <w:tcW w:w="1420" w:type="dxa"/>
            <w:vAlign w:val="bottom"/>
            <w:tcBorders>
              <w:bottom w:val="single" w:sz="8" w:color="auto"/>
            </w:tcBorders>
            <w:gridSpan w:val="2"/>
          </w:tcPr>
          <w:p>
            <w:pPr>
              <w:ind w:left="200"/>
              <w:spacing w:after="0" w:line="177" w:lineRule="exact"/>
              <w:rPr>
                <w:sz w:val="20"/>
                <w:szCs w:val="20"/>
                <w:color w:val="auto"/>
              </w:rPr>
            </w:pPr>
            <w:r>
              <w:rPr>
                <w:rFonts w:ascii="Arial" w:cs="Arial" w:eastAsia="Arial" w:hAnsi="Arial"/>
                <w:sz w:val="12"/>
                <w:szCs w:val="12"/>
                <w:b w:val="1"/>
                <w:bCs w:val="1"/>
                <w:color w:val="E2231A"/>
              </w:rPr>
              <w:t>in Last FY</w:t>
            </w:r>
            <w:r>
              <w:rPr>
                <w:rFonts w:ascii="Arial" w:cs="Arial" w:eastAsia="Arial" w:hAnsi="Arial"/>
                <w:sz w:val="20"/>
                <w:szCs w:val="20"/>
                <w:b w:val="1"/>
                <w:bCs w:val="1"/>
                <w:color w:val="E2231A"/>
                <w:vertAlign w:val="superscript"/>
              </w:rPr>
              <w:t>(1)</w:t>
            </w:r>
            <w:r>
              <w:rPr>
                <w:rFonts w:ascii="Arial" w:cs="Arial" w:eastAsia="Arial" w:hAnsi="Arial"/>
                <w:sz w:val="12"/>
                <w:szCs w:val="12"/>
                <w:b w:val="1"/>
                <w:bCs w:val="1"/>
                <w:color w:val="E2231A"/>
              </w:rPr>
              <w:t>(c)</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50"/>
              <w:spacing w:after="0" w:line="177" w:lineRule="exact"/>
              <w:rPr>
                <w:sz w:val="20"/>
                <w:szCs w:val="20"/>
                <w:color w:val="auto"/>
              </w:rPr>
            </w:pPr>
            <w:r>
              <w:rPr>
                <w:rFonts w:ascii="Arial" w:cs="Arial" w:eastAsia="Arial" w:hAnsi="Arial"/>
                <w:sz w:val="12"/>
                <w:szCs w:val="12"/>
                <w:b w:val="1"/>
                <w:bCs w:val="1"/>
                <w:color w:val="E2231A"/>
              </w:rPr>
              <w:t>FY(d)</w:t>
            </w:r>
            <w:r>
              <w:rPr>
                <w:rFonts w:ascii="Arial" w:cs="Arial" w:eastAsia="Arial" w:hAnsi="Arial"/>
                <w:sz w:val="20"/>
                <w:szCs w:val="20"/>
                <w:b w:val="1"/>
                <w:bCs w:val="1"/>
                <w:color w:val="E2231A"/>
                <w:vertAlign w:val="superscript"/>
              </w:rPr>
              <w:t>(2)</w:t>
            </w: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E2231A"/>
              </w:rPr>
              <w:t>Distributions(e)</w:t>
            </w:r>
          </w:p>
        </w:tc>
        <w:tc>
          <w:tcPr>
            <w:tcW w:w="1320" w:type="dxa"/>
            <w:vAlign w:val="bottom"/>
            <w:tcBorders>
              <w:bottom w:val="single" w:sz="8" w:color="auto"/>
            </w:tcBorders>
            <w:gridSpan w:val="2"/>
          </w:tcPr>
          <w:p>
            <w:pPr>
              <w:ind w:left="200"/>
              <w:spacing w:after="0" w:line="177" w:lineRule="exact"/>
              <w:rPr>
                <w:sz w:val="20"/>
                <w:szCs w:val="20"/>
                <w:color w:val="auto"/>
              </w:rPr>
            </w:pPr>
            <w:r>
              <w:rPr>
                <w:rFonts w:ascii="Arial" w:cs="Arial" w:eastAsia="Arial" w:hAnsi="Arial"/>
                <w:sz w:val="12"/>
                <w:szCs w:val="12"/>
                <w:b w:val="1"/>
                <w:bCs w:val="1"/>
                <w:color w:val="E2231A"/>
              </w:rPr>
              <w:t>Last FYE(f)</w:t>
            </w:r>
            <w:r>
              <w:rPr>
                <w:rFonts w:ascii="Arial" w:cs="Arial" w:eastAsia="Arial" w:hAnsi="Arial"/>
                <w:sz w:val="20"/>
                <w:szCs w:val="20"/>
                <w:b w:val="1"/>
                <w:bCs w:val="1"/>
                <w:color w:val="E2231A"/>
                <w:vertAlign w:val="superscript"/>
              </w:rPr>
              <w:t>(3)</w:t>
            </w:r>
          </w:p>
        </w:tc>
      </w:tr>
      <w:tr>
        <w:trPr>
          <w:trHeight w:val="158"/>
        </w:trPr>
        <w:tc>
          <w:tcPr>
            <w:tcW w:w="2420" w:type="dxa"/>
            <w:vAlign w:val="bottom"/>
            <w:shd w:val="clear" w:color="auto" w:fill="FCE9E8"/>
          </w:tcPr>
          <w:p>
            <w:pPr>
              <w:ind w:left="80"/>
              <w:spacing w:after="0" w:line="158" w:lineRule="exact"/>
              <w:rPr>
                <w:sz w:val="20"/>
                <w:szCs w:val="20"/>
                <w:color w:val="auto"/>
              </w:rPr>
            </w:pPr>
            <w:r>
              <w:rPr>
                <w:rFonts w:ascii="Arial" w:cs="Arial" w:eastAsia="Arial" w:hAnsi="Arial"/>
                <w:sz w:val="14"/>
                <w:szCs w:val="14"/>
                <w:color w:val="auto"/>
              </w:rPr>
              <w:t>Raymond E. Scott</w:t>
            </w:r>
          </w:p>
        </w:tc>
        <w:tc>
          <w:tcPr>
            <w:tcW w:w="1800" w:type="dxa"/>
            <w:vAlign w:val="bottom"/>
            <w:shd w:val="clear" w:color="auto" w:fill="FCE9E8"/>
          </w:tcPr>
          <w:p>
            <w:pPr>
              <w:jc w:val="right"/>
              <w:ind w:right="109"/>
              <w:spacing w:after="0" w:line="158" w:lineRule="exact"/>
              <w:rPr>
                <w:sz w:val="20"/>
                <w:szCs w:val="20"/>
                <w:color w:val="auto"/>
              </w:rPr>
            </w:pPr>
            <w:r>
              <w:rPr>
                <w:rFonts w:ascii="Arial" w:cs="Arial" w:eastAsia="Arial" w:hAnsi="Arial"/>
                <w:sz w:val="14"/>
                <w:szCs w:val="14"/>
                <w:color w:val="auto"/>
              </w:rPr>
              <w:t>Salaried Retirement</w:t>
            </w:r>
          </w:p>
        </w:tc>
        <w:tc>
          <w:tcPr>
            <w:tcW w:w="300" w:type="dxa"/>
            <w:vAlign w:val="bottom"/>
            <w:shd w:val="clear" w:color="auto" w:fill="FCE9E8"/>
          </w:tcPr>
          <w:p>
            <w:pPr>
              <w:spacing w:after="0"/>
              <w:rPr>
                <w:sz w:val="13"/>
                <w:szCs w:val="13"/>
                <w:color w:val="auto"/>
              </w:rPr>
            </w:pPr>
          </w:p>
        </w:tc>
        <w:tc>
          <w:tcPr>
            <w:tcW w:w="1020" w:type="dxa"/>
            <w:vAlign w:val="bottom"/>
            <w:shd w:val="clear" w:color="auto" w:fill="FCE9E8"/>
          </w:tcPr>
          <w:p>
            <w:pPr>
              <w:spacing w:after="0"/>
              <w:rPr>
                <w:sz w:val="13"/>
                <w:szCs w:val="13"/>
                <w:color w:val="auto"/>
              </w:rPr>
            </w:pPr>
          </w:p>
        </w:tc>
        <w:tc>
          <w:tcPr>
            <w:tcW w:w="340" w:type="dxa"/>
            <w:vAlign w:val="bottom"/>
            <w:shd w:val="clear" w:color="auto" w:fill="FCE9E8"/>
          </w:tcPr>
          <w:p>
            <w:pPr>
              <w:spacing w:after="0"/>
              <w:rPr>
                <w:sz w:val="13"/>
                <w:szCs w:val="13"/>
                <w:color w:val="auto"/>
              </w:rPr>
            </w:pPr>
          </w:p>
        </w:tc>
        <w:tc>
          <w:tcPr>
            <w:tcW w:w="1080" w:type="dxa"/>
            <w:vAlign w:val="bottom"/>
            <w:shd w:val="clear" w:color="auto" w:fill="FCE9E8"/>
          </w:tcPr>
          <w:p>
            <w:pPr>
              <w:spacing w:after="0"/>
              <w:rPr>
                <w:sz w:val="13"/>
                <w:szCs w:val="13"/>
                <w:color w:val="auto"/>
              </w:rPr>
            </w:pPr>
          </w:p>
        </w:tc>
        <w:tc>
          <w:tcPr>
            <w:tcW w:w="280" w:type="dxa"/>
            <w:vAlign w:val="bottom"/>
            <w:shd w:val="clear" w:color="auto" w:fill="FCE9E8"/>
          </w:tcPr>
          <w:p>
            <w:pPr>
              <w:spacing w:after="0"/>
              <w:rPr>
                <w:sz w:val="13"/>
                <w:szCs w:val="13"/>
                <w:color w:val="auto"/>
              </w:rPr>
            </w:pPr>
          </w:p>
        </w:tc>
        <w:tc>
          <w:tcPr>
            <w:tcW w:w="900" w:type="dxa"/>
            <w:vAlign w:val="bottom"/>
            <w:shd w:val="clear" w:color="auto" w:fill="FCE9E8"/>
          </w:tcPr>
          <w:p>
            <w:pPr>
              <w:spacing w:after="0"/>
              <w:rPr>
                <w:sz w:val="13"/>
                <w:szCs w:val="13"/>
                <w:color w:val="auto"/>
              </w:rPr>
            </w:pPr>
          </w:p>
        </w:tc>
        <w:tc>
          <w:tcPr>
            <w:tcW w:w="260" w:type="dxa"/>
            <w:vAlign w:val="bottom"/>
            <w:shd w:val="clear" w:color="auto" w:fill="FCE9E8"/>
          </w:tcPr>
          <w:p>
            <w:pPr>
              <w:spacing w:after="0"/>
              <w:rPr>
                <w:sz w:val="13"/>
                <w:szCs w:val="13"/>
                <w:color w:val="auto"/>
              </w:rPr>
            </w:pPr>
          </w:p>
        </w:tc>
        <w:tc>
          <w:tcPr>
            <w:tcW w:w="1160" w:type="dxa"/>
            <w:vAlign w:val="bottom"/>
            <w:shd w:val="clear" w:color="auto" w:fill="FCE9E8"/>
          </w:tcPr>
          <w:p>
            <w:pPr>
              <w:spacing w:after="0"/>
              <w:rPr>
                <w:sz w:val="13"/>
                <w:szCs w:val="13"/>
                <w:color w:val="auto"/>
              </w:rPr>
            </w:pPr>
          </w:p>
        </w:tc>
        <w:tc>
          <w:tcPr>
            <w:tcW w:w="300" w:type="dxa"/>
            <w:vAlign w:val="bottom"/>
            <w:shd w:val="clear" w:color="auto" w:fill="FCE9E8"/>
          </w:tcPr>
          <w:p>
            <w:pPr>
              <w:spacing w:after="0"/>
              <w:rPr>
                <w:sz w:val="13"/>
                <w:szCs w:val="13"/>
                <w:color w:val="auto"/>
              </w:rPr>
            </w:pPr>
          </w:p>
        </w:tc>
        <w:tc>
          <w:tcPr>
            <w:tcW w:w="1020" w:type="dxa"/>
            <w:vAlign w:val="bottom"/>
            <w:shd w:val="clear" w:color="auto" w:fill="FCE9E8"/>
          </w:tcPr>
          <w:p>
            <w:pPr>
              <w:spacing w:after="0"/>
              <w:rPr>
                <w:sz w:val="13"/>
                <w:szCs w:val="13"/>
                <w:color w:val="auto"/>
              </w:rPr>
            </w:pPr>
          </w:p>
        </w:tc>
      </w:tr>
      <w:tr>
        <w:trPr>
          <w:trHeight w:val="155"/>
        </w:trPr>
        <w:tc>
          <w:tcPr>
            <w:tcW w:w="2420" w:type="dxa"/>
            <w:vAlign w:val="bottom"/>
            <w:shd w:val="clear" w:color="auto" w:fill="FCE9E8"/>
          </w:tcPr>
          <w:p>
            <w:pPr>
              <w:spacing w:after="0"/>
              <w:rPr>
                <w:sz w:val="13"/>
                <w:szCs w:val="13"/>
                <w:color w:val="auto"/>
              </w:rPr>
            </w:pPr>
          </w:p>
        </w:tc>
        <w:tc>
          <w:tcPr>
            <w:tcW w:w="1800" w:type="dxa"/>
            <w:vAlign w:val="bottom"/>
            <w:shd w:val="clear" w:color="auto" w:fill="FCE9E8"/>
          </w:tcPr>
          <w:p>
            <w:pPr>
              <w:jc w:val="right"/>
              <w:ind w:right="109"/>
              <w:spacing w:after="0" w:line="155" w:lineRule="exact"/>
              <w:rPr>
                <w:sz w:val="20"/>
                <w:szCs w:val="20"/>
                <w:color w:val="auto"/>
              </w:rPr>
            </w:pPr>
            <w:r>
              <w:rPr>
                <w:rFonts w:ascii="Arial" w:cs="Arial" w:eastAsia="Arial" w:hAnsi="Arial"/>
                <w:sz w:val="14"/>
                <w:szCs w:val="14"/>
                <w:color w:val="auto"/>
              </w:rPr>
              <w:t>Restoration Program</w:t>
            </w:r>
          </w:p>
        </w:tc>
        <w:tc>
          <w:tcPr>
            <w:tcW w:w="300" w:type="dxa"/>
            <w:vAlign w:val="bottom"/>
            <w:shd w:val="clear" w:color="auto" w:fill="FCE9E8"/>
          </w:tcPr>
          <w:p>
            <w:pPr>
              <w:ind w:left="180"/>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29"/>
              <w:spacing w:after="0" w:line="155" w:lineRule="exact"/>
              <w:rPr>
                <w:sz w:val="20"/>
                <w:szCs w:val="20"/>
                <w:color w:val="auto"/>
              </w:rPr>
            </w:pPr>
            <w:r>
              <w:rPr>
                <w:rFonts w:ascii="Arial" w:cs="Arial" w:eastAsia="Arial" w:hAnsi="Arial"/>
                <w:sz w:val="14"/>
                <w:szCs w:val="14"/>
                <w:color w:val="auto"/>
              </w:rPr>
              <w:t>156,336</w:t>
            </w:r>
          </w:p>
        </w:tc>
        <w:tc>
          <w:tcPr>
            <w:tcW w:w="340" w:type="dxa"/>
            <w:vAlign w:val="bottom"/>
            <w:shd w:val="clear" w:color="auto" w:fill="FCE9E8"/>
          </w:tcPr>
          <w:p>
            <w:pPr>
              <w:ind w:left="200"/>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FCE9E8"/>
          </w:tcPr>
          <w:p>
            <w:pPr>
              <w:jc w:val="right"/>
              <w:ind w:right="129"/>
              <w:spacing w:after="0" w:line="155" w:lineRule="exact"/>
              <w:rPr>
                <w:sz w:val="20"/>
                <w:szCs w:val="20"/>
                <w:color w:val="auto"/>
              </w:rPr>
            </w:pPr>
            <w:r>
              <w:rPr>
                <w:rFonts w:ascii="Arial" w:cs="Arial" w:eastAsia="Arial" w:hAnsi="Arial"/>
                <w:sz w:val="14"/>
                <w:szCs w:val="14"/>
                <w:color w:val="auto"/>
              </w:rPr>
              <w:t>388,289</w:t>
            </w:r>
          </w:p>
        </w:tc>
        <w:tc>
          <w:tcPr>
            <w:tcW w:w="280" w:type="dxa"/>
            <w:vAlign w:val="bottom"/>
            <w:shd w:val="clear" w:color="auto" w:fill="FCE9E8"/>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110"/>
              <w:spacing w:after="0" w:line="155" w:lineRule="exact"/>
              <w:rPr>
                <w:sz w:val="20"/>
                <w:szCs w:val="20"/>
                <w:color w:val="auto"/>
              </w:rPr>
            </w:pPr>
            <w:r>
              <w:rPr>
                <w:rFonts w:ascii="Arial" w:cs="Arial" w:eastAsia="Arial" w:hAnsi="Arial"/>
                <w:sz w:val="14"/>
                <w:szCs w:val="14"/>
                <w:color w:val="auto"/>
              </w:rPr>
              <w:t>(280,037)</w:t>
            </w:r>
          </w:p>
        </w:tc>
        <w:tc>
          <w:tcPr>
            <w:tcW w:w="260" w:type="dxa"/>
            <w:vAlign w:val="bottom"/>
            <w:shd w:val="clear" w:color="auto" w:fill="FCE9E8"/>
          </w:tcPr>
          <w:p>
            <w:pPr>
              <w:ind w:left="180"/>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FCE9E8"/>
          </w:tcPr>
          <w:p>
            <w:pPr>
              <w:ind w:left="820"/>
              <w:spacing w:after="0" w:line="155" w:lineRule="exact"/>
              <w:rPr>
                <w:sz w:val="20"/>
                <w:szCs w:val="20"/>
                <w:color w:val="auto"/>
              </w:rPr>
            </w:pPr>
            <w:r>
              <w:rPr>
                <w:rFonts w:ascii="Arial" w:cs="Arial" w:eastAsia="Arial" w:hAnsi="Arial"/>
                <w:sz w:val="14"/>
                <w:szCs w:val="14"/>
                <w:color w:val="auto"/>
              </w:rPr>
              <w:t>—</w:t>
            </w:r>
          </w:p>
        </w:tc>
        <w:tc>
          <w:tcPr>
            <w:tcW w:w="300" w:type="dxa"/>
            <w:vAlign w:val="bottom"/>
            <w:shd w:val="clear" w:color="auto" w:fill="FCE9E8"/>
          </w:tcPr>
          <w:p>
            <w:pPr>
              <w:ind w:left="200"/>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49"/>
              <w:spacing w:after="0" w:line="155" w:lineRule="exact"/>
              <w:rPr>
                <w:sz w:val="20"/>
                <w:szCs w:val="20"/>
                <w:color w:val="auto"/>
              </w:rPr>
            </w:pPr>
            <w:r>
              <w:rPr>
                <w:rFonts w:ascii="Arial" w:cs="Arial" w:eastAsia="Arial" w:hAnsi="Arial"/>
                <w:sz w:val="14"/>
                <w:szCs w:val="14"/>
                <w:color w:val="auto"/>
              </w:rPr>
              <w:t>3,457,613</w:t>
            </w:r>
          </w:p>
        </w:tc>
      </w:tr>
      <w:tr>
        <w:trPr>
          <w:trHeight w:val="160"/>
        </w:trPr>
        <w:tc>
          <w:tcPr>
            <w:tcW w:w="2420" w:type="dxa"/>
            <w:vAlign w:val="bottom"/>
            <w:shd w:val="clear" w:color="auto" w:fill="FCE9E8"/>
          </w:tcPr>
          <w:p>
            <w:pPr>
              <w:spacing w:after="0"/>
              <w:rPr>
                <w:sz w:val="13"/>
                <w:szCs w:val="13"/>
                <w:color w:val="auto"/>
              </w:rPr>
            </w:pPr>
          </w:p>
        </w:tc>
        <w:tc>
          <w:tcPr>
            <w:tcW w:w="1800" w:type="dxa"/>
            <w:vAlign w:val="bottom"/>
            <w:shd w:val="clear" w:color="auto" w:fill="FCE9E8"/>
          </w:tcPr>
          <w:p>
            <w:pPr>
              <w:jc w:val="right"/>
              <w:ind w:right="109"/>
              <w:spacing w:after="0" w:line="160" w:lineRule="exact"/>
              <w:rPr>
                <w:sz w:val="20"/>
                <w:szCs w:val="20"/>
                <w:color w:val="auto"/>
              </w:rPr>
            </w:pPr>
            <w:r>
              <w:rPr>
                <w:rFonts w:ascii="Arial" w:cs="Arial" w:eastAsia="Arial" w:hAnsi="Arial"/>
                <w:sz w:val="14"/>
                <w:szCs w:val="14"/>
                <w:color w:val="auto"/>
              </w:rPr>
              <w:t>Vested Career Shares</w:t>
            </w:r>
          </w:p>
        </w:tc>
        <w:tc>
          <w:tcPr>
            <w:tcW w:w="300" w:type="dxa"/>
            <w:vAlign w:val="bottom"/>
            <w:shd w:val="clear" w:color="auto" w:fill="FCE9E8"/>
          </w:tcPr>
          <w:p>
            <w:pPr>
              <w:ind w:left="180"/>
              <w:spacing w:after="0" w:line="160" w:lineRule="exact"/>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29"/>
              <w:spacing w:after="0" w:line="160" w:lineRule="exact"/>
              <w:rPr>
                <w:sz w:val="20"/>
                <w:szCs w:val="20"/>
                <w:color w:val="auto"/>
              </w:rPr>
            </w:pPr>
            <w:r>
              <w:rPr>
                <w:rFonts w:ascii="Arial" w:cs="Arial" w:eastAsia="Arial" w:hAnsi="Arial"/>
                <w:sz w:val="14"/>
                <w:szCs w:val="14"/>
                <w:color w:val="auto"/>
              </w:rPr>
              <w:t>—</w:t>
            </w:r>
          </w:p>
        </w:tc>
        <w:tc>
          <w:tcPr>
            <w:tcW w:w="340" w:type="dxa"/>
            <w:vAlign w:val="bottom"/>
            <w:shd w:val="clear" w:color="auto" w:fill="FCE9E8"/>
          </w:tcPr>
          <w:p>
            <w:pPr>
              <w:ind w:left="200"/>
              <w:spacing w:after="0" w:line="160" w:lineRule="exact"/>
              <w:rPr>
                <w:sz w:val="20"/>
                <w:szCs w:val="20"/>
                <w:color w:val="auto"/>
              </w:rPr>
            </w:pPr>
            <w:r>
              <w:rPr>
                <w:rFonts w:ascii="Arial" w:cs="Arial" w:eastAsia="Arial" w:hAnsi="Arial"/>
                <w:sz w:val="14"/>
                <w:szCs w:val="14"/>
                <w:color w:val="auto"/>
              </w:rPr>
              <w:t>$</w:t>
            </w:r>
          </w:p>
        </w:tc>
        <w:tc>
          <w:tcPr>
            <w:tcW w:w="1080" w:type="dxa"/>
            <w:vAlign w:val="bottom"/>
            <w:shd w:val="clear" w:color="auto" w:fill="FCE9E8"/>
          </w:tcPr>
          <w:p>
            <w:pPr>
              <w:jc w:val="right"/>
              <w:ind w:right="129"/>
              <w:spacing w:after="0" w:line="160" w:lineRule="exact"/>
              <w:rPr>
                <w:sz w:val="20"/>
                <w:szCs w:val="20"/>
                <w:color w:val="auto"/>
              </w:rPr>
            </w:pPr>
            <w:r>
              <w:rPr>
                <w:rFonts w:ascii="Arial" w:cs="Arial" w:eastAsia="Arial" w:hAnsi="Arial"/>
                <w:sz w:val="14"/>
                <w:szCs w:val="14"/>
                <w:color w:val="auto"/>
              </w:rPr>
              <w:t>311,650</w:t>
            </w:r>
          </w:p>
        </w:tc>
        <w:tc>
          <w:tcPr>
            <w:tcW w:w="280" w:type="dxa"/>
            <w:vAlign w:val="bottom"/>
            <w:shd w:val="clear" w:color="auto" w:fill="FCE9E8"/>
          </w:tcPr>
          <w:p>
            <w:pPr>
              <w:jc w:val="right"/>
              <w:spacing w:after="0" w:line="160" w:lineRule="exact"/>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110"/>
              <w:spacing w:after="0" w:line="160" w:lineRule="exact"/>
              <w:rPr>
                <w:sz w:val="20"/>
                <w:szCs w:val="20"/>
                <w:color w:val="auto"/>
              </w:rPr>
            </w:pPr>
            <w:r>
              <w:rPr>
                <w:rFonts w:ascii="Arial" w:cs="Arial" w:eastAsia="Arial" w:hAnsi="Arial"/>
                <w:sz w:val="14"/>
                <w:szCs w:val="14"/>
                <w:color w:val="auto"/>
              </w:rPr>
              <w:t>(510,296)</w:t>
            </w:r>
          </w:p>
        </w:tc>
        <w:tc>
          <w:tcPr>
            <w:tcW w:w="260" w:type="dxa"/>
            <w:vAlign w:val="bottom"/>
            <w:shd w:val="clear" w:color="auto" w:fill="FCE9E8"/>
          </w:tcPr>
          <w:p>
            <w:pPr>
              <w:ind w:left="180"/>
              <w:spacing w:after="0" w:line="160"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FCE9E8"/>
          </w:tcPr>
          <w:p>
            <w:pPr>
              <w:ind w:left="820"/>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FCE9E8"/>
          </w:tcPr>
          <w:p>
            <w:pPr>
              <w:ind w:left="200"/>
              <w:spacing w:after="0" w:line="160" w:lineRule="exact"/>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49"/>
              <w:spacing w:after="0" w:line="160" w:lineRule="exact"/>
              <w:rPr>
                <w:sz w:val="20"/>
                <w:szCs w:val="20"/>
                <w:color w:val="auto"/>
              </w:rPr>
            </w:pPr>
            <w:r>
              <w:rPr>
                <w:rFonts w:ascii="Arial" w:cs="Arial" w:eastAsia="Arial" w:hAnsi="Arial"/>
                <w:sz w:val="14"/>
                <w:szCs w:val="14"/>
                <w:color w:val="auto"/>
              </w:rPr>
              <w:t>1,549,564</w:t>
            </w:r>
          </w:p>
        </w:tc>
      </w:tr>
      <w:tr>
        <w:trPr>
          <w:trHeight w:val="165"/>
        </w:trPr>
        <w:tc>
          <w:tcPr>
            <w:tcW w:w="2420" w:type="dxa"/>
            <w:vAlign w:val="bottom"/>
          </w:tcPr>
          <w:p>
            <w:pPr>
              <w:ind w:left="80"/>
              <w:spacing w:after="0"/>
              <w:rPr>
                <w:sz w:val="20"/>
                <w:szCs w:val="20"/>
                <w:color w:val="auto"/>
              </w:rPr>
            </w:pPr>
            <w:r>
              <w:rPr>
                <w:rFonts w:ascii="Arial" w:cs="Arial" w:eastAsia="Arial" w:hAnsi="Arial"/>
                <w:sz w:val="14"/>
                <w:szCs w:val="14"/>
                <w:color w:val="auto"/>
              </w:rPr>
              <w:t>Jeffrey H. Vanneste</w:t>
            </w:r>
          </w:p>
        </w:tc>
        <w:tc>
          <w:tcPr>
            <w:tcW w:w="1800" w:type="dxa"/>
            <w:vAlign w:val="bottom"/>
          </w:tcPr>
          <w:p>
            <w:pPr>
              <w:jc w:val="right"/>
              <w:ind w:right="109"/>
              <w:spacing w:after="0"/>
              <w:rPr>
                <w:sz w:val="20"/>
                <w:szCs w:val="20"/>
                <w:color w:val="auto"/>
              </w:rPr>
            </w:pPr>
            <w:r>
              <w:rPr>
                <w:rFonts w:ascii="Arial" w:cs="Arial" w:eastAsia="Arial" w:hAnsi="Arial"/>
                <w:sz w:val="14"/>
                <w:szCs w:val="14"/>
                <w:color w:val="auto"/>
              </w:rPr>
              <w:t>Salaried Retirement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0"/>
        </w:trPr>
        <w:tc>
          <w:tcPr>
            <w:tcW w:w="2420" w:type="dxa"/>
            <w:vAlign w:val="bottom"/>
          </w:tcPr>
          <w:p>
            <w:pPr>
              <w:spacing w:after="0"/>
              <w:rPr>
                <w:sz w:val="13"/>
                <w:szCs w:val="13"/>
                <w:color w:val="auto"/>
              </w:rPr>
            </w:pPr>
          </w:p>
        </w:tc>
        <w:tc>
          <w:tcPr>
            <w:tcW w:w="1800" w:type="dxa"/>
            <w:vAlign w:val="bottom"/>
          </w:tcPr>
          <w:p>
            <w:pPr>
              <w:jc w:val="right"/>
              <w:ind w:right="109"/>
              <w:spacing w:after="0" w:line="160" w:lineRule="exact"/>
              <w:rPr>
                <w:sz w:val="20"/>
                <w:szCs w:val="20"/>
                <w:color w:val="auto"/>
              </w:rPr>
            </w:pPr>
            <w:r>
              <w:rPr>
                <w:rFonts w:ascii="Arial" w:cs="Arial" w:eastAsia="Arial" w:hAnsi="Arial"/>
                <w:sz w:val="14"/>
                <w:szCs w:val="14"/>
                <w:color w:val="auto"/>
              </w:rPr>
              <w:t>Restoration Program</w:t>
            </w:r>
          </w:p>
        </w:tc>
        <w:tc>
          <w:tcPr>
            <w:tcW w:w="300" w:type="dxa"/>
            <w:vAlign w:val="bottom"/>
          </w:tcPr>
          <w:p>
            <w:pPr>
              <w:ind w:left="180"/>
              <w:spacing w:after="0" w:line="160"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29"/>
              <w:spacing w:after="0" w:line="160" w:lineRule="exact"/>
              <w:rPr>
                <w:sz w:val="20"/>
                <w:szCs w:val="20"/>
                <w:color w:val="auto"/>
              </w:rPr>
            </w:pPr>
            <w:r>
              <w:rPr>
                <w:rFonts w:ascii="Arial" w:cs="Arial" w:eastAsia="Arial" w:hAnsi="Arial"/>
                <w:sz w:val="14"/>
                <w:szCs w:val="14"/>
                <w:color w:val="auto"/>
              </w:rPr>
              <w:t>127,887</w:t>
            </w:r>
          </w:p>
        </w:tc>
        <w:tc>
          <w:tcPr>
            <w:tcW w:w="340" w:type="dxa"/>
            <w:vAlign w:val="bottom"/>
          </w:tcPr>
          <w:p>
            <w:pPr>
              <w:ind w:left="200"/>
              <w:spacing w:after="0" w:line="160"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9"/>
              <w:spacing w:after="0" w:line="160" w:lineRule="exact"/>
              <w:rPr>
                <w:sz w:val="20"/>
                <w:szCs w:val="20"/>
                <w:color w:val="auto"/>
              </w:rPr>
            </w:pPr>
            <w:r>
              <w:rPr>
                <w:rFonts w:ascii="Arial" w:cs="Arial" w:eastAsia="Arial" w:hAnsi="Arial"/>
                <w:sz w:val="14"/>
                <w:szCs w:val="14"/>
                <w:color w:val="auto"/>
              </w:rPr>
              <w:t>310,054</w:t>
            </w:r>
          </w:p>
        </w:tc>
        <w:tc>
          <w:tcPr>
            <w:tcW w:w="280" w:type="dxa"/>
            <w:vAlign w:val="bottom"/>
          </w:tcPr>
          <w:p>
            <w:pPr>
              <w:jc w:val="right"/>
              <w:spacing w:after="0" w:line="160"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0"/>
              <w:spacing w:after="0" w:line="160" w:lineRule="exact"/>
              <w:rPr>
                <w:sz w:val="20"/>
                <w:szCs w:val="20"/>
                <w:color w:val="auto"/>
              </w:rPr>
            </w:pPr>
            <w:r>
              <w:rPr>
                <w:rFonts w:ascii="Arial" w:cs="Arial" w:eastAsia="Arial" w:hAnsi="Arial"/>
                <w:sz w:val="14"/>
                <w:szCs w:val="14"/>
                <w:color w:val="auto"/>
              </w:rPr>
              <w:t>(56,816)</w:t>
            </w:r>
          </w:p>
        </w:tc>
        <w:tc>
          <w:tcPr>
            <w:tcW w:w="260" w:type="dxa"/>
            <w:vAlign w:val="bottom"/>
          </w:tcPr>
          <w:p>
            <w:pPr>
              <w:ind w:left="180"/>
              <w:spacing w:after="0" w:line="160" w:lineRule="exact"/>
              <w:rPr>
                <w:sz w:val="20"/>
                <w:szCs w:val="20"/>
                <w:color w:val="auto"/>
              </w:rPr>
            </w:pPr>
            <w:r>
              <w:rPr>
                <w:rFonts w:ascii="Arial" w:cs="Arial" w:eastAsia="Arial" w:hAnsi="Arial"/>
                <w:sz w:val="14"/>
                <w:szCs w:val="14"/>
                <w:color w:val="auto"/>
                <w:w w:val="76"/>
              </w:rPr>
              <w:t>$</w:t>
            </w:r>
          </w:p>
        </w:tc>
        <w:tc>
          <w:tcPr>
            <w:tcW w:w="1160" w:type="dxa"/>
            <w:vAlign w:val="bottom"/>
          </w:tcPr>
          <w:p>
            <w:pPr>
              <w:ind w:left="820"/>
              <w:spacing w:after="0" w:line="160" w:lineRule="exact"/>
              <w:rPr>
                <w:sz w:val="20"/>
                <w:szCs w:val="20"/>
                <w:color w:val="auto"/>
              </w:rPr>
            </w:pPr>
            <w:r>
              <w:rPr>
                <w:rFonts w:ascii="Arial" w:cs="Arial" w:eastAsia="Arial" w:hAnsi="Arial"/>
                <w:sz w:val="14"/>
                <w:szCs w:val="14"/>
                <w:color w:val="auto"/>
              </w:rPr>
              <w:t>—</w:t>
            </w:r>
          </w:p>
        </w:tc>
        <w:tc>
          <w:tcPr>
            <w:tcW w:w="300" w:type="dxa"/>
            <w:vAlign w:val="bottom"/>
          </w:tcPr>
          <w:p>
            <w:pPr>
              <w:ind w:left="200"/>
              <w:spacing w:after="0" w:line="160"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2,255,291</w:t>
            </w:r>
          </w:p>
        </w:tc>
      </w:tr>
      <w:tr>
        <w:trPr>
          <w:trHeight w:val="155"/>
        </w:trPr>
        <w:tc>
          <w:tcPr>
            <w:tcW w:w="2420" w:type="dxa"/>
            <w:vAlign w:val="bottom"/>
          </w:tcPr>
          <w:p>
            <w:pPr>
              <w:spacing w:after="0"/>
              <w:rPr>
                <w:sz w:val="13"/>
                <w:szCs w:val="13"/>
                <w:color w:val="auto"/>
              </w:rPr>
            </w:pPr>
          </w:p>
        </w:tc>
        <w:tc>
          <w:tcPr>
            <w:tcW w:w="1800" w:type="dxa"/>
            <w:vAlign w:val="bottom"/>
          </w:tcPr>
          <w:p>
            <w:pPr>
              <w:jc w:val="right"/>
              <w:ind w:right="109"/>
              <w:spacing w:after="0" w:line="155" w:lineRule="exact"/>
              <w:rPr>
                <w:sz w:val="20"/>
                <w:szCs w:val="20"/>
                <w:color w:val="auto"/>
              </w:rPr>
            </w:pPr>
            <w:r>
              <w:rPr>
                <w:rFonts w:ascii="Arial" w:cs="Arial" w:eastAsia="Arial" w:hAnsi="Arial"/>
                <w:sz w:val="14"/>
                <w:szCs w:val="14"/>
                <w:color w:val="auto"/>
              </w:rPr>
              <w:t>Vested Career Shares</w:t>
            </w:r>
          </w:p>
        </w:tc>
        <w:tc>
          <w:tcPr>
            <w:tcW w:w="30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311,650</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0"/>
              <w:spacing w:after="0" w:line="155" w:lineRule="exact"/>
              <w:rPr>
                <w:sz w:val="20"/>
                <w:szCs w:val="20"/>
                <w:color w:val="auto"/>
              </w:rPr>
            </w:pPr>
            <w:r>
              <w:rPr>
                <w:rFonts w:ascii="Arial" w:cs="Arial" w:eastAsia="Arial" w:hAnsi="Arial"/>
                <w:sz w:val="14"/>
                <w:szCs w:val="14"/>
                <w:color w:val="auto"/>
              </w:rPr>
              <w:t>(447,403)</w:t>
            </w:r>
          </w:p>
        </w:tc>
        <w:tc>
          <w:tcPr>
            <w:tcW w:w="260" w:type="dxa"/>
            <w:vAlign w:val="bottom"/>
          </w:tcPr>
          <w:p>
            <w:pPr>
              <w:ind w:left="180"/>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Pr>
          <w:p>
            <w:pPr>
              <w:ind w:left="820"/>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49"/>
              <w:spacing w:after="0" w:line="155" w:lineRule="exact"/>
              <w:rPr>
                <w:sz w:val="20"/>
                <w:szCs w:val="20"/>
                <w:color w:val="auto"/>
              </w:rPr>
            </w:pPr>
            <w:r>
              <w:rPr>
                <w:rFonts w:ascii="Arial" w:cs="Arial" w:eastAsia="Arial" w:hAnsi="Arial"/>
                <w:sz w:val="14"/>
                <w:szCs w:val="14"/>
                <w:color w:val="auto"/>
              </w:rPr>
              <w:t>1,385,471</w:t>
            </w:r>
          </w:p>
        </w:tc>
      </w:tr>
      <w:tr>
        <w:trPr>
          <w:trHeight w:val="165"/>
        </w:trPr>
        <w:tc>
          <w:tcPr>
            <w:tcW w:w="2420" w:type="dxa"/>
            <w:vAlign w:val="bottom"/>
            <w:shd w:val="clear" w:color="auto" w:fill="FCE9E8"/>
          </w:tcPr>
          <w:p>
            <w:pPr>
              <w:ind w:left="80"/>
              <w:spacing w:after="0" w:line="164" w:lineRule="exact"/>
              <w:rPr>
                <w:sz w:val="20"/>
                <w:szCs w:val="20"/>
                <w:color w:val="auto"/>
              </w:rPr>
            </w:pPr>
            <w:r>
              <w:rPr>
                <w:rFonts w:ascii="Arial" w:cs="Arial" w:eastAsia="Arial" w:hAnsi="Arial"/>
                <w:sz w:val="12"/>
                <w:szCs w:val="12"/>
                <w:color w:val="auto"/>
              </w:rPr>
              <w:t>Terrence B. Larkin</w:t>
            </w:r>
            <w:r>
              <w:rPr>
                <w:rFonts w:ascii="Arial" w:cs="Arial" w:eastAsia="Arial" w:hAnsi="Arial"/>
                <w:sz w:val="19"/>
                <w:szCs w:val="19"/>
                <w:color w:val="auto"/>
                <w:vertAlign w:val="superscript"/>
              </w:rPr>
              <w:t>(4)</w:t>
            </w:r>
          </w:p>
        </w:tc>
        <w:tc>
          <w:tcPr>
            <w:tcW w:w="1800" w:type="dxa"/>
            <w:vAlign w:val="bottom"/>
            <w:shd w:val="clear" w:color="auto" w:fill="FCE9E8"/>
          </w:tcPr>
          <w:p>
            <w:pPr>
              <w:jc w:val="right"/>
              <w:ind w:right="109"/>
              <w:spacing w:after="0"/>
              <w:rPr>
                <w:sz w:val="20"/>
                <w:szCs w:val="20"/>
                <w:color w:val="auto"/>
              </w:rPr>
            </w:pPr>
            <w:r>
              <w:rPr>
                <w:rFonts w:ascii="Arial" w:cs="Arial" w:eastAsia="Arial" w:hAnsi="Arial"/>
                <w:sz w:val="14"/>
                <w:szCs w:val="14"/>
                <w:color w:val="auto"/>
              </w:rPr>
              <w:t>Salaried Retirement</w:t>
            </w:r>
          </w:p>
        </w:tc>
        <w:tc>
          <w:tcPr>
            <w:tcW w:w="300" w:type="dxa"/>
            <w:vAlign w:val="bottom"/>
            <w:shd w:val="clear" w:color="auto" w:fill="FCE9E8"/>
          </w:tcPr>
          <w:p>
            <w:pPr>
              <w:spacing w:after="0"/>
              <w:rPr>
                <w:sz w:val="14"/>
                <w:szCs w:val="14"/>
                <w:color w:val="auto"/>
              </w:rPr>
            </w:pPr>
          </w:p>
        </w:tc>
        <w:tc>
          <w:tcPr>
            <w:tcW w:w="1020" w:type="dxa"/>
            <w:vAlign w:val="bottom"/>
            <w:shd w:val="clear" w:color="auto" w:fill="FCE9E8"/>
          </w:tcPr>
          <w:p>
            <w:pPr>
              <w:spacing w:after="0"/>
              <w:rPr>
                <w:sz w:val="14"/>
                <w:szCs w:val="14"/>
                <w:color w:val="auto"/>
              </w:rPr>
            </w:pPr>
          </w:p>
        </w:tc>
        <w:tc>
          <w:tcPr>
            <w:tcW w:w="340" w:type="dxa"/>
            <w:vAlign w:val="bottom"/>
            <w:shd w:val="clear" w:color="auto" w:fill="FCE9E8"/>
          </w:tcPr>
          <w:p>
            <w:pPr>
              <w:spacing w:after="0"/>
              <w:rPr>
                <w:sz w:val="14"/>
                <w:szCs w:val="14"/>
                <w:color w:val="auto"/>
              </w:rPr>
            </w:pPr>
          </w:p>
        </w:tc>
        <w:tc>
          <w:tcPr>
            <w:tcW w:w="1080" w:type="dxa"/>
            <w:vAlign w:val="bottom"/>
            <w:shd w:val="clear" w:color="auto" w:fill="FCE9E8"/>
          </w:tcPr>
          <w:p>
            <w:pPr>
              <w:spacing w:after="0"/>
              <w:rPr>
                <w:sz w:val="14"/>
                <w:szCs w:val="14"/>
                <w:color w:val="auto"/>
              </w:rPr>
            </w:pPr>
          </w:p>
        </w:tc>
        <w:tc>
          <w:tcPr>
            <w:tcW w:w="280" w:type="dxa"/>
            <w:vAlign w:val="bottom"/>
            <w:shd w:val="clear" w:color="auto" w:fill="FCE9E8"/>
          </w:tcPr>
          <w:p>
            <w:pPr>
              <w:spacing w:after="0"/>
              <w:rPr>
                <w:sz w:val="14"/>
                <w:szCs w:val="14"/>
                <w:color w:val="auto"/>
              </w:rPr>
            </w:pPr>
          </w:p>
        </w:tc>
        <w:tc>
          <w:tcPr>
            <w:tcW w:w="900" w:type="dxa"/>
            <w:vAlign w:val="bottom"/>
            <w:shd w:val="clear" w:color="auto" w:fill="FCE9E8"/>
          </w:tcPr>
          <w:p>
            <w:pPr>
              <w:spacing w:after="0"/>
              <w:rPr>
                <w:sz w:val="14"/>
                <w:szCs w:val="14"/>
                <w:color w:val="auto"/>
              </w:rPr>
            </w:pPr>
          </w:p>
        </w:tc>
        <w:tc>
          <w:tcPr>
            <w:tcW w:w="260" w:type="dxa"/>
            <w:vAlign w:val="bottom"/>
            <w:shd w:val="clear" w:color="auto" w:fill="FCE9E8"/>
          </w:tcPr>
          <w:p>
            <w:pPr>
              <w:spacing w:after="0"/>
              <w:rPr>
                <w:sz w:val="14"/>
                <w:szCs w:val="14"/>
                <w:color w:val="auto"/>
              </w:rPr>
            </w:pPr>
          </w:p>
        </w:tc>
        <w:tc>
          <w:tcPr>
            <w:tcW w:w="1160" w:type="dxa"/>
            <w:vAlign w:val="bottom"/>
            <w:shd w:val="clear" w:color="auto" w:fill="FCE9E8"/>
          </w:tcPr>
          <w:p>
            <w:pPr>
              <w:spacing w:after="0"/>
              <w:rPr>
                <w:sz w:val="14"/>
                <w:szCs w:val="14"/>
                <w:color w:val="auto"/>
              </w:rPr>
            </w:pPr>
          </w:p>
        </w:tc>
        <w:tc>
          <w:tcPr>
            <w:tcW w:w="300" w:type="dxa"/>
            <w:vAlign w:val="bottom"/>
            <w:shd w:val="clear" w:color="auto" w:fill="FCE9E8"/>
          </w:tcPr>
          <w:p>
            <w:pPr>
              <w:spacing w:after="0"/>
              <w:rPr>
                <w:sz w:val="14"/>
                <w:szCs w:val="14"/>
                <w:color w:val="auto"/>
              </w:rPr>
            </w:pPr>
          </w:p>
        </w:tc>
        <w:tc>
          <w:tcPr>
            <w:tcW w:w="1020" w:type="dxa"/>
            <w:vAlign w:val="bottom"/>
            <w:shd w:val="clear" w:color="auto" w:fill="FCE9E8"/>
          </w:tcPr>
          <w:p>
            <w:pPr>
              <w:spacing w:after="0"/>
              <w:rPr>
                <w:sz w:val="14"/>
                <w:szCs w:val="14"/>
                <w:color w:val="auto"/>
              </w:rPr>
            </w:pPr>
          </w:p>
        </w:tc>
      </w:tr>
      <w:tr>
        <w:trPr>
          <w:trHeight w:val="155"/>
        </w:trPr>
        <w:tc>
          <w:tcPr>
            <w:tcW w:w="2420" w:type="dxa"/>
            <w:vAlign w:val="bottom"/>
            <w:shd w:val="clear" w:color="auto" w:fill="FCE9E8"/>
          </w:tcPr>
          <w:p>
            <w:pPr>
              <w:spacing w:after="0"/>
              <w:rPr>
                <w:sz w:val="13"/>
                <w:szCs w:val="13"/>
                <w:color w:val="auto"/>
              </w:rPr>
            </w:pPr>
          </w:p>
        </w:tc>
        <w:tc>
          <w:tcPr>
            <w:tcW w:w="1800" w:type="dxa"/>
            <w:vAlign w:val="bottom"/>
            <w:shd w:val="clear" w:color="auto" w:fill="FCE9E8"/>
          </w:tcPr>
          <w:p>
            <w:pPr>
              <w:jc w:val="right"/>
              <w:ind w:right="109"/>
              <w:spacing w:after="0" w:line="155" w:lineRule="exact"/>
              <w:rPr>
                <w:sz w:val="20"/>
                <w:szCs w:val="20"/>
                <w:color w:val="auto"/>
              </w:rPr>
            </w:pPr>
            <w:r>
              <w:rPr>
                <w:rFonts w:ascii="Arial" w:cs="Arial" w:eastAsia="Arial" w:hAnsi="Arial"/>
                <w:sz w:val="14"/>
                <w:szCs w:val="14"/>
                <w:color w:val="auto"/>
              </w:rPr>
              <w:t>Restoration Program</w:t>
            </w:r>
          </w:p>
        </w:tc>
        <w:tc>
          <w:tcPr>
            <w:tcW w:w="300" w:type="dxa"/>
            <w:vAlign w:val="bottom"/>
            <w:shd w:val="clear" w:color="auto" w:fill="FCE9E8"/>
          </w:tcPr>
          <w:p>
            <w:pPr>
              <w:ind w:left="180"/>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29"/>
              <w:spacing w:after="0" w:line="155" w:lineRule="exact"/>
              <w:rPr>
                <w:sz w:val="20"/>
                <w:szCs w:val="20"/>
                <w:color w:val="auto"/>
              </w:rPr>
            </w:pPr>
            <w:r>
              <w:rPr>
                <w:rFonts w:ascii="Arial" w:cs="Arial" w:eastAsia="Arial" w:hAnsi="Arial"/>
                <w:sz w:val="14"/>
                <w:szCs w:val="14"/>
                <w:color w:val="auto"/>
              </w:rPr>
              <w:t>123,134</w:t>
            </w:r>
          </w:p>
        </w:tc>
        <w:tc>
          <w:tcPr>
            <w:tcW w:w="340" w:type="dxa"/>
            <w:vAlign w:val="bottom"/>
            <w:shd w:val="clear" w:color="auto" w:fill="FCE9E8"/>
          </w:tcPr>
          <w:p>
            <w:pPr>
              <w:ind w:left="200"/>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FCE9E8"/>
          </w:tcPr>
          <w:p>
            <w:pPr>
              <w:jc w:val="right"/>
              <w:ind w:right="129"/>
              <w:spacing w:after="0" w:line="155" w:lineRule="exact"/>
              <w:rPr>
                <w:sz w:val="20"/>
                <w:szCs w:val="20"/>
                <w:color w:val="auto"/>
              </w:rPr>
            </w:pPr>
            <w:r>
              <w:rPr>
                <w:rFonts w:ascii="Arial" w:cs="Arial" w:eastAsia="Arial" w:hAnsi="Arial"/>
                <w:sz w:val="14"/>
                <w:szCs w:val="14"/>
                <w:color w:val="auto"/>
              </w:rPr>
              <w:t>266,841</w:t>
            </w:r>
          </w:p>
        </w:tc>
        <w:tc>
          <w:tcPr>
            <w:tcW w:w="280" w:type="dxa"/>
            <w:vAlign w:val="bottom"/>
            <w:shd w:val="clear" w:color="auto" w:fill="FCE9E8"/>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110"/>
              <w:spacing w:after="0" w:line="155" w:lineRule="exact"/>
              <w:rPr>
                <w:sz w:val="20"/>
                <w:szCs w:val="20"/>
                <w:color w:val="auto"/>
              </w:rPr>
            </w:pPr>
            <w:r>
              <w:rPr>
                <w:rFonts w:ascii="Arial" w:cs="Arial" w:eastAsia="Arial" w:hAnsi="Arial"/>
                <w:sz w:val="14"/>
                <w:szCs w:val="14"/>
                <w:color w:val="auto"/>
              </w:rPr>
              <w:t>(187,538)</w:t>
            </w:r>
          </w:p>
        </w:tc>
        <w:tc>
          <w:tcPr>
            <w:tcW w:w="260" w:type="dxa"/>
            <w:vAlign w:val="bottom"/>
            <w:shd w:val="clear" w:color="auto" w:fill="FCE9E8"/>
          </w:tcPr>
          <w:p>
            <w:pPr>
              <w:ind w:left="180"/>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FCE9E8"/>
          </w:tcPr>
          <w:p>
            <w:pPr>
              <w:ind w:left="820"/>
              <w:spacing w:after="0" w:line="155" w:lineRule="exact"/>
              <w:rPr>
                <w:sz w:val="20"/>
                <w:szCs w:val="20"/>
                <w:color w:val="auto"/>
              </w:rPr>
            </w:pPr>
            <w:r>
              <w:rPr>
                <w:rFonts w:ascii="Arial" w:cs="Arial" w:eastAsia="Arial" w:hAnsi="Arial"/>
                <w:sz w:val="14"/>
                <w:szCs w:val="14"/>
                <w:color w:val="auto"/>
              </w:rPr>
              <w:t>—</w:t>
            </w:r>
          </w:p>
        </w:tc>
        <w:tc>
          <w:tcPr>
            <w:tcW w:w="300" w:type="dxa"/>
            <w:vAlign w:val="bottom"/>
            <w:shd w:val="clear" w:color="auto" w:fill="FCE9E8"/>
          </w:tcPr>
          <w:p>
            <w:pPr>
              <w:ind w:left="200"/>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49"/>
              <w:spacing w:after="0" w:line="155" w:lineRule="exact"/>
              <w:rPr>
                <w:sz w:val="20"/>
                <w:szCs w:val="20"/>
                <w:color w:val="auto"/>
              </w:rPr>
            </w:pPr>
            <w:r>
              <w:rPr>
                <w:rFonts w:ascii="Arial" w:cs="Arial" w:eastAsia="Arial" w:hAnsi="Arial"/>
                <w:sz w:val="14"/>
                <w:szCs w:val="14"/>
                <w:color w:val="auto"/>
              </w:rPr>
              <w:t>3,046,986</w:t>
            </w:r>
          </w:p>
        </w:tc>
      </w:tr>
      <w:tr>
        <w:trPr>
          <w:trHeight w:val="160"/>
        </w:trPr>
        <w:tc>
          <w:tcPr>
            <w:tcW w:w="2420" w:type="dxa"/>
            <w:vAlign w:val="bottom"/>
            <w:shd w:val="clear" w:color="auto" w:fill="FCE9E8"/>
          </w:tcPr>
          <w:p>
            <w:pPr>
              <w:spacing w:after="0"/>
              <w:rPr>
                <w:sz w:val="13"/>
                <w:szCs w:val="13"/>
                <w:color w:val="auto"/>
              </w:rPr>
            </w:pPr>
          </w:p>
        </w:tc>
        <w:tc>
          <w:tcPr>
            <w:tcW w:w="1800" w:type="dxa"/>
            <w:vAlign w:val="bottom"/>
            <w:shd w:val="clear" w:color="auto" w:fill="FCE9E8"/>
          </w:tcPr>
          <w:p>
            <w:pPr>
              <w:jc w:val="right"/>
              <w:ind w:right="109"/>
              <w:spacing w:after="0" w:line="160" w:lineRule="exact"/>
              <w:rPr>
                <w:sz w:val="20"/>
                <w:szCs w:val="20"/>
                <w:color w:val="auto"/>
              </w:rPr>
            </w:pPr>
            <w:r>
              <w:rPr>
                <w:rFonts w:ascii="Arial" w:cs="Arial" w:eastAsia="Arial" w:hAnsi="Arial"/>
                <w:sz w:val="14"/>
                <w:szCs w:val="14"/>
                <w:color w:val="auto"/>
              </w:rPr>
              <w:t>Vested Career Shares</w:t>
            </w:r>
          </w:p>
        </w:tc>
        <w:tc>
          <w:tcPr>
            <w:tcW w:w="300" w:type="dxa"/>
            <w:vAlign w:val="bottom"/>
            <w:shd w:val="clear" w:color="auto" w:fill="FCE9E8"/>
          </w:tcPr>
          <w:p>
            <w:pPr>
              <w:ind w:left="180"/>
              <w:spacing w:after="0" w:line="160" w:lineRule="exact"/>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29"/>
              <w:spacing w:after="0" w:line="160" w:lineRule="exact"/>
              <w:rPr>
                <w:sz w:val="20"/>
                <w:szCs w:val="20"/>
                <w:color w:val="auto"/>
              </w:rPr>
            </w:pPr>
            <w:r>
              <w:rPr>
                <w:rFonts w:ascii="Arial" w:cs="Arial" w:eastAsia="Arial" w:hAnsi="Arial"/>
                <w:sz w:val="14"/>
                <w:szCs w:val="14"/>
                <w:color w:val="auto"/>
              </w:rPr>
              <w:t>—</w:t>
            </w:r>
          </w:p>
        </w:tc>
        <w:tc>
          <w:tcPr>
            <w:tcW w:w="340" w:type="dxa"/>
            <w:vAlign w:val="bottom"/>
            <w:shd w:val="clear" w:color="auto" w:fill="FCE9E8"/>
          </w:tcPr>
          <w:p>
            <w:pPr>
              <w:ind w:left="200"/>
              <w:spacing w:after="0" w:line="160" w:lineRule="exact"/>
              <w:rPr>
                <w:sz w:val="20"/>
                <w:szCs w:val="20"/>
                <w:color w:val="auto"/>
              </w:rPr>
            </w:pPr>
            <w:r>
              <w:rPr>
                <w:rFonts w:ascii="Arial" w:cs="Arial" w:eastAsia="Arial" w:hAnsi="Arial"/>
                <w:sz w:val="14"/>
                <w:szCs w:val="14"/>
                <w:color w:val="auto"/>
              </w:rPr>
              <w:t>$</w:t>
            </w:r>
          </w:p>
        </w:tc>
        <w:tc>
          <w:tcPr>
            <w:tcW w:w="1080" w:type="dxa"/>
            <w:vAlign w:val="bottom"/>
            <w:shd w:val="clear" w:color="auto" w:fill="FCE9E8"/>
          </w:tcPr>
          <w:p>
            <w:pPr>
              <w:jc w:val="right"/>
              <w:ind w:right="129"/>
              <w:spacing w:after="0" w:line="160" w:lineRule="exact"/>
              <w:rPr>
                <w:sz w:val="20"/>
                <w:szCs w:val="20"/>
                <w:color w:val="auto"/>
              </w:rPr>
            </w:pPr>
            <w:r>
              <w:rPr>
                <w:rFonts w:ascii="Arial" w:cs="Arial" w:eastAsia="Arial" w:hAnsi="Arial"/>
                <w:sz w:val="14"/>
                <w:szCs w:val="14"/>
                <w:color w:val="auto"/>
              </w:rPr>
              <w:t>—</w:t>
            </w:r>
          </w:p>
        </w:tc>
        <w:tc>
          <w:tcPr>
            <w:tcW w:w="280" w:type="dxa"/>
            <w:vAlign w:val="bottom"/>
            <w:shd w:val="clear" w:color="auto" w:fill="FCE9E8"/>
          </w:tcPr>
          <w:p>
            <w:pPr>
              <w:jc w:val="right"/>
              <w:spacing w:after="0" w:line="160" w:lineRule="exact"/>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150"/>
              <w:spacing w:after="0" w:line="160" w:lineRule="exact"/>
              <w:rPr>
                <w:sz w:val="20"/>
                <w:szCs w:val="20"/>
                <w:color w:val="auto"/>
              </w:rPr>
            </w:pPr>
            <w:r>
              <w:rPr>
                <w:rFonts w:ascii="Arial" w:cs="Arial" w:eastAsia="Arial" w:hAnsi="Arial"/>
                <w:sz w:val="14"/>
                <w:szCs w:val="14"/>
                <w:color w:val="auto"/>
              </w:rPr>
              <w:t>—</w:t>
            </w:r>
          </w:p>
        </w:tc>
        <w:tc>
          <w:tcPr>
            <w:tcW w:w="260" w:type="dxa"/>
            <w:vAlign w:val="bottom"/>
            <w:shd w:val="clear" w:color="auto" w:fill="FCE9E8"/>
          </w:tcPr>
          <w:p>
            <w:pPr>
              <w:ind w:left="180"/>
              <w:spacing w:after="0" w:line="160"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FCE9E8"/>
          </w:tcPr>
          <w:p>
            <w:pPr>
              <w:ind w:left="820"/>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FCE9E8"/>
          </w:tcPr>
          <w:p>
            <w:pPr>
              <w:ind w:left="200"/>
              <w:spacing w:after="0" w:line="160" w:lineRule="exact"/>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49"/>
              <w:spacing w:after="0" w:line="160" w:lineRule="exact"/>
              <w:rPr>
                <w:sz w:val="20"/>
                <w:szCs w:val="20"/>
                <w:color w:val="auto"/>
              </w:rPr>
            </w:pPr>
            <w:r>
              <w:rPr>
                <w:rFonts w:ascii="Arial" w:cs="Arial" w:eastAsia="Arial" w:hAnsi="Arial"/>
                <w:sz w:val="14"/>
                <w:szCs w:val="14"/>
                <w:color w:val="auto"/>
              </w:rPr>
              <w:t>—</w:t>
            </w:r>
          </w:p>
        </w:tc>
      </w:tr>
      <w:tr>
        <w:trPr>
          <w:trHeight w:val="165"/>
        </w:trPr>
        <w:tc>
          <w:tcPr>
            <w:tcW w:w="2420" w:type="dxa"/>
            <w:vAlign w:val="bottom"/>
          </w:tcPr>
          <w:p>
            <w:pPr>
              <w:ind w:left="80"/>
              <w:spacing w:after="0"/>
              <w:rPr>
                <w:sz w:val="20"/>
                <w:szCs w:val="20"/>
                <w:color w:val="auto"/>
              </w:rPr>
            </w:pPr>
            <w:r>
              <w:rPr>
                <w:rFonts w:ascii="Arial" w:cs="Arial" w:eastAsia="Arial" w:hAnsi="Arial"/>
                <w:sz w:val="14"/>
                <w:szCs w:val="14"/>
                <w:color w:val="auto"/>
              </w:rPr>
              <w:t>Frank C. Orsini</w:t>
            </w:r>
          </w:p>
        </w:tc>
        <w:tc>
          <w:tcPr>
            <w:tcW w:w="1800" w:type="dxa"/>
            <w:vAlign w:val="bottom"/>
          </w:tcPr>
          <w:p>
            <w:pPr>
              <w:jc w:val="right"/>
              <w:ind w:right="109"/>
              <w:spacing w:after="0"/>
              <w:rPr>
                <w:sz w:val="20"/>
                <w:szCs w:val="20"/>
                <w:color w:val="auto"/>
              </w:rPr>
            </w:pPr>
            <w:r>
              <w:rPr>
                <w:rFonts w:ascii="Arial" w:cs="Arial" w:eastAsia="Arial" w:hAnsi="Arial"/>
                <w:sz w:val="14"/>
                <w:szCs w:val="14"/>
                <w:color w:val="auto"/>
              </w:rPr>
              <w:t>Salaried Retirement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0"/>
        </w:trPr>
        <w:tc>
          <w:tcPr>
            <w:tcW w:w="2420" w:type="dxa"/>
            <w:vAlign w:val="bottom"/>
          </w:tcPr>
          <w:p>
            <w:pPr>
              <w:spacing w:after="0"/>
              <w:rPr>
                <w:sz w:val="13"/>
                <w:szCs w:val="13"/>
                <w:color w:val="auto"/>
              </w:rPr>
            </w:pPr>
          </w:p>
        </w:tc>
        <w:tc>
          <w:tcPr>
            <w:tcW w:w="1800" w:type="dxa"/>
            <w:vAlign w:val="bottom"/>
          </w:tcPr>
          <w:p>
            <w:pPr>
              <w:jc w:val="right"/>
              <w:ind w:right="109"/>
              <w:spacing w:after="0" w:line="160" w:lineRule="exact"/>
              <w:rPr>
                <w:sz w:val="20"/>
                <w:szCs w:val="20"/>
                <w:color w:val="auto"/>
              </w:rPr>
            </w:pPr>
            <w:r>
              <w:rPr>
                <w:rFonts w:ascii="Arial" w:cs="Arial" w:eastAsia="Arial" w:hAnsi="Arial"/>
                <w:sz w:val="14"/>
                <w:szCs w:val="14"/>
                <w:color w:val="auto"/>
              </w:rPr>
              <w:t>Restoration Program</w:t>
            </w:r>
          </w:p>
        </w:tc>
        <w:tc>
          <w:tcPr>
            <w:tcW w:w="300" w:type="dxa"/>
            <w:vAlign w:val="bottom"/>
          </w:tcPr>
          <w:p>
            <w:pPr>
              <w:ind w:left="180"/>
              <w:spacing w:after="0" w:line="160"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29"/>
              <w:spacing w:after="0" w:line="160" w:lineRule="exact"/>
              <w:rPr>
                <w:sz w:val="20"/>
                <w:szCs w:val="20"/>
                <w:color w:val="auto"/>
              </w:rPr>
            </w:pPr>
            <w:r>
              <w:rPr>
                <w:rFonts w:ascii="Arial" w:cs="Arial" w:eastAsia="Arial" w:hAnsi="Arial"/>
                <w:sz w:val="14"/>
                <w:szCs w:val="14"/>
                <w:color w:val="auto"/>
              </w:rPr>
              <w:t>115,451</w:t>
            </w:r>
          </w:p>
        </w:tc>
        <w:tc>
          <w:tcPr>
            <w:tcW w:w="340" w:type="dxa"/>
            <w:vAlign w:val="bottom"/>
          </w:tcPr>
          <w:p>
            <w:pPr>
              <w:ind w:left="200"/>
              <w:spacing w:after="0" w:line="160"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9"/>
              <w:spacing w:after="0" w:line="160" w:lineRule="exact"/>
              <w:rPr>
                <w:sz w:val="20"/>
                <w:szCs w:val="20"/>
                <w:color w:val="auto"/>
              </w:rPr>
            </w:pPr>
            <w:r>
              <w:rPr>
                <w:rFonts w:ascii="Arial" w:cs="Arial" w:eastAsia="Arial" w:hAnsi="Arial"/>
                <w:sz w:val="14"/>
                <w:szCs w:val="14"/>
                <w:color w:val="auto"/>
              </w:rPr>
              <w:t>222,640</w:t>
            </w:r>
          </w:p>
        </w:tc>
        <w:tc>
          <w:tcPr>
            <w:tcW w:w="280" w:type="dxa"/>
            <w:vAlign w:val="bottom"/>
          </w:tcPr>
          <w:p>
            <w:pPr>
              <w:jc w:val="right"/>
              <w:spacing w:after="0" w:line="160"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0"/>
              <w:spacing w:after="0" w:line="160" w:lineRule="exact"/>
              <w:rPr>
                <w:sz w:val="20"/>
                <w:szCs w:val="20"/>
                <w:color w:val="auto"/>
              </w:rPr>
            </w:pPr>
            <w:r>
              <w:rPr>
                <w:rFonts w:ascii="Arial" w:cs="Arial" w:eastAsia="Arial" w:hAnsi="Arial"/>
                <w:sz w:val="14"/>
                <w:szCs w:val="14"/>
                <w:color w:val="auto"/>
              </w:rPr>
              <w:t>(59,268)</w:t>
            </w:r>
          </w:p>
        </w:tc>
        <w:tc>
          <w:tcPr>
            <w:tcW w:w="260" w:type="dxa"/>
            <w:vAlign w:val="bottom"/>
          </w:tcPr>
          <w:p>
            <w:pPr>
              <w:ind w:left="180"/>
              <w:spacing w:after="0" w:line="160" w:lineRule="exact"/>
              <w:rPr>
                <w:sz w:val="20"/>
                <w:szCs w:val="20"/>
                <w:color w:val="auto"/>
              </w:rPr>
            </w:pPr>
            <w:r>
              <w:rPr>
                <w:rFonts w:ascii="Arial" w:cs="Arial" w:eastAsia="Arial" w:hAnsi="Arial"/>
                <w:sz w:val="14"/>
                <w:szCs w:val="14"/>
                <w:color w:val="auto"/>
                <w:w w:val="76"/>
              </w:rPr>
              <w:t>$</w:t>
            </w:r>
          </w:p>
        </w:tc>
        <w:tc>
          <w:tcPr>
            <w:tcW w:w="1160" w:type="dxa"/>
            <w:vAlign w:val="bottom"/>
          </w:tcPr>
          <w:p>
            <w:pPr>
              <w:ind w:left="820"/>
              <w:spacing w:after="0" w:line="160" w:lineRule="exact"/>
              <w:rPr>
                <w:sz w:val="20"/>
                <w:szCs w:val="20"/>
                <w:color w:val="auto"/>
              </w:rPr>
            </w:pPr>
            <w:r>
              <w:rPr>
                <w:rFonts w:ascii="Arial" w:cs="Arial" w:eastAsia="Arial" w:hAnsi="Arial"/>
                <w:sz w:val="14"/>
                <w:szCs w:val="14"/>
                <w:color w:val="auto"/>
              </w:rPr>
              <w:t>—</w:t>
            </w:r>
          </w:p>
        </w:tc>
        <w:tc>
          <w:tcPr>
            <w:tcW w:w="300" w:type="dxa"/>
            <w:vAlign w:val="bottom"/>
          </w:tcPr>
          <w:p>
            <w:pPr>
              <w:ind w:left="200"/>
              <w:spacing w:after="0" w:line="160"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1,966,176</w:t>
            </w:r>
          </w:p>
        </w:tc>
      </w:tr>
      <w:tr>
        <w:trPr>
          <w:trHeight w:val="155"/>
        </w:trPr>
        <w:tc>
          <w:tcPr>
            <w:tcW w:w="2420" w:type="dxa"/>
            <w:vAlign w:val="bottom"/>
          </w:tcPr>
          <w:p>
            <w:pPr>
              <w:spacing w:after="0"/>
              <w:rPr>
                <w:sz w:val="13"/>
                <w:szCs w:val="13"/>
                <w:color w:val="auto"/>
              </w:rPr>
            </w:pPr>
          </w:p>
        </w:tc>
        <w:tc>
          <w:tcPr>
            <w:tcW w:w="1800" w:type="dxa"/>
            <w:vAlign w:val="bottom"/>
          </w:tcPr>
          <w:p>
            <w:pPr>
              <w:jc w:val="right"/>
              <w:ind w:right="109"/>
              <w:spacing w:after="0" w:line="155" w:lineRule="exact"/>
              <w:rPr>
                <w:sz w:val="20"/>
                <w:szCs w:val="20"/>
                <w:color w:val="auto"/>
              </w:rPr>
            </w:pPr>
            <w:r>
              <w:rPr>
                <w:rFonts w:ascii="Arial" w:cs="Arial" w:eastAsia="Arial" w:hAnsi="Arial"/>
                <w:sz w:val="14"/>
                <w:szCs w:val="14"/>
                <w:color w:val="auto"/>
              </w:rPr>
              <w:t>Vested Career Shares</w:t>
            </w:r>
          </w:p>
        </w:tc>
        <w:tc>
          <w:tcPr>
            <w:tcW w:w="30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198,208</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0"/>
              <w:spacing w:after="0" w:line="155" w:lineRule="exact"/>
              <w:rPr>
                <w:sz w:val="20"/>
                <w:szCs w:val="20"/>
                <w:color w:val="auto"/>
              </w:rPr>
            </w:pPr>
            <w:r>
              <w:rPr>
                <w:rFonts w:ascii="Arial" w:cs="Arial" w:eastAsia="Arial" w:hAnsi="Arial"/>
                <w:sz w:val="14"/>
                <w:szCs w:val="14"/>
                <w:color w:val="auto"/>
              </w:rPr>
              <w:t>(307,054)</w:t>
            </w:r>
          </w:p>
        </w:tc>
        <w:tc>
          <w:tcPr>
            <w:tcW w:w="260" w:type="dxa"/>
            <w:vAlign w:val="bottom"/>
          </w:tcPr>
          <w:p>
            <w:pPr>
              <w:ind w:left="180"/>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Pr>
          <w:p>
            <w:pPr>
              <w:ind w:left="820"/>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49"/>
              <w:spacing w:after="0" w:line="155" w:lineRule="exact"/>
              <w:rPr>
                <w:sz w:val="20"/>
                <w:szCs w:val="20"/>
                <w:color w:val="auto"/>
              </w:rPr>
            </w:pPr>
            <w:r>
              <w:rPr>
                <w:rFonts w:ascii="Arial" w:cs="Arial" w:eastAsia="Arial" w:hAnsi="Arial"/>
                <w:sz w:val="14"/>
                <w:szCs w:val="14"/>
                <w:color w:val="auto"/>
              </w:rPr>
              <w:t>940,043</w:t>
            </w:r>
          </w:p>
        </w:tc>
      </w:tr>
      <w:tr>
        <w:trPr>
          <w:trHeight w:val="165"/>
        </w:trPr>
        <w:tc>
          <w:tcPr>
            <w:tcW w:w="2420" w:type="dxa"/>
            <w:vAlign w:val="bottom"/>
            <w:shd w:val="clear" w:color="auto" w:fill="FCE9E8"/>
          </w:tcPr>
          <w:p>
            <w:pPr>
              <w:ind w:left="80"/>
              <w:spacing w:after="0"/>
              <w:rPr>
                <w:sz w:val="20"/>
                <w:szCs w:val="20"/>
                <w:color w:val="auto"/>
              </w:rPr>
            </w:pPr>
            <w:r>
              <w:rPr>
                <w:rFonts w:ascii="Arial" w:cs="Arial" w:eastAsia="Arial" w:hAnsi="Arial"/>
                <w:sz w:val="14"/>
                <w:szCs w:val="14"/>
                <w:color w:val="auto"/>
              </w:rPr>
              <w:t>Thomas A. DiDonato</w:t>
            </w:r>
          </w:p>
        </w:tc>
        <w:tc>
          <w:tcPr>
            <w:tcW w:w="1800" w:type="dxa"/>
            <w:vAlign w:val="bottom"/>
            <w:shd w:val="clear" w:color="auto" w:fill="FCE9E8"/>
          </w:tcPr>
          <w:p>
            <w:pPr>
              <w:jc w:val="right"/>
              <w:ind w:right="109"/>
              <w:spacing w:after="0"/>
              <w:rPr>
                <w:sz w:val="20"/>
                <w:szCs w:val="20"/>
                <w:color w:val="auto"/>
              </w:rPr>
            </w:pPr>
            <w:r>
              <w:rPr>
                <w:rFonts w:ascii="Arial" w:cs="Arial" w:eastAsia="Arial" w:hAnsi="Arial"/>
                <w:sz w:val="14"/>
                <w:szCs w:val="14"/>
                <w:color w:val="auto"/>
              </w:rPr>
              <w:t>Salaried Retirement</w:t>
            </w:r>
          </w:p>
        </w:tc>
        <w:tc>
          <w:tcPr>
            <w:tcW w:w="300" w:type="dxa"/>
            <w:vAlign w:val="bottom"/>
            <w:shd w:val="clear" w:color="auto" w:fill="FCE9E8"/>
          </w:tcPr>
          <w:p>
            <w:pPr>
              <w:spacing w:after="0"/>
              <w:rPr>
                <w:sz w:val="14"/>
                <w:szCs w:val="14"/>
                <w:color w:val="auto"/>
              </w:rPr>
            </w:pPr>
          </w:p>
        </w:tc>
        <w:tc>
          <w:tcPr>
            <w:tcW w:w="1020" w:type="dxa"/>
            <w:vAlign w:val="bottom"/>
            <w:shd w:val="clear" w:color="auto" w:fill="FCE9E8"/>
          </w:tcPr>
          <w:p>
            <w:pPr>
              <w:spacing w:after="0"/>
              <w:rPr>
                <w:sz w:val="14"/>
                <w:szCs w:val="14"/>
                <w:color w:val="auto"/>
              </w:rPr>
            </w:pPr>
          </w:p>
        </w:tc>
        <w:tc>
          <w:tcPr>
            <w:tcW w:w="340" w:type="dxa"/>
            <w:vAlign w:val="bottom"/>
            <w:shd w:val="clear" w:color="auto" w:fill="FCE9E8"/>
          </w:tcPr>
          <w:p>
            <w:pPr>
              <w:spacing w:after="0"/>
              <w:rPr>
                <w:sz w:val="14"/>
                <w:szCs w:val="14"/>
                <w:color w:val="auto"/>
              </w:rPr>
            </w:pPr>
          </w:p>
        </w:tc>
        <w:tc>
          <w:tcPr>
            <w:tcW w:w="1080" w:type="dxa"/>
            <w:vAlign w:val="bottom"/>
            <w:shd w:val="clear" w:color="auto" w:fill="FCE9E8"/>
          </w:tcPr>
          <w:p>
            <w:pPr>
              <w:spacing w:after="0"/>
              <w:rPr>
                <w:sz w:val="14"/>
                <w:szCs w:val="14"/>
                <w:color w:val="auto"/>
              </w:rPr>
            </w:pPr>
          </w:p>
        </w:tc>
        <w:tc>
          <w:tcPr>
            <w:tcW w:w="280" w:type="dxa"/>
            <w:vAlign w:val="bottom"/>
            <w:shd w:val="clear" w:color="auto" w:fill="FCE9E8"/>
          </w:tcPr>
          <w:p>
            <w:pPr>
              <w:spacing w:after="0"/>
              <w:rPr>
                <w:sz w:val="14"/>
                <w:szCs w:val="14"/>
                <w:color w:val="auto"/>
              </w:rPr>
            </w:pPr>
          </w:p>
        </w:tc>
        <w:tc>
          <w:tcPr>
            <w:tcW w:w="900" w:type="dxa"/>
            <w:vAlign w:val="bottom"/>
            <w:shd w:val="clear" w:color="auto" w:fill="FCE9E8"/>
          </w:tcPr>
          <w:p>
            <w:pPr>
              <w:spacing w:after="0"/>
              <w:rPr>
                <w:sz w:val="14"/>
                <w:szCs w:val="14"/>
                <w:color w:val="auto"/>
              </w:rPr>
            </w:pPr>
          </w:p>
        </w:tc>
        <w:tc>
          <w:tcPr>
            <w:tcW w:w="260" w:type="dxa"/>
            <w:vAlign w:val="bottom"/>
            <w:shd w:val="clear" w:color="auto" w:fill="FCE9E8"/>
          </w:tcPr>
          <w:p>
            <w:pPr>
              <w:spacing w:after="0"/>
              <w:rPr>
                <w:sz w:val="14"/>
                <w:szCs w:val="14"/>
                <w:color w:val="auto"/>
              </w:rPr>
            </w:pPr>
          </w:p>
        </w:tc>
        <w:tc>
          <w:tcPr>
            <w:tcW w:w="1160" w:type="dxa"/>
            <w:vAlign w:val="bottom"/>
            <w:shd w:val="clear" w:color="auto" w:fill="FCE9E8"/>
          </w:tcPr>
          <w:p>
            <w:pPr>
              <w:spacing w:after="0"/>
              <w:rPr>
                <w:sz w:val="14"/>
                <w:szCs w:val="14"/>
                <w:color w:val="auto"/>
              </w:rPr>
            </w:pPr>
          </w:p>
        </w:tc>
        <w:tc>
          <w:tcPr>
            <w:tcW w:w="300" w:type="dxa"/>
            <w:vAlign w:val="bottom"/>
            <w:shd w:val="clear" w:color="auto" w:fill="FCE9E8"/>
          </w:tcPr>
          <w:p>
            <w:pPr>
              <w:spacing w:after="0"/>
              <w:rPr>
                <w:sz w:val="14"/>
                <w:szCs w:val="14"/>
                <w:color w:val="auto"/>
              </w:rPr>
            </w:pPr>
          </w:p>
        </w:tc>
        <w:tc>
          <w:tcPr>
            <w:tcW w:w="1020" w:type="dxa"/>
            <w:vAlign w:val="bottom"/>
            <w:shd w:val="clear" w:color="auto" w:fill="FCE9E8"/>
          </w:tcPr>
          <w:p>
            <w:pPr>
              <w:spacing w:after="0"/>
              <w:rPr>
                <w:sz w:val="14"/>
                <w:szCs w:val="14"/>
                <w:color w:val="auto"/>
              </w:rPr>
            </w:pPr>
          </w:p>
        </w:tc>
      </w:tr>
      <w:tr>
        <w:trPr>
          <w:trHeight w:val="155"/>
        </w:trPr>
        <w:tc>
          <w:tcPr>
            <w:tcW w:w="2420" w:type="dxa"/>
            <w:vAlign w:val="bottom"/>
            <w:shd w:val="clear" w:color="auto" w:fill="FCE9E8"/>
          </w:tcPr>
          <w:p>
            <w:pPr>
              <w:spacing w:after="0"/>
              <w:rPr>
                <w:sz w:val="13"/>
                <w:szCs w:val="13"/>
                <w:color w:val="auto"/>
              </w:rPr>
            </w:pPr>
          </w:p>
        </w:tc>
        <w:tc>
          <w:tcPr>
            <w:tcW w:w="1800" w:type="dxa"/>
            <w:vAlign w:val="bottom"/>
            <w:shd w:val="clear" w:color="auto" w:fill="FCE9E8"/>
          </w:tcPr>
          <w:p>
            <w:pPr>
              <w:jc w:val="right"/>
              <w:ind w:right="109"/>
              <w:spacing w:after="0" w:line="155" w:lineRule="exact"/>
              <w:rPr>
                <w:sz w:val="20"/>
                <w:szCs w:val="20"/>
                <w:color w:val="auto"/>
              </w:rPr>
            </w:pPr>
            <w:r>
              <w:rPr>
                <w:rFonts w:ascii="Arial" w:cs="Arial" w:eastAsia="Arial" w:hAnsi="Arial"/>
                <w:sz w:val="14"/>
                <w:szCs w:val="14"/>
                <w:color w:val="auto"/>
              </w:rPr>
              <w:t>Restoration Program</w:t>
            </w:r>
          </w:p>
        </w:tc>
        <w:tc>
          <w:tcPr>
            <w:tcW w:w="300" w:type="dxa"/>
            <w:vAlign w:val="bottom"/>
            <w:shd w:val="clear" w:color="auto" w:fill="FCE9E8"/>
          </w:tcPr>
          <w:p>
            <w:pPr>
              <w:ind w:left="180"/>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29"/>
              <w:spacing w:after="0" w:line="155" w:lineRule="exact"/>
              <w:rPr>
                <w:sz w:val="20"/>
                <w:szCs w:val="20"/>
                <w:color w:val="auto"/>
              </w:rPr>
            </w:pPr>
            <w:r>
              <w:rPr>
                <w:rFonts w:ascii="Arial" w:cs="Arial" w:eastAsia="Arial" w:hAnsi="Arial"/>
                <w:sz w:val="14"/>
                <w:szCs w:val="14"/>
                <w:color w:val="auto"/>
              </w:rPr>
              <w:t>96,750</w:t>
            </w:r>
          </w:p>
        </w:tc>
        <w:tc>
          <w:tcPr>
            <w:tcW w:w="340" w:type="dxa"/>
            <w:vAlign w:val="bottom"/>
            <w:shd w:val="clear" w:color="auto" w:fill="FCE9E8"/>
          </w:tcPr>
          <w:p>
            <w:pPr>
              <w:ind w:left="200"/>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FCE9E8"/>
          </w:tcPr>
          <w:p>
            <w:pPr>
              <w:jc w:val="right"/>
              <w:ind w:right="129"/>
              <w:spacing w:after="0" w:line="155" w:lineRule="exact"/>
              <w:rPr>
                <w:sz w:val="20"/>
                <w:szCs w:val="20"/>
                <w:color w:val="auto"/>
              </w:rPr>
            </w:pPr>
            <w:r>
              <w:rPr>
                <w:rFonts w:ascii="Arial" w:cs="Arial" w:eastAsia="Arial" w:hAnsi="Arial"/>
                <w:sz w:val="14"/>
                <w:szCs w:val="14"/>
                <w:color w:val="auto"/>
              </w:rPr>
              <w:t>180,562</w:t>
            </w:r>
          </w:p>
        </w:tc>
        <w:tc>
          <w:tcPr>
            <w:tcW w:w="280" w:type="dxa"/>
            <w:vAlign w:val="bottom"/>
            <w:shd w:val="clear" w:color="auto" w:fill="FCE9E8"/>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110"/>
              <w:spacing w:after="0" w:line="155" w:lineRule="exact"/>
              <w:rPr>
                <w:sz w:val="20"/>
                <w:szCs w:val="20"/>
                <w:color w:val="auto"/>
              </w:rPr>
            </w:pPr>
            <w:r>
              <w:rPr>
                <w:rFonts w:ascii="Arial" w:cs="Arial" w:eastAsia="Arial" w:hAnsi="Arial"/>
                <w:sz w:val="14"/>
                <w:szCs w:val="14"/>
                <w:color w:val="auto"/>
              </w:rPr>
              <w:t>(212,818)</w:t>
            </w:r>
          </w:p>
        </w:tc>
        <w:tc>
          <w:tcPr>
            <w:tcW w:w="260" w:type="dxa"/>
            <w:vAlign w:val="bottom"/>
            <w:shd w:val="clear" w:color="auto" w:fill="FCE9E8"/>
          </w:tcPr>
          <w:p>
            <w:pPr>
              <w:ind w:left="180"/>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FCE9E8"/>
          </w:tcPr>
          <w:p>
            <w:pPr>
              <w:ind w:left="820"/>
              <w:spacing w:after="0" w:line="155" w:lineRule="exact"/>
              <w:rPr>
                <w:sz w:val="20"/>
                <w:szCs w:val="20"/>
                <w:color w:val="auto"/>
              </w:rPr>
            </w:pPr>
            <w:r>
              <w:rPr>
                <w:rFonts w:ascii="Arial" w:cs="Arial" w:eastAsia="Arial" w:hAnsi="Arial"/>
                <w:sz w:val="14"/>
                <w:szCs w:val="14"/>
                <w:color w:val="auto"/>
              </w:rPr>
              <w:t>—</w:t>
            </w:r>
          </w:p>
        </w:tc>
        <w:tc>
          <w:tcPr>
            <w:tcW w:w="300" w:type="dxa"/>
            <w:vAlign w:val="bottom"/>
            <w:shd w:val="clear" w:color="auto" w:fill="FCE9E8"/>
          </w:tcPr>
          <w:p>
            <w:pPr>
              <w:ind w:left="200"/>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49"/>
              <w:spacing w:after="0" w:line="155" w:lineRule="exact"/>
              <w:rPr>
                <w:sz w:val="20"/>
                <w:szCs w:val="20"/>
                <w:color w:val="auto"/>
              </w:rPr>
            </w:pPr>
            <w:r>
              <w:rPr>
                <w:rFonts w:ascii="Arial" w:cs="Arial" w:eastAsia="Arial" w:hAnsi="Arial"/>
                <w:sz w:val="14"/>
                <w:szCs w:val="14"/>
                <w:color w:val="auto"/>
              </w:rPr>
              <w:t>1,394,875</w:t>
            </w:r>
          </w:p>
        </w:tc>
      </w:tr>
      <w:tr>
        <w:trPr>
          <w:trHeight w:val="160"/>
        </w:trPr>
        <w:tc>
          <w:tcPr>
            <w:tcW w:w="2420" w:type="dxa"/>
            <w:vAlign w:val="bottom"/>
            <w:shd w:val="clear" w:color="auto" w:fill="FCE9E8"/>
          </w:tcPr>
          <w:p>
            <w:pPr>
              <w:spacing w:after="0"/>
              <w:rPr>
                <w:sz w:val="13"/>
                <w:szCs w:val="13"/>
                <w:color w:val="auto"/>
              </w:rPr>
            </w:pPr>
          </w:p>
        </w:tc>
        <w:tc>
          <w:tcPr>
            <w:tcW w:w="1800" w:type="dxa"/>
            <w:vAlign w:val="bottom"/>
            <w:shd w:val="clear" w:color="auto" w:fill="FCE9E8"/>
          </w:tcPr>
          <w:p>
            <w:pPr>
              <w:jc w:val="right"/>
              <w:ind w:right="109"/>
              <w:spacing w:after="0" w:line="160" w:lineRule="exact"/>
              <w:rPr>
                <w:sz w:val="20"/>
                <w:szCs w:val="20"/>
                <w:color w:val="auto"/>
              </w:rPr>
            </w:pPr>
            <w:r>
              <w:rPr>
                <w:rFonts w:ascii="Arial" w:cs="Arial" w:eastAsia="Arial" w:hAnsi="Arial"/>
                <w:sz w:val="14"/>
                <w:szCs w:val="14"/>
                <w:color w:val="auto"/>
              </w:rPr>
              <w:t>Vested Career Shares</w:t>
            </w:r>
          </w:p>
        </w:tc>
        <w:tc>
          <w:tcPr>
            <w:tcW w:w="300" w:type="dxa"/>
            <w:vAlign w:val="bottom"/>
            <w:shd w:val="clear" w:color="auto" w:fill="FCE9E8"/>
          </w:tcPr>
          <w:p>
            <w:pPr>
              <w:ind w:left="180"/>
              <w:spacing w:after="0" w:line="160" w:lineRule="exact"/>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29"/>
              <w:spacing w:after="0" w:line="160" w:lineRule="exact"/>
              <w:rPr>
                <w:sz w:val="20"/>
                <w:szCs w:val="20"/>
                <w:color w:val="auto"/>
              </w:rPr>
            </w:pPr>
            <w:r>
              <w:rPr>
                <w:rFonts w:ascii="Arial" w:cs="Arial" w:eastAsia="Arial" w:hAnsi="Arial"/>
                <w:sz w:val="14"/>
                <w:szCs w:val="14"/>
                <w:color w:val="auto"/>
              </w:rPr>
              <w:t>—</w:t>
            </w:r>
          </w:p>
        </w:tc>
        <w:tc>
          <w:tcPr>
            <w:tcW w:w="340" w:type="dxa"/>
            <w:vAlign w:val="bottom"/>
            <w:shd w:val="clear" w:color="auto" w:fill="FCE9E8"/>
          </w:tcPr>
          <w:p>
            <w:pPr>
              <w:ind w:left="200"/>
              <w:spacing w:after="0" w:line="160" w:lineRule="exact"/>
              <w:rPr>
                <w:sz w:val="20"/>
                <w:szCs w:val="20"/>
                <w:color w:val="auto"/>
              </w:rPr>
            </w:pPr>
            <w:r>
              <w:rPr>
                <w:rFonts w:ascii="Arial" w:cs="Arial" w:eastAsia="Arial" w:hAnsi="Arial"/>
                <w:sz w:val="14"/>
                <w:szCs w:val="14"/>
                <w:color w:val="auto"/>
              </w:rPr>
              <w:t>$</w:t>
            </w:r>
          </w:p>
        </w:tc>
        <w:tc>
          <w:tcPr>
            <w:tcW w:w="1080" w:type="dxa"/>
            <w:vAlign w:val="bottom"/>
            <w:shd w:val="clear" w:color="auto" w:fill="FCE9E8"/>
          </w:tcPr>
          <w:p>
            <w:pPr>
              <w:jc w:val="right"/>
              <w:ind w:right="129"/>
              <w:spacing w:after="0" w:line="160" w:lineRule="exact"/>
              <w:rPr>
                <w:sz w:val="20"/>
                <w:szCs w:val="20"/>
                <w:color w:val="auto"/>
              </w:rPr>
            </w:pPr>
            <w:r>
              <w:rPr>
                <w:rFonts w:ascii="Arial" w:cs="Arial" w:eastAsia="Arial" w:hAnsi="Arial"/>
                <w:sz w:val="14"/>
                <w:szCs w:val="14"/>
                <w:color w:val="auto"/>
              </w:rPr>
              <w:t>311,650</w:t>
            </w:r>
          </w:p>
        </w:tc>
        <w:tc>
          <w:tcPr>
            <w:tcW w:w="280" w:type="dxa"/>
            <w:vAlign w:val="bottom"/>
            <w:shd w:val="clear" w:color="auto" w:fill="FCE9E8"/>
          </w:tcPr>
          <w:p>
            <w:pPr>
              <w:jc w:val="right"/>
              <w:spacing w:after="0" w:line="160" w:lineRule="exact"/>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110"/>
              <w:spacing w:after="0" w:line="160" w:lineRule="exact"/>
              <w:rPr>
                <w:sz w:val="20"/>
                <w:szCs w:val="20"/>
                <w:color w:val="auto"/>
              </w:rPr>
            </w:pPr>
            <w:r>
              <w:rPr>
                <w:rFonts w:ascii="Arial" w:cs="Arial" w:eastAsia="Arial" w:hAnsi="Arial"/>
                <w:sz w:val="14"/>
                <w:szCs w:val="14"/>
                <w:color w:val="auto"/>
              </w:rPr>
              <w:t>(423,934)</w:t>
            </w:r>
          </w:p>
        </w:tc>
        <w:tc>
          <w:tcPr>
            <w:tcW w:w="260" w:type="dxa"/>
            <w:vAlign w:val="bottom"/>
            <w:shd w:val="clear" w:color="auto" w:fill="FCE9E8"/>
          </w:tcPr>
          <w:p>
            <w:pPr>
              <w:ind w:left="180"/>
              <w:spacing w:after="0" w:line="160"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FCE9E8"/>
          </w:tcPr>
          <w:p>
            <w:pPr>
              <w:ind w:left="820"/>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FCE9E8"/>
          </w:tcPr>
          <w:p>
            <w:pPr>
              <w:ind w:left="200"/>
              <w:spacing w:after="0" w:line="160" w:lineRule="exact"/>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49"/>
              <w:spacing w:after="0" w:line="160" w:lineRule="exact"/>
              <w:rPr>
                <w:sz w:val="20"/>
                <w:szCs w:val="20"/>
                <w:color w:val="auto"/>
              </w:rPr>
            </w:pPr>
            <w:r>
              <w:rPr>
                <w:rFonts w:ascii="Arial" w:cs="Arial" w:eastAsia="Arial" w:hAnsi="Arial"/>
                <w:sz w:val="14"/>
                <w:szCs w:val="14"/>
                <w:color w:val="auto"/>
              </w:rPr>
              <w:t>1,324,789</w:t>
            </w:r>
          </w:p>
        </w:tc>
      </w:tr>
      <w:tr>
        <w:trPr>
          <w:trHeight w:val="165"/>
        </w:trPr>
        <w:tc>
          <w:tcPr>
            <w:tcW w:w="2420" w:type="dxa"/>
            <w:vAlign w:val="bottom"/>
          </w:tcPr>
          <w:p>
            <w:pPr>
              <w:ind w:left="80"/>
              <w:spacing w:after="0"/>
              <w:rPr>
                <w:sz w:val="20"/>
                <w:szCs w:val="20"/>
                <w:color w:val="auto"/>
              </w:rPr>
            </w:pPr>
            <w:r>
              <w:rPr>
                <w:rFonts w:ascii="Arial" w:cs="Arial" w:eastAsia="Arial" w:hAnsi="Arial"/>
                <w:sz w:val="14"/>
                <w:szCs w:val="14"/>
                <w:color w:val="auto"/>
              </w:rPr>
              <w:t>Matthew J. Simoncini</w:t>
            </w:r>
          </w:p>
        </w:tc>
        <w:tc>
          <w:tcPr>
            <w:tcW w:w="1800" w:type="dxa"/>
            <w:vAlign w:val="bottom"/>
          </w:tcPr>
          <w:p>
            <w:pPr>
              <w:jc w:val="right"/>
              <w:ind w:right="109"/>
              <w:spacing w:after="0"/>
              <w:rPr>
                <w:sz w:val="20"/>
                <w:szCs w:val="20"/>
                <w:color w:val="auto"/>
              </w:rPr>
            </w:pPr>
            <w:r>
              <w:rPr>
                <w:rFonts w:ascii="Arial" w:cs="Arial" w:eastAsia="Arial" w:hAnsi="Arial"/>
                <w:sz w:val="14"/>
                <w:szCs w:val="14"/>
                <w:color w:val="auto"/>
              </w:rPr>
              <w:t>Salaried Retirement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3"/>
        </w:trPr>
        <w:tc>
          <w:tcPr>
            <w:tcW w:w="2420" w:type="dxa"/>
            <w:vAlign w:val="bottom"/>
          </w:tcPr>
          <w:p>
            <w:pPr>
              <w:spacing w:after="0"/>
              <w:rPr>
                <w:sz w:val="15"/>
                <w:szCs w:val="15"/>
                <w:color w:val="auto"/>
              </w:rPr>
            </w:pPr>
          </w:p>
        </w:tc>
        <w:tc>
          <w:tcPr>
            <w:tcW w:w="1800" w:type="dxa"/>
            <w:vAlign w:val="bottom"/>
          </w:tcPr>
          <w:p>
            <w:pPr>
              <w:jc w:val="right"/>
              <w:ind w:right="109"/>
              <w:spacing w:after="0"/>
              <w:rPr>
                <w:sz w:val="20"/>
                <w:szCs w:val="20"/>
                <w:color w:val="auto"/>
              </w:rPr>
            </w:pPr>
            <w:r>
              <w:rPr>
                <w:rFonts w:ascii="Arial" w:cs="Arial" w:eastAsia="Arial" w:hAnsi="Arial"/>
                <w:sz w:val="14"/>
                <w:szCs w:val="14"/>
                <w:color w:val="auto"/>
              </w:rPr>
              <w:t>Restoration Program</w:t>
            </w:r>
          </w:p>
        </w:tc>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9"/>
              <w:spacing w:after="0"/>
              <w:rPr>
                <w:sz w:val="20"/>
                <w:szCs w:val="20"/>
                <w:color w:val="auto"/>
              </w:rPr>
            </w:pPr>
            <w:r>
              <w:rPr>
                <w:rFonts w:ascii="Arial" w:cs="Arial" w:eastAsia="Arial" w:hAnsi="Arial"/>
                <w:sz w:val="14"/>
                <w:szCs w:val="14"/>
                <w:color w:val="auto"/>
              </w:rPr>
              <w:t>250,101</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9"/>
              <w:spacing w:after="0"/>
              <w:rPr>
                <w:sz w:val="20"/>
                <w:szCs w:val="20"/>
                <w:color w:val="auto"/>
              </w:rPr>
            </w:pPr>
            <w:r>
              <w:rPr>
                <w:rFonts w:ascii="Arial" w:cs="Arial" w:eastAsia="Arial" w:hAnsi="Arial"/>
                <w:sz w:val="14"/>
                <w:szCs w:val="14"/>
                <w:color w:val="auto"/>
              </w:rPr>
              <w:t>584,259</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(257,596)</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160" w:type="dxa"/>
            <w:vAlign w:val="bottom"/>
          </w:tcPr>
          <w:p>
            <w:pPr>
              <w:ind w:left="820"/>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9"/>
              <w:spacing w:after="0"/>
              <w:rPr>
                <w:sz w:val="20"/>
                <w:szCs w:val="20"/>
                <w:color w:val="auto"/>
              </w:rPr>
            </w:pPr>
            <w:r>
              <w:rPr>
                <w:rFonts w:ascii="Arial" w:cs="Arial" w:eastAsia="Arial" w:hAnsi="Arial"/>
                <w:sz w:val="14"/>
                <w:szCs w:val="14"/>
                <w:color w:val="auto"/>
              </w:rPr>
              <w:t>6,997,278</w:t>
            </w:r>
          </w:p>
        </w:tc>
      </w:tr>
      <w:tr>
        <w:trPr>
          <w:trHeight w:val="166"/>
        </w:trPr>
        <w:tc>
          <w:tcPr>
            <w:tcW w:w="2420" w:type="dxa"/>
            <w:vAlign w:val="bottom"/>
          </w:tcPr>
          <w:p>
            <w:pPr>
              <w:spacing w:after="0"/>
              <w:rPr>
                <w:sz w:val="14"/>
                <w:szCs w:val="14"/>
                <w:color w:val="auto"/>
              </w:rPr>
            </w:pPr>
          </w:p>
        </w:tc>
        <w:tc>
          <w:tcPr>
            <w:tcW w:w="1800" w:type="dxa"/>
            <w:vAlign w:val="bottom"/>
          </w:tcPr>
          <w:p>
            <w:pPr>
              <w:jc w:val="right"/>
              <w:ind w:right="109"/>
              <w:spacing w:after="0"/>
              <w:rPr>
                <w:sz w:val="20"/>
                <w:szCs w:val="20"/>
                <w:color w:val="auto"/>
              </w:rPr>
            </w:pPr>
            <w:r>
              <w:rPr>
                <w:rFonts w:ascii="Arial" w:cs="Arial" w:eastAsia="Arial" w:hAnsi="Arial"/>
                <w:sz w:val="14"/>
                <w:szCs w:val="14"/>
                <w:color w:val="auto"/>
              </w:rPr>
              <w:t>Vested Career Shares</w:t>
            </w:r>
          </w:p>
        </w:tc>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9"/>
              <w:spacing w:after="0"/>
              <w:rPr>
                <w:sz w:val="20"/>
                <w:szCs w:val="20"/>
                <w:color w:val="auto"/>
              </w:rPr>
            </w:pPr>
            <w:r>
              <w:rPr>
                <w:rFonts w:ascii="Arial" w:cs="Arial" w:eastAsia="Arial" w:hAnsi="Arial"/>
                <w:sz w:val="14"/>
                <w:szCs w:val="14"/>
                <w:color w:val="auto"/>
              </w:rPr>
              <w:t>736,602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0"/>
              <w:spacing w:after="0"/>
              <w:rPr>
                <w:sz w:val="20"/>
                <w:szCs w:val="20"/>
                <w:color w:val="auto"/>
              </w:rPr>
            </w:pPr>
            <w:r>
              <w:rPr>
                <w:rFonts w:ascii="Arial" w:cs="Arial" w:eastAsia="Arial" w:hAnsi="Arial"/>
                <w:sz w:val="14"/>
                <w:szCs w:val="14"/>
                <w:color w:val="auto"/>
                <w:w w:val="97"/>
              </w:rPr>
              <w:t>(1,272,610)</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160" w:type="dxa"/>
            <w:vAlign w:val="bottom"/>
          </w:tcPr>
          <w:p>
            <w:pPr>
              <w:ind w:left="820"/>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9"/>
              <w:spacing w:after="0"/>
              <w:rPr>
                <w:sz w:val="20"/>
                <w:szCs w:val="20"/>
                <w:color w:val="auto"/>
              </w:rPr>
            </w:pPr>
            <w:r>
              <w:rPr>
                <w:rFonts w:ascii="Arial" w:cs="Arial" w:eastAsia="Arial" w:hAnsi="Arial"/>
                <w:sz w:val="14"/>
                <w:szCs w:val="14"/>
                <w:color w:val="auto"/>
              </w:rPr>
              <w:t>3,835,337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wp:posOffset>
            </wp:positionV>
            <wp:extent cx="69018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ind w:left="600" w:right="20" w:hanging="320"/>
        <w:spacing w:after="0" w:line="181" w:lineRule="auto"/>
        <w:tabs>
          <w:tab w:leader="none" w:pos="60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Salaried Retirement Restoration Program amounts are included in column (i) of the 2018 Summary Compensation Table. For Vested Career Shares, amounts represent the value of the Vested Career Shares (and accrued dividend equivalents) on November 18, 2018, the vesting date.</w:t>
      </w:r>
    </w:p>
    <w:p>
      <w:pPr>
        <w:ind w:left="600" w:hanging="320"/>
        <w:spacing w:after="0" w:line="208" w:lineRule="auto"/>
        <w:tabs>
          <w:tab w:leader="none" w:pos="60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For Vested Career Shares, amounts represent accrued dividend equivalents plus stock price appreciation or depreciation.</w:t>
      </w:r>
    </w:p>
    <w:p>
      <w:pPr>
        <w:spacing w:after="0" w:line="69" w:lineRule="exact"/>
        <w:rPr>
          <w:rFonts w:ascii="Arial" w:cs="Arial" w:eastAsia="Arial" w:hAnsi="Arial"/>
          <w:sz w:val="24"/>
          <w:szCs w:val="24"/>
          <w:color w:val="auto"/>
          <w:vertAlign w:val="superscript"/>
        </w:rPr>
      </w:pPr>
    </w:p>
    <w:p>
      <w:pPr>
        <w:ind w:left="600" w:right="500" w:hanging="320"/>
        <w:spacing w:after="0" w:line="181" w:lineRule="auto"/>
        <w:tabs>
          <w:tab w:leader="none" w:pos="60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For Vested Career Shares, amounts reflect the closing price of the Company’s common stock on December 31, 2018, which was $122.86, and accrued dividend equivalents (see the 2018 Options Exercised and Stock Vested table for more information).</w:t>
      </w:r>
    </w:p>
    <w:p>
      <w:pPr>
        <w:spacing w:after="0" w:line="70" w:lineRule="exact"/>
        <w:rPr>
          <w:rFonts w:ascii="Arial" w:cs="Arial" w:eastAsia="Arial" w:hAnsi="Arial"/>
          <w:sz w:val="24"/>
          <w:szCs w:val="24"/>
          <w:color w:val="auto"/>
          <w:vertAlign w:val="superscript"/>
        </w:rPr>
      </w:pPr>
    </w:p>
    <w:p>
      <w:pPr>
        <w:jc w:val="both"/>
        <w:ind w:left="600" w:right="40" w:hanging="320"/>
        <w:spacing w:after="0" w:line="196" w:lineRule="auto"/>
        <w:tabs>
          <w:tab w:leader="none" w:pos="60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Because Mr. Larkin is over the age of 62, the shares of the Company’s common stock underlying the Career Shares that vested on November 18, 2018 were distributed to him immediately upon vesting. Thus, those Career Shares are not reported in this table and are instead reflected only in the 2018 Option Exercises and Stock Vested table.</w:t>
      </w:r>
    </w:p>
    <w:p>
      <w:pPr>
        <w:sectPr>
          <w:pgSz w:w="11900" w:h="16838" w:orient="portrait"/>
          <w:cols w:equalWidth="0" w:num="1">
            <w:col w:w="11160"/>
          </w:cols>
          <w:pgMar w:left="240" w:top="455" w:right="499" w:bottom="1440" w:gutter="0" w:footer="0" w:header="0"/>
          <w:type w:val="continuous"/>
        </w:sectPr>
      </w:pP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Salaried Retirement Restoration Program</w:t>
      </w:r>
    </w:p>
    <w:p>
      <w:pPr>
        <w:spacing w:after="0" w:line="187" w:lineRule="exact"/>
        <w:rPr>
          <w:sz w:val="20"/>
          <w:szCs w:val="20"/>
          <w:color w:val="auto"/>
        </w:rPr>
      </w:pPr>
    </w:p>
    <w:p>
      <w:pPr>
        <w:ind w:left="280"/>
        <w:spacing w:after="0" w:line="248" w:lineRule="auto"/>
        <w:rPr>
          <w:sz w:val="20"/>
          <w:szCs w:val="20"/>
          <w:color w:val="auto"/>
        </w:rPr>
      </w:pPr>
      <w:r>
        <w:rPr>
          <w:rFonts w:ascii="Arial" w:cs="Arial" w:eastAsia="Arial" w:hAnsi="Arial"/>
          <w:sz w:val="16"/>
          <w:szCs w:val="16"/>
          <w:color w:val="auto"/>
        </w:rPr>
        <w:t>The defined contribution element of the Salaried Retirement Restoration Program is described in the narrative accompanying the 2018 Pension Benefits table above and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quantified in the 2018 Nonqualified Deferred Compensation table.</w:t>
      </w:r>
    </w:p>
    <w:p>
      <w:pPr>
        <w:spacing w:after="0" w:line="597" w:lineRule="exact"/>
        <w:rPr>
          <w:sz w:val="20"/>
          <w:szCs w:val="20"/>
          <w:color w:val="auto"/>
        </w:rPr>
      </w:pPr>
    </w:p>
    <w:p>
      <w:pPr>
        <w:sectPr>
          <w:pgSz w:w="11900" w:h="16838" w:orient="portrait"/>
          <w:cols w:equalWidth="0" w:num="2">
            <w:col w:w="5380" w:space="440"/>
            <w:col w:w="5340"/>
          </w:cols>
          <w:pgMar w:left="240" w:top="455" w:right="499" w:bottom="1440" w:gutter="0" w:footer="0" w:header="0"/>
          <w:type w:val="continuous"/>
        </w:sectPr>
      </w:pPr>
    </w:p>
    <w:p>
      <w:pPr>
        <w:spacing w:after="0" w:line="57"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53</w:t>
      </w:r>
    </w:p>
    <w:p>
      <w:pPr>
        <w:sectPr>
          <w:pgSz w:w="11900" w:h="16838" w:orient="portrait"/>
          <w:cols w:equalWidth="0" w:num="1">
            <w:col w:w="11160"/>
          </w:cols>
          <w:pgMar w:left="240" w:top="455" w:right="49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Vested Career Shares</w:t>
      </w:r>
    </w:p>
    <w:p>
      <w:pPr>
        <w:spacing w:after="0" w:line="187" w:lineRule="exact"/>
        <w:rPr>
          <w:sz w:val="20"/>
          <w:szCs w:val="20"/>
          <w:color w:val="auto"/>
        </w:rPr>
      </w:pPr>
    </w:p>
    <w:p>
      <w:pPr>
        <w:ind w:left="280"/>
        <w:spacing w:after="0" w:line="247" w:lineRule="auto"/>
        <w:rPr>
          <w:sz w:val="20"/>
          <w:szCs w:val="20"/>
          <w:color w:val="auto"/>
        </w:rPr>
      </w:pPr>
      <w:r>
        <w:rPr>
          <w:rFonts w:ascii="Arial" w:cs="Arial" w:eastAsia="Arial" w:hAnsi="Arial"/>
          <w:sz w:val="16"/>
          <w:szCs w:val="16"/>
          <w:color w:val="auto"/>
        </w:rPr>
        <w:t>We have included the Vested Career Shares in the 2018 Nonqualified Deferred Compensation table (for all Named Executive Officers other than Mr. Larkin, who is over age 62) because they vested in a previous year(s) but distribution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underlying shares of common stock is deferred, as described above in the narrative on the Career Shares program accompanying the 2018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-1327150</wp:posOffset>
            </wp:positionV>
            <wp:extent cx="729107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387" w:lineRule="exact"/>
        <w:rPr>
          <w:sz w:val="20"/>
          <w:szCs w:val="20"/>
          <w:color w:val="auto"/>
        </w:rPr>
      </w:pPr>
    </w:p>
    <w:p>
      <w:pPr>
        <w:sectPr>
          <w:pgSz w:w="11900" w:h="16838" w:orient="portrait"/>
          <w:cols w:equalWidth="0" w:num="2">
            <w:col w:w="5280" w:space="540"/>
            <w:col w:w="5320"/>
          </w:cols>
          <w:pgMar w:left="240" w:top="455" w:right="519" w:bottom="1440" w:gutter="0" w:footer="0" w:header="0"/>
        </w:sectPr>
      </w:pPr>
    </w:p>
    <w:p>
      <w:pPr>
        <w:spacing w:after="0" w:line="14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74295</wp:posOffset>
            </wp:positionV>
            <wp:extent cx="69018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345"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The table below shows estimates of the compensation payable to each of our Named Executive Officers upon his termination of employment with the Company. The amount each executive will actually receive depends on the circumstances surrounding his termination of employment. The amount payable is shown for each of six categories of termination triggers. All amounts are calculated as if the executive terminated effective December 31, 2018. Values of accelerated equity awards are based on the closing price of</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our common stock on December 31, 2018, which was $122.86. The actual amounts due to any one of the Named Executive Officers on his termination of employment can only be determined at the time of his termination. There can be no assurance that a termination or change in control would produce the same or similar results as those described below if it occurs on any other date or at any other stock price, or if any assumption is not, in fact, correct.</w:t>
      </w:r>
    </w:p>
    <w:p>
      <w:pPr>
        <w:spacing w:after="0" w:line="381" w:lineRule="exact"/>
        <w:rPr>
          <w:sz w:val="20"/>
          <w:szCs w:val="20"/>
          <w:color w:val="auto"/>
        </w:rPr>
      </w:pPr>
    </w:p>
    <w:p>
      <w:pPr>
        <w:sectPr>
          <w:pgSz w:w="11900" w:h="16838" w:orient="portrait"/>
          <w:cols w:equalWidth="0" w:num="2">
            <w:col w:w="5460" w:space="360"/>
            <w:col w:w="5320"/>
          </w:cols>
          <w:pgMar w:left="240" w:top="455" w:right="519" w:bottom="1440" w:gutter="0" w:footer="0" w:header="0"/>
          <w:type w:val="continuous"/>
        </w:sectPr>
      </w:pPr>
    </w:p>
    <w:p>
      <w:pPr>
        <w:spacing w:after="0" w:line="64" w:lineRule="exact"/>
        <w:rPr>
          <w:sz w:val="20"/>
          <w:szCs w:val="20"/>
          <w:color w:val="auto"/>
        </w:rPr>
      </w:pPr>
    </w:p>
    <w:p>
      <w:pPr>
        <w:ind w:left="740" w:hanging="359"/>
        <w:spacing w:after="0"/>
        <w:tabs>
          <w:tab w:leader="none" w:pos="7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240" w:top="455" w:right="51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904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57" w:lineRule="exact"/>
        <w:rPr>
          <w:sz w:val="20"/>
          <w:szCs w:val="20"/>
          <w:color w:val="auto"/>
        </w:rPr>
      </w:pPr>
    </w:p>
    <w:p>
      <w:pPr>
        <w:ind w:left="280" w:right="580"/>
        <w:spacing w:after="0" w:line="254" w:lineRule="auto"/>
        <w:rPr>
          <w:sz w:val="20"/>
          <w:szCs w:val="20"/>
          <w:color w:val="auto"/>
        </w:rPr>
      </w:pPr>
      <w:r>
        <w:rPr>
          <w:rFonts w:ascii="Arial" w:cs="Arial" w:eastAsia="Arial" w:hAnsi="Arial"/>
          <w:sz w:val="16"/>
          <w:szCs w:val="16"/>
          <w:color w:val="auto"/>
        </w:rPr>
        <w:t>Accrued amounts under the Company’s pension and deferred compensation plans are not included in this table. For these amounts, see the 2018 Pension Benefits table above and the 2018 Nonqualified Deferred Compensation table above.</w:t>
      </w:r>
    </w:p>
    <w:p>
      <w:pPr>
        <w:spacing w:after="0" w:line="207"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gridSpan w:val="2"/>
          </w:tcPr>
          <w:p>
            <w:pPr>
              <w:ind w:left="280"/>
              <w:spacing w:after="0"/>
              <w:rPr>
                <w:sz w:val="20"/>
                <w:szCs w:val="20"/>
                <w:color w:val="auto"/>
              </w:rPr>
            </w:pPr>
            <w:r>
              <w:rPr>
                <w:rFonts w:ascii="Arial" w:cs="Arial" w:eastAsia="Arial" w:hAnsi="Arial"/>
                <w:sz w:val="14"/>
                <w:szCs w:val="14"/>
                <w:b w:val="1"/>
                <w:bCs w:val="1"/>
                <w:color w:val="E2231A"/>
              </w:rPr>
              <w:t>Accelerated</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E2231A"/>
              </w:rPr>
              <w:t>Named Executive Officer</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E2231A"/>
              </w:rPr>
              <w:t>Continuation of</w:t>
            </w:r>
          </w:p>
        </w:tc>
        <w:tc>
          <w:tcPr>
            <w:tcW w:w="13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E2231A"/>
              </w:rPr>
              <w:t>Vesting or</w:t>
            </w: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0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E2231A"/>
              </w:rPr>
              <w:t>Medical/Welfare</w:t>
            </w:r>
          </w:p>
        </w:tc>
        <w:tc>
          <w:tcPr>
            <w:tcW w:w="360" w:type="dxa"/>
            <w:vAlign w:val="bottom"/>
          </w:tcPr>
          <w:p>
            <w:pPr>
              <w:spacing w:after="0"/>
              <w:rPr>
                <w:sz w:val="12"/>
                <w:szCs w:val="12"/>
                <w:color w:val="auto"/>
              </w:rPr>
            </w:pPr>
          </w:p>
        </w:tc>
        <w:tc>
          <w:tcPr>
            <w:tcW w:w="1020" w:type="dxa"/>
            <w:vAlign w:val="bottom"/>
          </w:tcPr>
          <w:p>
            <w:pPr>
              <w:jc w:val="center"/>
              <w:ind w:right="289"/>
              <w:spacing w:after="0" w:line="147" w:lineRule="exact"/>
              <w:rPr>
                <w:sz w:val="20"/>
                <w:szCs w:val="20"/>
                <w:color w:val="auto"/>
              </w:rPr>
            </w:pPr>
            <w:r>
              <w:rPr>
                <w:rFonts w:ascii="Arial" w:cs="Arial" w:eastAsia="Arial" w:hAnsi="Arial"/>
                <w:sz w:val="14"/>
                <w:szCs w:val="14"/>
                <w:b w:val="1"/>
                <w:bCs w:val="1"/>
                <w:color w:val="E2231A"/>
              </w:rPr>
              <w:t>Payout of</w:t>
            </w:r>
          </w:p>
        </w:tc>
        <w:tc>
          <w:tcPr>
            <w:tcW w:w="400" w:type="dxa"/>
            <w:vAlign w:val="bottom"/>
          </w:tcPr>
          <w:p>
            <w:pPr>
              <w:spacing w:after="0"/>
              <w:rPr>
                <w:sz w:val="12"/>
                <w:szCs w:val="12"/>
                <w:color w:val="auto"/>
              </w:rPr>
            </w:pPr>
          </w:p>
        </w:tc>
        <w:tc>
          <w:tcPr>
            <w:tcW w:w="1020" w:type="dxa"/>
            <w:vAlign w:val="bottom"/>
          </w:tcPr>
          <w:p>
            <w:pPr>
              <w:jc w:val="right"/>
              <w:ind w:right="469"/>
              <w:spacing w:after="0" w:line="147" w:lineRule="exact"/>
              <w:rPr>
                <w:sz w:val="20"/>
                <w:szCs w:val="20"/>
                <w:color w:val="auto"/>
              </w:rPr>
            </w:pPr>
            <w:r>
              <w:rPr>
                <w:rFonts w:ascii="Arial" w:cs="Arial" w:eastAsia="Arial" w:hAnsi="Arial"/>
                <w:sz w:val="14"/>
                <w:szCs w:val="14"/>
                <w:b w:val="1"/>
                <w:bCs w:val="1"/>
                <w:color w:val="E2231A"/>
              </w:rPr>
              <w:t>Total</w:t>
            </w:r>
          </w:p>
        </w:tc>
        <w:tc>
          <w:tcPr>
            <w:tcW w:w="0" w:type="dxa"/>
            <w:vAlign w:val="bottom"/>
          </w:tcPr>
          <w:p>
            <w:pPr>
              <w:spacing w:after="0"/>
              <w:rPr>
                <w:sz w:val="1"/>
                <w:szCs w:val="1"/>
                <w:color w:val="auto"/>
              </w:rPr>
            </w:pPr>
          </w:p>
        </w:tc>
      </w:tr>
      <w:tr>
        <w:trPr>
          <w:trHeight w:val="160"/>
        </w:trPr>
        <w:tc>
          <w:tcPr>
            <w:tcW w:w="5040" w:type="dxa"/>
            <w:vAlign w:val="bottom"/>
            <w:gridSpan w:val="2"/>
          </w:tcPr>
          <w:p>
            <w:pPr>
              <w:spacing w:after="0" w:line="160" w:lineRule="exact"/>
              <w:rPr>
                <w:sz w:val="20"/>
                <w:szCs w:val="20"/>
                <w:color w:val="auto"/>
              </w:rPr>
            </w:pPr>
            <w:r>
              <w:rPr>
                <w:rFonts w:ascii="Arial" w:cs="Arial" w:eastAsia="Arial" w:hAnsi="Arial"/>
                <w:sz w:val="14"/>
                <w:szCs w:val="14"/>
                <w:b w:val="1"/>
                <w:bCs w:val="1"/>
                <w:color w:val="E2231A"/>
              </w:rPr>
              <w:t>and</w:t>
            </w:r>
          </w:p>
        </w:tc>
        <w:tc>
          <w:tcPr>
            <w:tcW w:w="280" w:type="dxa"/>
            <w:vAlign w:val="bottom"/>
          </w:tcPr>
          <w:p>
            <w:pPr>
              <w:spacing w:after="0"/>
              <w:rPr>
                <w:sz w:val="13"/>
                <w:szCs w:val="13"/>
                <w:color w:val="auto"/>
              </w:rPr>
            </w:pPr>
          </w:p>
        </w:tc>
        <w:tc>
          <w:tcPr>
            <w:tcW w:w="1000" w:type="dxa"/>
            <w:vAlign w:val="bottom"/>
          </w:tcPr>
          <w:p>
            <w:pPr>
              <w:jc w:val="right"/>
              <w:ind w:right="489"/>
              <w:spacing w:after="0" w:line="160" w:lineRule="exact"/>
              <w:rPr>
                <w:sz w:val="20"/>
                <w:szCs w:val="20"/>
                <w:color w:val="auto"/>
              </w:rPr>
            </w:pPr>
            <w:r>
              <w:rPr>
                <w:rFonts w:ascii="Arial" w:cs="Arial" w:eastAsia="Arial" w:hAnsi="Arial"/>
                <w:sz w:val="14"/>
                <w:szCs w:val="14"/>
                <w:b w:val="1"/>
                <w:bCs w:val="1"/>
                <w:color w:val="E2231A"/>
              </w:rPr>
              <w:t>Cash</w:t>
            </w:r>
          </w:p>
        </w:tc>
        <w:tc>
          <w:tcPr>
            <w:tcW w:w="1760" w:type="dxa"/>
            <w:vAlign w:val="bottom"/>
            <w:gridSpan w:val="2"/>
          </w:tcPr>
          <w:p>
            <w:pPr>
              <w:ind w:left="280"/>
              <w:spacing w:after="0" w:line="160" w:lineRule="exact"/>
              <w:rPr>
                <w:sz w:val="20"/>
                <w:szCs w:val="20"/>
                <w:color w:val="auto"/>
              </w:rPr>
            </w:pPr>
            <w:r>
              <w:rPr>
                <w:rFonts w:ascii="Arial" w:cs="Arial" w:eastAsia="Arial" w:hAnsi="Arial"/>
                <w:sz w:val="14"/>
                <w:szCs w:val="14"/>
                <w:b w:val="1"/>
                <w:bCs w:val="1"/>
                <w:color w:val="E2231A"/>
              </w:rPr>
              <w:t>Benefits (Present</w:t>
            </w:r>
          </w:p>
        </w:tc>
        <w:tc>
          <w:tcPr>
            <w:tcW w:w="360" w:type="dxa"/>
            <w:vAlign w:val="bottom"/>
          </w:tcPr>
          <w:p>
            <w:pPr>
              <w:spacing w:after="0"/>
              <w:rPr>
                <w:sz w:val="13"/>
                <w:szCs w:val="13"/>
                <w:color w:val="auto"/>
              </w:rPr>
            </w:pPr>
          </w:p>
        </w:tc>
        <w:tc>
          <w:tcPr>
            <w:tcW w:w="1020" w:type="dxa"/>
            <w:vAlign w:val="bottom"/>
          </w:tcPr>
          <w:p>
            <w:pPr>
              <w:jc w:val="center"/>
              <w:ind w:right="289"/>
              <w:spacing w:after="0" w:line="160" w:lineRule="exact"/>
              <w:rPr>
                <w:sz w:val="20"/>
                <w:szCs w:val="20"/>
                <w:color w:val="auto"/>
              </w:rPr>
            </w:pPr>
            <w:r>
              <w:rPr>
                <w:rFonts w:ascii="Arial" w:cs="Arial" w:eastAsia="Arial" w:hAnsi="Arial"/>
                <w:sz w:val="14"/>
                <w:szCs w:val="14"/>
                <w:b w:val="1"/>
                <w:bCs w:val="1"/>
                <w:color w:val="E2231A"/>
                <w:w w:val="98"/>
              </w:rPr>
              <w:t>Equity</w:t>
            </w:r>
          </w:p>
        </w:tc>
        <w:tc>
          <w:tcPr>
            <w:tcW w:w="1420" w:type="dxa"/>
            <w:vAlign w:val="bottom"/>
            <w:gridSpan w:val="2"/>
          </w:tcPr>
          <w:p>
            <w:pPr>
              <w:ind w:left="300"/>
              <w:spacing w:after="0" w:line="160" w:lineRule="exact"/>
              <w:rPr>
                <w:sz w:val="20"/>
                <w:szCs w:val="20"/>
                <w:color w:val="auto"/>
              </w:rPr>
            </w:pPr>
            <w:r>
              <w:rPr>
                <w:rFonts w:ascii="Arial" w:cs="Arial" w:eastAsia="Arial" w:hAnsi="Arial"/>
                <w:sz w:val="14"/>
                <w:szCs w:val="14"/>
                <w:b w:val="1"/>
                <w:bCs w:val="1"/>
                <w:color w:val="E2231A"/>
              </w:rPr>
              <w:t>Termination</w:t>
            </w:r>
          </w:p>
        </w:tc>
        <w:tc>
          <w:tcPr>
            <w:tcW w:w="0" w:type="dxa"/>
            <w:vAlign w:val="bottom"/>
          </w:tcPr>
          <w:p>
            <w:pPr>
              <w:spacing w:after="0"/>
              <w:rPr>
                <w:sz w:val="1"/>
                <w:szCs w:val="1"/>
                <w:color w:val="auto"/>
              </w:rPr>
            </w:pPr>
          </w:p>
        </w:tc>
      </w:tr>
      <w:tr>
        <w:trPr>
          <w:trHeight w:val="186"/>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E2231A"/>
              </w:rPr>
              <w:t>Triggering Event</w:t>
            </w:r>
          </w:p>
        </w:tc>
        <w:tc>
          <w:tcPr>
            <w:tcW w:w="1280" w:type="dxa"/>
            <w:vAlign w:val="bottom"/>
            <w:tcBorders>
              <w:bottom w:val="single" w:sz="8" w:color="auto"/>
            </w:tcBorders>
            <w:gridSpan w:val="2"/>
          </w:tcPr>
          <w:p>
            <w:pPr>
              <w:ind w:left="120"/>
              <w:spacing w:after="0" w:line="187" w:lineRule="exact"/>
              <w:rPr>
                <w:sz w:val="20"/>
                <w:szCs w:val="20"/>
                <w:color w:val="auto"/>
              </w:rPr>
            </w:pPr>
            <w:r>
              <w:rPr>
                <w:rFonts w:ascii="Arial" w:cs="Arial" w:eastAsia="Arial" w:hAnsi="Arial"/>
                <w:sz w:val="13"/>
                <w:szCs w:val="13"/>
                <w:b w:val="1"/>
                <w:bCs w:val="1"/>
                <w:color w:val="E2231A"/>
              </w:rPr>
              <w:t>Severance</w:t>
            </w:r>
            <w:r>
              <w:rPr>
                <w:rFonts w:ascii="Arial" w:cs="Arial" w:eastAsia="Arial" w:hAnsi="Arial"/>
                <w:sz w:val="21"/>
                <w:szCs w:val="21"/>
                <w:b w:val="1"/>
                <w:bCs w:val="1"/>
                <w:color w:val="E2231A"/>
                <w:vertAlign w:val="superscript"/>
              </w:rPr>
              <w:t>(1)</w:t>
            </w: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29"/>
              <w:spacing w:after="0" w:line="187" w:lineRule="exact"/>
              <w:rPr>
                <w:sz w:val="20"/>
                <w:szCs w:val="20"/>
                <w:color w:val="auto"/>
              </w:rPr>
            </w:pPr>
            <w:r>
              <w:rPr>
                <w:rFonts w:ascii="Arial" w:cs="Arial" w:eastAsia="Arial" w:hAnsi="Arial"/>
                <w:sz w:val="13"/>
                <w:szCs w:val="13"/>
                <w:b w:val="1"/>
                <w:bCs w:val="1"/>
                <w:color w:val="E2231A"/>
              </w:rPr>
              <w:t>Value)</w:t>
            </w:r>
            <w:r>
              <w:rPr>
                <w:rFonts w:ascii="Arial" w:cs="Arial" w:eastAsia="Arial" w:hAnsi="Arial"/>
                <w:sz w:val="21"/>
                <w:szCs w:val="21"/>
                <w:b w:val="1"/>
                <w:bCs w:val="1"/>
                <w:color w:val="E2231A"/>
                <w:vertAlign w:val="superscript"/>
              </w:rPr>
              <w:t>(2)</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9"/>
              <w:spacing w:after="0" w:line="187" w:lineRule="exact"/>
              <w:rPr>
                <w:sz w:val="20"/>
                <w:szCs w:val="20"/>
                <w:color w:val="auto"/>
              </w:rPr>
            </w:pPr>
            <w:r>
              <w:rPr>
                <w:rFonts w:ascii="Arial" w:cs="Arial" w:eastAsia="Arial" w:hAnsi="Arial"/>
                <w:sz w:val="13"/>
                <w:szCs w:val="13"/>
                <w:b w:val="1"/>
                <w:bCs w:val="1"/>
                <w:color w:val="E2231A"/>
              </w:rPr>
              <w:t>Awards</w:t>
            </w:r>
            <w:r>
              <w:rPr>
                <w:rFonts w:ascii="Arial" w:cs="Arial" w:eastAsia="Arial" w:hAnsi="Arial"/>
                <w:sz w:val="21"/>
                <w:szCs w:val="21"/>
                <w:b w:val="1"/>
                <w:bCs w:val="1"/>
                <w:color w:val="E2231A"/>
                <w:vertAlign w:val="superscript"/>
              </w:rPr>
              <w:t>(3)</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E2231A"/>
              </w:rPr>
              <w:t>Benefits</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auto"/>
            </w:tcBorders>
            <w:gridSpan w:val="2"/>
            <w:shd w:val="clear" w:color="auto" w:fill="FCE9E8"/>
          </w:tcPr>
          <w:p>
            <w:pPr>
              <w:spacing w:after="0" w:line="153" w:lineRule="exact"/>
              <w:rPr>
                <w:sz w:val="20"/>
                <w:szCs w:val="20"/>
                <w:color w:val="auto"/>
              </w:rPr>
            </w:pPr>
            <w:r>
              <w:rPr>
                <w:rFonts w:ascii="Arial" w:cs="Arial" w:eastAsia="Arial" w:hAnsi="Arial"/>
                <w:sz w:val="14"/>
                <w:szCs w:val="14"/>
                <w:b w:val="1"/>
                <w:bCs w:val="1"/>
                <w:color w:val="auto"/>
              </w:rPr>
              <w:t>Raymond E. Scott</w:t>
            </w:r>
          </w:p>
        </w:tc>
        <w:tc>
          <w:tcPr>
            <w:tcW w:w="280" w:type="dxa"/>
            <w:vAlign w:val="bottom"/>
            <w:tcBorders>
              <w:bottom w:val="single" w:sz="8" w:color="auto"/>
            </w:tcBorders>
            <w:shd w:val="clear" w:color="auto" w:fill="FCE9E8"/>
          </w:tcPr>
          <w:p>
            <w:pPr>
              <w:spacing w:after="0"/>
              <w:rPr>
                <w:sz w:val="13"/>
                <w:szCs w:val="13"/>
                <w:color w:val="auto"/>
              </w:rPr>
            </w:pPr>
          </w:p>
        </w:tc>
        <w:tc>
          <w:tcPr>
            <w:tcW w:w="1000" w:type="dxa"/>
            <w:vAlign w:val="bottom"/>
            <w:tcBorders>
              <w:bottom w:val="single" w:sz="8" w:color="auto"/>
            </w:tcBorders>
            <w:shd w:val="clear" w:color="auto" w:fill="FCE9E8"/>
          </w:tcPr>
          <w:p>
            <w:pPr>
              <w:spacing w:after="0"/>
              <w:rPr>
                <w:sz w:val="13"/>
                <w:szCs w:val="13"/>
                <w:color w:val="auto"/>
              </w:rPr>
            </w:pPr>
          </w:p>
        </w:tc>
        <w:tc>
          <w:tcPr>
            <w:tcW w:w="480" w:type="dxa"/>
            <w:vAlign w:val="bottom"/>
            <w:tcBorders>
              <w:bottom w:val="single" w:sz="8" w:color="auto"/>
            </w:tcBorders>
            <w:shd w:val="clear" w:color="auto" w:fill="FCE9E8"/>
          </w:tcPr>
          <w:p>
            <w:pPr>
              <w:spacing w:after="0"/>
              <w:rPr>
                <w:sz w:val="13"/>
                <w:szCs w:val="13"/>
                <w:color w:val="auto"/>
              </w:rPr>
            </w:pPr>
          </w:p>
        </w:tc>
        <w:tc>
          <w:tcPr>
            <w:tcW w:w="1280" w:type="dxa"/>
            <w:vAlign w:val="bottom"/>
            <w:tcBorders>
              <w:bottom w:val="single" w:sz="8" w:color="auto"/>
            </w:tcBorders>
            <w:shd w:val="clear" w:color="auto" w:fill="FCE9E8"/>
          </w:tcPr>
          <w:p>
            <w:pPr>
              <w:spacing w:after="0"/>
              <w:rPr>
                <w:sz w:val="13"/>
                <w:szCs w:val="13"/>
                <w:color w:val="auto"/>
              </w:rPr>
            </w:pPr>
          </w:p>
        </w:tc>
        <w:tc>
          <w:tcPr>
            <w:tcW w:w="36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40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8" w:lineRule="exact"/>
              <w:rPr>
                <w:sz w:val="20"/>
                <w:szCs w:val="20"/>
                <w:color w:val="auto"/>
              </w:rPr>
            </w:pPr>
            <w:r>
              <w:rPr>
                <w:rFonts w:ascii="Arial" w:cs="Arial" w:eastAsia="Arial" w:hAnsi="Arial"/>
                <w:sz w:val="14"/>
                <w:szCs w:val="14"/>
                <w:color w:val="auto"/>
              </w:rPr>
              <w:t>Involuntary Termination without Cause (or for Good Reason) With Change in</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4960" w:type="dxa"/>
            <w:vAlign w:val="bottom"/>
          </w:tcPr>
          <w:p>
            <w:pPr>
              <w:ind w:left="60"/>
              <w:spacing w:after="0" w:line="160" w:lineRule="exact"/>
              <w:rPr>
                <w:sz w:val="20"/>
                <w:szCs w:val="20"/>
                <w:color w:val="auto"/>
              </w:rPr>
            </w:pPr>
            <w:r>
              <w:rPr>
                <w:rFonts w:ascii="Arial" w:cs="Arial" w:eastAsia="Arial" w:hAnsi="Arial"/>
                <w:sz w:val="14"/>
                <w:szCs w:val="14"/>
                <w:color w:val="auto"/>
              </w:rPr>
              <w:t>Control</w:t>
            </w:r>
          </w:p>
        </w:tc>
        <w:tc>
          <w:tcPr>
            <w:tcW w:w="280" w:type="dxa"/>
            <w:vAlign w:val="bottom"/>
          </w:tcPr>
          <w:p>
            <w:pPr>
              <w:ind w:left="120"/>
              <w:spacing w:after="0" w:line="160"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5,800,000</w:t>
            </w:r>
          </w:p>
        </w:tc>
        <w:tc>
          <w:tcPr>
            <w:tcW w:w="48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28,496</w:t>
            </w:r>
          </w:p>
        </w:tc>
        <w:tc>
          <w:tcPr>
            <w:tcW w:w="360" w:type="dxa"/>
            <w:vAlign w:val="bottom"/>
          </w:tcPr>
          <w:p>
            <w:pPr>
              <w:ind w:left="280"/>
              <w:spacing w:after="0" w:line="160"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60" w:lineRule="exact"/>
              <w:rPr>
                <w:sz w:val="20"/>
                <w:szCs w:val="20"/>
                <w:color w:val="auto"/>
              </w:rPr>
            </w:pPr>
            <w:r>
              <w:rPr>
                <w:rFonts w:ascii="Arial" w:cs="Arial" w:eastAsia="Arial" w:hAnsi="Arial"/>
                <w:sz w:val="14"/>
                <w:szCs w:val="14"/>
                <w:color w:val="auto"/>
              </w:rPr>
              <w:t>8,320,353</w:t>
            </w:r>
          </w:p>
        </w:tc>
        <w:tc>
          <w:tcPr>
            <w:tcW w:w="4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60" w:lineRule="exact"/>
              <w:rPr>
                <w:sz w:val="20"/>
                <w:szCs w:val="20"/>
                <w:color w:val="auto"/>
              </w:rPr>
            </w:pPr>
            <w:r>
              <w:rPr>
                <w:rFonts w:ascii="Arial" w:cs="Arial" w:eastAsia="Arial" w:hAnsi="Arial"/>
                <w:sz w:val="14"/>
                <w:szCs w:val="14"/>
                <w:color w:val="auto"/>
                <w:w w:val="99"/>
              </w:rPr>
              <w:t>14,148,849</w:t>
            </w:r>
          </w:p>
        </w:tc>
        <w:tc>
          <w:tcPr>
            <w:tcW w:w="0" w:type="dxa"/>
            <w:vAlign w:val="bottom"/>
          </w:tcPr>
          <w:p>
            <w:pPr>
              <w:spacing w:after="0"/>
              <w:rPr>
                <w:sz w:val="1"/>
                <w:szCs w:val="1"/>
                <w:color w:val="auto"/>
              </w:rPr>
            </w:pPr>
          </w:p>
        </w:tc>
      </w:tr>
      <w:tr>
        <w:trPr>
          <w:trHeight w:val="152"/>
        </w:trPr>
        <w:tc>
          <w:tcPr>
            <w:tcW w:w="8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3" w:lineRule="exact"/>
              <w:rPr>
                <w:sz w:val="20"/>
                <w:szCs w:val="20"/>
                <w:color w:val="auto"/>
              </w:rPr>
            </w:pPr>
            <w:r>
              <w:rPr>
                <w:rFonts w:ascii="Arial" w:cs="Arial" w:eastAsia="Arial" w:hAnsi="Arial"/>
                <w:sz w:val="14"/>
                <w:szCs w:val="14"/>
                <w:color w:val="auto"/>
              </w:rPr>
              <w:t>Involuntary Termination without Cause (or for Good Reason)</w:t>
            </w:r>
          </w:p>
        </w:tc>
        <w:tc>
          <w:tcPr>
            <w:tcW w:w="280" w:type="dxa"/>
            <w:vAlign w:val="bottom"/>
          </w:tcPr>
          <w:p>
            <w:pPr>
              <w:ind w:left="120"/>
              <w:spacing w:after="0" w:line="153"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5,800,000</w:t>
            </w:r>
          </w:p>
        </w:tc>
        <w:tc>
          <w:tcPr>
            <w:tcW w:w="480" w:type="dxa"/>
            <w:vAlign w:val="bottom"/>
          </w:tcPr>
          <w:p>
            <w:pPr>
              <w:ind w:left="280"/>
              <w:spacing w:after="0" w:line="153"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28,496</w:t>
            </w:r>
          </w:p>
        </w:tc>
        <w:tc>
          <w:tcPr>
            <w:tcW w:w="360" w:type="dxa"/>
            <w:vAlign w:val="bottom"/>
          </w:tcPr>
          <w:p>
            <w:pPr>
              <w:ind w:left="280"/>
              <w:spacing w:after="0" w:line="15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53" w:lineRule="exact"/>
              <w:rPr>
                <w:sz w:val="20"/>
                <w:szCs w:val="20"/>
                <w:color w:val="auto"/>
              </w:rPr>
            </w:pPr>
            <w:r>
              <w:rPr>
                <w:rFonts w:ascii="Arial" w:cs="Arial" w:eastAsia="Arial" w:hAnsi="Arial"/>
                <w:sz w:val="14"/>
                <w:szCs w:val="14"/>
                <w:color w:val="auto"/>
              </w:rPr>
              <w:t>5,044,768</w:t>
            </w:r>
          </w:p>
        </w:tc>
        <w:tc>
          <w:tcPr>
            <w:tcW w:w="400" w:type="dxa"/>
            <w:vAlign w:val="bottom"/>
          </w:tcPr>
          <w:p>
            <w:pPr>
              <w:ind w:left="300"/>
              <w:spacing w:after="0" w:line="153"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53" w:lineRule="exact"/>
              <w:rPr>
                <w:sz w:val="20"/>
                <w:szCs w:val="20"/>
                <w:color w:val="auto"/>
              </w:rPr>
            </w:pPr>
            <w:r>
              <w:rPr>
                <w:rFonts w:ascii="Arial" w:cs="Arial" w:eastAsia="Arial" w:hAnsi="Arial"/>
                <w:sz w:val="14"/>
                <w:szCs w:val="14"/>
                <w:color w:val="auto"/>
                <w:w w:val="99"/>
              </w:rPr>
              <w:t>10,873,264</w:t>
            </w:r>
          </w:p>
        </w:tc>
        <w:tc>
          <w:tcPr>
            <w:tcW w:w="0" w:type="dxa"/>
            <w:vAlign w:val="bottom"/>
          </w:tcPr>
          <w:p>
            <w:pPr>
              <w:spacing w:after="0"/>
              <w:rPr>
                <w:sz w:val="1"/>
                <w:szCs w:val="1"/>
                <w:color w:val="auto"/>
              </w:rPr>
            </w:pPr>
          </w:p>
        </w:tc>
      </w:tr>
      <w:tr>
        <w:trPr>
          <w:trHeight w:val="167"/>
        </w:trPr>
        <w:tc>
          <w:tcPr>
            <w:tcW w:w="5040" w:type="dxa"/>
            <w:vAlign w:val="bottom"/>
            <w:gridSpan w:val="2"/>
          </w:tcPr>
          <w:p>
            <w:pPr>
              <w:spacing w:after="0" w:line="167"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280" w:type="dxa"/>
            <w:vAlign w:val="bottom"/>
          </w:tcPr>
          <w:p>
            <w:pPr>
              <w:spacing w:after="0"/>
              <w:rPr>
                <w:sz w:val="14"/>
                <w:szCs w:val="14"/>
                <w:color w:val="auto"/>
              </w:rPr>
            </w:pPr>
          </w:p>
        </w:tc>
        <w:tc>
          <w:tcPr>
            <w:tcW w:w="1000" w:type="dxa"/>
            <w:vAlign w:val="bottom"/>
          </w:tcPr>
          <w:p>
            <w:pPr>
              <w:jc w:val="right"/>
              <w:ind w:right="229"/>
              <w:spacing w:after="0"/>
              <w:rPr>
                <w:sz w:val="20"/>
                <w:szCs w:val="20"/>
                <w:color w:val="auto"/>
              </w:rPr>
            </w:pPr>
            <w:r>
              <w:rPr>
                <w:rFonts w:ascii="Arial" w:cs="Arial" w:eastAsia="Arial" w:hAnsi="Arial"/>
                <w:sz w:val="14"/>
                <w:szCs w:val="14"/>
                <w:color w:val="auto"/>
              </w:rPr>
              <w:t>N/A</w:t>
            </w:r>
          </w:p>
        </w:tc>
        <w:tc>
          <w:tcPr>
            <w:tcW w:w="480" w:type="dxa"/>
            <w:vAlign w:val="bottom"/>
          </w:tcPr>
          <w:p>
            <w:pPr>
              <w:spacing w:after="0"/>
              <w:rPr>
                <w:sz w:val="14"/>
                <w:szCs w:val="14"/>
                <w:color w:val="auto"/>
              </w:rPr>
            </w:pPr>
          </w:p>
        </w:tc>
        <w:tc>
          <w:tcPr>
            <w:tcW w:w="1280" w:type="dxa"/>
            <w:vAlign w:val="bottom"/>
          </w:tcPr>
          <w:p>
            <w:pPr>
              <w:jc w:val="right"/>
              <w:ind w:right="229"/>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14"/>
                <w:szCs w:val="14"/>
                <w:color w:val="auto"/>
              </w:rPr>
            </w:pPr>
          </w:p>
        </w:tc>
        <w:tc>
          <w:tcPr>
            <w:tcW w:w="1020" w:type="dxa"/>
            <w:vAlign w:val="bottom"/>
          </w:tcPr>
          <w:p>
            <w:pPr>
              <w:jc w:val="right"/>
              <w:ind w:right="229"/>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2"/>
        </w:trPr>
        <w:tc>
          <w:tcPr>
            <w:tcW w:w="8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3" w:lineRule="exact"/>
              <w:rPr>
                <w:sz w:val="20"/>
                <w:szCs w:val="20"/>
                <w:color w:val="auto"/>
              </w:rPr>
            </w:pPr>
            <w:r>
              <w:rPr>
                <w:rFonts w:ascii="Arial" w:cs="Arial" w:eastAsia="Arial" w:hAnsi="Arial"/>
                <w:sz w:val="14"/>
                <w:szCs w:val="14"/>
                <w:color w:val="auto"/>
              </w:rPr>
              <w:t>Voluntary Termination (or Involuntary Termination for Cause)</w:t>
            </w:r>
          </w:p>
        </w:tc>
        <w:tc>
          <w:tcPr>
            <w:tcW w:w="280" w:type="dxa"/>
            <w:vAlign w:val="bottom"/>
          </w:tcPr>
          <w:p>
            <w:pPr>
              <w:ind w:left="120"/>
              <w:spacing w:after="0" w:line="153"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3"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360" w:type="dxa"/>
            <w:vAlign w:val="bottom"/>
          </w:tcPr>
          <w:p>
            <w:pPr>
              <w:ind w:left="280"/>
              <w:spacing w:after="0" w:line="15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53" w:lineRule="exact"/>
              <w:rPr>
                <w:sz w:val="20"/>
                <w:szCs w:val="20"/>
                <w:color w:val="auto"/>
              </w:rPr>
            </w:pPr>
            <w:r>
              <w:rPr>
                <w:rFonts w:ascii="Arial" w:cs="Arial" w:eastAsia="Arial" w:hAnsi="Arial"/>
                <w:sz w:val="14"/>
                <w:szCs w:val="14"/>
                <w:color w:val="auto"/>
              </w:rPr>
              <w:t>—</w:t>
            </w:r>
          </w:p>
        </w:tc>
        <w:tc>
          <w:tcPr>
            <w:tcW w:w="400" w:type="dxa"/>
            <w:vAlign w:val="bottom"/>
          </w:tcPr>
          <w:p>
            <w:pPr>
              <w:ind w:left="300"/>
              <w:spacing w:after="0" w:line="153"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96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1"/>
                <w:szCs w:val="11"/>
                <w:color w:val="auto"/>
              </w:rPr>
              <w:t>Disability or Death</w:t>
            </w:r>
            <w:r>
              <w:rPr>
                <w:rFonts w:ascii="Arial" w:cs="Arial" w:eastAsia="Arial" w:hAnsi="Arial"/>
                <w:sz w:val="18"/>
                <w:szCs w:val="18"/>
                <w:color w:val="auto"/>
                <w:vertAlign w:val="superscript"/>
              </w:rPr>
              <w:t>(5)</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5,490,945</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5,490,945</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auto"/>
            </w:tcBorders>
            <w:gridSpan w:val="2"/>
            <w:shd w:val="clear" w:color="auto" w:fill="FCE9E8"/>
          </w:tcPr>
          <w:p>
            <w:pPr>
              <w:spacing w:after="0" w:line="153" w:lineRule="exact"/>
              <w:rPr>
                <w:sz w:val="20"/>
                <w:szCs w:val="20"/>
                <w:color w:val="auto"/>
              </w:rPr>
            </w:pPr>
            <w:r>
              <w:rPr>
                <w:rFonts w:ascii="Arial" w:cs="Arial" w:eastAsia="Arial" w:hAnsi="Arial"/>
                <w:sz w:val="14"/>
                <w:szCs w:val="14"/>
                <w:b w:val="1"/>
                <w:bCs w:val="1"/>
                <w:color w:val="auto"/>
              </w:rPr>
              <w:t>Jeffrey H. Vanneste</w:t>
            </w:r>
          </w:p>
        </w:tc>
        <w:tc>
          <w:tcPr>
            <w:tcW w:w="280" w:type="dxa"/>
            <w:vAlign w:val="bottom"/>
            <w:tcBorders>
              <w:bottom w:val="single" w:sz="8" w:color="auto"/>
            </w:tcBorders>
            <w:shd w:val="clear" w:color="auto" w:fill="FCE9E8"/>
          </w:tcPr>
          <w:p>
            <w:pPr>
              <w:spacing w:after="0"/>
              <w:rPr>
                <w:sz w:val="13"/>
                <w:szCs w:val="13"/>
                <w:color w:val="auto"/>
              </w:rPr>
            </w:pPr>
          </w:p>
        </w:tc>
        <w:tc>
          <w:tcPr>
            <w:tcW w:w="1000" w:type="dxa"/>
            <w:vAlign w:val="bottom"/>
            <w:tcBorders>
              <w:bottom w:val="single" w:sz="8" w:color="auto"/>
            </w:tcBorders>
            <w:shd w:val="clear" w:color="auto" w:fill="FCE9E8"/>
          </w:tcPr>
          <w:p>
            <w:pPr>
              <w:spacing w:after="0"/>
              <w:rPr>
                <w:sz w:val="13"/>
                <w:szCs w:val="13"/>
                <w:color w:val="auto"/>
              </w:rPr>
            </w:pPr>
          </w:p>
        </w:tc>
        <w:tc>
          <w:tcPr>
            <w:tcW w:w="480" w:type="dxa"/>
            <w:vAlign w:val="bottom"/>
            <w:tcBorders>
              <w:bottom w:val="single" w:sz="8" w:color="auto"/>
            </w:tcBorders>
            <w:shd w:val="clear" w:color="auto" w:fill="FCE9E8"/>
          </w:tcPr>
          <w:p>
            <w:pPr>
              <w:spacing w:after="0"/>
              <w:rPr>
                <w:sz w:val="13"/>
                <w:szCs w:val="13"/>
                <w:color w:val="auto"/>
              </w:rPr>
            </w:pPr>
          </w:p>
        </w:tc>
        <w:tc>
          <w:tcPr>
            <w:tcW w:w="1280" w:type="dxa"/>
            <w:vAlign w:val="bottom"/>
            <w:tcBorders>
              <w:bottom w:val="single" w:sz="8" w:color="auto"/>
            </w:tcBorders>
            <w:shd w:val="clear" w:color="auto" w:fill="FCE9E8"/>
          </w:tcPr>
          <w:p>
            <w:pPr>
              <w:spacing w:after="0"/>
              <w:rPr>
                <w:sz w:val="13"/>
                <w:szCs w:val="13"/>
                <w:color w:val="auto"/>
              </w:rPr>
            </w:pPr>
          </w:p>
        </w:tc>
        <w:tc>
          <w:tcPr>
            <w:tcW w:w="36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40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8" w:lineRule="exact"/>
              <w:rPr>
                <w:sz w:val="20"/>
                <w:szCs w:val="20"/>
                <w:color w:val="auto"/>
              </w:rPr>
            </w:pPr>
            <w:r>
              <w:rPr>
                <w:rFonts w:ascii="Arial" w:cs="Arial" w:eastAsia="Arial" w:hAnsi="Arial"/>
                <w:sz w:val="14"/>
                <w:szCs w:val="14"/>
                <w:color w:val="auto"/>
              </w:rPr>
              <w:t>Involuntary Termination without Cause (or for Good Reason) With Change in</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4960" w:type="dxa"/>
            <w:vAlign w:val="bottom"/>
          </w:tcPr>
          <w:p>
            <w:pPr>
              <w:ind w:left="60"/>
              <w:spacing w:after="0" w:line="160" w:lineRule="exact"/>
              <w:rPr>
                <w:sz w:val="20"/>
                <w:szCs w:val="20"/>
                <w:color w:val="auto"/>
              </w:rPr>
            </w:pPr>
            <w:r>
              <w:rPr>
                <w:rFonts w:ascii="Arial" w:cs="Arial" w:eastAsia="Arial" w:hAnsi="Arial"/>
                <w:sz w:val="14"/>
                <w:szCs w:val="14"/>
                <w:color w:val="auto"/>
              </w:rPr>
              <w:t>Control</w:t>
            </w:r>
          </w:p>
        </w:tc>
        <w:tc>
          <w:tcPr>
            <w:tcW w:w="280" w:type="dxa"/>
            <w:vAlign w:val="bottom"/>
          </w:tcPr>
          <w:p>
            <w:pPr>
              <w:ind w:left="120"/>
              <w:spacing w:after="0" w:line="160"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3,145,450</w:t>
            </w:r>
          </w:p>
        </w:tc>
        <w:tc>
          <w:tcPr>
            <w:tcW w:w="48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31,734</w:t>
            </w:r>
          </w:p>
        </w:tc>
        <w:tc>
          <w:tcPr>
            <w:tcW w:w="360" w:type="dxa"/>
            <w:vAlign w:val="bottom"/>
          </w:tcPr>
          <w:p>
            <w:pPr>
              <w:ind w:left="280"/>
              <w:spacing w:after="0" w:line="160"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60" w:lineRule="exact"/>
              <w:rPr>
                <w:sz w:val="20"/>
                <w:szCs w:val="20"/>
                <w:color w:val="auto"/>
              </w:rPr>
            </w:pPr>
            <w:r>
              <w:rPr>
                <w:rFonts w:ascii="Arial" w:cs="Arial" w:eastAsia="Arial" w:hAnsi="Arial"/>
                <w:sz w:val="14"/>
                <w:szCs w:val="14"/>
                <w:color w:val="auto"/>
              </w:rPr>
              <w:t>4,852,064</w:t>
            </w:r>
          </w:p>
        </w:tc>
        <w:tc>
          <w:tcPr>
            <w:tcW w:w="4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8,029,248</w:t>
            </w:r>
          </w:p>
        </w:tc>
        <w:tc>
          <w:tcPr>
            <w:tcW w:w="0" w:type="dxa"/>
            <w:vAlign w:val="bottom"/>
          </w:tcPr>
          <w:p>
            <w:pPr>
              <w:spacing w:after="0"/>
              <w:rPr>
                <w:sz w:val="1"/>
                <w:szCs w:val="1"/>
                <w:color w:val="auto"/>
              </w:rPr>
            </w:pPr>
          </w:p>
        </w:tc>
      </w:tr>
      <w:tr>
        <w:trPr>
          <w:trHeight w:val="152"/>
        </w:trPr>
        <w:tc>
          <w:tcPr>
            <w:tcW w:w="8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3" w:lineRule="exact"/>
              <w:rPr>
                <w:sz w:val="20"/>
                <w:szCs w:val="20"/>
                <w:color w:val="auto"/>
              </w:rPr>
            </w:pPr>
            <w:r>
              <w:rPr>
                <w:rFonts w:ascii="Arial" w:cs="Arial" w:eastAsia="Arial" w:hAnsi="Arial"/>
                <w:sz w:val="14"/>
                <w:szCs w:val="14"/>
                <w:color w:val="auto"/>
              </w:rPr>
              <w:t>Involuntary Termination without Cause (or for Good Reason)</w:t>
            </w:r>
          </w:p>
        </w:tc>
        <w:tc>
          <w:tcPr>
            <w:tcW w:w="280" w:type="dxa"/>
            <w:vAlign w:val="bottom"/>
          </w:tcPr>
          <w:p>
            <w:pPr>
              <w:ind w:left="120"/>
              <w:spacing w:after="0" w:line="153"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3,145,450</w:t>
            </w:r>
          </w:p>
        </w:tc>
        <w:tc>
          <w:tcPr>
            <w:tcW w:w="480" w:type="dxa"/>
            <w:vAlign w:val="bottom"/>
          </w:tcPr>
          <w:p>
            <w:pPr>
              <w:ind w:left="280"/>
              <w:spacing w:after="0" w:line="153"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31,734</w:t>
            </w:r>
          </w:p>
        </w:tc>
        <w:tc>
          <w:tcPr>
            <w:tcW w:w="360" w:type="dxa"/>
            <w:vAlign w:val="bottom"/>
          </w:tcPr>
          <w:p>
            <w:pPr>
              <w:ind w:left="280"/>
              <w:spacing w:after="0" w:line="15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53" w:lineRule="exact"/>
              <w:rPr>
                <w:sz w:val="20"/>
                <w:szCs w:val="20"/>
                <w:color w:val="auto"/>
              </w:rPr>
            </w:pPr>
            <w:r>
              <w:rPr>
                <w:rFonts w:ascii="Arial" w:cs="Arial" w:eastAsia="Arial" w:hAnsi="Arial"/>
                <w:sz w:val="14"/>
                <w:szCs w:val="14"/>
                <w:color w:val="auto"/>
              </w:rPr>
              <w:t>3,298,680</w:t>
            </w:r>
          </w:p>
        </w:tc>
        <w:tc>
          <w:tcPr>
            <w:tcW w:w="400" w:type="dxa"/>
            <w:vAlign w:val="bottom"/>
          </w:tcPr>
          <w:p>
            <w:pPr>
              <w:ind w:left="300"/>
              <w:spacing w:after="0" w:line="153"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6,475,864</w:t>
            </w:r>
          </w:p>
        </w:tc>
        <w:tc>
          <w:tcPr>
            <w:tcW w:w="0" w:type="dxa"/>
            <w:vAlign w:val="bottom"/>
          </w:tcPr>
          <w:p>
            <w:pPr>
              <w:spacing w:after="0"/>
              <w:rPr>
                <w:sz w:val="1"/>
                <w:szCs w:val="1"/>
                <w:color w:val="auto"/>
              </w:rPr>
            </w:pPr>
          </w:p>
        </w:tc>
      </w:tr>
      <w:tr>
        <w:trPr>
          <w:trHeight w:val="167"/>
        </w:trPr>
        <w:tc>
          <w:tcPr>
            <w:tcW w:w="5040" w:type="dxa"/>
            <w:vAlign w:val="bottom"/>
            <w:gridSpan w:val="2"/>
          </w:tcPr>
          <w:p>
            <w:pPr>
              <w:spacing w:after="0" w:line="167"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rPr>
                <w:sz w:val="20"/>
                <w:szCs w:val="20"/>
                <w:color w:val="auto"/>
              </w:rPr>
            </w:pPr>
            <w:r>
              <w:rPr>
                <w:rFonts w:ascii="Arial" w:cs="Arial" w:eastAsia="Arial" w:hAnsi="Arial"/>
                <w:sz w:val="14"/>
                <w:szCs w:val="14"/>
                <w:color w:val="auto"/>
              </w:rPr>
              <w:t>2,905,940</w:t>
            </w:r>
          </w:p>
        </w:tc>
        <w:tc>
          <w:tcPr>
            <w:tcW w:w="400" w:type="dxa"/>
            <w:vAlign w:val="bottom"/>
          </w:tcPr>
          <w:p>
            <w:pPr>
              <w:ind w:left="3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rPr>
                <w:sz w:val="20"/>
                <w:szCs w:val="20"/>
                <w:color w:val="auto"/>
              </w:rPr>
            </w:pPr>
            <w:r>
              <w:rPr>
                <w:rFonts w:ascii="Arial" w:cs="Arial" w:eastAsia="Arial" w:hAnsi="Arial"/>
                <w:sz w:val="14"/>
                <w:szCs w:val="14"/>
                <w:color w:val="auto"/>
              </w:rPr>
              <w:t>2,905,940</w:t>
            </w:r>
          </w:p>
        </w:tc>
        <w:tc>
          <w:tcPr>
            <w:tcW w:w="0" w:type="dxa"/>
            <w:vAlign w:val="bottom"/>
          </w:tcPr>
          <w:p>
            <w:pPr>
              <w:spacing w:after="0"/>
              <w:rPr>
                <w:sz w:val="1"/>
                <w:szCs w:val="1"/>
                <w:color w:val="auto"/>
              </w:rPr>
            </w:pPr>
          </w:p>
        </w:tc>
      </w:tr>
      <w:tr>
        <w:trPr>
          <w:trHeight w:val="152"/>
        </w:trPr>
        <w:tc>
          <w:tcPr>
            <w:tcW w:w="8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3" w:lineRule="exact"/>
              <w:rPr>
                <w:sz w:val="20"/>
                <w:szCs w:val="20"/>
                <w:color w:val="auto"/>
              </w:rPr>
            </w:pPr>
            <w:r>
              <w:rPr>
                <w:rFonts w:ascii="Arial" w:cs="Arial" w:eastAsia="Arial" w:hAnsi="Arial"/>
                <w:sz w:val="14"/>
                <w:szCs w:val="14"/>
                <w:color w:val="auto"/>
              </w:rPr>
              <w:t>Voluntary Termination (or Involuntary Termination for Cause)</w:t>
            </w:r>
          </w:p>
        </w:tc>
        <w:tc>
          <w:tcPr>
            <w:tcW w:w="280" w:type="dxa"/>
            <w:vAlign w:val="bottom"/>
          </w:tcPr>
          <w:p>
            <w:pPr>
              <w:ind w:left="120"/>
              <w:spacing w:after="0" w:line="153"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3"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360" w:type="dxa"/>
            <w:vAlign w:val="bottom"/>
          </w:tcPr>
          <w:p>
            <w:pPr>
              <w:ind w:left="280"/>
              <w:spacing w:after="0" w:line="15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53" w:lineRule="exact"/>
              <w:rPr>
                <w:sz w:val="20"/>
                <w:szCs w:val="20"/>
                <w:color w:val="auto"/>
              </w:rPr>
            </w:pPr>
            <w:r>
              <w:rPr>
                <w:rFonts w:ascii="Arial" w:cs="Arial" w:eastAsia="Arial" w:hAnsi="Arial"/>
                <w:sz w:val="14"/>
                <w:szCs w:val="14"/>
                <w:color w:val="auto"/>
              </w:rPr>
              <w:t>—</w:t>
            </w:r>
          </w:p>
        </w:tc>
        <w:tc>
          <w:tcPr>
            <w:tcW w:w="400" w:type="dxa"/>
            <w:vAlign w:val="bottom"/>
          </w:tcPr>
          <w:p>
            <w:pPr>
              <w:ind w:left="300"/>
              <w:spacing w:after="0" w:line="153"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96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1"/>
                <w:szCs w:val="11"/>
                <w:color w:val="auto"/>
              </w:rPr>
              <w:t>Disability or Death</w:t>
            </w:r>
            <w:r>
              <w:rPr>
                <w:rFonts w:ascii="Arial" w:cs="Arial" w:eastAsia="Arial" w:hAnsi="Arial"/>
                <w:sz w:val="18"/>
                <w:szCs w:val="18"/>
                <w:color w:val="auto"/>
                <w:vertAlign w:val="superscript"/>
              </w:rPr>
              <w:t>(5)</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3,566,436</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3,566,436</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auto"/>
            </w:tcBorders>
            <w:gridSpan w:val="2"/>
            <w:shd w:val="clear" w:color="auto" w:fill="FCE9E8"/>
          </w:tcPr>
          <w:p>
            <w:pPr>
              <w:spacing w:after="0" w:line="153" w:lineRule="exact"/>
              <w:rPr>
                <w:sz w:val="20"/>
                <w:szCs w:val="20"/>
                <w:color w:val="auto"/>
              </w:rPr>
            </w:pPr>
            <w:r>
              <w:rPr>
                <w:rFonts w:ascii="Arial" w:cs="Arial" w:eastAsia="Arial" w:hAnsi="Arial"/>
                <w:sz w:val="14"/>
                <w:szCs w:val="14"/>
                <w:b w:val="1"/>
                <w:bCs w:val="1"/>
                <w:color w:val="auto"/>
              </w:rPr>
              <w:t>Terrence B. Larkin</w:t>
            </w:r>
          </w:p>
        </w:tc>
        <w:tc>
          <w:tcPr>
            <w:tcW w:w="280" w:type="dxa"/>
            <w:vAlign w:val="bottom"/>
            <w:tcBorders>
              <w:bottom w:val="single" w:sz="8" w:color="auto"/>
            </w:tcBorders>
            <w:shd w:val="clear" w:color="auto" w:fill="FCE9E8"/>
          </w:tcPr>
          <w:p>
            <w:pPr>
              <w:spacing w:after="0"/>
              <w:rPr>
                <w:sz w:val="13"/>
                <w:szCs w:val="13"/>
                <w:color w:val="auto"/>
              </w:rPr>
            </w:pPr>
          </w:p>
        </w:tc>
        <w:tc>
          <w:tcPr>
            <w:tcW w:w="1000" w:type="dxa"/>
            <w:vAlign w:val="bottom"/>
            <w:tcBorders>
              <w:bottom w:val="single" w:sz="8" w:color="auto"/>
            </w:tcBorders>
            <w:shd w:val="clear" w:color="auto" w:fill="FCE9E8"/>
          </w:tcPr>
          <w:p>
            <w:pPr>
              <w:spacing w:after="0"/>
              <w:rPr>
                <w:sz w:val="13"/>
                <w:szCs w:val="13"/>
                <w:color w:val="auto"/>
              </w:rPr>
            </w:pPr>
          </w:p>
        </w:tc>
        <w:tc>
          <w:tcPr>
            <w:tcW w:w="480" w:type="dxa"/>
            <w:vAlign w:val="bottom"/>
            <w:tcBorders>
              <w:bottom w:val="single" w:sz="8" w:color="auto"/>
            </w:tcBorders>
            <w:shd w:val="clear" w:color="auto" w:fill="FCE9E8"/>
          </w:tcPr>
          <w:p>
            <w:pPr>
              <w:spacing w:after="0"/>
              <w:rPr>
                <w:sz w:val="13"/>
                <w:szCs w:val="13"/>
                <w:color w:val="auto"/>
              </w:rPr>
            </w:pPr>
          </w:p>
        </w:tc>
        <w:tc>
          <w:tcPr>
            <w:tcW w:w="1280" w:type="dxa"/>
            <w:vAlign w:val="bottom"/>
            <w:tcBorders>
              <w:bottom w:val="single" w:sz="8" w:color="auto"/>
            </w:tcBorders>
            <w:shd w:val="clear" w:color="auto" w:fill="FCE9E8"/>
          </w:tcPr>
          <w:p>
            <w:pPr>
              <w:spacing w:after="0"/>
              <w:rPr>
                <w:sz w:val="13"/>
                <w:szCs w:val="13"/>
                <w:color w:val="auto"/>
              </w:rPr>
            </w:pPr>
          </w:p>
        </w:tc>
        <w:tc>
          <w:tcPr>
            <w:tcW w:w="36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40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8" w:lineRule="exact"/>
              <w:rPr>
                <w:sz w:val="20"/>
                <w:szCs w:val="20"/>
                <w:color w:val="auto"/>
              </w:rPr>
            </w:pPr>
            <w:r>
              <w:rPr>
                <w:rFonts w:ascii="Arial" w:cs="Arial" w:eastAsia="Arial" w:hAnsi="Arial"/>
                <w:sz w:val="14"/>
                <w:szCs w:val="14"/>
                <w:color w:val="auto"/>
              </w:rPr>
              <w:t>Involuntary Termination without Cause (or for Good Reason) With Change in</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4960" w:type="dxa"/>
            <w:vAlign w:val="bottom"/>
          </w:tcPr>
          <w:p>
            <w:pPr>
              <w:ind w:left="60"/>
              <w:spacing w:after="0" w:line="160" w:lineRule="exact"/>
              <w:rPr>
                <w:sz w:val="20"/>
                <w:szCs w:val="20"/>
                <w:color w:val="auto"/>
              </w:rPr>
            </w:pPr>
            <w:r>
              <w:rPr>
                <w:rFonts w:ascii="Arial" w:cs="Arial" w:eastAsia="Arial" w:hAnsi="Arial"/>
                <w:sz w:val="14"/>
                <w:szCs w:val="14"/>
                <w:color w:val="auto"/>
              </w:rPr>
              <w:t>Control</w:t>
            </w:r>
          </w:p>
        </w:tc>
        <w:tc>
          <w:tcPr>
            <w:tcW w:w="280" w:type="dxa"/>
            <w:vAlign w:val="bottom"/>
          </w:tcPr>
          <w:p>
            <w:pPr>
              <w:ind w:left="120"/>
              <w:spacing w:after="0" w:line="160"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3,078,353</w:t>
            </w:r>
          </w:p>
        </w:tc>
        <w:tc>
          <w:tcPr>
            <w:tcW w:w="48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35,459</w:t>
            </w:r>
          </w:p>
        </w:tc>
        <w:tc>
          <w:tcPr>
            <w:tcW w:w="360" w:type="dxa"/>
            <w:vAlign w:val="bottom"/>
          </w:tcPr>
          <w:p>
            <w:pPr>
              <w:ind w:left="280"/>
              <w:spacing w:after="0" w:line="160"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60" w:lineRule="exact"/>
              <w:rPr>
                <w:sz w:val="20"/>
                <w:szCs w:val="20"/>
                <w:color w:val="auto"/>
              </w:rPr>
            </w:pPr>
            <w:r>
              <w:rPr>
                <w:rFonts w:ascii="Arial" w:cs="Arial" w:eastAsia="Arial" w:hAnsi="Arial"/>
                <w:sz w:val="14"/>
                <w:szCs w:val="14"/>
                <w:color w:val="auto"/>
              </w:rPr>
              <w:t>4,961,789</w:t>
            </w:r>
          </w:p>
        </w:tc>
        <w:tc>
          <w:tcPr>
            <w:tcW w:w="4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8,075,601</w:t>
            </w:r>
          </w:p>
        </w:tc>
        <w:tc>
          <w:tcPr>
            <w:tcW w:w="0" w:type="dxa"/>
            <w:vAlign w:val="bottom"/>
          </w:tcPr>
          <w:p>
            <w:pPr>
              <w:spacing w:after="0"/>
              <w:rPr>
                <w:sz w:val="1"/>
                <w:szCs w:val="1"/>
                <w:color w:val="auto"/>
              </w:rPr>
            </w:pPr>
          </w:p>
        </w:tc>
      </w:tr>
      <w:tr>
        <w:trPr>
          <w:trHeight w:val="152"/>
        </w:trPr>
        <w:tc>
          <w:tcPr>
            <w:tcW w:w="8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3" w:lineRule="exact"/>
              <w:rPr>
                <w:sz w:val="20"/>
                <w:szCs w:val="20"/>
                <w:color w:val="auto"/>
              </w:rPr>
            </w:pPr>
            <w:r>
              <w:rPr>
                <w:rFonts w:ascii="Arial" w:cs="Arial" w:eastAsia="Arial" w:hAnsi="Arial"/>
                <w:sz w:val="14"/>
                <w:szCs w:val="14"/>
                <w:color w:val="auto"/>
              </w:rPr>
              <w:t>Involuntary Termination without Cause (or for Good Reason)</w:t>
            </w:r>
          </w:p>
        </w:tc>
        <w:tc>
          <w:tcPr>
            <w:tcW w:w="280" w:type="dxa"/>
            <w:vAlign w:val="bottom"/>
          </w:tcPr>
          <w:p>
            <w:pPr>
              <w:ind w:left="120"/>
              <w:spacing w:after="0" w:line="153"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3,078,353</w:t>
            </w:r>
          </w:p>
        </w:tc>
        <w:tc>
          <w:tcPr>
            <w:tcW w:w="480" w:type="dxa"/>
            <w:vAlign w:val="bottom"/>
          </w:tcPr>
          <w:p>
            <w:pPr>
              <w:ind w:left="280"/>
              <w:spacing w:after="0" w:line="153"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35,459</w:t>
            </w:r>
          </w:p>
        </w:tc>
        <w:tc>
          <w:tcPr>
            <w:tcW w:w="360" w:type="dxa"/>
            <w:vAlign w:val="bottom"/>
          </w:tcPr>
          <w:p>
            <w:pPr>
              <w:ind w:left="280"/>
              <w:spacing w:after="0" w:line="15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53" w:lineRule="exact"/>
              <w:rPr>
                <w:sz w:val="20"/>
                <w:szCs w:val="20"/>
                <w:color w:val="auto"/>
              </w:rPr>
            </w:pPr>
            <w:r>
              <w:rPr>
                <w:rFonts w:ascii="Arial" w:cs="Arial" w:eastAsia="Arial" w:hAnsi="Arial"/>
                <w:sz w:val="14"/>
                <w:szCs w:val="14"/>
                <w:color w:val="auto"/>
              </w:rPr>
              <w:t>3,559,871</w:t>
            </w:r>
          </w:p>
        </w:tc>
        <w:tc>
          <w:tcPr>
            <w:tcW w:w="400" w:type="dxa"/>
            <w:vAlign w:val="bottom"/>
          </w:tcPr>
          <w:p>
            <w:pPr>
              <w:ind w:left="300"/>
              <w:spacing w:after="0" w:line="153"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6,673,683</w:t>
            </w:r>
          </w:p>
        </w:tc>
        <w:tc>
          <w:tcPr>
            <w:tcW w:w="0" w:type="dxa"/>
            <w:vAlign w:val="bottom"/>
          </w:tcPr>
          <w:p>
            <w:pPr>
              <w:spacing w:after="0"/>
              <w:rPr>
                <w:sz w:val="1"/>
                <w:szCs w:val="1"/>
                <w:color w:val="auto"/>
              </w:rPr>
            </w:pPr>
          </w:p>
        </w:tc>
      </w:tr>
      <w:tr>
        <w:trPr>
          <w:trHeight w:val="167"/>
        </w:trPr>
        <w:tc>
          <w:tcPr>
            <w:tcW w:w="5040" w:type="dxa"/>
            <w:vAlign w:val="bottom"/>
            <w:gridSpan w:val="2"/>
          </w:tcPr>
          <w:p>
            <w:pPr>
              <w:spacing w:after="0" w:line="167"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rPr>
                <w:sz w:val="20"/>
                <w:szCs w:val="20"/>
                <w:color w:val="auto"/>
              </w:rPr>
            </w:pPr>
            <w:r>
              <w:rPr>
                <w:rFonts w:ascii="Arial" w:cs="Arial" w:eastAsia="Arial" w:hAnsi="Arial"/>
                <w:sz w:val="14"/>
                <w:szCs w:val="14"/>
                <w:color w:val="auto"/>
              </w:rPr>
              <w:t>3,131,554</w:t>
            </w:r>
          </w:p>
        </w:tc>
        <w:tc>
          <w:tcPr>
            <w:tcW w:w="400" w:type="dxa"/>
            <w:vAlign w:val="bottom"/>
          </w:tcPr>
          <w:p>
            <w:pPr>
              <w:ind w:left="3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rPr>
                <w:sz w:val="20"/>
                <w:szCs w:val="20"/>
                <w:color w:val="auto"/>
              </w:rPr>
            </w:pPr>
            <w:r>
              <w:rPr>
                <w:rFonts w:ascii="Arial" w:cs="Arial" w:eastAsia="Arial" w:hAnsi="Arial"/>
                <w:sz w:val="14"/>
                <w:szCs w:val="14"/>
                <w:color w:val="auto"/>
              </w:rPr>
              <w:t>3,131,554</w:t>
            </w:r>
          </w:p>
        </w:tc>
        <w:tc>
          <w:tcPr>
            <w:tcW w:w="0" w:type="dxa"/>
            <w:vAlign w:val="bottom"/>
          </w:tcPr>
          <w:p>
            <w:pPr>
              <w:spacing w:after="0"/>
              <w:rPr>
                <w:sz w:val="1"/>
                <w:szCs w:val="1"/>
                <w:color w:val="auto"/>
              </w:rPr>
            </w:pPr>
          </w:p>
        </w:tc>
      </w:tr>
      <w:tr>
        <w:trPr>
          <w:trHeight w:val="152"/>
        </w:trPr>
        <w:tc>
          <w:tcPr>
            <w:tcW w:w="8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3" w:lineRule="exact"/>
              <w:rPr>
                <w:sz w:val="20"/>
                <w:szCs w:val="20"/>
                <w:color w:val="auto"/>
              </w:rPr>
            </w:pPr>
            <w:r>
              <w:rPr>
                <w:rFonts w:ascii="Arial" w:cs="Arial" w:eastAsia="Arial" w:hAnsi="Arial"/>
                <w:sz w:val="14"/>
                <w:szCs w:val="14"/>
                <w:color w:val="auto"/>
              </w:rPr>
              <w:t>Voluntary Termination (or Involuntary Termination for Cause)</w:t>
            </w:r>
          </w:p>
        </w:tc>
        <w:tc>
          <w:tcPr>
            <w:tcW w:w="280" w:type="dxa"/>
            <w:vAlign w:val="bottom"/>
          </w:tcPr>
          <w:p>
            <w:pPr>
              <w:ind w:left="120"/>
              <w:spacing w:after="0" w:line="153"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3"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360" w:type="dxa"/>
            <w:vAlign w:val="bottom"/>
          </w:tcPr>
          <w:p>
            <w:pPr>
              <w:ind w:left="280"/>
              <w:spacing w:after="0" w:line="15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53" w:lineRule="exact"/>
              <w:rPr>
                <w:sz w:val="20"/>
                <w:szCs w:val="20"/>
                <w:color w:val="auto"/>
              </w:rPr>
            </w:pPr>
            <w:r>
              <w:rPr>
                <w:rFonts w:ascii="Arial" w:cs="Arial" w:eastAsia="Arial" w:hAnsi="Arial"/>
                <w:sz w:val="14"/>
                <w:szCs w:val="14"/>
                <w:color w:val="auto"/>
              </w:rPr>
              <w:t>—</w:t>
            </w:r>
          </w:p>
        </w:tc>
        <w:tc>
          <w:tcPr>
            <w:tcW w:w="400" w:type="dxa"/>
            <w:vAlign w:val="bottom"/>
          </w:tcPr>
          <w:p>
            <w:pPr>
              <w:ind w:left="300"/>
              <w:spacing w:after="0" w:line="153"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96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1"/>
                <w:szCs w:val="11"/>
                <w:color w:val="auto"/>
              </w:rPr>
              <w:t>Disability or Death</w:t>
            </w:r>
            <w:r>
              <w:rPr>
                <w:rFonts w:ascii="Arial" w:cs="Arial" w:eastAsia="Arial" w:hAnsi="Arial"/>
                <w:sz w:val="18"/>
                <w:szCs w:val="18"/>
                <w:color w:val="auto"/>
                <w:vertAlign w:val="superscript"/>
              </w:rPr>
              <w:t>(5)</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3,559,871</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3,559,871</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auto"/>
            </w:tcBorders>
            <w:gridSpan w:val="2"/>
            <w:shd w:val="clear" w:color="auto" w:fill="FCE9E8"/>
          </w:tcPr>
          <w:p>
            <w:pPr>
              <w:spacing w:after="0" w:line="153" w:lineRule="exact"/>
              <w:rPr>
                <w:sz w:val="20"/>
                <w:szCs w:val="20"/>
                <w:color w:val="auto"/>
              </w:rPr>
            </w:pPr>
            <w:r>
              <w:rPr>
                <w:rFonts w:ascii="Arial" w:cs="Arial" w:eastAsia="Arial" w:hAnsi="Arial"/>
                <w:sz w:val="14"/>
                <w:szCs w:val="14"/>
                <w:b w:val="1"/>
                <w:bCs w:val="1"/>
                <w:color w:val="auto"/>
              </w:rPr>
              <w:t>Frank C. Orsini</w:t>
            </w:r>
          </w:p>
        </w:tc>
        <w:tc>
          <w:tcPr>
            <w:tcW w:w="280" w:type="dxa"/>
            <w:vAlign w:val="bottom"/>
            <w:tcBorders>
              <w:bottom w:val="single" w:sz="8" w:color="auto"/>
            </w:tcBorders>
            <w:shd w:val="clear" w:color="auto" w:fill="FCE9E8"/>
          </w:tcPr>
          <w:p>
            <w:pPr>
              <w:spacing w:after="0"/>
              <w:rPr>
                <w:sz w:val="13"/>
                <w:szCs w:val="13"/>
                <w:color w:val="auto"/>
              </w:rPr>
            </w:pPr>
          </w:p>
        </w:tc>
        <w:tc>
          <w:tcPr>
            <w:tcW w:w="1000" w:type="dxa"/>
            <w:vAlign w:val="bottom"/>
            <w:tcBorders>
              <w:bottom w:val="single" w:sz="8" w:color="auto"/>
            </w:tcBorders>
            <w:shd w:val="clear" w:color="auto" w:fill="FCE9E8"/>
          </w:tcPr>
          <w:p>
            <w:pPr>
              <w:spacing w:after="0"/>
              <w:rPr>
                <w:sz w:val="13"/>
                <w:szCs w:val="13"/>
                <w:color w:val="auto"/>
              </w:rPr>
            </w:pPr>
          </w:p>
        </w:tc>
        <w:tc>
          <w:tcPr>
            <w:tcW w:w="480" w:type="dxa"/>
            <w:vAlign w:val="bottom"/>
            <w:tcBorders>
              <w:bottom w:val="single" w:sz="8" w:color="auto"/>
            </w:tcBorders>
            <w:shd w:val="clear" w:color="auto" w:fill="FCE9E8"/>
          </w:tcPr>
          <w:p>
            <w:pPr>
              <w:spacing w:after="0"/>
              <w:rPr>
                <w:sz w:val="13"/>
                <w:szCs w:val="13"/>
                <w:color w:val="auto"/>
              </w:rPr>
            </w:pPr>
          </w:p>
        </w:tc>
        <w:tc>
          <w:tcPr>
            <w:tcW w:w="1280" w:type="dxa"/>
            <w:vAlign w:val="bottom"/>
            <w:tcBorders>
              <w:bottom w:val="single" w:sz="8" w:color="auto"/>
            </w:tcBorders>
            <w:shd w:val="clear" w:color="auto" w:fill="FCE9E8"/>
          </w:tcPr>
          <w:p>
            <w:pPr>
              <w:spacing w:after="0"/>
              <w:rPr>
                <w:sz w:val="13"/>
                <w:szCs w:val="13"/>
                <w:color w:val="auto"/>
              </w:rPr>
            </w:pPr>
          </w:p>
        </w:tc>
        <w:tc>
          <w:tcPr>
            <w:tcW w:w="36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40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8" w:lineRule="exact"/>
              <w:rPr>
                <w:sz w:val="20"/>
                <w:szCs w:val="20"/>
                <w:color w:val="auto"/>
              </w:rPr>
            </w:pPr>
            <w:r>
              <w:rPr>
                <w:rFonts w:ascii="Arial" w:cs="Arial" w:eastAsia="Arial" w:hAnsi="Arial"/>
                <w:sz w:val="14"/>
                <w:szCs w:val="14"/>
                <w:color w:val="auto"/>
              </w:rPr>
              <w:t>Involuntary Termination without Cause (or for Good Reason) With Change in</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4960" w:type="dxa"/>
            <w:vAlign w:val="bottom"/>
          </w:tcPr>
          <w:p>
            <w:pPr>
              <w:ind w:left="60"/>
              <w:spacing w:after="0" w:line="160" w:lineRule="exact"/>
              <w:rPr>
                <w:sz w:val="20"/>
                <w:szCs w:val="20"/>
                <w:color w:val="auto"/>
              </w:rPr>
            </w:pPr>
            <w:r>
              <w:rPr>
                <w:rFonts w:ascii="Arial" w:cs="Arial" w:eastAsia="Arial" w:hAnsi="Arial"/>
                <w:sz w:val="14"/>
                <w:szCs w:val="14"/>
                <w:color w:val="auto"/>
              </w:rPr>
              <w:t>Control</w:t>
            </w:r>
          </w:p>
        </w:tc>
        <w:tc>
          <w:tcPr>
            <w:tcW w:w="280" w:type="dxa"/>
            <w:vAlign w:val="bottom"/>
          </w:tcPr>
          <w:p>
            <w:pPr>
              <w:ind w:left="120"/>
              <w:spacing w:after="0" w:line="160"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3,080,000</w:t>
            </w:r>
          </w:p>
        </w:tc>
        <w:tc>
          <w:tcPr>
            <w:tcW w:w="48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27,200</w:t>
            </w:r>
          </w:p>
        </w:tc>
        <w:tc>
          <w:tcPr>
            <w:tcW w:w="360" w:type="dxa"/>
            <w:vAlign w:val="bottom"/>
          </w:tcPr>
          <w:p>
            <w:pPr>
              <w:ind w:left="280"/>
              <w:spacing w:after="0" w:line="160"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60" w:lineRule="exact"/>
              <w:rPr>
                <w:sz w:val="20"/>
                <w:szCs w:val="20"/>
                <w:color w:val="auto"/>
              </w:rPr>
            </w:pPr>
            <w:r>
              <w:rPr>
                <w:rFonts w:ascii="Arial" w:cs="Arial" w:eastAsia="Arial" w:hAnsi="Arial"/>
                <w:sz w:val="14"/>
                <w:szCs w:val="14"/>
                <w:color w:val="auto"/>
              </w:rPr>
              <w:t>4,468,739</w:t>
            </w:r>
          </w:p>
        </w:tc>
        <w:tc>
          <w:tcPr>
            <w:tcW w:w="4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7,575,939</w:t>
            </w:r>
          </w:p>
        </w:tc>
        <w:tc>
          <w:tcPr>
            <w:tcW w:w="0" w:type="dxa"/>
            <w:vAlign w:val="bottom"/>
          </w:tcPr>
          <w:p>
            <w:pPr>
              <w:spacing w:after="0"/>
              <w:rPr>
                <w:sz w:val="1"/>
                <w:szCs w:val="1"/>
                <w:color w:val="auto"/>
              </w:rPr>
            </w:pPr>
          </w:p>
        </w:tc>
      </w:tr>
      <w:tr>
        <w:trPr>
          <w:trHeight w:val="152"/>
        </w:trPr>
        <w:tc>
          <w:tcPr>
            <w:tcW w:w="8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3" w:lineRule="exact"/>
              <w:rPr>
                <w:sz w:val="20"/>
                <w:szCs w:val="20"/>
                <w:color w:val="auto"/>
              </w:rPr>
            </w:pPr>
            <w:r>
              <w:rPr>
                <w:rFonts w:ascii="Arial" w:cs="Arial" w:eastAsia="Arial" w:hAnsi="Arial"/>
                <w:sz w:val="14"/>
                <w:szCs w:val="14"/>
                <w:color w:val="auto"/>
              </w:rPr>
              <w:t>Involuntary Termination without Cause (or for Good Reason)</w:t>
            </w:r>
          </w:p>
        </w:tc>
        <w:tc>
          <w:tcPr>
            <w:tcW w:w="280" w:type="dxa"/>
            <w:vAlign w:val="bottom"/>
          </w:tcPr>
          <w:p>
            <w:pPr>
              <w:ind w:left="120"/>
              <w:spacing w:after="0" w:line="153"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3,080,000</w:t>
            </w:r>
          </w:p>
        </w:tc>
        <w:tc>
          <w:tcPr>
            <w:tcW w:w="480" w:type="dxa"/>
            <w:vAlign w:val="bottom"/>
          </w:tcPr>
          <w:p>
            <w:pPr>
              <w:ind w:left="280"/>
              <w:spacing w:after="0" w:line="153"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27,200</w:t>
            </w:r>
          </w:p>
        </w:tc>
        <w:tc>
          <w:tcPr>
            <w:tcW w:w="360" w:type="dxa"/>
            <w:vAlign w:val="bottom"/>
          </w:tcPr>
          <w:p>
            <w:pPr>
              <w:ind w:left="280"/>
              <w:spacing w:after="0" w:line="15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53" w:lineRule="exact"/>
              <w:rPr>
                <w:sz w:val="20"/>
                <w:szCs w:val="20"/>
                <w:color w:val="auto"/>
              </w:rPr>
            </w:pPr>
            <w:r>
              <w:rPr>
                <w:rFonts w:ascii="Arial" w:cs="Arial" w:eastAsia="Arial" w:hAnsi="Arial"/>
                <w:sz w:val="14"/>
                <w:szCs w:val="14"/>
                <w:color w:val="auto"/>
              </w:rPr>
              <w:t>3,022,042</w:t>
            </w:r>
          </w:p>
        </w:tc>
        <w:tc>
          <w:tcPr>
            <w:tcW w:w="400" w:type="dxa"/>
            <w:vAlign w:val="bottom"/>
          </w:tcPr>
          <w:p>
            <w:pPr>
              <w:ind w:left="300"/>
              <w:spacing w:after="0" w:line="153"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6,129,242</w:t>
            </w:r>
          </w:p>
        </w:tc>
        <w:tc>
          <w:tcPr>
            <w:tcW w:w="0" w:type="dxa"/>
            <w:vAlign w:val="bottom"/>
          </w:tcPr>
          <w:p>
            <w:pPr>
              <w:spacing w:after="0"/>
              <w:rPr>
                <w:sz w:val="1"/>
                <w:szCs w:val="1"/>
                <w:color w:val="auto"/>
              </w:rPr>
            </w:pPr>
          </w:p>
        </w:tc>
      </w:tr>
      <w:tr>
        <w:trPr>
          <w:trHeight w:val="167"/>
        </w:trPr>
        <w:tc>
          <w:tcPr>
            <w:tcW w:w="5040" w:type="dxa"/>
            <w:vAlign w:val="bottom"/>
            <w:gridSpan w:val="2"/>
          </w:tcPr>
          <w:p>
            <w:pPr>
              <w:spacing w:after="0" w:line="167"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280" w:type="dxa"/>
            <w:vAlign w:val="bottom"/>
          </w:tcPr>
          <w:p>
            <w:pPr>
              <w:spacing w:after="0"/>
              <w:rPr>
                <w:sz w:val="14"/>
                <w:szCs w:val="14"/>
                <w:color w:val="auto"/>
              </w:rPr>
            </w:pPr>
          </w:p>
        </w:tc>
        <w:tc>
          <w:tcPr>
            <w:tcW w:w="1000" w:type="dxa"/>
            <w:vAlign w:val="bottom"/>
          </w:tcPr>
          <w:p>
            <w:pPr>
              <w:jc w:val="right"/>
              <w:ind w:right="229"/>
              <w:spacing w:after="0"/>
              <w:rPr>
                <w:sz w:val="20"/>
                <w:szCs w:val="20"/>
                <w:color w:val="auto"/>
              </w:rPr>
            </w:pPr>
            <w:r>
              <w:rPr>
                <w:rFonts w:ascii="Arial" w:cs="Arial" w:eastAsia="Arial" w:hAnsi="Arial"/>
                <w:sz w:val="14"/>
                <w:szCs w:val="14"/>
                <w:color w:val="auto"/>
              </w:rPr>
              <w:t>N/A</w:t>
            </w:r>
          </w:p>
        </w:tc>
        <w:tc>
          <w:tcPr>
            <w:tcW w:w="480" w:type="dxa"/>
            <w:vAlign w:val="bottom"/>
          </w:tcPr>
          <w:p>
            <w:pPr>
              <w:spacing w:after="0"/>
              <w:rPr>
                <w:sz w:val="14"/>
                <w:szCs w:val="14"/>
                <w:color w:val="auto"/>
              </w:rPr>
            </w:pPr>
          </w:p>
        </w:tc>
        <w:tc>
          <w:tcPr>
            <w:tcW w:w="1280" w:type="dxa"/>
            <w:vAlign w:val="bottom"/>
          </w:tcPr>
          <w:p>
            <w:pPr>
              <w:jc w:val="right"/>
              <w:ind w:right="229"/>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14"/>
                <w:szCs w:val="14"/>
                <w:color w:val="auto"/>
              </w:rPr>
            </w:pPr>
          </w:p>
        </w:tc>
        <w:tc>
          <w:tcPr>
            <w:tcW w:w="1020" w:type="dxa"/>
            <w:vAlign w:val="bottom"/>
          </w:tcPr>
          <w:p>
            <w:pPr>
              <w:jc w:val="right"/>
              <w:ind w:right="229"/>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2"/>
        </w:trPr>
        <w:tc>
          <w:tcPr>
            <w:tcW w:w="8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3" w:lineRule="exact"/>
              <w:rPr>
                <w:sz w:val="20"/>
                <w:szCs w:val="20"/>
                <w:color w:val="auto"/>
              </w:rPr>
            </w:pPr>
            <w:r>
              <w:rPr>
                <w:rFonts w:ascii="Arial" w:cs="Arial" w:eastAsia="Arial" w:hAnsi="Arial"/>
                <w:sz w:val="14"/>
                <w:szCs w:val="14"/>
                <w:color w:val="auto"/>
              </w:rPr>
              <w:t>Voluntary Termination (or Involuntary Termination for Cause)</w:t>
            </w:r>
          </w:p>
        </w:tc>
        <w:tc>
          <w:tcPr>
            <w:tcW w:w="280" w:type="dxa"/>
            <w:vAlign w:val="bottom"/>
          </w:tcPr>
          <w:p>
            <w:pPr>
              <w:ind w:left="120"/>
              <w:spacing w:after="0" w:line="153"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3"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360" w:type="dxa"/>
            <w:vAlign w:val="bottom"/>
          </w:tcPr>
          <w:p>
            <w:pPr>
              <w:ind w:left="280"/>
              <w:spacing w:after="0" w:line="15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53" w:lineRule="exact"/>
              <w:rPr>
                <w:sz w:val="20"/>
                <w:szCs w:val="20"/>
                <w:color w:val="auto"/>
              </w:rPr>
            </w:pPr>
            <w:r>
              <w:rPr>
                <w:rFonts w:ascii="Arial" w:cs="Arial" w:eastAsia="Arial" w:hAnsi="Arial"/>
                <w:sz w:val="14"/>
                <w:szCs w:val="14"/>
                <w:color w:val="auto"/>
              </w:rPr>
              <w:t>—</w:t>
            </w:r>
          </w:p>
        </w:tc>
        <w:tc>
          <w:tcPr>
            <w:tcW w:w="400" w:type="dxa"/>
            <w:vAlign w:val="bottom"/>
          </w:tcPr>
          <w:p>
            <w:pPr>
              <w:ind w:left="300"/>
              <w:spacing w:after="0" w:line="153"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96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1"/>
                <w:szCs w:val="11"/>
                <w:color w:val="auto"/>
              </w:rPr>
              <w:t>Disability or Death</w:t>
            </w:r>
            <w:r>
              <w:rPr>
                <w:rFonts w:ascii="Arial" w:cs="Arial" w:eastAsia="Arial" w:hAnsi="Arial"/>
                <w:sz w:val="18"/>
                <w:szCs w:val="18"/>
                <w:color w:val="auto"/>
                <w:vertAlign w:val="superscript"/>
              </w:rPr>
              <w:t>(5)</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3,200,464</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3,200,464</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auto"/>
            </w:tcBorders>
            <w:gridSpan w:val="2"/>
            <w:shd w:val="clear" w:color="auto" w:fill="FCE9E8"/>
          </w:tcPr>
          <w:p>
            <w:pPr>
              <w:spacing w:after="0" w:line="153" w:lineRule="exact"/>
              <w:rPr>
                <w:sz w:val="20"/>
                <w:szCs w:val="20"/>
                <w:color w:val="auto"/>
              </w:rPr>
            </w:pPr>
            <w:r>
              <w:rPr>
                <w:rFonts w:ascii="Arial" w:cs="Arial" w:eastAsia="Arial" w:hAnsi="Arial"/>
                <w:sz w:val="14"/>
                <w:szCs w:val="14"/>
                <w:b w:val="1"/>
                <w:bCs w:val="1"/>
                <w:color w:val="auto"/>
              </w:rPr>
              <w:t>Thomas A. DiDonato</w:t>
            </w:r>
          </w:p>
        </w:tc>
        <w:tc>
          <w:tcPr>
            <w:tcW w:w="280" w:type="dxa"/>
            <w:vAlign w:val="bottom"/>
            <w:tcBorders>
              <w:bottom w:val="single" w:sz="8" w:color="auto"/>
            </w:tcBorders>
            <w:shd w:val="clear" w:color="auto" w:fill="FCE9E8"/>
          </w:tcPr>
          <w:p>
            <w:pPr>
              <w:spacing w:after="0"/>
              <w:rPr>
                <w:sz w:val="13"/>
                <w:szCs w:val="13"/>
                <w:color w:val="auto"/>
              </w:rPr>
            </w:pPr>
          </w:p>
        </w:tc>
        <w:tc>
          <w:tcPr>
            <w:tcW w:w="1000" w:type="dxa"/>
            <w:vAlign w:val="bottom"/>
            <w:tcBorders>
              <w:bottom w:val="single" w:sz="8" w:color="auto"/>
            </w:tcBorders>
            <w:shd w:val="clear" w:color="auto" w:fill="FCE9E8"/>
          </w:tcPr>
          <w:p>
            <w:pPr>
              <w:spacing w:after="0"/>
              <w:rPr>
                <w:sz w:val="13"/>
                <w:szCs w:val="13"/>
                <w:color w:val="auto"/>
              </w:rPr>
            </w:pPr>
          </w:p>
        </w:tc>
        <w:tc>
          <w:tcPr>
            <w:tcW w:w="480" w:type="dxa"/>
            <w:vAlign w:val="bottom"/>
            <w:tcBorders>
              <w:bottom w:val="single" w:sz="8" w:color="auto"/>
            </w:tcBorders>
            <w:shd w:val="clear" w:color="auto" w:fill="FCE9E8"/>
          </w:tcPr>
          <w:p>
            <w:pPr>
              <w:spacing w:after="0"/>
              <w:rPr>
                <w:sz w:val="13"/>
                <w:szCs w:val="13"/>
                <w:color w:val="auto"/>
              </w:rPr>
            </w:pPr>
          </w:p>
        </w:tc>
        <w:tc>
          <w:tcPr>
            <w:tcW w:w="1280" w:type="dxa"/>
            <w:vAlign w:val="bottom"/>
            <w:tcBorders>
              <w:bottom w:val="single" w:sz="8" w:color="auto"/>
            </w:tcBorders>
            <w:shd w:val="clear" w:color="auto" w:fill="FCE9E8"/>
          </w:tcPr>
          <w:p>
            <w:pPr>
              <w:spacing w:after="0"/>
              <w:rPr>
                <w:sz w:val="13"/>
                <w:szCs w:val="13"/>
                <w:color w:val="auto"/>
              </w:rPr>
            </w:pPr>
          </w:p>
        </w:tc>
        <w:tc>
          <w:tcPr>
            <w:tcW w:w="36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40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8" w:lineRule="exact"/>
              <w:rPr>
                <w:sz w:val="20"/>
                <w:szCs w:val="20"/>
                <w:color w:val="auto"/>
              </w:rPr>
            </w:pPr>
            <w:r>
              <w:rPr>
                <w:rFonts w:ascii="Arial" w:cs="Arial" w:eastAsia="Arial" w:hAnsi="Arial"/>
                <w:sz w:val="14"/>
                <w:szCs w:val="14"/>
                <w:color w:val="auto"/>
              </w:rPr>
              <w:t>Involuntary Termination without Cause (or for Good Reason) With Change in</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4960" w:type="dxa"/>
            <w:vAlign w:val="bottom"/>
          </w:tcPr>
          <w:p>
            <w:pPr>
              <w:ind w:left="60"/>
              <w:spacing w:after="0" w:line="160" w:lineRule="exact"/>
              <w:rPr>
                <w:sz w:val="20"/>
                <w:szCs w:val="20"/>
                <w:color w:val="auto"/>
              </w:rPr>
            </w:pPr>
            <w:r>
              <w:rPr>
                <w:rFonts w:ascii="Arial" w:cs="Arial" w:eastAsia="Arial" w:hAnsi="Arial"/>
                <w:sz w:val="14"/>
                <w:szCs w:val="14"/>
                <w:color w:val="auto"/>
              </w:rPr>
              <w:t>Control</w:t>
            </w:r>
          </w:p>
        </w:tc>
        <w:tc>
          <w:tcPr>
            <w:tcW w:w="280" w:type="dxa"/>
            <w:vAlign w:val="bottom"/>
          </w:tcPr>
          <w:p>
            <w:pPr>
              <w:ind w:left="120"/>
              <w:spacing w:after="0" w:line="160"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2,418,750</w:t>
            </w:r>
          </w:p>
        </w:tc>
        <w:tc>
          <w:tcPr>
            <w:tcW w:w="48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35,459</w:t>
            </w:r>
          </w:p>
        </w:tc>
        <w:tc>
          <w:tcPr>
            <w:tcW w:w="360" w:type="dxa"/>
            <w:vAlign w:val="bottom"/>
          </w:tcPr>
          <w:p>
            <w:pPr>
              <w:ind w:left="280"/>
              <w:spacing w:after="0" w:line="160"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60" w:lineRule="exact"/>
              <w:rPr>
                <w:sz w:val="20"/>
                <w:szCs w:val="20"/>
                <w:color w:val="auto"/>
              </w:rPr>
            </w:pPr>
            <w:r>
              <w:rPr>
                <w:rFonts w:ascii="Arial" w:cs="Arial" w:eastAsia="Arial" w:hAnsi="Arial"/>
                <w:sz w:val="14"/>
                <w:szCs w:val="14"/>
                <w:color w:val="auto"/>
              </w:rPr>
              <w:t>3,932,996</w:t>
            </w:r>
          </w:p>
        </w:tc>
        <w:tc>
          <w:tcPr>
            <w:tcW w:w="4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6,387,205</w:t>
            </w:r>
          </w:p>
        </w:tc>
        <w:tc>
          <w:tcPr>
            <w:tcW w:w="0" w:type="dxa"/>
            <w:vAlign w:val="bottom"/>
          </w:tcPr>
          <w:p>
            <w:pPr>
              <w:spacing w:after="0"/>
              <w:rPr>
                <w:sz w:val="1"/>
                <w:szCs w:val="1"/>
                <w:color w:val="auto"/>
              </w:rPr>
            </w:pPr>
          </w:p>
        </w:tc>
      </w:tr>
      <w:tr>
        <w:trPr>
          <w:trHeight w:val="152"/>
        </w:trPr>
        <w:tc>
          <w:tcPr>
            <w:tcW w:w="8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3" w:lineRule="exact"/>
              <w:rPr>
                <w:sz w:val="20"/>
                <w:szCs w:val="20"/>
                <w:color w:val="auto"/>
              </w:rPr>
            </w:pPr>
            <w:r>
              <w:rPr>
                <w:rFonts w:ascii="Arial" w:cs="Arial" w:eastAsia="Arial" w:hAnsi="Arial"/>
                <w:sz w:val="14"/>
                <w:szCs w:val="14"/>
                <w:color w:val="auto"/>
              </w:rPr>
              <w:t>Involuntary Termination without Cause (or for Good Reason)</w:t>
            </w:r>
          </w:p>
        </w:tc>
        <w:tc>
          <w:tcPr>
            <w:tcW w:w="280" w:type="dxa"/>
            <w:vAlign w:val="bottom"/>
          </w:tcPr>
          <w:p>
            <w:pPr>
              <w:ind w:left="120"/>
              <w:spacing w:after="0" w:line="153"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2,418,750</w:t>
            </w:r>
          </w:p>
        </w:tc>
        <w:tc>
          <w:tcPr>
            <w:tcW w:w="480" w:type="dxa"/>
            <w:vAlign w:val="bottom"/>
          </w:tcPr>
          <w:p>
            <w:pPr>
              <w:ind w:left="280"/>
              <w:spacing w:after="0" w:line="153"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35,459</w:t>
            </w:r>
          </w:p>
        </w:tc>
        <w:tc>
          <w:tcPr>
            <w:tcW w:w="360" w:type="dxa"/>
            <w:vAlign w:val="bottom"/>
          </w:tcPr>
          <w:p>
            <w:pPr>
              <w:ind w:left="280"/>
              <w:spacing w:after="0" w:line="15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53" w:lineRule="exact"/>
              <w:rPr>
                <w:sz w:val="20"/>
                <w:szCs w:val="20"/>
                <w:color w:val="auto"/>
              </w:rPr>
            </w:pPr>
            <w:r>
              <w:rPr>
                <w:rFonts w:ascii="Arial" w:cs="Arial" w:eastAsia="Arial" w:hAnsi="Arial"/>
                <w:sz w:val="14"/>
                <w:szCs w:val="14"/>
                <w:color w:val="auto"/>
              </w:rPr>
              <w:t>2,653,531</w:t>
            </w:r>
          </w:p>
        </w:tc>
        <w:tc>
          <w:tcPr>
            <w:tcW w:w="400" w:type="dxa"/>
            <w:vAlign w:val="bottom"/>
          </w:tcPr>
          <w:p>
            <w:pPr>
              <w:ind w:left="300"/>
              <w:spacing w:after="0" w:line="153"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5,107,740</w:t>
            </w:r>
          </w:p>
        </w:tc>
        <w:tc>
          <w:tcPr>
            <w:tcW w:w="0" w:type="dxa"/>
            <w:vAlign w:val="bottom"/>
          </w:tcPr>
          <w:p>
            <w:pPr>
              <w:spacing w:after="0"/>
              <w:rPr>
                <w:sz w:val="1"/>
                <w:szCs w:val="1"/>
                <w:color w:val="auto"/>
              </w:rPr>
            </w:pPr>
          </w:p>
        </w:tc>
      </w:tr>
      <w:tr>
        <w:trPr>
          <w:trHeight w:val="167"/>
        </w:trPr>
        <w:tc>
          <w:tcPr>
            <w:tcW w:w="5040" w:type="dxa"/>
            <w:vAlign w:val="bottom"/>
            <w:gridSpan w:val="2"/>
          </w:tcPr>
          <w:p>
            <w:pPr>
              <w:spacing w:after="0" w:line="167"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rPr>
                <w:sz w:val="20"/>
                <w:szCs w:val="20"/>
                <w:color w:val="auto"/>
              </w:rPr>
            </w:pPr>
            <w:r>
              <w:rPr>
                <w:rFonts w:ascii="Arial" w:cs="Arial" w:eastAsia="Arial" w:hAnsi="Arial"/>
                <w:sz w:val="14"/>
                <w:szCs w:val="14"/>
                <w:color w:val="auto"/>
              </w:rPr>
              <w:t>2,341,958</w:t>
            </w:r>
          </w:p>
        </w:tc>
        <w:tc>
          <w:tcPr>
            <w:tcW w:w="400" w:type="dxa"/>
            <w:vAlign w:val="bottom"/>
          </w:tcPr>
          <w:p>
            <w:pPr>
              <w:ind w:left="3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rPr>
                <w:sz w:val="20"/>
                <w:szCs w:val="20"/>
                <w:color w:val="auto"/>
              </w:rPr>
            </w:pPr>
            <w:r>
              <w:rPr>
                <w:rFonts w:ascii="Arial" w:cs="Arial" w:eastAsia="Arial" w:hAnsi="Arial"/>
                <w:sz w:val="14"/>
                <w:szCs w:val="14"/>
                <w:color w:val="auto"/>
              </w:rPr>
              <w:t>2,341,958</w:t>
            </w:r>
          </w:p>
        </w:tc>
        <w:tc>
          <w:tcPr>
            <w:tcW w:w="0" w:type="dxa"/>
            <w:vAlign w:val="bottom"/>
          </w:tcPr>
          <w:p>
            <w:pPr>
              <w:spacing w:after="0"/>
              <w:rPr>
                <w:sz w:val="1"/>
                <w:szCs w:val="1"/>
                <w:color w:val="auto"/>
              </w:rPr>
            </w:pPr>
          </w:p>
        </w:tc>
      </w:tr>
      <w:tr>
        <w:trPr>
          <w:trHeight w:val="152"/>
        </w:trPr>
        <w:tc>
          <w:tcPr>
            <w:tcW w:w="8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3" w:lineRule="exact"/>
              <w:rPr>
                <w:sz w:val="20"/>
                <w:szCs w:val="20"/>
                <w:color w:val="auto"/>
              </w:rPr>
            </w:pPr>
            <w:r>
              <w:rPr>
                <w:rFonts w:ascii="Arial" w:cs="Arial" w:eastAsia="Arial" w:hAnsi="Arial"/>
                <w:sz w:val="14"/>
                <w:szCs w:val="14"/>
                <w:color w:val="auto"/>
              </w:rPr>
              <w:t>Voluntary Termination (or Involuntary Termination for Cause)</w:t>
            </w:r>
          </w:p>
        </w:tc>
        <w:tc>
          <w:tcPr>
            <w:tcW w:w="280" w:type="dxa"/>
            <w:vAlign w:val="bottom"/>
          </w:tcPr>
          <w:p>
            <w:pPr>
              <w:ind w:left="120"/>
              <w:spacing w:after="0" w:line="153"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3"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360" w:type="dxa"/>
            <w:vAlign w:val="bottom"/>
          </w:tcPr>
          <w:p>
            <w:pPr>
              <w:ind w:left="280"/>
              <w:spacing w:after="0" w:line="15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53" w:lineRule="exact"/>
              <w:rPr>
                <w:sz w:val="20"/>
                <w:szCs w:val="20"/>
                <w:color w:val="auto"/>
              </w:rPr>
            </w:pPr>
            <w:r>
              <w:rPr>
                <w:rFonts w:ascii="Arial" w:cs="Arial" w:eastAsia="Arial" w:hAnsi="Arial"/>
                <w:sz w:val="14"/>
                <w:szCs w:val="14"/>
                <w:color w:val="auto"/>
              </w:rPr>
              <w:t>—</w:t>
            </w:r>
          </w:p>
        </w:tc>
        <w:tc>
          <w:tcPr>
            <w:tcW w:w="400" w:type="dxa"/>
            <w:vAlign w:val="bottom"/>
          </w:tcPr>
          <w:p>
            <w:pPr>
              <w:ind w:left="300"/>
              <w:spacing w:after="0" w:line="153"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96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1"/>
                <w:szCs w:val="11"/>
                <w:color w:val="auto"/>
              </w:rPr>
              <w:t>Disability or Death</w:t>
            </w:r>
            <w:r>
              <w:rPr>
                <w:rFonts w:ascii="Arial" w:cs="Arial" w:eastAsia="Arial" w:hAnsi="Arial"/>
                <w:sz w:val="18"/>
                <w:szCs w:val="18"/>
                <w:color w:val="auto"/>
                <w:vertAlign w:val="superscript"/>
              </w:rPr>
              <w:t>(5)</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2,919,769</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2,919,769</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auto"/>
            </w:tcBorders>
            <w:gridSpan w:val="2"/>
            <w:shd w:val="clear" w:color="auto" w:fill="FCE9E8"/>
          </w:tcPr>
          <w:p>
            <w:pPr>
              <w:spacing w:after="0" w:line="153" w:lineRule="exact"/>
              <w:rPr>
                <w:sz w:val="20"/>
                <w:szCs w:val="20"/>
                <w:color w:val="auto"/>
              </w:rPr>
            </w:pPr>
            <w:r>
              <w:rPr>
                <w:rFonts w:ascii="Arial" w:cs="Arial" w:eastAsia="Arial" w:hAnsi="Arial"/>
                <w:sz w:val="14"/>
                <w:szCs w:val="14"/>
                <w:b w:val="1"/>
                <w:bCs w:val="1"/>
                <w:color w:val="auto"/>
              </w:rPr>
              <w:t>Matthew J. Simoncini</w:t>
            </w:r>
          </w:p>
        </w:tc>
        <w:tc>
          <w:tcPr>
            <w:tcW w:w="280" w:type="dxa"/>
            <w:vAlign w:val="bottom"/>
            <w:tcBorders>
              <w:bottom w:val="single" w:sz="8" w:color="auto"/>
            </w:tcBorders>
            <w:shd w:val="clear" w:color="auto" w:fill="FCE9E8"/>
          </w:tcPr>
          <w:p>
            <w:pPr>
              <w:spacing w:after="0"/>
              <w:rPr>
                <w:sz w:val="13"/>
                <w:szCs w:val="13"/>
                <w:color w:val="auto"/>
              </w:rPr>
            </w:pPr>
          </w:p>
        </w:tc>
        <w:tc>
          <w:tcPr>
            <w:tcW w:w="1000" w:type="dxa"/>
            <w:vAlign w:val="bottom"/>
            <w:tcBorders>
              <w:bottom w:val="single" w:sz="8" w:color="auto"/>
            </w:tcBorders>
            <w:shd w:val="clear" w:color="auto" w:fill="FCE9E8"/>
          </w:tcPr>
          <w:p>
            <w:pPr>
              <w:spacing w:after="0"/>
              <w:rPr>
                <w:sz w:val="13"/>
                <w:szCs w:val="13"/>
                <w:color w:val="auto"/>
              </w:rPr>
            </w:pPr>
          </w:p>
        </w:tc>
        <w:tc>
          <w:tcPr>
            <w:tcW w:w="480" w:type="dxa"/>
            <w:vAlign w:val="bottom"/>
            <w:tcBorders>
              <w:bottom w:val="single" w:sz="8" w:color="auto"/>
            </w:tcBorders>
            <w:shd w:val="clear" w:color="auto" w:fill="FCE9E8"/>
          </w:tcPr>
          <w:p>
            <w:pPr>
              <w:spacing w:after="0"/>
              <w:rPr>
                <w:sz w:val="13"/>
                <w:szCs w:val="13"/>
                <w:color w:val="auto"/>
              </w:rPr>
            </w:pPr>
          </w:p>
        </w:tc>
        <w:tc>
          <w:tcPr>
            <w:tcW w:w="1280" w:type="dxa"/>
            <w:vAlign w:val="bottom"/>
            <w:tcBorders>
              <w:bottom w:val="single" w:sz="8" w:color="auto"/>
            </w:tcBorders>
            <w:shd w:val="clear" w:color="auto" w:fill="FCE9E8"/>
          </w:tcPr>
          <w:p>
            <w:pPr>
              <w:spacing w:after="0"/>
              <w:rPr>
                <w:sz w:val="13"/>
                <w:szCs w:val="13"/>
                <w:color w:val="auto"/>
              </w:rPr>
            </w:pPr>
          </w:p>
        </w:tc>
        <w:tc>
          <w:tcPr>
            <w:tcW w:w="36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40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8" w:lineRule="exact"/>
              <w:rPr>
                <w:sz w:val="20"/>
                <w:szCs w:val="20"/>
                <w:color w:val="auto"/>
              </w:rPr>
            </w:pPr>
            <w:r>
              <w:rPr>
                <w:rFonts w:ascii="Arial" w:cs="Arial" w:eastAsia="Arial" w:hAnsi="Arial"/>
                <w:sz w:val="14"/>
                <w:szCs w:val="14"/>
                <w:color w:val="auto"/>
              </w:rPr>
              <w:t>Involuntary Termination without Cause (or for Good Reason) With Change in</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4960" w:type="dxa"/>
            <w:vAlign w:val="bottom"/>
          </w:tcPr>
          <w:p>
            <w:pPr>
              <w:ind w:left="60"/>
              <w:spacing w:after="0" w:line="160" w:lineRule="exact"/>
              <w:rPr>
                <w:sz w:val="20"/>
                <w:szCs w:val="20"/>
                <w:color w:val="auto"/>
              </w:rPr>
            </w:pPr>
            <w:r>
              <w:rPr>
                <w:rFonts w:ascii="Arial" w:cs="Arial" w:eastAsia="Arial" w:hAnsi="Arial"/>
                <w:sz w:val="14"/>
                <w:szCs w:val="14"/>
                <w:color w:val="auto"/>
              </w:rPr>
              <w:t>Control</w:t>
            </w:r>
          </w:p>
        </w:tc>
        <w:tc>
          <w:tcPr>
            <w:tcW w:w="280" w:type="dxa"/>
            <w:vAlign w:val="bottom"/>
          </w:tcPr>
          <w:p>
            <w:pPr>
              <w:spacing w:after="0"/>
              <w:rPr>
                <w:sz w:val="13"/>
                <w:szCs w:val="13"/>
                <w:color w:val="auto"/>
              </w:rPr>
            </w:pPr>
          </w:p>
        </w:tc>
        <w:tc>
          <w:tcPr>
            <w:tcW w:w="100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N/A</w:t>
            </w:r>
          </w:p>
        </w:tc>
        <w:tc>
          <w:tcPr>
            <w:tcW w:w="480" w:type="dxa"/>
            <w:vAlign w:val="bottom"/>
          </w:tcPr>
          <w:p>
            <w:pPr>
              <w:spacing w:after="0"/>
              <w:rPr>
                <w:sz w:val="13"/>
                <w:szCs w:val="13"/>
                <w:color w:val="auto"/>
              </w:rPr>
            </w:pPr>
          </w:p>
        </w:tc>
        <w:tc>
          <w:tcPr>
            <w:tcW w:w="128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N/A</w:t>
            </w:r>
          </w:p>
        </w:tc>
        <w:tc>
          <w:tcPr>
            <w:tcW w:w="360" w:type="dxa"/>
            <w:vAlign w:val="bottom"/>
          </w:tcPr>
          <w:p>
            <w:pPr>
              <w:ind w:left="280"/>
              <w:spacing w:after="0" w:line="160"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60" w:lineRule="exact"/>
              <w:rPr>
                <w:sz w:val="20"/>
                <w:szCs w:val="20"/>
                <w:color w:val="auto"/>
              </w:rPr>
            </w:pPr>
            <w:r>
              <w:rPr>
                <w:rFonts w:ascii="Arial" w:cs="Arial" w:eastAsia="Arial" w:hAnsi="Arial"/>
                <w:sz w:val="14"/>
                <w:szCs w:val="14"/>
                <w:color w:val="auto"/>
              </w:rPr>
              <w:t>11,084,939</w:t>
            </w:r>
          </w:p>
        </w:tc>
        <w:tc>
          <w:tcPr>
            <w:tcW w:w="4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60" w:lineRule="exact"/>
              <w:rPr>
                <w:sz w:val="20"/>
                <w:szCs w:val="20"/>
                <w:color w:val="auto"/>
              </w:rPr>
            </w:pPr>
            <w:r>
              <w:rPr>
                <w:rFonts w:ascii="Arial" w:cs="Arial" w:eastAsia="Arial" w:hAnsi="Arial"/>
                <w:sz w:val="14"/>
                <w:szCs w:val="14"/>
                <w:color w:val="auto"/>
                <w:w w:val="99"/>
              </w:rPr>
              <w:t>11,084,939</w:t>
            </w:r>
          </w:p>
        </w:tc>
        <w:tc>
          <w:tcPr>
            <w:tcW w:w="0" w:type="dxa"/>
            <w:vAlign w:val="bottom"/>
          </w:tcPr>
          <w:p>
            <w:pPr>
              <w:spacing w:after="0"/>
              <w:rPr>
                <w:sz w:val="1"/>
                <w:szCs w:val="1"/>
                <w:color w:val="auto"/>
              </w:rPr>
            </w:pPr>
          </w:p>
        </w:tc>
      </w:tr>
      <w:tr>
        <w:trPr>
          <w:trHeight w:val="152"/>
        </w:trPr>
        <w:tc>
          <w:tcPr>
            <w:tcW w:w="8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3" w:lineRule="exact"/>
              <w:rPr>
                <w:sz w:val="20"/>
                <w:szCs w:val="20"/>
                <w:color w:val="auto"/>
              </w:rPr>
            </w:pPr>
            <w:r>
              <w:rPr>
                <w:rFonts w:ascii="Arial" w:cs="Arial" w:eastAsia="Arial" w:hAnsi="Arial"/>
                <w:sz w:val="14"/>
                <w:szCs w:val="14"/>
                <w:color w:val="auto"/>
              </w:rPr>
              <w:t>Involuntary Termination without Cause (or for Good Reason)</w:t>
            </w:r>
          </w:p>
        </w:tc>
        <w:tc>
          <w:tcPr>
            <w:tcW w:w="280" w:type="dxa"/>
            <w:vAlign w:val="bottom"/>
          </w:tcPr>
          <w:p>
            <w:pPr>
              <w:spacing w:after="0"/>
              <w:rPr>
                <w:sz w:val="13"/>
                <w:szCs w:val="13"/>
                <w:color w:val="auto"/>
              </w:rPr>
            </w:pPr>
          </w:p>
        </w:tc>
        <w:tc>
          <w:tcPr>
            <w:tcW w:w="100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N/A</w:t>
            </w:r>
          </w:p>
        </w:tc>
        <w:tc>
          <w:tcPr>
            <w:tcW w:w="480" w:type="dxa"/>
            <w:vAlign w:val="bottom"/>
          </w:tcPr>
          <w:p>
            <w:pPr>
              <w:spacing w:after="0"/>
              <w:rPr>
                <w:sz w:val="13"/>
                <w:szCs w:val="13"/>
                <w:color w:val="auto"/>
              </w:rPr>
            </w:pPr>
          </w:p>
        </w:tc>
        <w:tc>
          <w:tcPr>
            <w:tcW w:w="128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N/A</w:t>
            </w:r>
          </w:p>
        </w:tc>
        <w:tc>
          <w:tcPr>
            <w:tcW w:w="360" w:type="dxa"/>
            <w:vAlign w:val="bottom"/>
          </w:tcPr>
          <w:p>
            <w:pPr>
              <w:ind w:left="280"/>
              <w:spacing w:after="0" w:line="15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53" w:lineRule="exact"/>
              <w:rPr>
                <w:sz w:val="20"/>
                <w:szCs w:val="20"/>
                <w:color w:val="auto"/>
              </w:rPr>
            </w:pPr>
            <w:r>
              <w:rPr>
                <w:rFonts w:ascii="Arial" w:cs="Arial" w:eastAsia="Arial" w:hAnsi="Arial"/>
                <w:sz w:val="14"/>
                <w:szCs w:val="14"/>
                <w:color w:val="auto"/>
              </w:rPr>
              <w:t>9,019,212</w:t>
            </w:r>
          </w:p>
        </w:tc>
        <w:tc>
          <w:tcPr>
            <w:tcW w:w="400" w:type="dxa"/>
            <w:vAlign w:val="bottom"/>
          </w:tcPr>
          <w:p>
            <w:pPr>
              <w:ind w:left="300"/>
              <w:spacing w:after="0" w:line="153"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9,019,212</w:t>
            </w:r>
          </w:p>
        </w:tc>
        <w:tc>
          <w:tcPr>
            <w:tcW w:w="0" w:type="dxa"/>
            <w:vAlign w:val="bottom"/>
          </w:tcPr>
          <w:p>
            <w:pPr>
              <w:spacing w:after="0"/>
              <w:rPr>
                <w:sz w:val="1"/>
                <w:szCs w:val="1"/>
                <w:color w:val="auto"/>
              </w:rPr>
            </w:pPr>
          </w:p>
        </w:tc>
      </w:tr>
      <w:tr>
        <w:trPr>
          <w:trHeight w:val="167"/>
        </w:trPr>
        <w:tc>
          <w:tcPr>
            <w:tcW w:w="5040" w:type="dxa"/>
            <w:vAlign w:val="bottom"/>
            <w:gridSpan w:val="2"/>
          </w:tcPr>
          <w:p>
            <w:pPr>
              <w:spacing w:after="0" w:line="167"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rPr>
                <w:sz w:val="20"/>
                <w:szCs w:val="20"/>
                <w:color w:val="auto"/>
              </w:rPr>
            </w:pPr>
            <w:r>
              <w:rPr>
                <w:rFonts w:ascii="Arial" w:cs="Arial" w:eastAsia="Arial" w:hAnsi="Arial"/>
                <w:sz w:val="14"/>
                <w:szCs w:val="14"/>
                <w:color w:val="auto"/>
              </w:rPr>
              <w:t>9,019,212</w:t>
            </w:r>
          </w:p>
        </w:tc>
        <w:tc>
          <w:tcPr>
            <w:tcW w:w="400" w:type="dxa"/>
            <w:vAlign w:val="bottom"/>
          </w:tcPr>
          <w:p>
            <w:pPr>
              <w:ind w:left="3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rPr>
                <w:sz w:val="20"/>
                <w:szCs w:val="20"/>
                <w:color w:val="auto"/>
              </w:rPr>
            </w:pPr>
            <w:r>
              <w:rPr>
                <w:rFonts w:ascii="Arial" w:cs="Arial" w:eastAsia="Arial" w:hAnsi="Arial"/>
                <w:sz w:val="14"/>
                <w:szCs w:val="14"/>
                <w:color w:val="auto"/>
              </w:rPr>
              <w:t>9,019,212</w:t>
            </w:r>
          </w:p>
        </w:tc>
        <w:tc>
          <w:tcPr>
            <w:tcW w:w="0" w:type="dxa"/>
            <w:vAlign w:val="bottom"/>
          </w:tcPr>
          <w:p>
            <w:pPr>
              <w:spacing w:after="0"/>
              <w:rPr>
                <w:sz w:val="1"/>
                <w:szCs w:val="1"/>
                <w:color w:val="auto"/>
              </w:rPr>
            </w:pPr>
          </w:p>
        </w:tc>
      </w:tr>
      <w:tr>
        <w:trPr>
          <w:trHeight w:val="152"/>
        </w:trPr>
        <w:tc>
          <w:tcPr>
            <w:tcW w:w="8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4960" w:type="dxa"/>
            <w:vAlign w:val="bottom"/>
          </w:tcPr>
          <w:p>
            <w:pPr>
              <w:ind w:left="40"/>
              <w:spacing w:after="0" w:line="153" w:lineRule="exact"/>
              <w:rPr>
                <w:sz w:val="20"/>
                <w:szCs w:val="20"/>
                <w:color w:val="auto"/>
              </w:rPr>
            </w:pPr>
            <w:r>
              <w:rPr>
                <w:rFonts w:ascii="Arial" w:cs="Arial" w:eastAsia="Arial" w:hAnsi="Arial"/>
                <w:sz w:val="14"/>
                <w:szCs w:val="14"/>
                <w:color w:val="auto"/>
              </w:rPr>
              <w:t>Voluntary Termination (or Involuntary Termination for Cause)</w:t>
            </w:r>
          </w:p>
        </w:tc>
        <w:tc>
          <w:tcPr>
            <w:tcW w:w="280" w:type="dxa"/>
            <w:vAlign w:val="bottom"/>
          </w:tcPr>
          <w:p>
            <w:pPr>
              <w:ind w:left="120"/>
              <w:spacing w:after="0" w:line="153"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3"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360" w:type="dxa"/>
            <w:vAlign w:val="bottom"/>
          </w:tcPr>
          <w:p>
            <w:pPr>
              <w:ind w:left="280"/>
              <w:spacing w:after="0" w:line="15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09"/>
              <w:spacing w:after="0" w:line="153" w:lineRule="exact"/>
              <w:rPr>
                <w:sz w:val="20"/>
                <w:szCs w:val="20"/>
                <w:color w:val="auto"/>
              </w:rPr>
            </w:pPr>
            <w:r>
              <w:rPr>
                <w:rFonts w:ascii="Arial" w:cs="Arial" w:eastAsia="Arial" w:hAnsi="Arial"/>
                <w:sz w:val="14"/>
                <w:szCs w:val="14"/>
                <w:color w:val="auto"/>
              </w:rPr>
              <w:t>—</w:t>
            </w:r>
          </w:p>
        </w:tc>
        <w:tc>
          <w:tcPr>
            <w:tcW w:w="400" w:type="dxa"/>
            <w:vAlign w:val="bottom"/>
          </w:tcPr>
          <w:p>
            <w:pPr>
              <w:ind w:left="300"/>
              <w:spacing w:after="0" w:line="153"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96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1"/>
                <w:szCs w:val="11"/>
                <w:color w:val="auto"/>
              </w:rPr>
              <w:t>Disability or Death</w:t>
            </w:r>
            <w:r>
              <w:rPr>
                <w:rFonts w:ascii="Arial" w:cs="Arial" w:eastAsia="Arial" w:hAnsi="Arial"/>
                <w:sz w:val="18"/>
                <w:szCs w:val="18"/>
                <w:color w:val="auto"/>
                <w:vertAlign w:val="superscript"/>
              </w:rPr>
              <w:t>(5)</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9,019,212</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9,019,212</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55</w:t>
      </w:r>
    </w:p>
    <w:p>
      <w:pPr>
        <w:sectPr>
          <w:pgSz w:w="11900" w:h="16838" w:orient="portrait"/>
          <w:cols w:equalWidth="0" w:num="1">
            <w:col w:w="11160"/>
          </w:cols>
          <w:pgMar w:left="240" w:top="455"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40" w:lineRule="exact"/>
        <w:rPr>
          <w:sz w:val="20"/>
          <w:szCs w:val="20"/>
          <w:color w:val="auto"/>
        </w:rPr>
      </w:pPr>
    </w:p>
    <w:p>
      <w:pPr>
        <w:ind w:left="600" w:hanging="320"/>
        <w:spacing w:after="0" w:line="215" w:lineRule="auto"/>
        <w:tabs>
          <w:tab w:leader="none" w:pos="600" w:val="left"/>
        </w:tabs>
        <w:numPr>
          <w:ilvl w:val="0"/>
          <w:numId w:val="103"/>
        </w:numPr>
        <w:rPr>
          <w:rFonts w:ascii="Arial" w:cs="Arial" w:eastAsia="Arial" w:hAnsi="Arial"/>
          <w:sz w:val="24"/>
          <w:szCs w:val="24"/>
          <w:color w:val="auto"/>
          <w:vertAlign w:val="superscript"/>
        </w:rPr>
      </w:pPr>
      <w:r>
        <w:rPr>
          <w:rFonts w:ascii="Arial" w:cs="Arial" w:eastAsia="Arial" w:hAnsi="Arial"/>
          <w:sz w:val="14"/>
          <w:szCs w:val="14"/>
          <w:color w:val="auto"/>
        </w:rPr>
        <w:t>Cash severance (in an amount equal to two times base salary plus target annual incentive bonus amount) is paid in a lump sum to each Named Executive Officer on the date that is six months after the date of termination (other than Messrs. Vanneste and DiDonato, who receive cash severance payments in installments over 24 months), consistent with the requirements of Section 409A of the Internal Revenue Code. In addition to the amounts shown in the table, the executive would receive any accrued salary, bonus and all other amounts to which he is entitled under the terms of any compensation or benefit plans of the Company upon termination for any reason, and would receive a pro-rated bonus based on actual performance in the event of termination without “cause” or for “good reason.” Pursuant to his employment agreement, Mr. Simoncini would not have been eligible to receive any cash severance for a termination of employment occurring on December 31, 2018.</w:t>
      </w:r>
    </w:p>
    <w:p>
      <w:pPr>
        <w:spacing w:after="0" w:line="5" w:lineRule="exact"/>
        <w:rPr>
          <w:rFonts w:ascii="Arial" w:cs="Arial" w:eastAsia="Arial" w:hAnsi="Arial"/>
          <w:sz w:val="24"/>
          <w:szCs w:val="24"/>
          <w:color w:val="auto"/>
          <w:vertAlign w:val="superscript"/>
        </w:rPr>
      </w:pPr>
    </w:p>
    <w:p>
      <w:pPr>
        <w:ind w:left="600" w:hanging="320"/>
        <w:spacing w:after="0"/>
        <w:tabs>
          <w:tab w:leader="none" w:pos="600" w:val="left"/>
        </w:tabs>
        <w:numPr>
          <w:ilvl w:val="0"/>
          <w:numId w:val="103"/>
        </w:numPr>
        <w:rPr>
          <w:rFonts w:ascii="Arial" w:cs="Arial" w:eastAsia="Arial" w:hAnsi="Arial"/>
          <w:sz w:val="24"/>
          <w:szCs w:val="24"/>
          <w:color w:val="auto"/>
          <w:vertAlign w:val="superscript"/>
        </w:rPr>
      </w:pPr>
      <w:r>
        <w:rPr>
          <w:rFonts w:ascii="Arial" w:cs="Arial" w:eastAsia="Arial" w:hAnsi="Arial"/>
          <w:sz w:val="14"/>
          <w:szCs w:val="14"/>
          <w:color w:val="auto"/>
        </w:rPr>
        <w:t>Consists of continuation of health insurance, life insurance premium and imputed income amounts.</w:t>
      </w:r>
    </w:p>
    <w:p>
      <w:pPr>
        <w:spacing w:after="0" w:line="109" w:lineRule="exact"/>
        <w:rPr>
          <w:rFonts w:ascii="Arial" w:cs="Arial" w:eastAsia="Arial" w:hAnsi="Arial"/>
          <w:sz w:val="24"/>
          <w:szCs w:val="24"/>
          <w:color w:val="auto"/>
          <w:vertAlign w:val="superscript"/>
        </w:rPr>
      </w:pPr>
    </w:p>
    <w:p>
      <w:pPr>
        <w:ind w:left="600" w:right="20" w:hanging="320"/>
        <w:spacing w:after="0" w:line="215" w:lineRule="auto"/>
        <w:tabs>
          <w:tab w:leader="none" w:pos="600" w:val="left"/>
        </w:tabs>
        <w:numPr>
          <w:ilvl w:val="0"/>
          <w:numId w:val="103"/>
        </w:numPr>
        <w:rPr>
          <w:rFonts w:ascii="Arial" w:cs="Arial" w:eastAsia="Arial" w:hAnsi="Arial"/>
          <w:sz w:val="24"/>
          <w:szCs w:val="24"/>
          <w:color w:val="auto"/>
          <w:vertAlign w:val="superscript"/>
        </w:rPr>
      </w:pPr>
      <w:r>
        <w:rPr>
          <w:rFonts w:ascii="Arial" w:cs="Arial" w:eastAsia="Arial" w:hAnsi="Arial"/>
          <w:sz w:val="14"/>
          <w:szCs w:val="14"/>
          <w:color w:val="auto"/>
        </w:rPr>
        <w:t>Represents accelerated or pro rata (as applicable) vesting of RSUs and payout of Performance Shares (at target level) and any associated dividend equivalents with interest. Unvested Career Shares become vested and the underlying shares are immediately distributed (along with those for vested Career Shares) upon the executive’s (i) death, (ii) disability or (iii) involuntary or “good reason” termination of employment within 24 months following a change in control. Payments under any of the plans of the Company that are determined to be deferred compensation subject to Section 409A of the Internal Revenue Code are delayed by six months to the extent required by such provision. Accelerated and pro rata portions of the RSUs and performance shares are valued based on the December 31, 2018, closing price of the Company’s common stock.</w:t>
      </w:r>
    </w:p>
    <w:p>
      <w:pPr>
        <w:spacing w:after="0" w:line="110" w:lineRule="exact"/>
        <w:rPr>
          <w:rFonts w:ascii="Arial" w:cs="Arial" w:eastAsia="Arial" w:hAnsi="Arial"/>
          <w:sz w:val="24"/>
          <w:szCs w:val="24"/>
          <w:color w:val="auto"/>
          <w:vertAlign w:val="superscript"/>
        </w:rPr>
      </w:pPr>
    </w:p>
    <w:p>
      <w:pPr>
        <w:ind w:left="600" w:right="340" w:hanging="320"/>
        <w:spacing w:after="0" w:line="181" w:lineRule="auto"/>
        <w:tabs>
          <w:tab w:leader="none" w:pos="600" w:val="left"/>
        </w:tabs>
        <w:numPr>
          <w:ilvl w:val="0"/>
          <w:numId w:val="103"/>
        </w:numPr>
        <w:rPr>
          <w:rFonts w:ascii="Arial" w:cs="Arial" w:eastAsia="Arial" w:hAnsi="Arial"/>
          <w:sz w:val="24"/>
          <w:szCs w:val="24"/>
          <w:color w:val="auto"/>
          <w:vertAlign w:val="superscript"/>
        </w:rPr>
      </w:pPr>
      <w:r>
        <w:rPr>
          <w:rFonts w:ascii="Arial" w:cs="Arial" w:eastAsia="Arial" w:hAnsi="Arial"/>
          <w:sz w:val="14"/>
          <w:szCs w:val="14"/>
          <w:color w:val="auto"/>
        </w:rPr>
        <w:t>As of December 31, 2018, Messrs. Vanneste, Larkin, DiDonato and Simoncini were retirement-eligible, and therefore, they qualify for accelerated vesting of certain incentive awards upon retirement. The Company does not provide for enhanced early retirement benefits under its pension programs.</w:t>
      </w:r>
    </w:p>
    <w:p>
      <w:pPr>
        <w:spacing w:after="0" w:line="109" w:lineRule="exact"/>
        <w:rPr>
          <w:rFonts w:ascii="Arial" w:cs="Arial" w:eastAsia="Arial" w:hAnsi="Arial"/>
          <w:sz w:val="24"/>
          <w:szCs w:val="24"/>
          <w:color w:val="auto"/>
          <w:vertAlign w:val="superscript"/>
        </w:rPr>
      </w:pPr>
    </w:p>
    <w:p>
      <w:pPr>
        <w:ind w:left="600" w:right="160" w:hanging="320"/>
        <w:spacing w:after="0" w:line="181" w:lineRule="auto"/>
        <w:tabs>
          <w:tab w:leader="none" w:pos="600" w:val="left"/>
        </w:tabs>
        <w:numPr>
          <w:ilvl w:val="0"/>
          <w:numId w:val="103"/>
        </w:numPr>
        <w:rPr>
          <w:rFonts w:ascii="Arial" w:cs="Arial" w:eastAsia="Arial" w:hAnsi="Arial"/>
          <w:sz w:val="24"/>
          <w:szCs w:val="24"/>
          <w:color w:val="auto"/>
          <w:vertAlign w:val="superscript"/>
        </w:rPr>
      </w:pPr>
      <w:r>
        <w:rPr>
          <w:rFonts w:ascii="Arial" w:cs="Arial" w:eastAsia="Arial" w:hAnsi="Arial"/>
          <w:sz w:val="14"/>
          <w:szCs w:val="14"/>
          <w:color w:val="auto"/>
        </w:rPr>
        <w:t>Messrs. Scott, Vanneste, Orsini and Simoncini are fully vested in their pension benefits, and as such, there would be no pension vesting enhancement with respect to death benefits for them. Messrs. Larkin and DiDonato do not participate in the Pension Plan, and therefore, they are not eligible for such death benefit.</w:t>
      </w:r>
    </w:p>
    <w:p>
      <w:pPr>
        <w:sectPr>
          <w:pgSz w:w="11900" w:h="16838" w:orient="portrait"/>
          <w:cols w:equalWidth="0" w:num="1">
            <w:col w:w="11140"/>
          </w:cols>
          <w:pgMar w:left="240" w:top="455" w:right="519" w:bottom="1440" w:gutter="0" w:footer="0" w:header="0"/>
        </w:sectPr>
      </w:pPr>
    </w:p>
    <w:p>
      <w:pPr>
        <w:spacing w:after="0" w:line="160" w:lineRule="exact"/>
        <w:rPr>
          <w:sz w:val="20"/>
          <w:szCs w:val="20"/>
          <w:color w:val="auto"/>
        </w:rPr>
      </w:pPr>
    </w:p>
    <w:p>
      <w:pPr>
        <w:ind w:left="280"/>
        <w:spacing w:after="0" w:line="246" w:lineRule="auto"/>
        <w:rPr>
          <w:sz w:val="20"/>
          <w:szCs w:val="20"/>
          <w:color w:val="auto"/>
        </w:rPr>
      </w:pPr>
      <w:r>
        <w:rPr>
          <w:rFonts w:ascii="Arial" w:cs="Arial" w:eastAsia="Arial" w:hAnsi="Arial"/>
          <w:sz w:val="16"/>
          <w:szCs w:val="16"/>
          <w:color w:val="auto"/>
        </w:rPr>
        <w:t>Payments and benefits to a Named Executive Officer upon termination or a change in control of the Company are determined according to the terms of his employment agreement and equity or incentive awards and the Company’s compensation and incentive plans. The severance benefit payments set forth in the table and discussed below are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generally available to our executive officers, including the Named Executive Officers, who currently have employment agreements with the Company. The amounts due to an executive upon his termination of employment depend largely on the circumstances of his termination, as described below.</w:t>
      </w:r>
    </w:p>
    <w:p>
      <w:pPr>
        <w:spacing w:after="0" w:line="200" w:lineRule="exact"/>
        <w:rPr>
          <w:sz w:val="20"/>
          <w:szCs w:val="20"/>
          <w:color w:val="auto"/>
        </w:rPr>
      </w:pPr>
    </w:p>
    <w:p>
      <w:pPr>
        <w:sectPr>
          <w:pgSz w:w="11900" w:h="16838" w:orient="portrait"/>
          <w:cols w:equalWidth="0" w:num="2">
            <w:col w:w="5460" w:space="360"/>
            <w:col w:w="5320"/>
          </w:cols>
          <w:pgMar w:left="240" w:top="455" w:right="519" w:bottom="1440" w:gutter="0" w:footer="0" w:header="0"/>
          <w:type w:val="continuous"/>
        </w:sectPr>
      </w:pPr>
    </w:p>
    <w:p>
      <w:pPr>
        <w:spacing w:after="0" w:line="15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91"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The employment agreements do not provide benefits solely upon a change in control. The LTSIP provides for accelerated vesting or payout of awards immediately upon a “change in control” (as defined in the LTSIP) only if the successor company does not agree to assume or replace such existing awards with an equivalent award upon the change in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Otherwise, awards will only receive accelerated vesting if a change in control occurs and the executive is terminated by the Company without “cause” (as defined in the LTSIP) or resigns for “good reason” (as defined in the executive’s employment agreement, if applicable) within 24 months of such change in control.</w:t>
      </w:r>
    </w:p>
    <w:p>
      <w:pPr>
        <w:spacing w:after="0" w:line="383" w:lineRule="exact"/>
        <w:rPr>
          <w:sz w:val="20"/>
          <w:szCs w:val="20"/>
          <w:color w:val="auto"/>
        </w:rPr>
      </w:pPr>
    </w:p>
    <w:p>
      <w:pPr>
        <w:sectPr>
          <w:pgSz w:w="11900" w:h="16838" w:orient="portrait"/>
          <w:cols w:equalWidth="0" w:num="2">
            <w:col w:w="5380" w:space="440"/>
            <w:col w:w="5320"/>
          </w:cols>
          <w:pgMar w:left="240" w:top="455" w:right="519" w:bottom="1440" w:gutter="0" w:footer="0" w:header="0"/>
          <w:type w:val="continuous"/>
        </w:sectPr>
      </w:pPr>
    </w:p>
    <w:p>
      <w:pPr>
        <w:spacing w:after="0" w:line="15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Payments Made Upon Involuntary Termination (or for “Good Reason”) with a Change in Control</w:t>
      </w:r>
    </w:p>
    <w:p>
      <w:pPr>
        <w:sectPr>
          <w:pgSz w:w="11900" w:h="16838" w:orient="portrait"/>
          <w:cols w:equalWidth="0" w:num="1">
            <w:col w:w="11140"/>
          </w:cols>
          <w:pgMar w:left="240" w:top="455" w:right="519" w:bottom="1440" w:gutter="0" w:footer="0" w:header="0"/>
          <w:type w:val="continuous"/>
        </w:sectPr>
      </w:pPr>
    </w:p>
    <w:p>
      <w:pPr>
        <w:spacing w:after="0" w:line="202"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If a change in control occurs and the Named Executive Officer is terminated by the Company without “cause” (as defined in the LTSIP) or resigns for “good reason” (as defined in the Named Executive Officer’s employment agreement) within 24 months of such change in control, the Named Executive Officer will receive accelerated vesting with respect to outstanding and unvested equity awards, as disclosed in the table above. Any unvested RSUs (other than Career Shares) that were granted less than 12 months prior to the Named Executive Officer’s termination of employment will vest on a pro rata basis.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None of our Named Executive Officers is a party to an employment agreement containing a provision which would reimburse the executive for any excise taxes he becomes subject to under Section 4999 of the Internal Revenue Code upon a change in control. Instead, the employment agreements for each of our Named Executive Officers contains a provision that reduces their change in control benefits below the level at which an excise tax is triggered, but only if the reduction results in greater after-tax proceeds to the executive.</w:t>
      </w:r>
    </w:p>
    <w:p>
      <w:pPr>
        <w:spacing w:after="0" w:line="387" w:lineRule="exact"/>
        <w:rPr>
          <w:sz w:val="20"/>
          <w:szCs w:val="20"/>
          <w:color w:val="auto"/>
        </w:rPr>
      </w:pPr>
    </w:p>
    <w:p>
      <w:pPr>
        <w:sectPr>
          <w:pgSz w:w="11900" w:h="16838" w:orient="portrait"/>
          <w:cols w:equalWidth="0" w:num="2">
            <w:col w:w="5460" w:space="360"/>
            <w:col w:w="5320"/>
          </w:cols>
          <w:pgMar w:left="240" w:top="455" w:right="519" w:bottom="1440" w:gutter="0" w:footer="0" w:header="0"/>
          <w:type w:val="continuous"/>
        </w:sectPr>
      </w:pPr>
    </w:p>
    <w:p>
      <w:pPr>
        <w:spacing w:after="0" w:line="14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Payments Made Upon Involuntary Termination (or for “Good Reason”)</w:t>
      </w:r>
    </w:p>
    <w:p>
      <w:pPr>
        <w:sectPr>
          <w:pgSz w:w="11900" w:h="16838" w:orient="portrait"/>
          <w:cols w:equalWidth="0" w:num="1">
            <w:col w:w="11140"/>
          </w:cols>
          <w:pgMar w:left="240" w:top="455" w:right="519" w:bottom="1440" w:gutter="0" w:footer="0" w:header="0"/>
          <w:type w:val="continuous"/>
        </w:sectPr>
      </w:pPr>
    </w:p>
    <w:p>
      <w:pPr>
        <w:spacing w:after="0" w:line="202" w:lineRule="exact"/>
        <w:rPr>
          <w:sz w:val="20"/>
          <w:szCs w:val="20"/>
          <w:color w:val="auto"/>
        </w:rPr>
      </w:pPr>
    </w:p>
    <w:p>
      <w:pPr>
        <w:ind w:left="280"/>
        <w:spacing w:after="0" w:line="247" w:lineRule="auto"/>
        <w:rPr>
          <w:sz w:val="20"/>
          <w:szCs w:val="20"/>
          <w:color w:val="auto"/>
        </w:rPr>
      </w:pPr>
      <w:r>
        <w:rPr>
          <w:rFonts w:ascii="Arial" w:cs="Arial" w:eastAsia="Arial" w:hAnsi="Arial"/>
          <w:sz w:val="16"/>
          <w:szCs w:val="16"/>
          <w:color w:val="auto"/>
        </w:rPr>
        <w:t>Upon termination of employment by the executive for “good reason” (as defined in the employment agreements) or by the Company other than for “cause” or “incapacity” (each as defined in the employment agreement), the executive will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receive base salary (at the higher of the rate in effect upon termination or the rate in effect 90 days prior to termination) through the date of termination, plus all other amounts owed under any compensation or benefit plans, including a bonus</w:t>
      </w:r>
    </w:p>
    <w:p>
      <w:pPr>
        <w:spacing w:after="0" w:line="200" w:lineRule="exact"/>
        <w:rPr>
          <w:sz w:val="20"/>
          <w:szCs w:val="20"/>
          <w:color w:val="auto"/>
        </w:rPr>
      </w:pPr>
    </w:p>
    <w:p>
      <w:pPr>
        <w:sectPr>
          <w:pgSz w:w="11900" w:h="16838" w:orient="portrait"/>
          <w:cols w:equalWidth="0" w:num="2">
            <w:col w:w="5480" w:space="340"/>
            <w:col w:w="5320"/>
          </w:cols>
          <w:pgMar w:left="240" w:top="455" w:right="519" w:bottom="1440" w:gutter="0" w:footer="0" w:header="0"/>
          <w:type w:val="continuous"/>
        </w:sectPr>
      </w:pPr>
    </w:p>
    <w:p>
      <w:pPr>
        <w:spacing w:after="0" w:line="57" w:lineRule="exact"/>
        <w:rPr>
          <w:sz w:val="20"/>
          <w:szCs w:val="20"/>
          <w:color w:val="auto"/>
        </w:rPr>
      </w:pPr>
    </w:p>
    <w:p>
      <w:pPr>
        <w:ind w:left="740" w:hanging="359"/>
        <w:spacing w:after="0"/>
        <w:tabs>
          <w:tab w:leader="none" w:pos="7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240" w:top="455" w:right="51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EXECUTIVE COMPENSATION</w:t>
      </w:r>
    </w:p>
    <w:p>
      <w:pPr>
        <w:sectPr>
          <w:pgSz w:w="11900" w:h="16838" w:orient="portrait"/>
          <w:cols w:equalWidth="0" w:num="1">
            <w:col w:w="11140"/>
          </w:cols>
          <w:pgMar w:left="240" w:top="455" w:right="519" w:bottom="1440" w:gutter="0" w:footer="0" w:header="0"/>
        </w:sectPr>
      </w:pPr>
    </w:p>
    <w:p>
      <w:pPr>
        <w:spacing w:after="0" w:line="210" w:lineRule="exact"/>
        <w:rPr>
          <w:sz w:val="20"/>
          <w:szCs w:val="20"/>
          <w:color w:val="auto"/>
        </w:rPr>
      </w:pPr>
    </w:p>
    <w:p>
      <w:pPr>
        <w:ind w:left="280" w:right="40"/>
        <w:spacing w:after="0" w:line="244" w:lineRule="auto"/>
        <w:rPr>
          <w:sz w:val="20"/>
          <w:szCs w:val="20"/>
          <w:color w:val="auto"/>
        </w:rPr>
      </w:pPr>
      <w:r>
        <w:rPr>
          <w:rFonts w:ascii="Arial" w:cs="Arial" w:eastAsia="Arial" w:hAnsi="Arial"/>
          <w:sz w:val="16"/>
          <w:szCs w:val="16"/>
          <w:color w:val="auto"/>
        </w:rPr>
        <w:t>pro-rated for the portion of the performance period occurring prior to the date of termination. If the executive executes a release relating to his employment, he will also receive a lump sum payment equal to two times the sum of his annual base salary rate and annual target bonus amount, each as in effect as of the termination date. In the event of an involuntary termination for any reason other than cause, or by the executive for good reason, the award agreements under the LTSIP provide that (i) all unvested RSUs (other than Career Shares) that were granted at least 12 months prior to the termination of employment become vested in their entirety, (ii) all unvested RSUs (other than Career Shares) that were granted less than 12 months prior to the termination of employment vest on a pro rata basis, and (iii) a pro rata</w:t>
      </w:r>
    </w:p>
    <w:p>
      <w:pPr>
        <w:spacing w:after="0" w:line="35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Payments Made Upon Retirement</w:t>
      </w:r>
    </w:p>
    <w:p>
      <w:pPr>
        <w:spacing w:after="0" w:line="191"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The employment agreements do not distinguish between retirement and voluntary termination for other reasons, but under the LTSIP, an executive who retires with a combined number of age and years of service of at least 65, with a minimum age of 55 and minimum service of five years when he terminates, is entitled to additional vesting credit for RSU awards. The executive will be entitled to receive the shares underlying the RSUs that would have vested if the date of</w:t>
      </w:r>
    </w:p>
    <w:p>
      <w:pPr>
        <w:spacing w:after="0" w:line="352"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Payments Made Upon Voluntary Termination (or for “Cause”)</w:t>
      </w:r>
    </w:p>
    <w:p>
      <w:pPr>
        <w:spacing w:after="0" w:line="202"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An executive who voluntarily resigns or whose employment is terminated by the Company for “cause” (as defined in the employment agreement) will receive unpaid salary and benefits, if any, he has accrued through the effective date of his termination. If an executive terminates voluntarily and has not attained a combined number of age and years of service of at least 65, with a minimum age of 55 and minimum service</w:t>
      </w:r>
    </w:p>
    <w:p>
      <w:pPr>
        <w:spacing w:after="0" w:line="34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Payments Made Upon Termination for Disability</w:t>
      </w:r>
    </w:p>
    <w:p>
      <w:pPr>
        <w:spacing w:after="0" w:line="191"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Following termination of the executive’s employment for disability, the executive will receive all base salary and other accrued amounts then payable through the date of termination. The executive will also receive compensation payable under the Company’s disability and medical plans. In the event of the executive’s termination for disability, all unvested RSUs become vested in their entirety upon</w:t>
      </w:r>
    </w:p>
    <w:p>
      <w:pPr>
        <w:spacing w:after="0" w:line="35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Treatment of Career Shares</w:t>
      </w:r>
    </w:p>
    <w:p>
      <w:pPr>
        <w:spacing w:after="0" w:line="191" w:lineRule="exact"/>
        <w:rPr>
          <w:sz w:val="20"/>
          <w:szCs w:val="20"/>
          <w:color w:val="auto"/>
        </w:rPr>
      </w:pPr>
    </w:p>
    <w:p>
      <w:pPr>
        <w:ind w:left="280" w:right="180"/>
        <w:spacing w:after="0" w:line="245" w:lineRule="auto"/>
        <w:rPr>
          <w:sz w:val="20"/>
          <w:szCs w:val="20"/>
          <w:color w:val="auto"/>
        </w:rPr>
      </w:pPr>
      <w:r>
        <w:rPr>
          <w:rFonts w:ascii="Arial" w:cs="Arial" w:eastAsia="Arial" w:hAnsi="Arial"/>
          <w:sz w:val="16"/>
          <w:szCs w:val="16"/>
          <w:color w:val="auto"/>
        </w:rPr>
        <w:t>All Career Shares (vested and unvested) are forfeited by the executive upon a voluntary termination by the executive prior to the Career Share qualifying retirement date (</w:t>
      </w:r>
      <w:r>
        <w:rPr>
          <w:rFonts w:ascii="Arial" w:cs="Arial" w:eastAsia="Arial" w:hAnsi="Arial"/>
          <w:sz w:val="16"/>
          <w:szCs w:val="16"/>
          <w:i w:val="1"/>
          <w:iCs w:val="1"/>
          <w:color w:val="auto"/>
        </w:rPr>
        <w:t>i.e.,</w:t>
      </w:r>
      <w:r>
        <w:rPr>
          <w:rFonts w:ascii="Arial" w:cs="Arial" w:eastAsia="Arial" w:hAnsi="Arial"/>
          <w:sz w:val="16"/>
          <w:szCs w:val="16"/>
          <w:color w:val="auto"/>
        </w:rPr>
        <w:t xml:space="preserve"> age 62 or the date that the executive attains a combined number of age and years of service of 65, with a minimum age of 55 and minimum service of five years) or for violating non-competition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amount of Performance Shares may be earned through the termination date if actual performance during the performance period meets the pre-established performance requirements. Each Named Executive Officer’s employment agreement provides more favorable treatment than items (i) and (ii) in the foregoing sentence, and instead, any unvested awards that vest based on the passage of time would immediately vest in their entirety upon a termination by the Named Executive Officer for good reason or by the Company for incapacity or other than for cause. In addition, executives would receive all dividend equivalents with interest associated with the accelerated RSUs and any Performance Shares earned at the time of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termination had been 24 months later than it actually occurred. A pro rata amount of Performance Shares may be earned through the retirement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0"/>
        <w:spacing w:after="0" w:line="245" w:lineRule="auto"/>
        <w:rPr>
          <w:sz w:val="20"/>
          <w:szCs w:val="20"/>
          <w:color w:val="auto"/>
        </w:rPr>
      </w:pPr>
      <w:r>
        <w:rPr>
          <w:rFonts w:ascii="Arial" w:cs="Arial" w:eastAsia="Arial" w:hAnsi="Arial"/>
          <w:sz w:val="16"/>
          <w:szCs w:val="16"/>
          <w:color w:val="auto"/>
        </w:rPr>
        <w:t>of five years, he will be entitled to receive all of the shares underlying his vested RSUs and associated dividend equivalents with interest, but all unvested RSUs and Performance Shares and any associated dividend equivalents with interest will be forfeited. If an executive is terminated for cause, he will forfeit all RSUs and Performance Shares along with any associated dividend equivalents with interest.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termination and a pro rata amount of Performance Shares may be earned through the termination date if actual performance during the performance period meets the pre-established performance requirements. In addition, executives would receive all dividend equivalents with interest associated with the accelerated RSUs and any Performance Shares earned at the time of distribution.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and non-solicitation covenants prior to distribution of the shares. If the executive has a Career Share qualifying retirement or is terminated without “cause” or resigns for “good reason,” in each case within 24 months of the vesting date, the Career Shares will continue to vest as originally scheduled.</w:t>
      </w:r>
    </w:p>
    <w:p>
      <w:pPr>
        <w:spacing w:after="0" w:line="200" w:lineRule="exact"/>
        <w:rPr>
          <w:sz w:val="20"/>
          <w:szCs w:val="20"/>
          <w:color w:val="auto"/>
        </w:rPr>
      </w:pPr>
    </w:p>
    <w:p>
      <w:pPr>
        <w:spacing w:after="0" w:line="244" w:lineRule="exact"/>
        <w:rPr>
          <w:sz w:val="20"/>
          <w:szCs w:val="20"/>
          <w:color w:val="auto"/>
        </w:rPr>
      </w:pPr>
    </w:p>
    <w:p>
      <w:pPr>
        <w:ind w:left="3120"/>
        <w:spacing w:after="0"/>
        <w:tabs>
          <w:tab w:leader="none" w:pos="4800" w:val="left"/>
          <w:tab w:leader="none" w:pos="502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57</w:t>
      </w:r>
    </w:p>
    <w:p>
      <w:pPr>
        <w:sectPr>
          <w:pgSz w:w="11900" w:h="16838" w:orient="portrait"/>
          <w:cols w:equalWidth="0" w:num="2">
            <w:col w:w="5480" w:space="340"/>
            <w:col w:w="5320"/>
          </w:cols>
          <w:pgMar w:left="240" w:top="455" w:right="51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330" w:lineRule="exact"/>
        <w:rPr>
          <w:sz w:val="20"/>
          <w:szCs w:val="20"/>
          <w:color w:val="auto"/>
        </w:rPr>
      </w:pPr>
    </w:p>
    <w:p>
      <w:pPr>
        <w:ind w:left="280"/>
        <w:spacing w:after="0" w:line="243" w:lineRule="auto"/>
        <w:rPr>
          <w:sz w:val="20"/>
          <w:szCs w:val="20"/>
          <w:color w:val="auto"/>
        </w:rPr>
      </w:pPr>
      <w:r>
        <w:rPr>
          <w:rFonts w:ascii="Arial" w:cs="Arial" w:eastAsia="Arial" w:hAnsi="Arial"/>
          <w:sz w:val="16"/>
          <w:szCs w:val="16"/>
          <w:color w:val="auto"/>
        </w:rPr>
        <w:t>In general, the underlying shares of common stock for the vested Career Shares are not distributed until the later of (i) age 62 or (ii) the vesting date. If the executive terminates due to a qualifying retirement, the underlying shares of common stock for the vested Career Shares are not distributed until the earlier of (i) age 62 (or such later vesting date) or</w:t>
      </w:r>
    </w:p>
    <w:p>
      <w:pPr>
        <w:spacing w:after="0" w:line="1" w:lineRule="exact"/>
        <w:rPr>
          <w:sz w:val="20"/>
          <w:szCs w:val="20"/>
          <w:color w:val="auto"/>
        </w:rPr>
      </w:pPr>
    </w:p>
    <w:p>
      <w:pPr>
        <w:ind w:left="280"/>
        <w:spacing w:after="0" w:line="246" w:lineRule="auto"/>
        <w:tabs>
          <w:tab w:leader="none" w:pos="50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three years after the executive’s qualifying retirement. If the executive has attained a combined number of age and years of service of at least 65, with a minimum age of 55 and minimum service of five years, and the executive is terminated without “cause” or resigns for “good reason,” the underlying shares of common stock for the vested RSUs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not distributed until the earlier of (i) age 62 (or such later vesting date) or (ii) three years after the executive’s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-1085215</wp:posOffset>
            </wp:positionV>
            <wp:extent cx="729107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70"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Unvested Career Shares become vested and the underlying shares are immediately distributed (along with those for vested Career Shares) upon the executive’s (i) death, (ii) disability or (iii) involuntary or “good reason” termination of employment within 24 months following a change in control. The Career Shares do not automatically vest nor are the underlying shares distributed upon a change in control unless the successor company does not assume or replace the awards with awards of equivalent terms and value.</w:t>
      </w:r>
    </w:p>
    <w:p>
      <w:pPr>
        <w:spacing w:after="0" w:line="200" w:lineRule="exact"/>
        <w:rPr>
          <w:sz w:val="20"/>
          <w:szCs w:val="20"/>
          <w:color w:val="auto"/>
        </w:rPr>
      </w:pPr>
    </w:p>
    <w:p>
      <w:pPr>
        <w:sectPr>
          <w:pgSz w:w="11900" w:h="16838" w:orient="portrait"/>
          <w:cols w:equalWidth="0" w:num="2">
            <w:col w:w="5440" w:space="380"/>
            <w:col w:w="5300"/>
          </w:cols>
          <w:pgMar w:left="240" w:top="455" w:right="539" w:bottom="1440" w:gutter="0" w:footer="0" w:header="0"/>
        </w:sectPr>
      </w:pPr>
    </w:p>
    <w:p>
      <w:pPr>
        <w:spacing w:after="0" w:line="15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Payments Made Upon Death</w:t>
      </w:r>
    </w:p>
    <w:p>
      <w:pPr>
        <w:spacing w:after="0" w:line="191"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Following the death of the executive, we will pay to his estate or designated beneficiary a pro rata portion of any bonus earned prior to the date of death. In the event of the executive’s death, all unvested RSUs become vested in their entirety and a pro rata amount of Performance Shares may be earned through the date of death if actual performance during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ind w:right="380"/>
        <w:spacing w:after="0" w:line="246" w:lineRule="auto"/>
        <w:rPr>
          <w:sz w:val="20"/>
          <w:szCs w:val="20"/>
          <w:color w:val="auto"/>
        </w:rPr>
      </w:pPr>
      <w:r>
        <w:rPr>
          <w:rFonts w:ascii="Arial" w:cs="Arial" w:eastAsia="Arial" w:hAnsi="Arial"/>
          <w:sz w:val="16"/>
          <w:szCs w:val="16"/>
          <w:color w:val="auto"/>
        </w:rPr>
        <w:t>the performance period meets the pre-established performance requirements. In addition, the estate or designated beneficiary would receive all dividend equivalents with interest associated with the accelerated RSUs and any Performance Shares earned at the time of vesting.</w:t>
      </w:r>
    </w:p>
    <w:p>
      <w:pPr>
        <w:spacing w:after="0" w:line="383" w:lineRule="exact"/>
        <w:rPr>
          <w:sz w:val="20"/>
          <w:szCs w:val="20"/>
          <w:color w:val="auto"/>
        </w:rPr>
      </w:pPr>
    </w:p>
    <w:p>
      <w:pPr>
        <w:sectPr>
          <w:pgSz w:w="11900" w:h="16838" w:orient="portrait"/>
          <w:cols w:equalWidth="0" w:num="2">
            <w:col w:w="5460" w:space="360"/>
            <w:col w:w="5300"/>
          </w:cols>
          <w:pgMar w:left="240" w:top="455" w:right="539" w:bottom="1440" w:gutter="0" w:footer="0" w:header="0"/>
          <w:type w:val="continuous"/>
        </w:sectPr>
      </w:pPr>
    </w:p>
    <w:p>
      <w:pPr>
        <w:spacing w:after="0" w:line="15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Conditions and Obligations of the Executive</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Each executive who has entered into an employment agreement with the</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Company is obligated to:</w:t>
      </w:r>
    </w:p>
    <w:p>
      <w:pPr>
        <w:spacing w:after="0" w:line="122" w:lineRule="exact"/>
        <w:rPr>
          <w:sz w:val="20"/>
          <w:szCs w:val="20"/>
          <w:color w:val="auto"/>
        </w:rPr>
      </w:pPr>
    </w:p>
    <w:p>
      <w:pPr>
        <w:ind w:left="480" w:right="480" w:hanging="200"/>
        <w:spacing w:after="0" w:line="254" w:lineRule="auto"/>
        <w:tabs>
          <w:tab w:leader="none" w:pos="4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comply with confidentiality, non-competition and non-solicitation covenants during employment;</w:t>
      </w:r>
    </w:p>
    <w:p>
      <w:pPr>
        <w:spacing w:after="0" w:line="103" w:lineRule="exact"/>
        <w:rPr>
          <w:rFonts w:ascii="Arial" w:cs="Arial" w:eastAsia="Arial" w:hAnsi="Arial"/>
          <w:sz w:val="16"/>
          <w:szCs w:val="16"/>
          <w:color w:val="auto"/>
        </w:rPr>
      </w:pPr>
    </w:p>
    <w:p>
      <w:pPr>
        <w:ind w:left="480" w:hanging="200"/>
        <w:spacing w:after="0" w:line="247" w:lineRule="auto"/>
        <w:tabs>
          <w:tab w:leader="none" w:pos="4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comply with non-competition and non-solicitation covenants for one year after the date of termination (extended to two years in the case of termination upon disability, termination by the Company without “cause” or by the executive for “good reason”);</w:t>
      </w:r>
    </w:p>
    <w:p>
      <w:pPr>
        <w:spacing w:after="0" w:line="108" w:lineRule="exact"/>
        <w:rPr>
          <w:rFonts w:ascii="Arial" w:cs="Arial" w:eastAsia="Arial" w:hAnsi="Arial"/>
          <w:sz w:val="16"/>
          <w:szCs w:val="16"/>
          <w:color w:val="auto"/>
        </w:rPr>
      </w:pPr>
    </w:p>
    <w:p>
      <w:pPr>
        <w:ind w:left="480" w:right="220" w:hanging="200"/>
        <w:spacing w:after="0" w:line="254" w:lineRule="auto"/>
        <w:tabs>
          <w:tab w:leader="none" w:pos="4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order to receive severance payments due under the employment agreement, sign a general release relating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left="198"/>
        <w:spacing w:after="0" w:line="254" w:lineRule="auto"/>
        <w:rPr>
          <w:sz w:val="20"/>
          <w:szCs w:val="20"/>
          <w:color w:val="auto"/>
        </w:rPr>
      </w:pPr>
      <w:r>
        <w:rPr>
          <w:rFonts w:ascii="Arial" w:cs="Arial" w:eastAsia="Arial" w:hAnsi="Arial"/>
          <w:sz w:val="16"/>
          <w:szCs w:val="16"/>
          <w:color w:val="auto"/>
        </w:rPr>
        <w:t>his employment (applies only in the case of termination by the Company without “cause” or by the executive for “good reason”);</w:t>
      </w:r>
    </w:p>
    <w:p>
      <w:pPr>
        <w:spacing w:after="0" w:line="103" w:lineRule="exact"/>
        <w:rPr>
          <w:sz w:val="20"/>
          <w:szCs w:val="20"/>
          <w:color w:val="auto"/>
        </w:rPr>
      </w:pPr>
    </w:p>
    <w:p>
      <w:pPr>
        <w:ind w:left="198" w:right="40" w:hanging="198"/>
        <w:spacing w:after="0" w:line="254" w:lineRule="auto"/>
        <w:tabs>
          <w:tab w:leader="none" w:pos="19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return data and materials relating to the business of the Company in his possession;</w:t>
      </w:r>
    </w:p>
    <w:p>
      <w:pPr>
        <w:spacing w:after="0" w:line="103" w:lineRule="exact"/>
        <w:rPr>
          <w:rFonts w:ascii="Arial" w:cs="Arial" w:eastAsia="Arial" w:hAnsi="Arial"/>
          <w:sz w:val="16"/>
          <w:szCs w:val="16"/>
          <w:color w:val="auto"/>
        </w:rPr>
      </w:pPr>
    </w:p>
    <w:p>
      <w:pPr>
        <w:ind w:left="198" w:right="500" w:hanging="198"/>
        <w:spacing w:after="0" w:line="248" w:lineRule="auto"/>
        <w:tabs>
          <w:tab w:leader="none" w:pos="19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make himself reasonably available to the Company to respond to periodic requests for information regarding the Company or his employment; and</w:t>
      </w:r>
    </w:p>
    <w:p>
      <w:pPr>
        <w:spacing w:after="0" w:line="108" w:lineRule="exact"/>
        <w:rPr>
          <w:rFonts w:ascii="Arial" w:cs="Arial" w:eastAsia="Arial" w:hAnsi="Arial"/>
          <w:sz w:val="16"/>
          <w:szCs w:val="16"/>
          <w:color w:val="auto"/>
        </w:rPr>
      </w:pPr>
    </w:p>
    <w:p>
      <w:pPr>
        <w:ind w:left="198" w:right="440" w:hanging="198"/>
        <w:spacing w:after="0" w:line="254" w:lineRule="auto"/>
        <w:tabs>
          <w:tab w:leader="none" w:pos="19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cooperate with litigation matters or investigations as the Company deems necessary.</w:t>
      </w:r>
    </w:p>
    <w:p>
      <w:pPr>
        <w:spacing w:after="0" w:line="386" w:lineRule="exact"/>
        <w:rPr>
          <w:sz w:val="20"/>
          <w:szCs w:val="20"/>
          <w:color w:val="auto"/>
        </w:rPr>
      </w:pPr>
    </w:p>
    <w:p>
      <w:pPr>
        <w:sectPr>
          <w:pgSz w:w="11900" w:h="16838" w:orient="portrait"/>
          <w:cols w:equalWidth="0" w:num="2">
            <w:col w:w="5440" w:space="382"/>
            <w:col w:w="5298"/>
          </w:cols>
          <w:pgMar w:left="240" w:top="455" w:right="539" w:bottom="1440" w:gutter="0" w:footer="0" w:header="0"/>
          <w:type w:val="continuous"/>
        </w:sectPr>
      </w:pPr>
    </w:p>
    <w:p>
      <w:pPr>
        <w:spacing w:after="0" w:line="131"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Compensation and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82550</wp:posOffset>
            </wp:positionV>
            <wp:extent cx="69018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20"/>
          </w:cols>
          <w:pgMar w:left="240" w:top="455" w:right="539" w:bottom="1440" w:gutter="0" w:footer="0" w:header="0"/>
          <w:type w:val="continuous"/>
        </w:sectPr>
      </w:pPr>
    </w:p>
    <w:p>
      <w:pPr>
        <w:spacing w:after="0" w:line="345"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We have conducted a risk assessment of our employee compensation policies and practices, including our executive compensation programs and metrics. The risk assessment was conducted by senior leaders of the Company, including representatives from finance, legal and human resources, and included a review of the employee compensation structures and pay administration practices. The Compensation Committee and its independent compensation consultant reviewed and discussed the findings of the assessment and concluded that our employee compensation programs are designed with the appropriate balance of risk and reward in relation to our overall business strategy and do not incent executives or other employees to take unnecessary or excessive risks. As a result, we believe that risks arising from</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our employee compensation policies and practices are not reasonably likely to have a material adverse effect on the Company. In reaching these conclusions, we considered the attributes of all of our programs, including:</w:t>
      </w:r>
    </w:p>
    <w:p>
      <w:pPr>
        <w:spacing w:after="0" w:line="91" w:lineRule="exact"/>
        <w:rPr>
          <w:sz w:val="20"/>
          <w:szCs w:val="20"/>
          <w:color w:val="auto"/>
        </w:rPr>
      </w:pPr>
    </w:p>
    <w:p>
      <w:pPr>
        <w:ind w:left="200" w:right="320" w:hanging="198"/>
        <w:spacing w:after="0" w:line="254" w:lineRule="auto"/>
        <w:tabs>
          <w:tab w:leader="none" w:pos="2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appropriate compensation mix between fixed (base salary) and variable (annual and long-term incentive) pay opportunities;</w:t>
      </w:r>
    </w:p>
    <w:p>
      <w:pPr>
        <w:spacing w:after="0" w:line="103" w:lineRule="exact"/>
        <w:rPr>
          <w:rFonts w:ascii="Arial" w:cs="Arial" w:eastAsia="Arial" w:hAnsi="Arial"/>
          <w:sz w:val="16"/>
          <w:szCs w:val="16"/>
          <w:color w:val="auto"/>
        </w:rPr>
      </w:pPr>
    </w:p>
    <w:p>
      <w:pPr>
        <w:ind w:left="200" w:right="460" w:hanging="198"/>
        <w:spacing w:after="0" w:line="254" w:lineRule="auto"/>
        <w:tabs>
          <w:tab w:leader="none" w:pos="2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review of market data and competitive practices for elements of executive compensation;</w:t>
      </w:r>
    </w:p>
    <w:p>
      <w:pPr>
        <w:spacing w:after="0" w:line="103" w:lineRule="exact"/>
        <w:rPr>
          <w:rFonts w:ascii="Arial" w:cs="Arial" w:eastAsia="Arial" w:hAnsi="Arial"/>
          <w:sz w:val="16"/>
          <w:szCs w:val="16"/>
          <w:color w:val="auto"/>
        </w:rPr>
      </w:pPr>
    </w:p>
    <w:p>
      <w:pPr>
        <w:ind w:left="200" w:right="240" w:hanging="198"/>
        <w:spacing w:after="0" w:line="248" w:lineRule="auto"/>
        <w:tabs>
          <w:tab w:leader="none" w:pos="2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Performance measures that are tied to key Company short and long-term performance metrics and are correlated to total stockholder returns;</w:t>
      </w:r>
    </w:p>
    <w:p>
      <w:pPr>
        <w:spacing w:after="0" w:line="209" w:lineRule="exact"/>
        <w:rPr>
          <w:sz w:val="20"/>
          <w:szCs w:val="20"/>
          <w:color w:val="auto"/>
        </w:rPr>
      </w:pPr>
    </w:p>
    <w:p>
      <w:pPr>
        <w:sectPr>
          <w:pgSz w:w="11900" w:h="16838" w:orient="portrait"/>
          <w:cols w:equalWidth="0" w:num="2">
            <w:col w:w="5480" w:space="340"/>
            <w:col w:w="5300"/>
          </w:cols>
          <w:pgMar w:left="240" w:top="455" w:right="539" w:bottom="1440" w:gutter="0" w:footer="0" w:header="0"/>
          <w:type w:val="continuous"/>
        </w:sectPr>
      </w:pPr>
    </w:p>
    <w:p>
      <w:pPr>
        <w:spacing w:after="0" w:line="61" w:lineRule="exact"/>
        <w:rPr>
          <w:sz w:val="20"/>
          <w:szCs w:val="20"/>
          <w:color w:val="auto"/>
        </w:rPr>
      </w:pPr>
    </w:p>
    <w:p>
      <w:pPr>
        <w:ind w:left="740" w:hanging="359"/>
        <w:spacing w:after="0"/>
        <w:tabs>
          <w:tab w:leader="none" w:pos="7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20"/>
          </w:cols>
          <w:pgMar w:left="240" w:top="455" w:right="5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EXECUTIVE COMPENSATION</w:t>
      </w:r>
    </w:p>
    <w:p>
      <w:pPr>
        <w:sectPr>
          <w:pgSz w:w="11900" w:h="16838" w:orient="portrait"/>
          <w:cols w:equalWidth="0" w:num="1">
            <w:col w:w="11140"/>
          </w:cols>
          <w:pgMar w:left="240" w:top="455" w:right="519" w:bottom="1440" w:gutter="0" w:footer="0" w:header="0"/>
        </w:sectPr>
      </w:pPr>
    </w:p>
    <w:p>
      <w:pPr>
        <w:spacing w:after="0" w:line="330" w:lineRule="exact"/>
        <w:rPr>
          <w:sz w:val="20"/>
          <w:szCs w:val="20"/>
          <w:color w:val="auto"/>
        </w:rPr>
      </w:pPr>
    </w:p>
    <w:p>
      <w:pPr>
        <w:ind w:left="480" w:hanging="194"/>
        <w:spacing w:after="0" w:line="248" w:lineRule="auto"/>
        <w:tabs>
          <w:tab w:leader="none" w:pos="4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alignment of annual and long-term award objectives to ensure that both types of awards encourage consistent behaviors and sustainable performance results; and</w:t>
      </w:r>
    </w:p>
    <w:p>
      <w:pPr>
        <w:spacing w:after="0" w:line="108" w:lineRule="exact"/>
        <w:rPr>
          <w:rFonts w:ascii="Arial" w:cs="Arial" w:eastAsia="Arial" w:hAnsi="Arial"/>
          <w:sz w:val="16"/>
          <w:szCs w:val="16"/>
          <w:color w:val="auto"/>
        </w:rPr>
      </w:pPr>
    </w:p>
    <w:p>
      <w:pPr>
        <w:jc w:val="both"/>
        <w:ind w:left="480" w:right="220" w:hanging="194"/>
        <w:spacing w:after="0" w:line="247" w:lineRule="auto"/>
        <w:tabs>
          <w:tab w:leader="none" w:pos="4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 balanced mix of four performance measures for incentive awards (Free Cash Flow, Adjusted Operating Income, Cumulative Adjusted Pre-Tax Income and Adjusted ROIC) that encourage value creation, retention and stock price appreciation.</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We also reviewed our compensation programs for certain design features that may have the potential to encourage excessive risk-taking, including: over-weighting towards annual incentives, highly leveraged payout curves, unreasonable performance thresholds and steep payout cliffs at certain performance levels that may encourage short-term business decisions to meet payout thresholds. We concluded that our compensation programs do not include such elements.</w:t>
      </w:r>
    </w:p>
    <w:p>
      <w:pPr>
        <w:spacing w:after="0" w:line="321" w:lineRule="exact"/>
        <w:rPr>
          <w:sz w:val="20"/>
          <w:szCs w:val="20"/>
          <w:color w:val="auto"/>
        </w:rPr>
      </w:pPr>
    </w:p>
    <w:p>
      <w:pPr>
        <w:sectPr>
          <w:pgSz w:w="11900" w:h="16838" w:orient="portrait"/>
          <w:cols w:equalWidth="0" w:num="2">
            <w:col w:w="5480" w:space="340"/>
            <w:col w:w="5320"/>
          </w:cols>
          <w:pgMar w:left="240" w:top="455" w:right="519" w:bottom="1440" w:gutter="0" w:footer="0" w:header="0"/>
          <w:type w:val="continuous"/>
        </w:sectPr>
      </w:pPr>
    </w:p>
    <w:p>
      <w:pPr>
        <w:spacing w:after="0" w:line="149"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334"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Raymond E. Scott, who became our President and CEO as of March 1, 2018.</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2018, our last completed fiscal year:</w:t>
      </w:r>
    </w:p>
    <w:p>
      <w:pPr>
        <w:spacing w:after="0" w:line="122" w:lineRule="exact"/>
        <w:rPr>
          <w:sz w:val="20"/>
          <w:szCs w:val="20"/>
          <w:color w:val="auto"/>
        </w:rPr>
      </w:pPr>
    </w:p>
    <w:p>
      <w:pPr>
        <w:ind w:left="480" w:right="180" w:hanging="194"/>
        <w:spacing w:after="0" w:line="254" w:lineRule="auto"/>
        <w:tabs>
          <w:tab w:leader="none" w:pos="4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employees of the Company (other than our CEO) was $10,063; and</w:t>
      </w:r>
    </w:p>
    <w:p>
      <w:pPr>
        <w:spacing w:after="0" w:line="103" w:lineRule="exact"/>
        <w:rPr>
          <w:rFonts w:ascii="Arial" w:cs="Arial" w:eastAsia="Arial" w:hAnsi="Arial"/>
          <w:sz w:val="16"/>
          <w:szCs w:val="16"/>
          <w:color w:val="auto"/>
        </w:rPr>
      </w:pPr>
    </w:p>
    <w:p>
      <w:pPr>
        <w:ind w:left="480" w:hanging="194"/>
        <w:spacing w:after="0"/>
        <w:tabs>
          <w:tab w:leader="none" w:pos="4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annual total compensation of our CEO was $9,936,305.</w:t>
      </w:r>
    </w:p>
    <w:p>
      <w:pPr>
        <w:spacing w:after="0" w:line="109" w:lineRule="exact"/>
        <w:rPr>
          <w:sz w:val="20"/>
          <w:szCs w:val="20"/>
          <w:color w:val="auto"/>
        </w:rPr>
      </w:pPr>
    </w:p>
    <w:p>
      <w:pPr>
        <w:jc w:val="both"/>
        <w:ind w:left="280"/>
        <w:spacing w:after="0" w:line="248" w:lineRule="auto"/>
        <w:rPr>
          <w:sz w:val="20"/>
          <w:szCs w:val="20"/>
          <w:color w:val="auto"/>
        </w:rPr>
      </w:pPr>
      <w:r>
        <w:rPr>
          <w:rFonts w:ascii="Arial" w:cs="Arial" w:eastAsia="Arial" w:hAnsi="Arial"/>
          <w:sz w:val="16"/>
          <w:szCs w:val="16"/>
          <w:color w:val="auto"/>
        </w:rPr>
        <w:t>Based on this information, for 2018, our CEO’s annual total compensation was approximately 987 times that of the annual total compensation of the median employee (as determined below).</w:t>
      </w:r>
    </w:p>
    <w:p>
      <w:pPr>
        <w:spacing w:after="0" w:line="96"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This pay ratio is a reasonable estimate calculated in good faith, in a manner consistent with Item 402(u) of Regulation S-K, based on our payroll and employment records and the methodology described below. The Securities and Exchange Commission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ratios reported by other companies may not be comparable to the pay ratio set forth above, as other companies may have different employment and compensation practices and may utilize different methodologies, exclusions, estimates and assumptions in calculating their own pay ratios.</w:t>
      </w:r>
    </w:p>
    <w:p>
      <w:pPr>
        <w:spacing w:after="0" w:line="99" w:lineRule="exact"/>
        <w:rPr>
          <w:sz w:val="20"/>
          <w:szCs w:val="20"/>
          <w:color w:val="auto"/>
        </w:rPr>
      </w:pPr>
    </w:p>
    <w:p>
      <w:pPr>
        <w:ind w:left="280" w:right="100"/>
        <w:spacing w:after="0" w:line="247" w:lineRule="auto"/>
        <w:rPr>
          <w:sz w:val="20"/>
          <w:szCs w:val="20"/>
          <w:color w:val="auto"/>
        </w:rPr>
      </w:pPr>
      <w:r>
        <w:rPr>
          <w:rFonts w:ascii="Arial" w:cs="Arial" w:eastAsia="Arial" w:hAnsi="Arial"/>
          <w:sz w:val="16"/>
          <w:szCs w:val="16"/>
          <w:color w:val="auto"/>
        </w:rPr>
        <w:t>To identify the median of the annual total compensation of all of our employees, as well as to determine the annual total compensation of the “median employee,” the methodology and the material assumptions, adjustments and estimates that we used were as follows:</w:t>
      </w:r>
    </w:p>
    <w:p>
      <w:pPr>
        <w:spacing w:after="0" w:line="108" w:lineRule="exact"/>
        <w:rPr>
          <w:sz w:val="20"/>
          <w:szCs w:val="20"/>
          <w:color w:val="auto"/>
        </w:rPr>
      </w:pPr>
    </w:p>
    <w:p>
      <w:pPr>
        <w:jc w:val="both"/>
        <w:ind w:left="600" w:right="240" w:hanging="314"/>
        <w:spacing w:after="0" w:line="248" w:lineRule="auto"/>
        <w:tabs>
          <w:tab w:leader="none" w:pos="6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accordance with Instruction 2 to Item 402(u) of Regulation S-K, because there has been no change in our employee population or employee compensation</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318" w:right="60"/>
        <w:spacing w:after="0" w:line="246" w:lineRule="auto"/>
        <w:rPr>
          <w:sz w:val="20"/>
          <w:szCs w:val="20"/>
          <w:color w:val="auto"/>
        </w:rPr>
      </w:pPr>
      <w:r>
        <w:rPr>
          <w:rFonts w:ascii="Arial" w:cs="Arial" w:eastAsia="Arial" w:hAnsi="Arial"/>
          <w:sz w:val="16"/>
          <w:szCs w:val="16"/>
          <w:color w:val="auto"/>
        </w:rPr>
        <w:t>arrangements in the past fiscal year that we reasonably believe would result in a significant change to our pay ratio disclosure, we elected to utilize the same median employee that we had identified in 2017 to calculate our 2018 CEO pay ratio. The process that we used to determine our median employee in 2017 is summarized below:</w:t>
      </w:r>
    </w:p>
    <w:p>
      <w:pPr>
        <w:spacing w:after="0" w:line="109" w:lineRule="exact"/>
        <w:rPr>
          <w:sz w:val="20"/>
          <w:szCs w:val="20"/>
          <w:color w:val="auto"/>
        </w:rPr>
      </w:pPr>
    </w:p>
    <w:p>
      <w:pPr>
        <w:ind w:left="658" w:right="220" w:hanging="338"/>
        <w:spacing w:after="0" w:line="245" w:lineRule="auto"/>
        <w:tabs>
          <w:tab w:leader="none" w:pos="658" w:val="left"/>
        </w:tabs>
        <w:numPr>
          <w:ilvl w:val="1"/>
          <w:numId w:val="113"/>
        </w:numPr>
        <w:rPr>
          <w:rFonts w:ascii="Arial" w:cs="Arial" w:eastAsia="Arial" w:hAnsi="Arial"/>
          <w:sz w:val="16"/>
          <w:szCs w:val="16"/>
          <w:color w:val="auto"/>
        </w:rPr>
      </w:pPr>
      <w:r>
        <w:rPr>
          <w:rFonts w:ascii="Arial" w:cs="Arial" w:eastAsia="Arial" w:hAnsi="Arial"/>
          <w:sz w:val="16"/>
          <w:szCs w:val="16"/>
          <w:color w:val="auto"/>
        </w:rPr>
        <w:t>We determined that, as of October 1, 2017, our employee population consisted of approximately 158,971 individuals working at the Company and its consolidated subsidiaries, with approximately 9,171 of these individuals located in the United States and approximately 149,800 of these individuals located outside of the United States.</w:t>
      </w:r>
    </w:p>
    <w:p>
      <w:pPr>
        <w:spacing w:after="0" w:line="111" w:lineRule="exact"/>
        <w:rPr>
          <w:rFonts w:ascii="Arial" w:cs="Arial" w:eastAsia="Arial" w:hAnsi="Arial"/>
          <w:sz w:val="16"/>
          <w:szCs w:val="16"/>
          <w:color w:val="auto"/>
        </w:rPr>
      </w:pPr>
    </w:p>
    <w:p>
      <w:pPr>
        <w:ind w:left="658" w:right="440" w:hanging="338"/>
        <w:spacing w:after="0" w:line="247" w:lineRule="auto"/>
        <w:tabs>
          <w:tab w:leader="none" w:pos="658" w:val="left"/>
        </w:tabs>
        <w:numPr>
          <w:ilvl w:val="1"/>
          <w:numId w:val="113"/>
        </w:numPr>
        <w:rPr>
          <w:rFonts w:ascii="Arial" w:cs="Arial" w:eastAsia="Arial" w:hAnsi="Arial"/>
          <w:sz w:val="16"/>
          <w:szCs w:val="16"/>
          <w:color w:val="auto"/>
        </w:rPr>
      </w:pPr>
      <w:r>
        <w:rPr>
          <w:rFonts w:ascii="Arial" w:cs="Arial" w:eastAsia="Arial" w:hAnsi="Arial"/>
          <w:sz w:val="16"/>
          <w:szCs w:val="16"/>
          <w:color w:val="auto"/>
        </w:rPr>
        <w:t>We employed a proportionate stratified statistical sampling methodology to help simplify the identification of the median employee. The sample size used was approximately 1,590 employees.</w:t>
      </w:r>
    </w:p>
    <w:p>
      <w:pPr>
        <w:spacing w:after="0" w:line="108" w:lineRule="exact"/>
        <w:rPr>
          <w:rFonts w:ascii="Arial" w:cs="Arial" w:eastAsia="Arial" w:hAnsi="Arial"/>
          <w:sz w:val="16"/>
          <w:szCs w:val="16"/>
          <w:color w:val="auto"/>
        </w:rPr>
      </w:pPr>
    </w:p>
    <w:p>
      <w:pPr>
        <w:ind w:left="658" w:right="40" w:hanging="338"/>
        <w:spacing w:after="0" w:line="245" w:lineRule="auto"/>
        <w:tabs>
          <w:tab w:leader="none" w:pos="658" w:val="left"/>
        </w:tabs>
        <w:numPr>
          <w:ilvl w:val="1"/>
          <w:numId w:val="113"/>
        </w:numPr>
        <w:rPr>
          <w:rFonts w:ascii="Arial" w:cs="Arial" w:eastAsia="Arial" w:hAnsi="Arial"/>
          <w:sz w:val="16"/>
          <w:szCs w:val="16"/>
          <w:color w:val="auto"/>
        </w:rPr>
      </w:pPr>
      <w:r>
        <w:rPr>
          <w:rFonts w:ascii="Arial" w:cs="Arial" w:eastAsia="Arial" w:hAnsi="Arial"/>
          <w:sz w:val="16"/>
          <w:szCs w:val="16"/>
          <w:color w:val="auto"/>
        </w:rPr>
        <w:t>We utilized 2017 base pay as our consistently applied compensation measure to identify the median employee from our employee population, which we applied to all employees included in our analysis. We did not make any cost of living adjustments in identifying the median employee. Using this methodology, we determined that the median employee was an hourly employee located outside of the United States.</w:t>
      </w:r>
    </w:p>
    <w:p>
      <w:pPr>
        <w:spacing w:after="0" w:line="110" w:lineRule="exact"/>
        <w:rPr>
          <w:rFonts w:ascii="Arial" w:cs="Arial" w:eastAsia="Arial" w:hAnsi="Arial"/>
          <w:sz w:val="16"/>
          <w:szCs w:val="16"/>
          <w:color w:val="auto"/>
        </w:rPr>
      </w:pPr>
    </w:p>
    <w:p>
      <w:pPr>
        <w:ind w:left="318" w:right="500" w:hanging="318"/>
        <w:spacing w:after="0" w:line="246" w:lineRule="auto"/>
        <w:tabs>
          <w:tab w:leader="none" w:pos="31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With respect to the annual total compensation of the median employee, we identified and calculated the elements of such employee’s compensation for 2018 in accordance with the requirements of Item 402(c)(2)(x) of Regulation S-K, resulting in annual total compensation of $10,063.</w:t>
      </w:r>
    </w:p>
    <w:p>
      <w:pPr>
        <w:spacing w:after="0" w:line="109" w:lineRule="exact"/>
        <w:rPr>
          <w:rFonts w:ascii="Arial" w:cs="Arial" w:eastAsia="Arial" w:hAnsi="Arial"/>
          <w:sz w:val="16"/>
          <w:szCs w:val="16"/>
          <w:color w:val="auto"/>
        </w:rPr>
      </w:pPr>
    </w:p>
    <w:p>
      <w:pPr>
        <w:ind w:left="318" w:right="60" w:hanging="318"/>
        <w:spacing w:after="0" w:line="246" w:lineRule="auto"/>
        <w:tabs>
          <w:tab w:leader="none" w:pos="31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With respect to the annual total compensation of our CEO, we used the amount reported in the “Total” column (column (j)) of our 2018 Summary Compensation Table included in this proxy statement and incorporated by reference under Item 11 of Part III of our 2018 Annual Report on Form 10-K.</w:t>
      </w:r>
    </w:p>
    <w:p>
      <w:pPr>
        <w:spacing w:after="0" w:line="573" w:lineRule="exact"/>
        <w:rPr>
          <w:sz w:val="20"/>
          <w:szCs w:val="20"/>
          <w:color w:val="auto"/>
        </w:rPr>
      </w:pPr>
    </w:p>
    <w:p>
      <w:pPr>
        <w:sectPr>
          <w:pgSz w:w="11900" w:h="16838" w:orient="portrait"/>
          <w:cols w:equalWidth="0" w:num="2">
            <w:col w:w="5500" w:space="322"/>
            <w:col w:w="5318"/>
          </w:cols>
          <w:pgMar w:left="240" w:top="455" w:right="519" w:bottom="1440" w:gutter="0" w:footer="0" w:header="0"/>
          <w:type w:val="continuous"/>
        </w:sectPr>
      </w:pPr>
    </w:p>
    <w:p>
      <w:pPr>
        <w:spacing w:after="0" w:line="57"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59</w:t>
      </w:r>
    </w:p>
    <w:p>
      <w:pPr>
        <w:sectPr>
          <w:pgSz w:w="11900" w:h="16838" w:orient="portrait"/>
          <w:cols w:equalWidth="0" w:num="1">
            <w:col w:w="11140"/>
          </w:cols>
          <w:pgMar w:left="240" w:top="455" w:right="51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280" w:right="1540"/>
        <w:spacing w:after="0" w:line="280" w:lineRule="auto"/>
        <w:rPr>
          <w:sz w:val="20"/>
          <w:szCs w:val="20"/>
          <w:color w:val="auto"/>
        </w:rPr>
      </w:pPr>
      <w:r>
        <w:rPr>
          <w:rFonts w:ascii="Arial" w:cs="Arial" w:eastAsia="Arial" w:hAnsi="Arial"/>
          <w:sz w:val="39"/>
          <w:szCs w:val="39"/>
          <w:b w:val="1"/>
          <w:bCs w:val="1"/>
          <w:color w:val="E2231A"/>
        </w:rPr>
        <w:t>COMPENSATION COMMITTEE INTERLOCKS AND INSIDER PARTICIPATION</w:t>
      </w:r>
    </w:p>
    <w:p>
      <w:pPr>
        <w:spacing w:after="0" w:line="118" w:lineRule="exact"/>
        <w:rPr>
          <w:sz w:val="20"/>
          <w:szCs w:val="20"/>
          <w:color w:val="auto"/>
        </w:rPr>
      </w:pPr>
    </w:p>
    <w:p>
      <w:pPr>
        <w:ind w:left="280"/>
        <w:spacing w:after="0" w:line="248" w:lineRule="auto"/>
        <w:rPr>
          <w:sz w:val="20"/>
          <w:szCs w:val="20"/>
          <w:color w:val="auto"/>
        </w:rPr>
      </w:pPr>
      <w:r>
        <w:rPr>
          <w:rFonts w:ascii="Arial" w:cs="Arial" w:eastAsia="Arial" w:hAnsi="Arial"/>
          <w:sz w:val="16"/>
          <w:szCs w:val="16"/>
          <w:color w:val="auto"/>
        </w:rPr>
        <w:t>The following persons served on our Compensation Committee during all or a portion of 2018: Dr. Jepsen, Ms. Ligocki and Messrs. Bott, Capo, Mallett and Runkle. No member of the Compensation Committee was, during the fiscal year ended December 31, 2018, an officer, former officer or employee of the Company or any of our subsidiaries. None of our executive officers served as a member of:</w:t>
      </w:r>
    </w:p>
    <w:p>
      <w:pPr>
        <w:spacing w:after="0" w:line="109" w:lineRule="exact"/>
        <w:rPr>
          <w:sz w:val="20"/>
          <w:szCs w:val="20"/>
          <w:color w:val="auto"/>
        </w:rPr>
      </w:pPr>
    </w:p>
    <w:p>
      <w:pPr>
        <w:ind w:left="500" w:hanging="220"/>
        <w:spacing w:after="0"/>
        <w:tabs>
          <w:tab w:leader="none" w:pos="5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on our Compensation Committee;</w:t>
      </w:r>
    </w:p>
    <w:p>
      <w:pPr>
        <w:spacing w:after="0" w:line="122" w:lineRule="exact"/>
        <w:rPr>
          <w:rFonts w:ascii="Arial" w:cs="Arial" w:eastAsia="Arial" w:hAnsi="Arial"/>
          <w:sz w:val="16"/>
          <w:szCs w:val="16"/>
          <w:color w:val="auto"/>
        </w:rPr>
      </w:pPr>
    </w:p>
    <w:p>
      <w:pPr>
        <w:ind w:left="500" w:hanging="220"/>
        <w:spacing w:after="0"/>
        <w:tabs>
          <w:tab w:leader="none" w:pos="5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board of directors of another entity in which one of the executive officers of such entity served on our Compensation Committee; or</w:t>
      </w:r>
    </w:p>
    <w:p>
      <w:pPr>
        <w:spacing w:after="0" w:line="122" w:lineRule="exact"/>
        <w:rPr>
          <w:rFonts w:ascii="Arial" w:cs="Arial" w:eastAsia="Arial" w:hAnsi="Arial"/>
          <w:sz w:val="16"/>
          <w:szCs w:val="16"/>
          <w:color w:val="auto"/>
        </w:rPr>
      </w:pPr>
    </w:p>
    <w:p>
      <w:pPr>
        <w:ind w:left="500" w:hanging="220"/>
        <w:spacing w:after="0"/>
        <w:tabs>
          <w:tab w:leader="none" w:pos="5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as a member of our Board.</w:t>
      </w:r>
    </w:p>
    <w:p>
      <w:pPr>
        <w:spacing w:after="0" w:line="124" w:lineRule="exact"/>
        <w:rPr>
          <w:sz w:val="20"/>
          <w:szCs w:val="20"/>
          <w:color w:val="auto"/>
        </w:rPr>
      </w:pPr>
    </w:p>
    <w:p>
      <w:pPr>
        <w:ind w:left="740" w:hanging="359"/>
        <w:spacing w:after="0"/>
        <w:tabs>
          <w:tab w:leader="none" w:pos="7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040"/>
          </w:cols>
          <w:pgMar w:left="240" w:top="455" w:right="6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280"/>
        <w:spacing w:after="0"/>
        <w:rPr>
          <w:sz w:val="20"/>
          <w:szCs w:val="20"/>
          <w:color w:val="auto"/>
        </w:rPr>
      </w:pPr>
      <w:r>
        <w:rPr>
          <w:rFonts w:ascii="Arial" w:cs="Arial" w:eastAsia="Arial" w:hAnsi="Arial"/>
          <w:sz w:val="39"/>
          <w:szCs w:val="39"/>
          <w:b w:val="1"/>
          <w:bCs w:val="1"/>
          <w:color w:val="E2231A"/>
        </w:rPr>
        <w:t>COMPENSATION COMMITTEE REPORT</w:t>
      </w:r>
    </w:p>
    <w:p>
      <w:pPr>
        <w:spacing w:after="0" w:line="263" w:lineRule="exact"/>
        <w:rPr>
          <w:sz w:val="20"/>
          <w:szCs w:val="20"/>
          <w:color w:val="auto"/>
        </w:rPr>
      </w:pPr>
    </w:p>
    <w:p>
      <w:pPr>
        <w:ind w:left="280" w:right="60"/>
        <w:spacing w:after="0" w:line="246"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w:t>
      </w:r>
    </w:p>
    <w:p>
      <w:pPr>
        <w:spacing w:after="0" w:line="203" w:lineRule="exact"/>
        <w:rPr>
          <w:sz w:val="20"/>
          <w:szCs w:val="20"/>
          <w:color w:val="auto"/>
        </w:rPr>
      </w:pPr>
    </w:p>
    <w:p>
      <w:pPr>
        <w:ind w:left="280"/>
        <w:spacing w:after="0" w:line="273" w:lineRule="auto"/>
        <w:rPr>
          <w:sz w:val="20"/>
          <w:szCs w:val="20"/>
          <w:color w:val="auto"/>
        </w:rPr>
      </w:pPr>
      <w:r>
        <w:rPr>
          <w:rFonts w:ascii="Arial" w:cs="Arial" w:eastAsia="Arial" w:hAnsi="Arial"/>
          <w:sz w:val="15"/>
          <w:szCs w:val="15"/>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 and the Annual Report on Form 10-K for the year ended December 31, 2018.</w:t>
      </w:r>
    </w:p>
    <w:p>
      <w:pPr>
        <w:spacing w:after="0" w:line="184" w:lineRule="exact"/>
        <w:rPr>
          <w:sz w:val="20"/>
          <w:szCs w:val="20"/>
          <w:color w:val="auto"/>
        </w:rPr>
      </w:pPr>
    </w:p>
    <w:p>
      <w:pPr>
        <w:ind w:left="280" w:right="720"/>
        <w:spacing w:after="0" w:line="254" w:lineRule="auto"/>
        <w:rPr>
          <w:sz w:val="20"/>
          <w:szCs w:val="20"/>
          <w:color w:val="auto"/>
        </w:rPr>
      </w:pPr>
      <w:r>
        <w:rPr>
          <w:rFonts w:ascii="Arial" w:cs="Arial" w:eastAsia="Arial" w:hAnsi="Arial"/>
          <w:sz w:val="16"/>
          <w:szCs w:val="16"/>
          <w:color w:val="auto"/>
        </w:rPr>
        <w:t>This Report is submitted by Dr. Jepsen, Ms. Ligocki and Messrs. Bott, Capo and Mallett, being all of the current members of the Compensation Committee.</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Thomas P. Capo, Chairman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Richard H. Bott</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Mary Lou Jepsen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Kathleen A. Ligocki</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Conrad L. Mallett, Jr.</w:t>
      </w:r>
    </w:p>
    <w:p>
      <w:pPr>
        <w:spacing w:after="0" w:line="124"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61</w:t>
      </w:r>
    </w:p>
    <w:p>
      <w:pPr>
        <w:sectPr>
          <w:pgSz w:w="11900" w:h="16838" w:orient="portrait"/>
          <w:cols w:equalWidth="0" w:num="1">
            <w:col w:w="11080"/>
          </w:cols>
          <w:pgMar w:left="240" w:top="455" w:right="5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280"/>
        <w:spacing w:after="0"/>
        <w:rPr>
          <w:sz w:val="20"/>
          <w:szCs w:val="20"/>
          <w:color w:val="auto"/>
        </w:rPr>
      </w:pPr>
      <w:r>
        <w:rPr>
          <w:rFonts w:ascii="Arial" w:cs="Arial" w:eastAsia="Arial" w:hAnsi="Arial"/>
          <w:sz w:val="39"/>
          <w:szCs w:val="39"/>
          <w:b w:val="1"/>
          <w:bCs w:val="1"/>
          <w:color w:val="E2231A"/>
        </w:rPr>
        <w:t>AUDIT COMMITTEE REPORT</w:t>
      </w:r>
    </w:p>
    <w:p>
      <w:pPr>
        <w:sectPr>
          <w:pgSz w:w="11900" w:h="16838" w:orient="portrait"/>
          <w:cols w:equalWidth="0" w:num="1">
            <w:col w:w="11140"/>
          </w:cols>
          <w:pgMar w:left="240" w:top="455" w:right="519" w:bottom="1440" w:gutter="0" w:footer="0" w:header="0"/>
        </w:sectPr>
      </w:pPr>
    </w:p>
    <w:p>
      <w:pPr>
        <w:spacing w:after="0" w:line="343" w:lineRule="exact"/>
        <w:rPr>
          <w:sz w:val="20"/>
          <w:szCs w:val="20"/>
          <w:color w:val="auto"/>
        </w:rPr>
      </w:pPr>
    </w:p>
    <w:p>
      <w:pPr>
        <w:ind w:left="280" w:right="160"/>
        <w:spacing w:after="0" w:line="244"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or the Exchange Act, except to the extent that we specifically incorporate it by reference in such filing.</w:t>
      </w:r>
    </w:p>
    <w:p>
      <w:pPr>
        <w:spacing w:after="0" w:line="101" w:lineRule="exact"/>
        <w:rPr>
          <w:sz w:val="20"/>
          <w:szCs w:val="20"/>
          <w:color w:val="auto"/>
        </w:rPr>
      </w:pPr>
    </w:p>
    <w:p>
      <w:pPr>
        <w:ind w:left="280" w:right="60"/>
        <w:spacing w:after="0" w:line="244" w:lineRule="auto"/>
        <w:rPr>
          <w:sz w:val="20"/>
          <w:szCs w:val="20"/>
          <w:color w:val="auto"/>
        </w:rPr>
      </w:pPr>
      <w:r>
        <w:rPr>
          <w:rFonts w:ascii="Arial" w:cs="Arial" w:eastAsia="Arial" w:hAnsi="Arial"/>
          <w:sz w:val="16"/>
          <w:szCs w:val="16"/>
          <w:color w:val="auto"/>
        </w:rPr>
        <w:t>The Audit Committee of the Board is responsible for evaluating audit performance, appointing, compensating, retaining and overseeing the work of our independent registered public accounting firm and evaluating policies and procedures relating to internal accounting functions and controls. The Audit Committee also oversees the audit fee negotiations associated with the retention of Ernst &amp; Young LLP. The Audit Committee has discussed the advantages and disadvantages of independent registered public accounting firm rotation. Further, in connection with the periodic mandated rotation of the independent registered public accounting firm’s lead engagement partner, the Audit Committee is involved in the selection of Ernst &amp; Young LLP’s lead engagement partner.</w:t>
      </w:r>
    </w:p>
    <w:p>
      <w:pPr>
        <w:spacing w:after="0" w:line="100"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The Audit Committee is currently comprised of Messrs. Foster, Bott, Capo and Smith, each a non-employee director, and operates under a written charter that was last amended by our Board in February 2018. A copy of the current charter is available on our website (www.lear.com) or in printed form upon request. Our Board has determined that all of the members of the Audit Committee are independent as defined in the listing standards of the NYSE and under Rule 10A-3 of the Exchange Act and that all such members are financially literate. Our Board also has determined that all members of the Audit Committee are audit committee financial experts as defined in Item 407(D) of Regulation S-K under the Exchange Act and have accounting or related financial management expertise.</w:t>
      </w:r>
    </w:p>
    <w:p>
      <w:pPr>
        <w:spacing w:after="0" w:line="100" w:lineRule="exact"/>
        <w:rPr>
          <w:sz w:val="20"/>
          <w:szCs w:val="20"/>
          <w:color w:val="auto"/>
        </w:rPr>
      </w:pPr>
    </w:p>
    <w:p>
      <w:pPr>
        <w:ind w:left="280" w:right="40"/>
        <w:spacing w:after="0" w:line="245" w:lineRule="auto"/>
        <w:rPr>
          <w:sz w:val="20"/>
          <w:szCs w:val="20"/>
          <w:color w:val="auto"/>
        </w:rPr>
      </w:pPr>
      <w:r>
        <w:rPr>
          <w:rFonts w:ascii="Arial" w:cs="Arial" w:eastAsia="Arial" w:hAnsi="Arial"/>
          <w:sz w:val="16"/>
          <w:szCs w:val="16"/>
          <w:color w:val="auto"/>
        </w:rPr>
        <w:t>The Audit Committee members are neither professional accountants nor auditors, and their functions are not intended to duplicate or to certify the activities of management or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it receives, discussions with management and the auditors 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consolidated financial statements included in the Annual Report on Form 10-K for the fiscal year ended December 31, 2018, as well as the report of management, for the year ended December 31, 2018, regarding the Company’s internal control over financial reporting required by Section 404 of the Sarbanes-Oxley Act.</w:t>
      </w:r>
    </w:p>
    <w:p>
      <w:pPr>
        <w:spacing w:after="0" w:line="100"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Audit Committee has retained Ernst &amp; Young LLP as the Company’s independent registered public accounting firm for 2019. Ernst &amp; Young LLP has been the independent registered public accounting firm for the Company since 2002. The members of the Audit Committee and the Board believe that the continued retention of Ernst &amp; Young LLP to serve as the Company’s independent registered public accounting firm is in the best interests of the Company and its stockholders. In reaching this conclusion, the Audit Committee considered Ernst &amp; Young LLP’s integrity, controls and processes to ensure Ernst &amp; Young LLP’s independence, objectivity, industry and company-specific experience, quality and effectiveness of personnel and communications, commitment to serving the Company, appropriateness of fees for audit and non-audit services and external data on audit quality and performance, including recent Public Company Accounting Oversight Board (United States) (PCAOB) reports on Ernst &amp; Young LLP and tenure as the Company’s auditors, including the benefits of having a long-tenured auditor.</w:t>
      </w:r>
    </w:p>
    <w:p>
      <w:pPr>
        <w:spacing w:after="0" w:line="110"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The Audit Committee has discussed with the Company’s internal auditors and Ernst &amp; Young LLP the overall scope and plans of their respective audits. The Audit Committee meets with the Company’s internal auditors and Ernst &amp; Young LLP, with and without management present, to discuss the results of their procedures, their evaluations of the Company’s internal control, including internal control over financial reporting, and the overall quality of the Company’s financial reporting.</w:t>
      </w:r>
    </w:p>
    <w:p>
      <w:pPr>
        <w:spacing w:after="0" w:line="97"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 xml:space="preserve">The Audit Committee reviewed with Ernst &amp; Young LLP, its judgments as to the quality, not just the acceptability, of the Company’s accounting policies and such other matters as are required to be discussed with the Audit Committee by the Standards of the PCAOB, including PCAOB Auditing Standard No. 16, </w:t>
      </w:r>
      <w:r>
        <w:rPr>
          <w:rFonts w:ascii="Arial" w:cs="Arial" w:eastAsia="Arial" w:hAnsi="Arial"/>
          <w:sz w:val="16"/>
          <w:szCs w:val="16"/>
          <w:i w:val="1"/>
          <w:iCs w:val="1"/>
          <w:color w:val="auto"/>
        </w:rPr>
        <w:t>Communications With Audit Committees,</w:t>
      </w:r>
    </w:p>
    <w:p>
      <w:pPr>
        <w:spacing w:after="0" w:line="385" w:lineRule="exact"/>
        <w:rPr>
          <w:sz w:val="20"/>
          <w:szCs w:val="20"/>
          <w:color w:val="auto"/>
        </w:rPr>
      </w:pPr>
    </w:p>
    <w:p>
      <w:pPr>
        <w:sectPr>
          <w:pgSz w:w="11900" w:h="16838" w:orient="portrait"/>
          <w:cols w:equalWidth="0" w:num="2">
            <w:col w:w="5500" w:space="320"/>
            <w:col w:w="5320"/>
          </w:cols>
          <w:pgMar w:left="240" w:top="455" w:right="519" w:bottom="1440" w:gutter="0" w:footer="0" w:header="0"/>
          <w:type w:val="continuous"/>
        </w:sectPr>
      </w:pPr>
    </w:p>
    <w:p>
      <w:pPr>
        <w:spacing w:after="0" w:line="59" w:lineRule="exact"/>
        <w:rPr>
          <w:sz w:val="20"/>
          <w:szCs w:val="20"/>
          <w:color w:val="auto"/>
        </w:rPr>
      </w:pPr>
    </w:p>
    <w:p>
      <w:pPr>
        <w:ind w:left="740" w:hanging="359"/>
        <w:spacing w:after="0"/>
        <w:tabs>
          <w:tab w:leader="none" w:pos="7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240" w:top="455" w:right="51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0"/>
        <w:spacing w:after="0" w:line="263" w:lineRule="auto"/>
        <w:rPr>
          <w:sz w:val="20"/>
          <w:szCs w:val="20"/>
          <w:color w:val="auto"/>
        </w:rPr>
      </w:pPr>
      <w:r>
        <w:rPr>
          <w:rFonts w:ascii="Arial" w:cs="Arial" w:eastAsia="Arial" w:hAnsi="Arial"/>
          <w:sz w:val="15"/>
          <w:szCs w:val="15"/>
          <w:color w:val="auto"/>
        </w:rPr>
        <w:t>the rules of the SEC, and other applicable regulations. The Audit Committee has also received written disclosures and the letter from Ernst &amp; Young LLP required by applicable requirements of the PCAOB regarding Ernst &amp; Young LLP’s communications with the Audit Committee concerning independence and has discussed with Ernst &amp; Young LLP its independence from the Company. The Audit Committee has considered whether the provision of non-audit services to the Company is compatible with maintaining the independence of Ernst &amp; Young LLP.</w:t>
      </w:r>
    </w:p>
    <w:p>
      <w:pPr>
        <w:spacing w:after="0" w:line="86" w:lineRule="exact"/>
        <w:rPr>
          <w:sz w:val="20"/>
          <w:szCs w:val="20"/>
          <w:color w:val="auto"/>
        </w:rPr>
      </w:pPr>
    </w:p>
    <w:p>
      <w:pPr>
        <w:ind w:left="280" w:right="580"/>
        <w:spacing w:after="0" w:line="254"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that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3240"/>
        <w:spacing w:after="0"/>
        <w:rPr>
          <w:sz w:val="20"/>
          <w:szCs w:val="20"/>
          <w:color w:val="auto"/>
        </w:rPr>
      </w:pPr>
      <w:r>
        <w:rPr>
          <w:rFonts w:ascii="Arial" w:cs="Arial" w:eastAsia="Arial" w:hAnsi="Arial"/>
          <w:sz w:val="15"/>
          <w:szCs w:val="15"/>
          <w:b w:val="1"/>
          <w:bCs w:val="1"/>
          <w:u w:val="single" w:color="auto"/>
          <w:color w:val="E2231A"/>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-628015</wp:posOffset>
            </wp:positionV>
            <wp:extent cx="7291070"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190"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Company’s audited consolidated financial statements be included in the Company’s Annual Report on Form 10-K for the fiscal year ended December 31, 2018, filed with the SEC on February 5, 2019.</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This Report is submitted by Messrs. Foster, Bott, Capo and Smith, being all of the members of the Audit Committee.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Jonathan F. Foster, Chairman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Richard H. Bott</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Thomas P. Capo</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Gregory C. Smith</w:t>
      </w:r>
    </w:p>
    <w:p>
      <w:pPr>
        <w:spacing w:after="0" w:line="271" w:lineRule="exact"/>
        <w:rPr>
          <w:sz w:val="20"/>
          <w:szCs w:val="20"/>
          <w:color w:val="auto"/>
        </w:rPr>
      </w:pPr>
    </w:p>
    <w:p>
      <w:pPr>
        <w:ind w:left="3120"/>
        <w:spacing w:after="0"/>
        <w:tabs>
          <w:tab w:leader="none" w:pos="4800" w:val="left"/>
          <w:tab w:leader="none" w:pos="502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63</w:t>
      </w:r>
    </w:p>
    <w:p>
      <w:pPr>
        <w:sectPr>
          <w:pgSz w:w="11900" w:h="16838" w:orient="portrait"/>
          <w:cols w:equalWidth="0" w:num="2">
            <w:col w:w="5480" w:space="340"/>
            <w:col w:w="5320"/>
          </w:cols>
          <w:pgMar w:left="240" w:top="455"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280"/>
        <w:spacing w:after="0"/>
        <w:rPr>
          <w:sz w:val="20"/>
          <w:szCs w:val="20"/>
          <w:color w:val="auto"/>
        </w:rPr>
      </w:pPr>
      <w:r>
        <w:rPr>
          <w:rFonts w:ascii="Arial" w:cs="Arial" w:eastAsia="Arial" w:hAnsi="Arial"/>
          <w:sz w:val="38"/>
          <w:szCs w:val="38"/>
          <w:b w:val="1"/>
          <w:bCs w:val="1"/>
          <w:color w:val="E2231A"/>
        </w:rPr>
        <w:t>FEES OF INDEPENDENT ACCOUNTANTS</w:t>
      </w:r>
    </w:p>
    <w:p>
      <w:pPr>
        <w:sectPr>
          <w:pgSz w:w="11900" w:h="16838" w:orient="portrait"/>
          <w:cols w:equalWidth="0" w:num="1">
            <w:col w:w="11160"/>
          </w:cols>
          <w:pgMar w:left="240" w:top="455" w:right="499" w:bottom="1440" w:gutter="0" w:footer="0" w:header="0"/>
        </w:sectPr>
      </w:pPr>
    </w:p>
    <w:p>
      <w:pPr>
        <w:spacing w:after="0" w:line="355"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In addition to retaining Ernst &amp; Young LLP to audit our consolidated financial statements for 2018, we retained Ernst &amp;Young LLP, as well as other accounting firms, to provide tax and other advisory services in 2018. We understand the need for Ernst &amp; Young LLP to maintain objectivity and independence in its audit of our consolidated financial statements. It is also the Audit Committee’s goal that the fees that the Company pays to Ernst &amp; Young LLP for permitted non-audit services in any year should not exceed the audit and audit-related fees paid to Ernst &amp; Young LLP in such year, a goal that the Company achieved in 2018 and 2017.</w:t>
      </w:r>
    </w:p>
    <w:p>
      <w:pPr>
        <w:spacing w:after="0" w:line="101" w:lineRule="exact"/>
        <w:rPr>
          <w:sz w:val="20"/>
          <w:szCs w:val="20"/>
          <w:color w:val="auto"/>
        </w:rPr>
      </w:pPr>
    </w:p>
    <w:p>
      <w:pPr>
        <w:ind w:left="280" w:right="40"/>
        <w:spacing w:after="0" w:line="246" w:lineRule="auto"/>
        <w:rPr>
          <w:sz w:val="20"/>
          <w:szCs w:val="20"/>
          <w:color w:val="auto"/>
        </w:rPr>
      </w:pPr>
      <w:r>
        <w:rPr>
          <w:rFonts w:ascii="Arial" w:cs="Arial" w:eastAsia="Arial" w:hAnsi="Arial"/>
          <w:sz w:val="16"/>
          <w:szCs w:val="16"/>
          <w:color w:val="auto"/>
        </w:rPr>
        <w:t>In order to assure that the provision of audit and permitted non-audit services provided by Ernst &amp; Young LLP, our independent registered public accounting firm, does not impair its independence, the Audit Committee is required to pre-approve the audit and permitted non-audit services to be</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performed by Ernst &amp; Young LLP, other than de minimis services that satisfy the requirements pertaining to de minimis exceptions for non-audit services described in Section 10A of the Exchange Act. The Audit Committee also has adopted policies and procedures for pre-approving all audit and permitted non-audit work performed by Ernst &amp; Young LLP. Any pre-approval must set forth in detail the particular service or category of services approved and is generally subject to a specific cost limit. All of the fees for audit, audit-related, tax and other services performed by Ernst &amp; Young LLP were pre-approved by the Audit Committee in accordance with the pre-approval policies and procedures described in this paragraph.</w:t>
      </w:r>
    </w:p>
    <w:p>
      <w:pPr>
        <w:spacing w:after="0" w:line="101"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The Audit Committee has adopted policies regarding our ability to hire employees, former employees and certain relatives of employees of the Company’s independent registered public accounting firm.</w:t>
      </w:r>
    </w:p>
    <w:p>
      <w:pPr>
        <w:spacing w:after="0" w:line="572" w:lineRule="exact"/>
        <w:rPr>
          <w:sz w:val="20"/>
          <w:szCs w:val="20"/>
          <w:color w:val="auto"/>
        </w:rPr>
      </w:pPr>
    </w:p>
    <w:p>
      <w:pPr>
        <w:sectPr>
          <w:pgSz w:w="11900" w:h="16838" w:orient="portrait"/>
          <w:cols w:equalWidth="0" w:num="2">
            <w:col w:w="5360" w:space="460"/>
            <w:col w:w="5340"/>
          </w:cols>
          <w:pgMar w:left="240" w:top="455" w:right="499" w:bottom="1440" w:gutter="0" w:footer="0" w:header="0"/>
          <w:type w:val="continuous"/>
        </w:sectPr>
      </w:pP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During 2018 and 2017, we retained Ernst &amp; Young LLP to provide services in the following categories and amounts (in thousands):</w:t>
      </w:r>
    </w:p>
    <w:p>
      <w:pPr>
        <w:spacing w:after="0" w:line="227"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518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E2231A"/>
              </w:rPr>
              <w:t>2018</w:t>
            </w:r>
          </w:p>
        </w:tc>
        <w:tc>
          <w:tcPr>
            <w:tcW w:w="11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E2231A"/>
              </w:rPr>
              <w:t>2017</w:t>
            </w:r>
          </w:p>
        </w:tc>
      </w:tr>
      <w:tr>
        <w:trPr>
          <w:trHeight w:val="180"/>
        </w:trPr>
        <w:tc>
          <w:tcPr>
            <w:tcW w:w="5180" w:type="dxa"/>
            <w:vAlign w:val="bottom"/>
            <w:shd w:val="clear" w:color="auto" w:fill="FCE9E8"/>
          </w:tcPr>
          <w:p>
            <w:pPr>
              <w:ind w:left="80"/>
              <w:spacing w:after="0" w:line="180" w:lineRule="exact"/>
              <w:rPr>
                <w:sz w:val="20"/>
                <w:szCs w:val="20"/>
                <w:color w:val="auto"/>
              </w:rPr>
            </w:pPr>
            <w:r>
              <w:rPr>
                <w:rFonts w:ascii="Arial" w:cs="Arial" w:eastAsia="Arial" w:hAnsi="Arial"/>
                <w:sz w:val="13"/>
                <w:szCs w:val="13"/>
                <w:color w:val="auto"/>
              </w:rPr>
              <w:t>Audit fees</w:t>
            </w:r>
            <w:r>
              <w:rPr>
                <w:rFonts w:ascii="Arial" w:cs="Arial" w:eastAsia="Arial" w:hAnsi="Arial"/>
                <w:sz w:val="20"/>
                <w:szCs w:val="20"/>
                <w:color w:val="auto"/>
                <w:vertAlign w:val="superscript"/>
              </w:rPr>
              <w:t>(1)</w:t>
            </w:r>
          </w:p>
        </w:tc>
        <w:tc>
          <w:tcPr>
            <w:tcW w:w="4520" w:type="dxa"/>
            <w:vAlign w:val="bottom"/>
            <w:shd w:val="clear" w:color="auto" w:fill="FCE9E8"/>
          </w:tcPr>
          <w:p>
            <w:pPr>
              <w:jc w:val="right"/>
              <w:ind w:right="202"/>
              <w:spacing w:after="0" w:line="180" w:lineRule="exact"/>
              <w:rPr>
                <w:sz w:val="20"/>
                <w:szCs w:val="20"/>
                <w:color w:val="auto"/>
              </w:rPr>
            </w:pPr>
            <w:r>
              <w:rPr>
                <w:rFonts w:ascii="Arial" w:cs="Arial" w:eastAsia="Arial" w:hAnsi="Arial"/>
                <w:sz w:val="16"/>
                <w:szCs w:val="16"/>
                <w:color w:val="auto"/>
              </w:rPr>
              <w:t>$10,672</w:t>
            </w:r>
          </w:p>
        </w:tc>
        <w:tc>
          <w:tcPr>
            <w:tcW w:w="1180" w:type="dxa"/>
            <w:vAlign w:val="bottom"/>
            <w:shd w:val="clear" w:color="auto" w:fill="FCE9E8"/>
          </w:tcPr>
          <w:p>
            <w:pPr>
              <w:jc w:val="right"/>
              <w:ind w:right="262"/>
              <w:spacing w:after="0" w:line="180" w:lineRule="exact"/>
              <w:rPr>
                <w:sz w:val="20"/>
                <w:szCs w:val="20"/>
                <w:color w:val="auto"/>
              </w:rPr>
            </w:pPr>
            <w:r>
              <w:rPr>
                <w:rFonts w:ascii="Arial" w:cs="Arial" w:eastAsia="Arial" w:hAnsi="Arial"/>
                <w:sz w:val="16"/>
                <w:szCs w:val="16"/>
                <w:color w:val="auto"/>
              </w:rPr>
              <w:t>$10,327</w:t>
            </w:r>
          </w:p>
        </w:tc>
      </w:tr>
      <w:tr>
        <w:trPr>
          <w:trHeight w:val="186"/>
        </w:trPr>
        <w:tc>
          <w:tcPr>
            <w:tcW w:w="5180" w:type="dxa"/>
            <w:vAlign w:val="bottom"/>
          </w:tcPr>
          <w:p>
            <w:pPr>
              <w:ind w:left="80"/>
              <w:spacing w:after="0" w:line="187" w:lineRule="exact"/>
              <w:rPr>
                <w:sz w:val="20"/>
                <w:szCs w:val="20"/>
                <w:color w:val="auto"/>
              </w:rPr>
            </w:pPr>
            <w:r>
              <w:rPr>
                <w:rFonts w:ascii="Arial" w:cs="Arial" w:eastAsia="Arial" w:hAnsi="Arial"/>
                <w:sz w:val="13"/>
                <w:szCs w:val="13"/>
                <w:color w:val="auto"/>
              </w:rPr>
              <w:t>Audit-related fees</w:t>
            </w:r>
            <w:r>
              <w:rPr>
                <w:rFonts w:ascii="Arial" w:cs="Arial" w:eastAsia="Arial" w:hAnsi="Arial"/>
                <w:sz w:val="21"/>
                <w:szCs w:val="21"/>
                <w:color w:val="auto"/>
                <w:vertAlign w:val="superscript"/>
              </w:rPr>
              <w:t>(2)</w:t>
            </w:r>
          </w:p>
        </w:tc>
        <w:tc>
          <w:tcPr>
            <w:tcW w:w="4520" w:type="dxa"/>
            <w:vAlign w:val="bottom"/>
          </w:tcPr>
          <w:p>
            <w:pPr>
              <w:jc w:val="right"/>
              <w:ind w:right="202"/>
              <w:spacing w:after="0"/>
              <w:rPr>
                <w:sz w:val="20"/>
                <w:szCs w:val="20"/>
                <w:color w:val="auto"/>
              </w:rPr>
            </w:pPr>
            <w:r>
              <w:rPr>
                <w:rFonts w:ascii="Arial" w:cs="Arial" w:eastAsia="Arial" w:hAnsi="Arial"/>
                <w:sz w:val="16"/>
                <w:szCs w:val="16"/>
                <w:color w:val="auto"/>
              </w:rPr>
              <w:t>209</w:t>
            </w:r>
          </w:p>
        </w:tc>
        <w:tc>
          <w:tcPr>
            <w:tcW w:w="1180" w:type="dxa"/>
            <w:vAlign w:val="bottom"/>
          </w:tcPr>
          <w:p>
            <w:pPr>
              <w:jc w:val="right"/>
              <w:ind w:right="262"/>
              <w:spacing w:after="0"/>
              <w:rPr>
                <w:sz w:val="20"/>
                <w:szCs w:val="20"/>
                <w:color w:val="auto"/>
              </w:rPr>
            </w:pPr>
            <w:r>
              <w:rPr>
                <w:rFonts w:ascii="Arial" w:cs="Arial" w:eastAsia="Arial" w:hAnsi="Arial"/>
                <w:sz w:val="16"/>
                <w:szCs w:val="16"/>
                <w:color w:val="auto"/>
              </w:rPr>
              <w:t>581</w:t>
            </w:r>
          </w:p>
        </w:tc>
      </w:tr>
      <w:tr>
        <w:trPr>
          <w:trHeight w:val="186"/>
        </w:trPr>
        <w:tc>
          <w:tcPr>
            <w:tcW w:w="5180" w:type="dxa"/>
            <w:vAlign w:val="bottom"/>
            <w:shd w:val="clear" w:color="auto" w:fill="FCE9E8"/>
          </w:tcPr>
          <w:p>
            <w:pPr>
              <w:ind w:left="80"/>
              <w:spacing w:after="0" w:line="187" w:lineRule="exact"/>
              <w:rPr>
                <w:sz w:val="20"/>
                <w:szCs w:val="20"/>
                <w:color w:val="auto"/>
              </w:rPr>
            </w:pPr>
            <w:r>
              <w:rPr>
                <w:rFonts w:ascii="Arial" w:cs="Arial" w:eastAsia="Arial" w:hAnsi="Arial"/>
                <w:sz w:val="13"/>
                <w:szCs w:val="13"/>
                <w:color w:val="auto"/>
              </w:rPr>
              <w:t>Tax fees</w:t>
            </w:r>
            <w:r>
              <w:rPr>
                <w:rFonts w:ascii="Arial" w:cs="Arial" w:eastAsia="Arial" w:hAnsi="Arial"/>
                <w:sz w:val="21"/>
                <w:szCs w:val="21"/>
                <w:color w:val="auto"/>
                <w:vertAlign w:val="superscript"/>
              </w:rPr>
              <w:t>(3)</w:t>
            </w:r>
          </w:p>
        </w:tc>
        <w:tc>
          <w:tcPr>
            <w:tcW w:w="4520" w:type="dxa"/>
            <w:vAlign w:val="bottom"/>
            <w:shd w:val="clear" w:color="auto" w:fill="FCE9E8"/>
          </w:tcPr>
          <w:p>
            <w:pPr>
              <w:jc w:val="right"/>
              <w:ind w:right="182"/>
              <w:spacing w:after="0"/>
              <w:rPr>
                <w:sz w:val="20"/>
                <w:szCs w:val="20"/>
                <w:color w:val="auto"/>
              </w:rPr>
            </w:pPr>
            <w:r>
              <w:rPr>
                <w:rFonts w:ascii="Arial" w:cs="Arial" w:eastAsia="Arial" w:hAnsi="Arial"/>
                <w:sz w:val="16"/>
                <w:szCs w:val="16"/>
                <w:color w:val="auto"/>
              </w:rPr>
              <w:t>2,969</w:t>
            </w:r>
          </w:p>
        </w:tc>
        <w:tc>
          <w:tcPr>
            <w:tcW w:w="1180" w:type="dxa"/>
            <w:vAlign w:val="bottom"/>
            <w:shd w:val="clear" w:color="auto" w:fill="FCE9E8"/>
          </w:tcPr>
          <w:p>
            <w:pPr>
              <w:jc w:val="right"/>
              <w:ind w:right="262"/>
              <w:spacing w:after="0"/>
              <w:rPr>
                <w:sz w:val="20"/>
                <w:szCs w:val="20"/>
                <w:color w:val="auto"/>
              </w:rPr>
            </w:pPr>
            <w:r>
              <w:rPr>
                <w:rFonts w:ascii="Arial" w:cs="Arial" w:eastAsia="Arial" w:hAnsi="Arial"/>
                <w:sz w:val="16"/>
                <w:szCs w:val="16"/>
                <w:color w:val="auto"/>
              </w:rPr>
              <w:t>2,698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0</wp:posOffset>
            </wp:positionV>
            <wp:extent cx="69018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ind w:left="600" w:right="80" w:hanging="320"/>
        <w:spacing w:after="0" w:line="196" w:lineRule="auto"/>
        <w:tabs>
          <w:tab w:leader="none" w:pos="600" w:val="left"/>
        </w:tabs>
        <w:numPr>
          <w:ilvl w:val="0"/>
          <w:numId w:val="118"/>
        </w:numPr>
        <w:rPr>
          <w:rFonts w:ascii="Arial" w:cs="Arial" w:eastAsia="Arial" w:hAnsi="Arial"/>
          <w:sz w:val="24"/>
          <w:szCs w:val="24"/>
          <w:color w:val="auto"/>
          <w:vertAlign w:val="superscript"/>
        </w:rPr>
      </w:pPr>
      <w:r>
        <w:rPr>
          <w:rFonts w:ascii="Arial" w:cs="Arial" w:eastAsia="Arial" w:hAnsi="Arial"/>
          <w:sz w:val="14"/>
          <w:szCs w:val="14"/>
          <w:color w:val="auto"/>
        </w:rPr>
        <w:t>Audit fees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w:t>
      </w:r>
    </w:p>
    <w:p>
      <w:pPr>
        <w:spacing w:after="0" w:line="71" w:lineRule="exact"/>
        <w:rPr>
          <w:rFonts w:ascii="Arial" w:cs="Arial" w:eastAsia="Arial" w:hAnsi="Arial"/>
          <w:sz w:val="24"/>
          <w:szCs w:val="24"/>
          <w:color w:val="auto"/>
          <w:vertAlign w:val="superscript"/>
        </w:rPr>
      </w:pPr>
    </w:p>
    <w:p>
      <w:pPr>
        <w:ind w:left="600" w:right="400" w:hanging="320"/>
        <w:spacing w:after="0" w:line="181" w:lineRule="auto"/>
        <w:tabs>
          <w:tab w:leader="none" w:pos="600" w:val="left"/>
        </w:tabs>
        <w:numPr>
          <w:ilvl w:val="0"/>
          <w:numId w:val="118"/>
        </w:numPr>
        <w:rPr>
          <w:rFonts w:ascii="Arial" w:cs="Arial" w:eastAsia="Arial" w:hAnsi="Arial"/>
          <w:sz w:val="24"/>
          <w:szCs w:val="24"/>
          <w:color w:val="auto"/>
          <w:vertAlign w:val="superscript"/>
        </w:rPr>
      </w:pPr>
      <w:r>
        <w:rPr>
          <w:rFonts w:ascii="Arial" w:cs="Arial" w:eastAsia="Arial" w:hAnsi="Arial"/>
          <w:sz w:val="14"/>
          <w:szCs w:val="14"/>
          <w:color w:val="auto"/>
        </w:rPr>
        <w:t>Audit-related fees include services related to the audits of employee benefit plans, agreed-upon procedures related to certain due diligence services and other risk assessment services.</w:t>
      </w:r>
    </w:p>
    <w:p>
      <w:pPr>
        <w:ind w:left="600" w:hanging="320"/>
        <w:spacing w:after="0" w:line="208" w:lineRule="auto"/>
        <w:tabs>
          <w:tab w:leader="none" w:pos="600" w:val="left"/>
        </w:tabs>
        <w:numPr>
          <w:ilvl w:val="0"/>
          <w:numId w:val="118"/>
        </w:numPr>
        <w:rPr>
          <w:rFonts w:ascii="Arial" w:cs="Arial" w:eastAsia="Arial" w:hAnsi="Arial"/>
          <w:sz w:val="24"/>
          <w:szCs w:val="24"/>
          <w:color w:val="auto"/>
          <w:vertAlign w:val="superscript"/>
        </w:rPr>
      </w:pPr>
      <w:r>
        <w:rPr>
          <w:rFonts w:ascii="Arial" w:cs="Arial" w:eastAsia="Arial" w:hAnsi="Arial"/>
          <w:sz w:val="14"/>
          <w:szCs w:val="14"/>
          <w:color w:val="auto"/>
        </w:rPr>
        <w:t>Tax fees include services related to tax compliance, tax advice and tax planning.</w:t>
      </w:r>
    </w:p>
    <w:p>
      <w:pPr>
        <w:spacing w:after="0" w:line="131" w:lineRule="exact"/>
        <w:rPr>
          <w:sz w:val="20"/>
          <w:szCs w:val="20"/>
          <w:color w:val="auto"/>
        </w:rPr>
      </w:pPr>
    </w:p>
    <w:p>
      <w:pPr>
        <w:ind w:left="740" w:hanging="359"/>
        <w:spacing w:after="0"/>
        <w:tabs>
          <w:tab w:leader="none" w:pos="7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60"/>
          </w:cols>
          <w:pgMar w:left="240" w:top="455" w:right="49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280" w:right="1620"/>
        <w:spacing w:after="0" w:line="280" w:lineRule="auto"/>
        <w:rPr>
          <w:sz w:val="20"/>
          <w:szCs w:val="20"/>
          <w:color w:val="auto"/>
        </w:rPr>
      </w:pPr>
      <w:r>
        <w:rPr>
          <w:rFonts w:ascii="Arial" w:cs="Arial" w:eastAsia="Arial" w:hAnsi="Arial"/>
          <w:sz w:val="39"/>
          <w:szCs w:val="39"/>
          <w:b w:val="1"/>
          <w:bCs w:val="1"/>
          <w:color w:val="E2231A"/>
        </w:rPr>
        <w:t>CERTAIN RELATIONSHIPS AND RELATED PARTY TRANSACTIONS</w:t>
      </w:r>
    </w:p>
    <w:p>
      <w:pPr>
        <w:sectPr>
          <w:pgSz w:w="11900" w:h="16838" w:orient="portrait"/>
          <w:cols w:equalWidth="0" w:num="1">
            <w:col w:w="11140"/>
          </w:cols>
          <w:pgMar w:left="240" w:top="455" w:right="519" w:bottom="1440" w:gutter="0" w:footer="0" w:header="0"/>
        </w:sectPr>
      </w:pPr>
    </w:p>
    <w:p>
      <w:pPr>
        <w:spacing w:after="0" w:line="198" w:lineRule="exact"/>
        <w:rPr>
          <w:sz w:val="20"/>
          <w:szCs w:val="20"/>
          <w:color w:val="auto"/>
        </w:rPr>
      </w:pPr>
    </w:p>
    <w:p>
      <w:pPr>
        <w:ind w:left="280" w:right="40"/>
        <w:spacing w:after="0" w:line="259" w:lineRule="auto"/>
        <w:rPr>
          <w:sz w:val="20"/>
          <w:szCs w:val="20"/>
          <w:color w:val="auto"/>
        </w:rPr>
      </w:pPr>
      <w:r>
        <w:rPr>
          <w:rFonts w:ascii="Arial" w:cs="Arial" w:eastAsia="Arial" w:hAnsi="Arial"/>
          <w:sz w:val="15"/>
          <w:szCs w:val="15"/>
          <w:color w:val="auto"/>
        </w:rPr>
        <w:t>We have established a written policy that has been broadly disseminated within the Company regarding (i) transactions with related parties and</w:t>
      </w:r>
    </w:p>
    <w:p>
      <w:pPr>
        <w:spacing w:after="0" w:line="1" w:lineRule="exact"/>
        <w:rPr>
          <w:sz w:val="20"/>
          <w:szCs w:val="20"/>
          <w:color w:val="auto"/>
        </w:rPr>
      </w:pPr>
    </w:p>
    <w:p>
      <w:pPr>
        <w:ind w:left="280" w:firstLine="6"/>
        <w:spacing w:after="0" w:line="243" w:lineRule="auto"/>
        <w:tabs>
          <w:tab w:leader="none" w:pos="49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employment of immediate family members of directors and executive officers. This policy assists us in identifying, reviewing, monitoring and, as necessary, approving transactions with related parties and also provides for the identification, monitoring and review of employment of immediate family members of directors and executive officers by our human resources department. The policy requires that any transaction, or series of transactions, involving related parties in excess of $50,000, whether undertaken in or outside the ordinary course of our business, be presented to the Nominating Committee. When a related party has a material direct or indirect interest in any such transaction, or series of transactions, in excess of $120,000 that otherwise meet the disclosure requirements of Regulation S-K, approval of the Nominating Committee must be obtained. The policy further provides that all such employment decisions should be made in accordance with the Company’s policies and procedures and that directors and executive officers must not seek to improperly influence any employment decisions regarding their immediate family members.</w:t>
      </w:r>
    </w:p>
    <w:p>
      <w:pPr>
        <w:spacing w:after="0" w:line="110" w:lineRule="exact"/>
        <w:rPr>
          <w:sz w:val="20"/>
          <w:szCs w:val="20"/>
          <w:color w:val="auto"/>
        </w:rPr>
      </w:pPr>
    </w:p>
    <w:p>
      <w:pPr>
        <w:ind w:left="280" w:right="40"/>
        <w:spacing w:after="0" w:line="243" w:lineRule="auto"/>
        <w:rPr>
          <w:sz w:val="20"/>
          <w:szCs w:val="20"/>
          <w:color w:val="auto"/>
        </w:rPr>
      </w:pPr>
      <w:r>
        <w:rPr>
          <w:rFonts w:ascii="Arial" w:cs="Arial" w:eastAsia="Arial" w:hAnsi="Arial"/>
          <w:sz w:val="16"/>
          <w:szCs w:val="16"/>
          <w:color w:val="auto"/>
        </w:rPr>
        <w:t>We have implemented various procedures to ensure compliance with the related party transaction policy. For example, the Company’s standard purchasing terms and conditions require vendors to advise us upon any such vendor becoming aware of relationships with related parties, including if such person is involved in the vendor’s relationship with the Company or if such person receives any direct or indirect compensation or benefit based on that relationship. Company policy prohibits our employees from simultaneously working for any customer or vendor of the Company. In addition, the policy prohibits our directors, officers and employees from participating in, or seeking to influence, decisions regarding the selection of a vendor or supplier if such person (or any immediate family member) has any personal or financial interest or investment in such vendor or supplier, subject to certain limited exceptions, and advises directors, officers and employees to report any violation of this policy to our legal department immediately upon becoming aware thereof.</w:t>
      </w:r>
    </w:p>
    <w:p>
      <w:pPr>
        <w:spacing w:after="0" w:line="110" w:lineRule="exact"/>
        <w:rPr>
          <w:sz w:val="20"/>
          <w:szCs w:val="20"/>
          <w:color w:val="auto"/>
        </w:rPr>
      </w:pPr>
    </w:p>
    <w:p>
      <w:pPr>
        <w:ind w:left="280" w:right="40"/>
        <w:spacing w:after="0" w:line="245" w:lineRule="auto"/>
        <w:rPr>
          <w:sz w:val="20"/>
          <w:szCs w:val="20"/>
          <w:color w:val="auto"/>
        </w:rPr>
      </w:pPr>
      <w:r>
        <w:rPr>
          <w:rFonts w:ascii="Arial" w:cs="Arial" w:eastAsia="Arial" w:hAnsi="Arial"/>
          <w:sz w:val="16"/>
          <w:szCs w:val="16"/>
          <w:color w:val="auto"/>
        </w:rPr>
        <w:t>Each year, we circulate conflict of interest questionnaires to all our directors, members of senior management, purchasing personnel and certain other employees. Based on the results of these questionnaires, the legal department reports all known transactions or relationships with related parties to, among others, our Chief Accounting Officer. Payments to</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vendors identified as related party vendors in North America are processed through a centralized payables system. At least annually, the list of related parties is updated by directors, members of senior management and certain other employees.</w:t>
      </w:r>
    </w:p>
    <w:p>
      <w:pPr>
        <w:spacing w:after="0" w:line="9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Pursuant to this policy, we have adopted procedures which assist us in identifying and reviewing relationships involving the employment of immediate family members of directors and executive officers. Our directors and executive officers are required to notify the senior human resources executive upon becoming aware that an immediate family member is seeking employment with the Company or any of its subsidiaries. In addition, each year, our directors and executive officers provide the Company with the names of their immediate family members who are employed by the Company. All employment decisions regarding these family members, including, but not limited to, changes in compensation and job title, are reviewed prior to the action. A list of any immediate family members of the Company’s directors or executive officers who are employed by the Company are provided annually to the Nominating Committee.</w:t>
      </w:r>
    </w:p>
    <w:p>
      <w:pPr>
        <w:spacing w:after="0" w:line="98"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At least annually, the Chief Accounting Officer reports to the Vice President of Internal Audit on related party relationships, including those with customers, as well as the amount of business performed between the Company and each related party year-to-date and for the preceding fiscal year. At least annually, the Vice President of Internal Audit prepares an audit plan for reviewing significant transactions with related parties and prepares a report on such audit plan and the results for the Nominating Committee. The Chief Accounting Officer, General Counsel and Vice President of Internal Audit meet at least twice per year to confirm the adequate monitoring and reporting of related party transactions. The Nominating Committee also receives a summary of all significant relationships with related parties at least annually.</w:t>
      </w:r>
    </w:p>
    <w:p>
      <w:pPr>
        <w:spacing w:after="0" w:line="100"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In connection with any required Nominating Committee approval, a member of our senior management must represent to the Nominating Committee that the related party at issue has been held to the same standards as unaffiliated third parties. Nominating Committee members having (or having an immediate family member that has) a direct or indirect interest in the transaction must recuse themselves from consideration of the transaction.</w:t>
      </w:r>
    </w:p>
    <w:p>
      <w:pPr>
        <w:spacing w:after="0" w:line="9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These procedures resulted in the approval by the Nominating Committee of the employment relationship set forth below under “— Certain Transactions.”</w:t>
      </w:r>
    </w:p>
    <w:p>
      <w:pPr>
        <w:spacing w:after="0" w:line="200" w:lineRule="exact"/>
        <w:rPr>
          <w:sz w:val="20"/>
          <w:szCs w:val="20"/>
          <w:color w:val="auto"/>
        </w:rPr>
      </w:pPr>
    </w:p>
    <w:p>
      <w:pPr>
        <w:sectPr>
          <w:pgSz w:w="11900" w:h="16838" w:orient="portrait"/>
          <w:cols w:equalWidth="0" w:num="2">
            <w:col w:w="5460" w:space="360"/>
            <w:col w:w="5320"/>
          </w:cols>
          <w:pgMar w:left="240" w:top="455" w:right="519" w:bottom="1440" w:gutter="0" w:footer="0" w:header="0"/>
          <w:type w:val="continuous"/>
        </w:sectPr>
      </w:pPr>
    </w:p>
    <w:p>
      <w:pPr>
        <w:spacing w:after="0" w:line="57"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65</w:t>
      </w:r>
    </w:p>
    <w:p>
      <w:pPr>
        <w:sectPr>
          <w:pgSz w:w="11900" w:h="16838" w:orient="portrait"/>
          <w:cols w:equalWidth="0" w:num="1">
            <w:col w:w="11140"/>
          </w:cols>
          <w:pgMar w:left="240" w:top="455" w:right="519" w:bottom="1440" w:gutter="0" w:footer="0" w:header="0"/>
          <w:type w:val="continuous"/>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000"/>
          </w:cols>
          <w:pgMar w:left="240" w:top="455" w:right="659" w:bottom="1440" w:gutter="0" w:footer="0" w:header="0"/>
        </w:sectPr>
      </w:pPr>
    </w:p>
    <w:p>
      <w:pPr>
        <w:spacing w:after="0" w:line="330"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CERTAIN RELATIONSHIPS AND RELATED PARTY TRANSACTIONS</w:t>
      </w:r>
    </w:p>
    <w:p>
      <w:pPr>
        <w:spacing w:after="0" w:line="330" w:lineRule="exact"/>
        <w:rPr>
          <w:sz w:val="20"/>
          <w:szCs w:val="20"/>
          <w:color w:val="auto"/>
        </w:rPr>
      </w:pPr>
    </w:p>
    <w:p>
      <w:pPr>
        <w:ind w:left="280"/>
        <w:spacing w:after="0" w:line="247" w:lineRule="auto"/>
        <w:rPr>
          <w:sz w:val="20"/>
          <w:szCs w:val="20"/>
          <w:color w:val="auto"/>
        </w:rPr>
      </w:pPr>
      <w:r>
        <w:rPr>
          <w:rFonts w:ascii="Arial" w:cs="Arial" w:eastAsia="Arial" w:hAnsi="Arial"/>
          <w:sz w:val="16"/>
          <w:szCs w:val="16"/>
          <w:color w:val="auto"/>
        </w:rPr>
        <w:t>In addition, our Code of Business Conduct and Ethics prohibits activities that conflict with, or have the appearance of conflicting with, the best interests of the Company and its stockholders. Such conflicts of interest may arise when 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employee, or a member of the employee’s family, receives improper personal benefits as a result of such individual’s position in the Company.</w:t>
      </w:r>
    </w:p>
    <w:p>
      <w:pPr>
        <w:spacing w:after="0" w:line="544" w:lineRule="exact"/>
        <w:rPr>
          <w:sz w:val="20"/>
          <w:szCs w:val="20"/>
          <w:color w:val="auto"/>
        </w:rPr>
      </w:pPr>
    </w:p>
    <w:p>
      <w:pPr>
        <w:sectPr>
          <w:pgSz w:w="11900" w:h="16838" w:orient="portrait"/>
          <w:cols w:equalWidth="0" w:num="2">
            <w:col w:w="5380" w:space="440"/>
            <w:col w:w="5180"/>
          </w:cols>
          <w:pgMar w:left="240" w:top="455" w:right="659" w:bottom="1440" w:gutter="0" w:footer="0" w:header="0"/>
          <w:type w:val="continuous"/>
        </w:sectPr>
      </w:pPr>
    </w:p>
    <w:p>
      <w:pPr>
        <w:spacing w:after="0" w:line="14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Certain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74295</wp:posOffset>
            </wp:positionV>
            <wp:extent cx="69018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000"/>
          </w:cols>
          <w:pgMar w:left="240" w:top="455" w:right="659" w:bottom="1440" w:gutter="0" w:footer="0" w:header="0"/>
          <w:type w:val="continuous"/>
        </w:sectPr>
      </w:pPr>
    </w:p>
    <w:p>
      <w:pPr>
        <w:spacing w:after="0" w:line="345" w:lineRule="exact"/>
        <w:rPr>
          <w:sz w:val="20"/>
          <w:szCs w:val="20"/>
          <w:color w:val="auto"/>
        </w:rPr>
      </w:pPr>
    </w:p>
    <w:p>
      <w:pPr>
        <w:ind w:left="280"/>
        <w:spacing w:after="0" w:line="246" w:lineRule="auto"/>
        <w:rPr>
          <w:sz w:val="20"/>
          <w:szCs w:val="20"/>
          <w:color w:val="auto"/>
        </w:rPr>
      </w:pPr>
      <w:r>
        <w:rPr>
          <w:rFonts w:ascii="Arial" w:cs="Arial" w:eastAsia="Arial" w:hAnsi="Arial"/>
          <w:sz w:val="16"/>
          <w:szCs w:val="16"/>
          <w:color w:val="auto"/>
        </w:rPr>
        <w:t>Mark Mueller, a Principal Engineer for the Company, is a brother-in-law of Raymond E. Scott, a director of the Company and the Company’s President, Chief Executive Officer and Interim President, E-Systems. In 2018, the Company paid Mr. Mueller approximately $157,000, which included bonus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140"/>
        <w:spacing w:after="0" w:line="273" w:lineRule="auto"/>
        <w:rPr>
          <w:sz w:val="20"/>
          <w:szCs w:val="20"/>
          <w:color w:val="auto"/>
        </w:rPr>
      </w:pPr>
      <w:r>
        <w:rPr>
          <w:rFonts w:ascii="Arial" w:cs="Arial" w:eastAsia="Arial" w:hAnsi="Arial"/>
          <w:sz w:val="15"/>
          <w:szCs w:val="15"/>
          <w:color w:val="auto"/>
        </w:rPr>
        <w:t>payments and other standard benefit arrangements. The compensation paid to Mr. Mueller was approved in accordance with the Company’s standard compensation practices for similarly situated employees.</w:t>
      </w:r>
    </w:p>
    <w:p>
      <w:pPr>
        <w:spacing w:after="0" w:line="554" w:lineRule="exact"/>
        <w:rPr>
          <w:sz w:val="20"/>
          <w:szCs w:val="20"/>
          <w:color w:val="auto"/>
        </w:rPr>
      </w:pPr>
    </w:p>
    <w:p>
      <w:pPr>
        <w:sectPr>
          <w:pgSz w:w="11900" w:h="16838" w:orient="portrait"/>
          <w:cols w:equalWidth="0" w:num="2">
            <w:col w:w="5460" w:space="360"/>
            <w:col w:w="5180"/>
          </w:cols>
          <w:pgMar w:left="240" w:top="455" w:right="659" w:bottom="1440" w:gutter="0" w:footer="0" w:header="0"/>
          <w:type w:val="continuous"/>
        </w:sectPr>
      </w:pPr>
    </w:p>
    <w:p>
      <w:pPr>
        <w:spacing w:after="0" w:line="58" w:lineRule="exact"/>
        <w:rPr>
          <w:sz w:val="20"/>
          <w:szCs w:val="20"/>
          <w:color w:val="auto"/>
        </w:rPr>
      </w:pPr>
    </w:p>
    <w:p>
      <w:pPr>
        <w:ind w:left="740" w:hanging="359"/>
        <w:spacing w:after="0"/>
        <w:tabs>
          <w:tab w:leader="none" w:pos="7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000"/>
          </w:cols>
          <w:pgMar w:left="240" w:top="455" w:right="65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280" w:right="1500"/>
        <w:spacing w:after="0" w:line="278" w:lineRule="auto"/>
        <w:rPr>
          <w:sz w:val="20"/>
          <w:szCs w:val="20"/>
          <w:color w:val="auto"/>
        </w:rPr>
      </w:pPr>
      <w:r>
        <w:rPr>
          <w:rFonts w:ascii="Arial" w:cs="Arial" w:eastAsia="Arial" w:hAnsi="Arial"/>
          <w:sz w:val="38"/>
          <w:szCs w:val="38"/>
          <w:b w:val="1"/>
          <w:bCs w:val="1"/>
          <w:color w:val="E2231A"/>
        </w:rPr>
        <w:t>RATIFICATION OF RETENTION OF INDEPENDENT REGISTERED PUBLIC ACCOUNTING FIRM</w:t>
      </w:r>
    </w:p>
    <w:p>
      <w:pPr>
        <w:sectPr>
          <w:pgSz w:w="11900" w:h="16838" w:orient="portrait"/>
          <w:cols w:equalWidth="0" w:num="1">
            <w:col w:w="11060"/>
          </w:cols>
          <w:pgMar w:left="240" w:top="455" w:right="599" w:bottom="1440" w:gutter="0" w:footer="0" w:header="0"/>
        </w:sectPr>
      </w:pPr>
    </w:p>
    <w:p>
      <w:pPr>
        <w:ind w:left="280"/>
        <w:spacing w:after="0"/>
        <w:rPr>
          <w:sz w:val="20"/>
          <w:szCs w:val="20"/>
          <w:color w:val="auto"/>
        </w:rPr>
      </w:pPr>
      <w:r>
        <w:rPr>
          <w:rFonts w:ascii="Arial" w:cs="Arial" w:eastAsia="Arial" w:hAnsi="Arial"/>
          <w:sz w:val="39"/>
          <w:szCs w:val="39"/>
          <w:b w:val="1"/>
          <w:bCs w:val="1"/>
          <w:color w:val="E2231A"/>
        </w:rPr>
        <w:t>(PROPOSAL NO. 2)</w:t>
      </w:r>
    </w:p>
    <w:p>
      <w:pPr>
        <w:spacing w:after="0" w:line="343"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Our Audit Committee has retained Ernst &amp; Young LLP as our independent registered public accounting firm for the year ending December 31, 2019. A proposal will be presented at the Annual Meeting to ratify this retention. Ratification of the retention of our independent registered public accounting firm requires the affirmative vote of the majority of shares present in person or represented by proxy at the Annual Meeting and entitled to vote. If the stockholders fail to ratify such selection, another independent registered public accounting firm will be considered by our Audit Committee, but the Audit Committee may nonetheless choose to engage Ernst &amp; Young LLP. Even if the retention of Ernst &amp; Young LLP is ratified, the Audit Committee in its discretion may select a different independent registered public accounting firm at any time during the year if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it determines that such a change would be in the best interests of the Company and its stockholders. We have been advised that a representative of Ernst &amp; Young LLP will be present at the Annual Meeting and will be available to respond to appropriate questions and, if such person chooses to do so, make a statement.</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b w:val="1"/>
          <w:bCs w:val="1"/>
          <w:color w:val="auto"/>
        </w:rPr>
        <w:t>THE BOARD UNANIMOUSLY RECOMMENDS A VOTE “FOR” RATIFICATION OF THE RETENTION OF ERNST &amp; YOUNG LLP AS OUR INDEPENDENT REGISTERED PUBLIC ACCOUNTING FIRM FOR 2019.</w:t>
      </w:r>
    </w:p>
    <w:p>
      <w:pPr>
        <w:spacing w:after="0" w:line="71"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b w:val="1"/>
          <w:bCs w:val="1"/>
          <w:color w:val="auto"/>
        </w:rPr>
        <w:t>PROXIES SOLICITED BY THE BOARD WILL BE VOTED FOR THE PROPOSAL UNLESS STOCKHOLDERS SPECIFY A CONTRARY VOTE.</w:t>
      </w:r>
    </w:p>
    <w:p>
      <w:pPr>
        <w:spacing w:after="0" w:line="200" w:lineRule="exact"/>
        <w:rPr>
          <w:sz w:val="20"/>
          <w:szCs w:val="20"/>
          <w:color w:val="auto"/>
        </w:rPr>
      </w:pPr>
    </w:p>
    <w:p>
      <w:pPr>
        <w:sectPr>
          <w:pgSz w:w="11900" w:h="16838" w:orient="portrait"/>
          <w:cols w:equalWidth="0" w:num="2">
            <w:col w:w="5480" w:space="340"/>
            <w:col w:w="5240"/>
          </w:cols>
          <w:pgMar w:left="240" w:top="455" w:right="599" w:bottom="1440" w:gutter="0" w:footer="0" w:header="0"/>
          <w:type w:val="continuous"/>
        </w:sectPr>
      </w:pPr>
    </w:p>
    <w:p>
      <w:pPr>
        <w:spacing w:after="0" w:line="47"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67</w:t>
      </w:r>
    </w:p>
    <w:p>
      <w:pPr>
        <w:sectPr>
          <w:pgSz w:w="11900" w:h="16838" w:orient="portrait"/>
          <w:cols w:equalWidth="0" w:num="1">
            <w:col w:w="11060"/>
          </w:cols>
          <w:pgMar w:left="240" w:top="455" w:right="59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280" w:right="2400"/>
        <w:spacing w:after="0" w:line="261" w:lineRule="auto"/>
        <w:rPr>
          <w:sz w:val="20"/>
          <w:szCs w:val="20"/>
          <w:color w:val="auto"/>
        </w:rPr>
      </w:pPr>
      <w:r>
        <w:rPr>
          <w:rFonts w:ascii="Arial" w:cs="Arial" w:eastAsia="Arial" w:hAnsi="Arial"/>
          <w:sz w:val="39"/>
          <w:szCs w:val="39"/>
          <w:b w:val="1"/>
          <w:bCs w:val="1"/>
          <w:color w:val="E2231A"/>
        </w:rPr>
        <w:t>ADVISORY VOTE TO APPROVE EXECUTIVE COMPENSATION SET FORTH IN THIS PROXY STATEMENT</w:t>
      </w:r>
    </w:p>
    <w:p>
      <w:pPr>
        <w:sectPr>
          <w:pgSz w:w="11900" w:h="16838" w:orient="portrait"/>
          <w:cols w:equalWidth="0" w:num="1">
            <w:col w:w="11140"/>
          </w:cols>
          <w:pgMar w:left="240" w:top="455" w:right="519" w:bottom="1440" w:gutter="0" w:footer="0" w:header="0"/>
        </w:sectPr>
      </w:pPr>
    </w:p>
    <w:p>
      <w:pPr>
        <w:spacing w:after="0" w:line="2" w:lineRule="exact"/>
        <w:rPr>
          <w:sz w:val="20"/>
          <w:szCs w:val="20"/>
          <w:color w:val="auto"/>
        </w:rPr>
      </w:pPr>
    </w:p>
    <w:p>
      <w:pPr>
        <w:ind w:left="280"/>
        <w:spacing w:after="0"/>
        <w:rPr>
          <w:sz w:val="20"/>
          <w:szCs w:val="20"/>
          <w:color w:val="auto"/>
        </w:rPr>
      </w:pPr>
      <w:r>
        <w:rPr>
          <w:rFonts w:ascii="Arial" w:cs="Arial" w:eastAsia="Arial" w:hAnsi="Arial"/>
          <w:sz w:val="39"/>
          <w:szCs w:val="39"/>
          <w:b w:val="1"/>
          <w:bCs w:val="1"/>
          <w:color w:val="E2231A"/>
        </w:rPr>
        <w:t>(PROPOSAL NO. 3)</w:t>
      </w:r>
    </w:p>
    <w:p>
      <w:pPr>
        <w:spacing w:after="0" w:line="343" w:lineRule="exact"/>
        <w:rPr>
          <w:sz w:val="20"/>
          <w:szCs w:val="20"/>
          <w:color w:val="auto"/>
        </w:rPr>
      </w:pPr>
    </w:p>
    <w:p>
      <w:pPr>
        <w:ind w:left="280" w:right="20"/>
        <w:spacing w:after="0" w:line="261" w:lineRule="auto"/>
        <w:rPr>
          <w:sz w:val="20"/>
          <w:szCs w:val="20"/>
          <w:color w:val="auto"/>
        </w:rPr>
      </w:pPr>
      <w:r>
        <w:rPr>
          <w:rFonts w:ascii="Arial" w:cs="Arial" w:eastAsia="Arial" w:hAnsi="Arial"/>
          <w:sz w:val="15"/>
          <w:szCs w:val="15"/>
          <w:color w:val="auto"/>
        </w:rPr>
        <w:t>Pursuant to Section 14A of the Exchange Act, we are seeking the advisory approval by stockholders of the Company’s executive compensation program and practices as disclosed in this proxy statement. As most recently approved by stockholders at the annual meeting of stockholders in 2017 and consistent with the Board’s recommendation, we are submitting this proposal for a non-binding vote on an annual basis. While this vote is advisory, and not binding on the Board, it will provide information to the Board and Compensation Committee regarding investor sentiment about our executive compensation programs and practices, which the Compensation Committee will carefully review when evaluating our executive compensation program. At the annual meeting of stockholders in 2018, our executive compensation program and practices disclosed in our 2018 proxy statement received a favorable vote by over 98% of shares voted.</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Stockholders are being asked to vote on the following advisory resolution:</w:t>
      </w:r>
    </w:p>
    <w:p>
      <w:pPr>
        <w:spacing w:after="0" w:line="121" w:lineRule="exact"/>
        <w:rPr>
          <w:sz w:val="20"/>
          <w:szCs w:val="20"/>
          <w:color w:val="auto"/>
        </w:rPr>
      </w:pPr>
    </w:p>
    <w:p>
      <w:pPr>
        <w:ind w:left="280" w:right="140"/>
        <w:spacing w:after="0" w:line="245" w:lineRule="auto"/>
        <w:rPr>
          <w:sz w:val="20"/>
          <w:szCs w:val="20"/>
          <w:color w:val="auto"/>
        </w:rPr>
      </w:pPr>
      <w:r>
        <w:rPr>
          <w:rFonts w:ascii="Arial" w:cs="Arial" w:eastAsia="Arial" w:hAnsi="Arial"/>
          <w:sz w:val="16"/>
          <w:szCs w:val="16"/>
          <w:color w:val="auto"/>
        </w:rPr>
        <w:t>“RESOLVED, that the Company’s stockholders approve, on an advisory basis, the compensation of the Company’s executive officers, as disclosed in the 2019 proxy statement pursuant to the compensation disclosure rules of the Securities and Exchange Commission, including the Compensation Discussion and Analysis, the 2018 Summary Compensation Table and the other related tables and disclosures.”</w:t>
      </w:r>
    </w:p>
    <w:p>
      <w:pPr>
        <w:spacing w:after="0" w:line="98" w:lineRule="exact"/>
        <w:rPr>
          <w:sz w:val="20"/>
          <w:szCs w:val="20"/>
          <w:color w:val="auto"/>
        </w:rPr>
      </w:pPr>
    </w:p>
    <w:p>
      <w:pPr>
        <w:ind w:left="280" w:right="120"/>
        <w:spacing w:after="0" w:line="244" w:lineRule="auto"/>
        <w:rPr>
          <w:sz w:val="20"/>
          <w:szCs w:val="20"/>
          <w:color w:val="auto"/>
        </w:rPr>
      </w:pPr>
      <w:r>
        <w:rPr>
          <w:rFonts w:ascii="Arial" w:cs="Arial" w:eastAsia="Arial" w:hAnsi="Arial"/>
          <w:sz w:val="16"/>
          <w:szCs w:val="16"/>
          <w:color w:val="auto"/>
        </w:rPr>
        <w:t>The Company is committed to maintaining executive compensation programs and practices that are aligned with the Company’s business strategy. As a result, the Company has a strong pay-for-performance philosophy that greatly impacts its decisions regarding executive compensation. Our executive compensation programs seek to align management’s interests with our stockholders’ interests to support long-term value creation and pay for performance. This philosophy and the compensation structure are essential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to the Company’s ability to attract, retain and motivate individuals who can achieve superior financial results in the best interests of the Company and its stockholders. To that end, our program links pay to performance by delivering a significant majority of the total compensation opportunity of our Named Executive Officers in variable or performance-based compensation programs (annual and long-term incentive plans). Performance measures used in the Company’s annual and long-term incentive plans support the Company’s annual operating plan and longer term strategy and are tied to key Company measures of short and long-term performance. Our program also aligns the Named Executive Officers’ financial interests with those of our stockholders by delivering a substantial portion of their total compensation in the form of equity awards and other long-term incentive vehicles.</w:t>
      </w:r>
    </w:p>
    <w:p>
      <w:pPr>
        <w:spacing w:after="0" w:line="99"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We urge our stockholders to read “Compensation Discussion and Analysis” above, which describes in detail how our executive compensation program and practices operate and are designed to achieve our compensation objectives, as well as the accompanying compensation tables which provide detailed information on the compensation of our Named Executive Officers.</w:t>
      </w:r>
    </w:p>
    <w:p>
      <w:pPr>
        <w:spacing w:after="0" w:line="98" w:lineRule="exact"/>
        <w:rPr>
          <w:sz w:val="20"/>
          <w:szCs w:val="20"/>
          <w:color w:val="auto"/>
        </w:rPr>
      </w:pPr>
    </w:p>
    <w:p>
      <w:pPr>
        <w:jc w:val="both"/>
        <w:ind w:right="40"/>
        <w:spacing w:after="0" w:line="248" w:lineRule="auto"/>
        <w:rPr>
          <w:sz w:val="20"/>
          <w:szCs w:val="20"/>
          <w:color w:val="auto"/>
        </w:rPr>
      </w:pPr>
      <w:r>
        <w:rPr>
          <w:rFonts w:ascii="Arial" w:cs="Arial" w:eastAsia="Arial" w:hAnsi="Arial"/>
          <w:sz w:val="16"/>
          <w:szCs w:val="16"/>
          <w:color w:val="auto"/>
        </w:rPr>
        <w:t>The affirmative vote of a majority of the shares of common stock present in person or represented by proxy and entitled to be voted on the proposal at the Annual Meeting is required for approval of this advisory resolution.</w:t>
      </w:r>
    </w:p>
    <w:p>
      <w:pPr>
        <w:spacing w:after="0" w:line="7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b w:val="1"/>
          <w:bCs w:val="1"/>
          <w:color w:val="auto"/>
        </w:rPr>
        <w:t>THE BOARD UNANIMOUSLY RECOMMENDS A VOTE “FOR” THE ADVISORY APPROVAL OF EXECUTIVE COMPENSATION SET FORTH IN THIS PROXY STATEMENT.</w:t>
      </w:r>
    </w:p>
    <w:p>
      <w:pPr>
        <w:spacing w:after="0" w:line="66"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b w:val="1"/>
          <w:bCs w:val="1"/>
          <w:color w:val="auto"/>
        </w:rPr>
        <w:t>PROXIES SOLICITED BY THE BOARD WILL BE VOTED FOR THE ADVISORY APPROVAL OF EXECUTIVE COMPENSATION SET FORTH IN THIS PROXY STATEMENT UNLESS STOCKHOLDERS SPECIFY A CONTRARY VOTE.</w:t>
      </w:r>
    </w:p>
    <w:p>
      <w:pPr>
        <w:spacing w:after="0" w:line="200" w:lineRule="exact"/>
        <w:rPr>
          <w:sz w:val="20"/>
          <w:szCs w:val="20"/>
          <w:color w:val="auto"/>
        </w:rPr>
      </w:pPr>
    </w:p>
    <w:p>
      <w:pPr>
        <w:sectPr>
          <w:pgSz w:w="11900" w:h="16838" w:orient="portrait"/>
          <w:cols w:equalWidth="0" w:num="2">
            <w:col w:w="5480" w:space="340"/>
            <w:col w:w="5320"/>
          </w:cols>
          <w:pgMar w:left="240" w:top="455" w:right="519" w:bottom="1440" w:gutter="0" w:footer="0" w:header="0"/>
          <w:type w:val="continuous"/>
        </w:sectPr>
      </w:pPr>
    </w:p>
    <w:p>
      <w:pPr>
        <w:spacing w:after="0" w:line="52" w:lineRule="exact"/>
        <w:rPr>
          <w:sz w:val="20"/>
          <w:szCs w:val="20"/>
          <w:color w:val="auto"/>
        </w:rPr>
      </w:pPr>
    </w:p>
    <w:p>
      <w:pPr>
        <w:ind w:left="740" w:hanging="359"/>
        <w:spacing w:after="0"/>
        <w:tabs>
          <w:tab w:leader="none" w:pos="7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240" w:top="455" w:right="51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280" w:right="1120"/>
        <w:spacing w:after="0" w:line="261" w:lineRule="auto"/>
        <w:rPr>
          <w:sz w:val="20"/>
          <w:szCs w:val="20"/>
          <w:color w:val="auto"/>
        </w:rPr>
      </w:pPr>
      <w:r>
        <w:rPr>
          <w:rFonts w:ascii="Arial" w:cs="Arial" w:eastAsia="Arial" w:hAnsi="Arial"/>
          <w:sz w:val="39"/>
          <w:szCs w:val="39"/>
          <w:b w:val="1"/>
          <w:bCs w:val="1"/>
          <w:color w:val="E2231A"/>
        </w:rPr>
        <w:t>VOTE TO APPROVE THE LEAR CORPORATION 2019 LONG-TERM STOCK INCENTIVE PLAN (PROPOSAL NO. 4)</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Executive Summary and Selected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379" w:lineRule="exact"/>
        <w:rPr>
          <w:sz w:val="20"/>
          <w:szCs w:val="20"/>
          <w:color w:val="auto"/>
        </w:rPr>
      </w:pPr>
    </w:p>
    <w:tbl>
      <w:tblPr>
        <w:tblLayout w:type="fixed"/>
        <w:tblInd w:w="280" w:type="dxa"/>
        <w:tblCellMar>
          <w:top w:w="0" w:type="dxa"/>
          <w:left w:w="0" w:type="dxa"/>
          <w:bottom w:w="0" w:type="dxa"/>
          <w:right w:w="0" w:type="dxa"/>
        </w:tblCellMar>
      </w:tblPr>
      <w:tr>
        <w:trPr>
          <w:trHeight w:val="188"/>
        </w:trPr>
        <w:tc>
          <w:tcPr>
            <w:tcW w:w="4500" w:type="dxa"/>
            <w:vAlign w:val="bottom"/>
            <w:shd w:val="clear" w:color="auto" w:fill="FCE9E8"/>
          </w:tcPr>
          <w:p>
            <w:pPr>
              <w:spacing w:after="0"/>
              <w:rPr>
                <w:sz w:val="20"/>
                <w:szCs w:val="20"/>
                <w:color w:val="auto"/>
              </w:rPr>
            </w:pPr>
            <w:r>
              <w:rPr>
                <w:rFonts w:ascii="Arial" w:cs="Arial" w:eastAsia="Arial" w:hAnsi="Arial"/>
                <w:sz w:val="16"/>
                <w:szCs w:val="16"/>
                <w:b w:val="1"/>
                <w:bCs w:val="1"/>
                <w:i w:val="1"/>
                <w:iCs w:val="1"/>
                <w:color w:val="auto"/>
              </w:rPr>
              <w:t>Introduction:</w:t>
            </w: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We are asking our stockholders to approve a new Lear Corporation</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w w:val="99"/>
              </w:rPr>
              <w:t>2019 Long-Term Stock Incentive Plan (the “2019 LTSIP”). On March 26,</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2019, the Compensation Committee approved the 2019 LTSIP, subject</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to approval by our stockholders at the Annual Meeting. The term of our</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existing plan, the 2009 Long-Term Stock Incentive Plan, as amended</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(the “Prior LTSIP”), expires on November 9, 2019, and the adoption of</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the 2019 LTSIP is necessary to allow us to continue to make our</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customary annual long-term incentive awards and other equity awards</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to attract, retain and motivate our officers, key employees and directors</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and link the interests of participants to those of the Company’s</w:t>
            </w:r>
          </w:p>
        </w:tc>
      </w:tr>
      <w:tr>
        <w:trPr>
          <w:trHeight w:val="193"/>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stockholders.</w:t>
            </w:r>
          </w:p>
        </w:tc>
      </w:tr>
      <w:tr>
        <w:trPr>
          <w:trHeight w:val="300"/>
        </w:trPr>
        <w:tc>
          <w:tcPr>
            <w:tcW w:w="4500" w:type="dxa"/>
            <w:vAlign w:val="bottom"/>
            <w:shd w:val="clear" w:color="auto" w:fill="FCE9E8"/>
          </w:tcPr>
          <w:p>
            <w:pPr>
              <w:spacing w:after="0"/>
              <w:rPr>
                <w:sz w:val="24"/>
                <w:szCs w:val="24"/>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w w:val="99"/>
              </w:rPr>
              <w:t>If approved by our stockholders, the 2019 LTSIP would replace the Prior</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LTSIP for all future equity grants, and we would no longer issue awards</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w w:val="99"/>
              </w:rPr>
              <w:t>under the Prior LTSIP. Awards previously granted under the Prior LTSIP</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would be unaffected by the adoption of the 2019 LTSIP, and they would</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remain outstanding under the terms pursuant to which they were</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previously granted. If our stockholders do not approve the 2019 LTSIP,</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the Prior LTSIP will remain in effect in its current form until it expires on</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November 9, 2019, following which date we will no longer have an</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equity-based compensation plan and we will no longer be able to issue</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our customary annual long-term incentive awards and other equity</w:t>
            </w:r>
          </w:p>
        </w:tc>
      </w:tr>
      <w:tr>
        <w:trPr>
          <w:trHeight w:val="198"/>
        </w:trPr>
        <w:tc>
          <w:tcPr>
            <w:tcW w:w="4500" w:type="dxa"/>
            <w:vAlign w:val="bottom"/>
            <w:shd w:val="clear" w:color="auto" w:fill="FCE9E8"/>
          </w:tcPr>
          <w:p>
            <w:pPr>
              <w:spacing w:after="0"/>
              <w:rPr>
                <w:sz w:val="17"/>
                <w:szCs w:val="17"/>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awards.</w:t>
            </w:r>
          </w:p>
        </w:tc>
      </w:tr>
      <w:tr>
        <w:trPr>
          <w:trHeight w:val="188"/>
        </w:trPr>
        <w:tc>
          <w:tcPr>
            <w:tcW w:w="4500" w:type="dxa"/>
            <w:vAlign w:val="bottom"/>
          </w:tcPr>
          <w:p>
            <w:pPr>
              <w:spacing w:after="0"/>
              <w:rPr>
                <w:sz w:val="20"/>
                <w:szCs w:val="20"/>
                <w:color w:val="auto"/>
              </w:rPr>
            </w:pPr>
            <w:r>
              <w:rPr>
                <w:rFonts w:ascii="Arial" w:cs="Arial" w:eastAsia="Arial" w:hAnsi="Arial"/>
                <w:sz w:val="16"/>
                <w:szCs w:val="16"/>
                <w:b w:val="1"/>
                <w:bCs w:val="1"/>
                <w:i w:val="1"/>
                <w:iCs w:val="1"/>
                <w:color w:val="auto"/>
              </w:rPr>
              <w:t>Proposed Share Reserve:</w:t>
            </w:r>
          </w:p>
        </w:tc>
        <w:tc>
          <w:tcPr>
            <w:tcW w:w="6380" w:type="dxa"/>
            <w:vAlign w:val="bottom"/>
          </w:tcPr>
          <w:p>
            <w:pPr>
              <w:ind w:left="1260"/>
              <w:spacing w:after="0"/>
              <w:rPr>
                <w:sz w:val="20"/>
                <w:szCs w:val="20"/>
                <w:color w:val="auto"/>
              </w:rPr>
            </w:pPr>
            <w:r>
              <w:rPr>
                <w:rFonts w:ascii="Arial" w:cs="Arial" w:eastAsia="Arial" w:hAnsi="Arial"/>
                <w:sz w:val="16"/>
                <w:szCs w:val="16"/>
                <w:color w:val="auto"/>
              </w:rPr>
              <w:t>The number of shares of our common stock (“Shares”) that will be</w:t>
            </w:r>
          </w:p>
        </w:tc>
      </w:tr>
      <w:tr>
        <w:trPr>
          <w:trHeight w:val="186"/>
        </w:trPr>
        <w:tc>
          <w:tcPr>
            <w:tcW w:w="4500" w:type="dxa"/>
            <w:vAlign w:val="bottom"/>
          </w:tcPr>
          <w:p>
            <w:pPr>
              <w:spacing w:after="0"/>
              <w:rPr>
                <w:sz w:val="16"/>
                <w:szCs w:val="16"/>
                <w:color w:val="auto"/>
              </w:rPr>
            </w:pPr>
          </w:p>
        </w:tc>
        <w:tc>
          <w:tcPr>
            <w:tcW w:w="6380" w:type="dxa"/>
            <w:vAlign w:val="bottom"/>
          </w:tcPr>
          <w:p>
            <w:pPr>
              <w:ind w:left="1260"/>
              <w:spacing w:after="0"/>
              <w:rPr>
                <w:sz w:val="20"/>
                <w:szCs w:val="20"/>
                <w:color w:val="auto"/>
              </w:rPr>
            </w:pPr>
            <w:r>
              <w:rPr>
                <w:rFonts w:ascii="Arial" w:cs="Arial" w:eastAsia="Arial" w:hAnsi="Arial"/>
                <w:sz w:val="16"/>
                <w:szCs w:val="16"/>
                <w:color w:val="auto"/>
              </w:rPr>
              <w:t>authorized for issuance pursuant to the 2019 LTSIP will not exceed the</w:t>
            </w:r>
          </w:p>
        </w:tc>
      </w:tr>
      <w:tr>
        <w:trPr>
          <w:trHeight w:val="186"/>
        </w:trPr>
        <w:tc>
          <w:tcPr>
            <w:tcW w:w="4500" w:type="dxa"/>
            <w:vAlign w:val="bottom"/>
          </w:tcPr>
          <w:p>
            <w:pPr>
              <w:spacing w:after="0"/>
              <w:rPr>
                <w:sz w:val="16"/>
                <w:szCs w:val="16"/>
                <w:color w:val="auto"/>
              </w:rPr>
            </w:pPr>
          </w:p>
        </w:tc>
        <w:tc>
          <w:tcPr>
            <w:tcW w:w="6380" w:type="dxa"/>
            <w:vAlign w:val="bottom"/>
          </w:tcPr>
          <w:p>
            <w:pPr>
              <w:ind w:left="1260"/>
              <w:spacing w:after="0"/>
              <w:rPr>
                <w:sz w:val="20"/>
                <w:szCs w:val="20"/>
                <w:color w:val="auto"/>
              </w:rPr>
            </w:pPr>
            <w:r>
              <w:rPr>
                <w:rFonts w:ascii="Arial" w:cs="Arial" w:eastAsia="Arial" w:hAnsi="Arial"/>
                <w:sz w:val="16"/>
                <w:szCs w:val="16"/>
                <w:color w:val="auto"/>
              </w:rPr>
              <w:t>sum of (i) 2,526,858 Shares, which includes a request for 436,000</w:t>
            </w:r>
          </w:p>
        </w:tc>
      </w:tr>
      <w:tr>
        <w:trPr>
          <w:trHeight w:val="186"/>
        </w:trPr>
        <w:tc>
          <w:tcPr>
            <w:tcW w:w="4500" w:type="dxa"/>
            <w:vAlign w:val="bottom"/>
          </w:tcPr>
          <w:p>
            <w:pPr>
              <w:spacing w:after="0"/>
              <w:rPr>
                <w:sz w:val="16"/>
                <w:szCs w:val="16"/>
                <w:color w:val="auto"/>
              </w:rPr>
            </w:pPr>
          </w:p>
        </w:tc>
        <w:tc>
          <w:tcPr>
            <w:tcW w:w="6380" w:type="dxa"/>
            <w:vAlign w:val="bottom"/>
          </w:tcPr>
          <w:p>
            <w:pPr>
              <w:ind w:left="1260"/>
              <w:spacing w:after="0"/>
              <w:rPr>
                <w:sz w:val="20"/>
                <w:szCs w:val="20"/>
                <w:color w:val="auto"/>
              </w:rPr>
            </w:pPr>
            <w:r>
              <w:rPr>
                <w:rFonts w:ascii="Arial" w:cs="Arial" w:eastAsia="Arial" w:hAnsi="Arial"/>
                <w:sz w:val="16"/>
                <w:szCs w:val="16"/>
                <w:color w:val="auto"/>
              </w:rPr>
              <w:t>additional Shares and 2,090,858 Shares reserved but unissued under</w:t>
            </w:r>
          </w:p>
        </w:tc>
      </w:tr>
      <w:tr>
        <w:trPr>
          <w:trHeight w:val="186"/>
        </w:trPr>
        <w:tc>
          <w:tcPr>
            <w:tcW w:w="4500" w:type="dxa"/>
            <w:vAlign w:val="bottom"/>
          </w:tcPr>
          <w:p>
            <w:pPr>
              <w:spacing w:after="0"/>
              <w:rPr>
                <w:sz w:val="16"/>
                <w:szCs w:val="16"/>
                <w:color w:val="auto"/>
              </w:rPr>
            </w:pPr>
          </w:p>
        </w:tc>
        <w:tc>
          <w:tcPr>
            <w:tcW w:w="6380" w:type="dxa"/>
            <w:vAlign w:val="bottom"/>
          </w:tcPr>
          <w:p>
            <w:pPr>
              <w:ind w:left="1260"/>
              <w:spacing w:after="0"/>
              <w:rPr>
                <w:sz w:val="20"/>
                <w:szCs w:val="20"/>
                <w:color w:val="auto"/>
              </w:rPr>
            </w:pPr>
            <w:r>
              <w:rPr>
                <w:rFonts w:ascii="Arial" w:cs="Arial" w:eastAsia="Arial" w:hAnsi="Arial"/>
                <w:sz w:val="16"/>
                <w:szCs w:val="16"/>
                <w:color w:val="auto"/>
                <w:w w:val="99"/>
              </w:rPr>
              <w:t>the Prior LTSIP, and (ii) any Shares under the Prior LTSIP that, after the</w:t>
            </w:r>
          </w:p>
        </w:tc>
      </w:tr>
      <w:tr>
        <w:trPr>
          <w:trHeight w:val="186"/>
        </w:trPr>
        <w:tc>
          <w:tcPr>
            <w:tcW w:w="4500" w:type="dxa"/>
            <w:vAlign w:val="bottom"/>
          </w:tcPr>
          <w:p>
            <w:pPr>
              <w:spacing w:after="0"/>
              <w:rPr>
                <w:sz w:val="16"/>
                <w:szCs w:val="16"/>
                <w:color w:val="auto"/>
              </w:rPr>
            </w:pPr>
          </w:p>
        </w:tc>
        <w:tc>
          <w:tcPr>
            <w:tcW w:w="6380" w:type="dxa"/>
            <w:vAlign w:val="bottom"/>
          </w:tcPr>
          <w:p>
            <w:pPr>
              <w:ind w:left="1260"/>
              <w:spacing w:after="0"/>
              <w:rPr>
                <w:sz w:val="20"/>
                <w:szCs w:val="20"/>
                <w:color w:val="auto"/>
              </w:rPr>
            </w:pPr>
            <w:r>
              <w:rPr>
                <w:rFonts w:ascii="Arial" w:cs="Arial" w:eastAsia="Arial" w:hAnsi="Arial"/>
                <w:sz w:val="16"/>
                <w:szCs w:val="16"/>
                <w:color w:val="auto"/>
              </w:rPr>
              <w:t>effective date of the 2019 LTSIP, are forfeited, terminated, lapsed or</w:t>
            </w:r>
          </w:p>
        </w:tc>
      </w:tr>
      <w:tr>
        <w:trPr>
          <w:trHeight w:val="193"/>
        </w:trPr>
        <w:tc>
          <w:tcPr>
            <w:tcW w:w="4500" w:type="dxa"/>
            <w:vAlign w:val="bottom"/>
          </w:tcPr>
          <w:p>
            <w:pPr>
              <w:spacing w:after="0"/>
              <w:rPr>
                <w:sz w:val="16"/>
                <w:szCs w:val="16"/>
                <w:color w:val="auto"/>
              </w:rPr>
            </w:pPr>
          </w:p>
        </w:tc>
        <w:tc>
          <w:tcPr>
            <w:tcW w:w="6380" w:type="dxa"/>
            <w:vAlign w:val="bottom"/>
          </w:tcPr>
          <w:p>
            <w:pPr>
              <w:ind w:left="1260"/>
              <w:spacing w:after="0"/>
              <w:rPr>
                <w:sz w:val="20"/>
                <w:szCs w:val="20"/>
                <w:color w:val="auto"/>
              </w:rPr>
            </w:pPr>
            <w:r>
              <w:rPr>
                <w:rFonts w:ascii="Arial" w:cs="Arial" w:eastAsia="Arial" w:hAnsi="Arial"/>
                <w:sz w:val="16"/>
                <w:szCs w:val="16"/>
                <w:color w:val="auto"/>
              </w:rPr>
              <w:t>satisfied thereunder in cash or property other than Shares.</w:t>
            </w:r>
          </w:p>
        </w:tc>
      </w:tr>
      <w:tr>
        <w:trPr>
          <w:trHeight w:val="300"/>
        </w:trPr>
        <w:tc>
          <w:tcPr>
            <w:tcW w:w="4500" w:type="dxa"/>
            <w:vAlign w:val="bottom"/>
          </w:tcPr>
          <w:p>
            <w:pPr>
              <w:spacing w:after="0"/>
              <w:rPr>
                <w:sz w:val="24"/>
                <w:szCs w:val="24"/>
                <w:color w:val="auto"/>
              </w:rPr>
            </w:pPr>
          </w:p>
        </w:tc>
        <w:tc>
          <w:tcPr>
            <w:tcW w:w="6380" w:type="dxa"/>
            <w:vAlign w:val="bottom"/>
          </w:tcPr>
          <w:p>
            <w:pPr>
              <w:ind w:left="1260"/>
              <w:spacing w:after="0"/>
              <w:rPr>
                <w:sz w:val="20"/>
                <w:szCs w:val="20"/>
                <w:color w:val="auto"/>
              </w:rPr>
            </w:pPr>
            <w:r>
              <w:rPr>
                <w:rFonts w:ascii="Arial" w:cs="Arial" w:eastAsia="Arial" w:hAnsi="Arial"/>
                <w:sz w:val="16"/>
                <w:szCs w:val="16"/>
                <w:color w:val="auto"/>
              </w:rPr>
              <w:t>As of March 21, 2019, after the issuance of our regular 2019 annual</w:t>
            </w:r>
          </w:p>
        </w:tc>
      </w:tr>
      <w:tr>
        <w:trPr>
          <w:trHeight w:val="186"/>
        </w:trPr>
        <w:tc>
          <w:tcPr>
            <w:tcW w:w="4500" w:type="dxa"/>
            <w:vAlign w:val="bottom"/>
          </w:tcPr>
          <w:p>
            <w:pPr>
              <w:spacing w:after="0"/>
              <w:rPr>
                <w:sz w:val="16"/>
                <w:szCs w:val="16"/>
                <w:color w:val="auto"/>
              </w:rPr>
            </w:pPr>
          </w:p>
        </w:tc>
        <w:tc>
          <w:tcPr>
            <w:tcW w:w="6380" w:type="dxa"/>
            <w:vAlign w:val="bottom"/>
          </w:tcPr>
          <w:p>
            <w:pPr>
              <w:ind w:left="1260"/>
              <w:spacing w:after="0"/>
              <w:rPr>
                <w:sz w:val="20"/>
                <w:szCs w:val="20"/>
                <w:color w:val="auto"/>
              </w:rPr>
            </w:pPr>
            <w:r>
              <w:rPr>
                <w:rFonts w:ascii="Arial" w:cs="Arial" w:eastAsia="Arial" w:hAnsi="Arial"/>
                <w:sz w:val="16"/>
                <w:szCs w:val="16"/>
                <w:color w:val="auto"/>
              </w:rPr>
              <w:t>equity awards, there were 1,360,487 Shares subject to outstanding</w:t>
            </w:r>
          </w:p>
        </w:tc>
      </w:tr>
      <w:tr>
        <w:trPr>
          <w:trHeight w:val="186"/>
        </w:trPr>
        <w:tc>
          <w:tcPr>
            <w:tcW w:w="4500" w:type="dxa"/>
            <w:vAlign w:val="bottom"/>
          </w:tcPr>
          <w:p>
            <w:pPr>
              <w:spacing w:after="0"/>
              <w:rPr>
                <w:sz w:val="16"/>
                <w:szCs w:val="16"/>
                <w:color w:val="auto"/>
              </w:rPr>
            </w:pPr>
          </w:p>
        </w:tc>
        <w:tc>
          <w:tcPr>
            <w:tcW w:w="6380" w:type="dxa"/>
            <w:vAlign w:val="bottom"/>
          </w:tcPr>
          <w:p>
            <w:pPr>
              <w:ind w:left="1260"/>
              <w:spacing w:after="0"/>
              <w:rPr>
                <w:sz w:val="20"/>
                <w:szCs w:val="20"/>
                <w:color w:val="auto"/>
              </w:rPr>
            </w:pPr>
            <w:r>
              <w:rPr>
                <w:rFonts w:ascii="Arial" w:cs="Arial" w:eastAsia="Arial" w:hAnsi="Arial"/>
                <w:sz w:val="16"/>
                <w:szCs w:val="16"/>
                <w:color w:val="auto"/>
              </w:rPr>
              <w:t>equity awards, assuming maximum payout of outstanding performance</w:t>
            </w:r>
          </w:p>
        </w:tc>
      </w:tr>
      <w:tr>
        <w:trPr>
          <w:trHeight w:val="186"/>
        </w:trPr>
        <w:tc>
          <w:tcPr>
            <w:tcW w:w="4500" w:type="dxa"/>
            <w:vAlign w:val="bottom"/>
          </w:tcPr>
          <w:p>
            <w:pPr>
              <w:spacing w:after="0"/>
              <w:rPr>
                <w:sz w:val="16"/>
                <w:szCs w:val="16"/>
                <w:color w:val="auto"/>
              </w:rPr>
            </w:pPr>
          </w:p>
        </w:tc>
        <w:tc>
          <w:tcPr>
            <w:tcW w:w="6380" w:type="dxa"/>
            <w:vAlign w:val="bottom"/>
          </w:tcPr>
          <w:p>
            <w:pPr>
              <w:ind w:left="1260"/>
              <w:spacing w:after="0"/>
              <w:rPr>
                <w:sz w:val="20"/>
                <w:szCs w:val="20"/>
                <w:color w:val="auto"/>
              </w:rPr>
            </w:pPr>
            <w:r>
              <w:rPr>
                <w:rFonts w:ascii="Arial" w:cs="Arial" w:eastAsia="Arial" w:hAnsi="Arial"/>
                <w:sz w:val="16"/>
                <w:szCs w:val="16"/>
                <w:color w:val="auto"/>
              </w:rPr>
              <w:t>shares, and 2,090,858 Shares remaining available for grant under the</w:t>
            </w:r>
          </w:p>
        </w:tc>
      </w:tr>
      <w:tr>
        <w:trPr>
          <w:trHeight w:val="193"/>
        </w:trPr>
        <w:tc>
          <w:tcPr>
            <w:tcW w:w="4500" w:type="dxa"/>
            <w:vAlign w:val="bottom"/>
          </w:tcPr>
          <w:p>
            <w:pPr>
              <w:spacing w:after="0"/>
              <w:rPr>
                <w:sz w:val="16"/>
                <w:szCs w:val="16"/>
                <w:color w:val="auto"/>
              </w:rPr>
            </w:pPr>
          </w:p>
        </w:tc>
        <w:tc>
          <w:tcPr>
            <w:tcW w:w="6380" w:type="dxa"/>
            <w:vAlign w:val="bottom"/>
          </w:tcPr>
          <w:p>
            <w:pPr>
              <w:ind w:left="1260"/>
              <w:spacing w:after="0"/>
              <w:rPr>
                <w:sz w:val="20"/>
                <w:szCs w:val="20"/>
                <w:color w:val="auto"/>
              </w:rPr>
            </w:pPr>
            <w:r>
              <w:rPr>
                <w:rFonts w:ascii="Arial" w:cs="Arial" w:eastAsia="Arial" w:hAnsi="Arial"/>
                <w:sz w:val="16"/>
                <w:szCs w:val="16"/>
                <w:color w:val="auto"/>
              </w:rPr>
              <w:t>Prior LTSIP.</w:t>
            </w:r>
          </w:p>
        </w:tc>
      </w:tr>
      <w:tr>
        <w:trPr>
          <w:trHeight w:val="194"/>
        </w:trPr>
        <w:tc>
          <w:tcPr>
            <w:tcW w:w="4500" w:type="dxa"/>
            <w:vAlign w:val="bottom"/>
            <w:shd w:val="clear" w:color="auto" w:fill="FCE9E8"/>
          </w:tcPr>
          <w:p>
            <w:pPr>
              <w:spacing w:after="0"/>
              <w:rPr>
                <w:sz w:val="20"/>
                <w:szCs w:val="20"/>
                <w:color w:val="auto"/>
              </w:rPr>
            </w:pPr>
            <w:r>
              <w:rPr>
                <w:rFonts w:ascii="Arial" w:cs="Arial" w:eastAsia="Arial" w:hAnsi="Arial"/>
                <w:sz w:val="16"/>
                <w:szCs w:val="16"/>
                <w:b w:val="1"/>
                <w:bCs w:val="1"/>
                <w:i w:val="1"/>
                <w:iCs w:val="1"/>
                <w:color w:val="auto"/>
              </w:rPr>
              <w:t>Impact on Dilution and Expected Duration:</w:t>
            </w: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The Compensation Committee recognizes the impact of dilution on our</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stockholders and has evaluated the request for Shares under the 2019</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LTSIP very carefully in the context of the need to motivate, retain and</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ensure our leadership team is focused on our strategic and long-term</w:t>
            </w:r>
          </w:p>
        </w:tc>
      </w:tr>
      <w:tr>
        <w:trPr>
          <w:trHeight w:val="186"/>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growth priorities. Equity is an important component of a compensation</w:t>
            </w:r>
          </w:p>
        </w:tc>
      </w:tr>
      <w:tr>
        <w:trPr>
          <w:trHeight w:val="185"/>
        </w:trPr>
        <w:tc>
          <w:tcPr>
            <w:tcW w:w="4500" w:type="dxa"/>
            <w:vAlign w:val="bottom"/>
            <w:shd w:val="clear" w:color="auto" w:fill="FCE9E8"/>
          </w:tcPr>
          <w:p>
            <w:pPr>
              <w:spacing w:after="0"/>
              <w:rPr>
                <w:sz w:val="16"/>
                <w:szCs w:val="16"/>
                <w:color w:val="auto"/>
              </w:rPr>
            </w:pPr>
          </w:p>
        </w:tc>
        <w:tc>
          <w:tcPr>
            <w:tcW w:w="6380" w:type="dxa"/>
            <w:vAlign w:val="bottom"/>
            <w:shd w:val="clear" w:color="auto" w:fill="FCE9E8"/>
          </w:tcPr>
          <w:p>
            <w:pPr>
              <w:ind w:left="1260"/>
              <w:spacing w:after="0"/>
              <w:rPr>
                <w:sz w:val="20"/>
                <w:szCs w:val="20"/>
                <w:color w:val="auto"/>
              </w:rPr>
            </w:pPr>
            <w:r>
              <w:rPr>
                <w:rFonts w:ascii="Arial" w:cs="Arial" w:eastAsia="Arial" w:hAnsi="Arial"/>
                <w:sz w:val="16"/>
                <w:szCs w:val="16"/>
                <w:color w:val="auto"/>
              </w:rPr>
              <w:t>program that aligns with our strategy of achieving long-term,</w:t>
            </w:r>
          </w:p>
        </w:tc>
      </w:tr>
      <w:tr>
        <w:trPr>
          <w:trHeight w:val="358"/>
        </w:trPr>
        <w:tc>
          <w:tcPr>
            <w:tcW w:w="4500" w:type="dxa"/>
            <w:vAlign w:val="bottom"/>
          </w:tcPr>
          <w:p>
            <w:pPr>
              <w:spacing w:after="0"/>
              <w:rPr>
                <w:sz w:val="24"/>
                <w:szCs w:val="24"/>
                <w:color w:val="auto"/>
              </w:rPr>
            </w:pPr>
          </w:p>
        </w:tc>
        <w:tc>
          <w:tcPr>
            <w:tcW w:w="6380" w:type="dxa"/>
            <w:vAlign w:val="bottom"/>
          </w:tcPr>
          <w:p>
            <w:pPr>
              <w:ind w:left="4160"/>
              <w:spacing w:after="0"/>
              <w:rPr>
                <w:sz w:val="20"/>
                <w:szCs w:val="20"/>
                <w:color w:val="auto"/>
              </w:rPr>
            </w:pPr>
            <w:r>
              <w:rPr>
                <w:rFonts w:ascii="Arial" w:cs="Arial" w:eastAsia="Arial" w:hAnsi="Arial"/>
                <w:sz w:val="15"/>
                <w:szCs w:val="15"/>
                <w:b w:val="1"/>
                <w:bCs w:val="1"/>
                <w:color w:val="E2231A"/>
              </w:rPr>
              <w:t xml:space="preserve">2019 Proxy Statement  </w:t>
            </w:r>
            <w:r>
              <w:rPr>
                <w:rFonts w:ascii="Arial" w:cs="Arial" w:eastAsia="Arial" w:hAnsi="Arial"/>
                <w:sz w:val="17"/>
                <w:szCs w:val="17"/>
                <w:b w:val="1"/>
                <w:bCs w:val="1"/>
                <w:color w:val="E2231A"/>
              </w:rPr>
              <w:t>|</w:t>
            </w:r>
            <w:r>
              <w:rPr>
                <w:rFonts w:ascii="Arial" w:cs="Arial" w:eastAsia="Arial" w:hAnsi="Arial"/>
                <w:sz w:val="15"/>
                <w:szCs w:val="15"/>
                <w:b w:val="1"/>
                <w:bCs w:val="1"/>
                <w:color w:val="E2231A"/>
              </w:rPr>
              <w:t xml:space="preserve">  </w:t>
            </w:r>
            <w:r>
              <w:rPr>
                <w:rFonts w:ascii="Arial" w:cs="Arial" w:eastAsia="Arial" w:hAnsi="Arial"/>
                <w:sz w:val="17"/>
                <w:szCs w:val="17"/>
                <w:b w:val="1"/>
                <w:bCs w:val="1"/>
                <w:color w:val="000000"/>
              </w:rPr>
              <w:t>69</w:t>
            </w:r>
          </w:p>
        </w:tc>
      </w:tr>
    </w:tbl>
    <w:p>
      <w:pPr>
        <w:sectPr>
          <w:pgSz w:w="11900" w:h="16838" w:orient="portrait"/>
          <w:cols w:equalWidth="0" w:num="1">
            <w:col w:w="11160"/>
          </w:cols>
          <w:pgMar w:left="240" w:top="455"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VOTE TO APPROVE THE LEAR CORPORATION 2019 LONG-TERM STOCK INCENTIVE PLAN (PROPOSAL NO. 4)</w:t>
      </w:r>
    </w:p>
    <w:p>
      <w:pPr>
        <w:spacing w:after="0" w:line="155" w:lineRule="exact"/>
        <w:rPr>
          <w:sz w:val="20"/>
          <w:szCs w:val="20"/>
          <w:color w:val="auto"/>
        </w:rPr>
      </w:pPr>
    </w:p>
    <w:tbl>
      <w:tblPr>
        <w:tblLayout w:type="fixed"/>
        <w:tblInd w:w="2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180" w:type="dxa"/>
            <w:vAlign w:val="bottom"/>
            <w:shd w:val="clear" w:color="auto" w:fill="FCE9E8"/>
          </w:tcPr>
          <w:p>
            <w:pPr>
              <w:spacing w:after="0"/>
              <w:rPr>
                <w:sz w:val="16"/>
                <w:szCs w:val="16"/>
                <w:color w:val="auto"/>
              </w:rPr>
            </w:pPr>
          </w:p>
        </w:tc>
        <w:tc>
          <w:tcPr>
            <w:tcW w:w="5680" w:type="dxa"/>
            <w:vAlign w:val="bottom"/>
            <w:gridSpan w:val="2"/>
            <w:shd w:val="clear" w:color="auto" w:fill="FCE9E8"/>
          </w:tcPr>
          <w:p>
            <w:pPr>
              <w:ind w:left="560"/>
              <w:spacing w:after="0"/>
              <w:rPr>
                <w:sz w:val="20"/>
                <w:szCs w:val="20"/>
                <w:color w:val="auto"/>
              </w:rPr>
            </w:pPr>
            <w:r>
              <w:rPr>
                <w:rFonts w:ascii="Arial" w:cs="Arial" w:eastAsia="Arial" w:hAnsi="Arial"/>
                <w:sz w:val="16"/>
                <w:szCs w:val="16"/>
                <w:color w:val="auto"/>
              </w:rPr>
              <w:t>sustainable growth. As of March 21, 2019, the total potential voting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80" w:type="dxa"/>
            <w:vAlign w:val="bottom"/>
            <w:shd w:val="clear" w:color="auto" w:fill="FCE9E8"/>
          </w:tcPr>
          <w:p>
            <w:pPr>
              <w:spacing w:after="0"/>
              <w:rPr>
                <w:sz w:val="16"/>
                <w:szCs w:val="16"/>
                <w:color w:val="auto"/>
              </w:rPr>
            </w:pPr>
          </w:p>
        </w:tc>
        <w:tc>
          <w:tcPr>
            <w:tcW w:w="5680" w:type="dxa"/>
            <w:vAlign w:val="bottom"/>
            <w:gridSpan w:val="2"/>
            <w:shd w:val="clear" w:color="auto" w:fill="FCE9E8"/>
          </w:tcPr>
          <w:p>
            <w:pPr>
              <w:ind w:left="560"/>
              <w:spacing w:after="0"/>
              <w:rPr>
                <w:sz w:val="20"/>
                <w:szCs w:val="20"/>
                <w:color w:val="auto"/>
              </w:rPr>
            </w:pPr>
            <w:r>
              <w:rPr>
                <w:rFonts w:ascii="Arial" w:cs="Arial" w:eastAsia="Arial" w:hAnsi="Arial"/>
                <w:sz w:val="16"/>
                <w:szCs w:val="16"/>
                <w:color w:val="auto"/>
              </w:rPr>
              <w:t>power dilution, reflecting the impact of equity awards outstanding under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80" w:type="dxa"/>
            <w:vAlign w:val="bottom"/>
            <w:shd w:val="clear" w:color="auto" w:fill="FCE9E8"/>
          </w:tcPr>
          <w:p>
            <w:pPr>
              <w:spacing w:after="0"/>
              <w:rPr>
                <w:sz w:val="16"/>
                <w:szCs w:val="16"/>
                <w:color w:val="auto"/>
              </w:rPr>
            </w:pPr>
          </w:p>
        </w:tc>
        <w:tc>
          <w:tcPr>
            <w:tcW w:w="5680" w:type="dxa"/>
            <w:vAlign w:val="bottom"/>
            <w:gridSpan w:val="2"/>
            <w:shd w:val="clear" w:color="auto" w:fill="FCE9E8"/>
          </w:tcPr>
          <w:p>
            <w:pPr>
              <w:ind w:left="560"/>
              <w:spacing w:after="0"/>
              <w:rPr>
                <w:sz w:val="20"/>
                <w:szCs w:val="20"/>
                <w:color w:val="auto"/>
              </w:rPr>
            </w:pPr>
            <w:r>
              <w:rPr>
                <w:rFonts w:ascii="Arial" w:cs="Arial" w:eastAsia="Arial" w:hAnsi="Arial"/>
                <w:sz w:val="16"/>
                <w:szCs w:val="16"/>
                <w:color w:val="auto"/>
              </w:rPr>
              <w:t>the Prior LTSIP, Shares available for grant under the Prior LTSIP and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80" w:type="dxa"/>
            <w:vAlign w:val="bottom"/>
            <w:shd w:val="clear" w:color="auto" w:fill="FCE9E8"/>
          </w:tcPr>
          <w:p>
            <w:pPr>
              <w:spacing w:after="0"/>
              <w:rPr>
                <w:sz w:val="16"/>
                <w:szCs w:val="16"/>
                <w:color w:val="auto"/>
              </w:rPr>
            </w:pPr>
          </w:p>
        </w:tc>
        <w:tc>
          <w:tcPr>
            <w:tcW w:w="5680" w:type="dxa"/>
            <w:vAlign w:val="bottom"/>
            <w:gridSpan w:val="2"/>
            <w:shd w:val="clear" w:color="auto" w:fill="FCE9E8"/>
          </w:tcPr>
          <w:p>
            <w:pPr>
              <w:ind w:left="560"/>
              <w:spacing w:after="0"/>
              <w:rPr>
                <w:sz w:val="20"/>
                <w:szCs w:val="20"/>
                <w:color w:val="auto"/>
              </w:rPr>
            </w:pPr>
            <w:r>
              <w:rPr>
                <w:rFonts w:ascii="Arial" w:cs="Arial" w:eastAsia="Arial" w:hAnsi="Arial"/>
                <w:sz w:val="16"/>
                <w:szCs w:val="16"/>
                <w:color w:val="auto"/>
              </w:rPr>
              <w:t>the additional requested Shares under the 2019 LTSIP, is 5.86%. The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80" w:type="dxa"/>
            <w:vAlign w:val="bottom"/>
            <w:shd w:val="clear" w:color="auto" w:fill="FCE9E8"/>
          </w:tcPr>
          <w:p>
            <w:pPr>
              <w:spacing w:after="0"/>
              <w:rPr>
                <w:sz w:val="16"/>
                <w:szCs w:val="16"/>
                <w:color w:val="auto"/>
              </w:rPr>
            </w:pPr>
          </w:p>
        </w:tc>
        <w:tc>
          <w:tcPr>
            <w:tcW w:w="5680" w:type="dxa"/>
            <w:vAlign w:val="bottom"/>
            <w:gridSpan w:val="2"/>
            <w:shd w:val="clear" w:color="auto" w:fill="FCE9E8"/>
          </w:tcPr>
          <w:p>
            <w:pPr>
              <w:ind w:left="560"/>
              <w:spacing w:after="0"/>
              <w:rPr>
                <w:sz w:val="20"/>
                <w:szCs w:val="20"/>
                <w:color w:val="auto"/>
              </w:rPr>
            </w:pPr>
            <w:r>
              <w:rPr>
                <w:rFonts w:ascii="Arial" w:cs="Arial" w:eastAsia="Arial" w:hAnsi="Arial"/>
                <w:sz w:val="16"/>
                <w:szCs w:val="16"/>
                <w:color w:val="auto"/>
              </w:rPr>
              <w:t>Compensation Committee believes that the Share reserve represents a</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80" w:type="dxa"/>
            <w:vAlign w:val="bottom"/>
            <w:shd w:val="clear" w:color="auto" w:fill="FCE9E8"/>
          </w:tcPr>
          <w:p>
            <w:pPr>
              <w:spacing w:after="0"/>
              <w:rPr>
                <w:sz w:val="16"/>
                <w:szCs w:val="16"/>
                <w:color w:val="auto"/>
              </w:rPr>
            </w:pPr>
          </w:p>
        </w:tc>
        <w:tc>
          <w:tcPr>
            <w:tcW w:w="5680" w:type="dxa"/>
            <w:vAlign w:val="bottom"/>
            <w:gridSpan w:val="2"/>
            <w:shd w:val="clear" w:color="auto" w:fill="FCE9E8"/>
          </w:tcPr>
          <w:p>
            <w:pPr>
              <w:ind w:left="560"/>
              <w:spacing w:after="0"/>
              <w:rPr>
                <w:sz w:val="20"/>
                <w:szCs w:val="20"/>
                <w:color w:val="auto"/>
              </w:rPr>
            </w:pPr>
            <w:r>
              <w:rPr>
                <w:rFonts w:ascii="Arial" w:cs="Arial" w:eastAsia="Arial" w:hAnsi="Arial"/>
                <w:sz w:val="16"/>
                <w:szCs w:val="16"/>
                <w:color w:val="auto"/>
              </w:rPr>
              <w:t>reasonable amount of potential equity dilution given our strategic and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shd w:val="clear" w:color="auto" w:fill="FCE9E8"/>
          </w:tcPr>
          <w:p>
            <w:pPr>
              <w:spacing w:after="0"/>
              <w:rPr>
                <w:sz w:val="16"/>
                <w:szCs w:val="16"/>
                <w:color w:val="auto"/>
              </w:rPr>
            </w:pPr>
          </w:p>
        </w:tc>
        <w:tc>
          <w:tcPr>
            <w:tcW w:w="5680" w:type="dxa"/>
            <w:vAlign w:val="bottom"/>
            <w:gridSpan w:val="2"/>
            <w:shd w:val="clear" w:color="auto" w:fill="FCE9E8"/>
          </w:tcPr>
          <w:p>
            <w:pPr>
              <w:ind w:left="560"/>
              <w:spacing w:after="0"/>
              <w:rPr>
                <w:sz w:val="20"/>
                <w:szCs w:val="20"/>
                <w:color w:val="auto"/>
              </w:rPr>
            </w:pPr>
            <w:r>
              <w:rPr>
                <w:rFonts w:ascii="Arial" w:cs="Arial" w:eastAsia="Arial" w:hAnsi="Arial"/>
                <w:sz w:val="16"/>
                <w:szCs w:val="16"/>
                <w:color w:val="auto"/>
              </w:rPr>
              <w:t>long-term growth priorities.</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5180" w:type="dxa"/>
            <w:vAlign w:val="bottom"/>
            <w:shd w:val="clear" w:color="auto" w:fill="FCE9E8"/>
          </w:tcPr>
          <w:p>
            <w:pPr>
              <w:spacing w:after="0"/>
              <w:rPr>
                <w:sz w:val="24"/>
                <w:szCs w:val="24"/>
                <w:color w:val="auto"/>
              </w:rPr>
            </w:pPr>
          </w:p>
        </w:tc>
        <w:tc>
          <w:tcPr>
            <w:tcW w:w="5680" w:type="dxa"/>
            <w:vAlign w:val="bottom"/>
            <w:gridSpan w:val="2"/>
            <w:shd w:val="clear" w:color="auto" w:fill="FCE9E8"/>
          </w:tcPr>
          <w:p>
            <w:pPr>
              <w:ind w:left="560"/>
              <w:spacing w:after="0"/>
              <w:rPr>
                <w:sz w:val="20"/>
                <w:szCs w:val="20"/>
                <w:color w:val="auto"/>
              </w:rPr>
            </w:pPr>
            <w:r>
              <w:rPr>
                <w:rFonts w:ascii="Arial" w:cs="Arial" w:eastAsia="Arial" w:hAnsi="Arial"/>
                <w:sz w:val="16"/>
                <w:szCs w:val="16"/>
                <w:color w:val="auto"/>
              </w:rPr>
              <w:t>Based on our historical share usage, we currently expect that the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80" w:type="dxa"/>
            <w:vAlign w:val="bottom"/>
            <w:shd w:val="clear" w:color="auto" w:fill="FCE9E8"/>
          </w:tcPr>
          <w:p>
            <w:pPr>
              <w:spacing w:after="0"/>
              <w:rPr>
                <w:sz w:val="16"/>
                <w:szCs w:val="16"/>
                <w:color w:val="auto"/>
              </w:rPr>
            </w:pPr>
          </w:p>
        </w:tc>
        <w:tc>
          <w:tcPr>
            <w:tcW w:w="5680" w:type="dxa"/>
            <w:vAlign w:val="bottom"/>
            <w:gridSpan w:val="2"/>
            <w:shd w:val="clear" w:color="auto" w:fill="FCE9E8"/>
          </w:tcPr>
          <w:p>
            <w:pPr>
              <w:ind w:left="560"/>
              <w:spacing w:after="0"/>
              <w:rPr>
                <w:sz w:val="20"/>
                <w:szCs w:val="20"/>
                <w:color w:val="auto"/>
              </w:rPr>
            </w:pPr>
            <w:r>
              <w:rPr>
                <w:rFonts w:ascii="Arial" w:cs="Arial" w:eastAsia="Arial" w:hAnsi="Arial"/>
                <w:sz w:val="16"/>
                <w:szCs w:val="16"/>
                <w:color w:val="auto"/>
              </w:rPr>
              <w:t>proposed Share reserve will enable us to make equity awards for the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shd w:val="clear" w:color="auto" w:fill="FCE9E8"/>
          </w:tcPr>
          <w:p>
            <w:pPr>
              <w:spacing w:after="0"/>
              <w:rPr>
                <w:sz w:val="16"/>
                <w:szCs w:val="16"/>
                <w:color w:val="auto"/>
              </w:rPr>
            </w:pPr>
          </w:p>
        </w:tc>
        <w:tc>
          <w:tcPr>
            <w:tcW w:w="5680" w:type="dxa"/>
            <w:vAlign w:val="bottom"/>
            <w:gridSpan w:val="2"/>
            <w:shd w:val="clear" w:color="auto" w:fill="FCE9E8"/>
          </w:tcPr>
          <w:p>
            <w:pPr>
              <w:ind w:left="560"/>
              <w:spacing w:after="0"/>
              <w:rPr>
                <w:sz w:val="20"/>
                <w:szCs w:val="20"/>
                <w:color w:val="auto"/>
              </w:rPr>
            </w:pPr>
            <w:r>
              <w:rPr>
                <w:rFonts w:ascii="Arial" w:cs="Arial" w:eastAsia="Arial" w:hAnsi="Arial"/>
                <w:sz w:val="16"/>
                <w:szCs w:val="16"/>
                <w:color w:val="auto"/>
              </w:rPr>
              <w:t>next five to seven years.</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5180" w:type="dxa"/>
            <w:vAlign w:val="bottom"/>
            <w:shd w:val="clear" w:color="auto" w:fill="FCE9E8"/>
          </w:tcPr>
          <w:p>
            <w:pPr>
              <w:spacing w:after="0"/>
              <w:rPr>
                <w:sz w:val="10"/>
                <w:szCs w:val="10"/>
                <w:color w:val="auto"/>
              </w:rPr>
            </w:pPr>
          </w:p>
        </w:tc>
        <w:tc>
          <w:tcPr>
            <w:tcW w:w="5680" w:type="dxa"/>
            <w:vAlign w:val="bottom"/>
            <w:gridSpan w:val="2"/>
            <w:shd w:val="clear" w:color="auto" w:fill="FCE9E8"/>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b w:val="1"/>
                <w:bCs w:val="1"/>
                <w:i w:val="1"/>
                <w:iCs w:val="1"/>
                <w:color w:val="auto"/>
              </w:rPr>
              <w:t>Governance Highlights and Best Practices of the 2019 LTSIP:</w:t>
            </w:r>
          </w:p>
        </w:tc>
        <w:tc>
          <w:tcPr>
            <w:tcW w:w="5680" w:type="dxa"/>
            <w:vAlign w:val="bottom"/>
            <w:gridSpan w:val="2"/>
          </w:tcPr>
          <w:p>
            <w:pPr>
              <w:ind w:left="560"/>
              <w:spacing w:after="0"/>
              <w:rPr>
                <w:sz w:val="20"/>
                <w:szCs w:val="20"/>
                <w:color w:val="auto"/>
              </w:rPr>
            </w:pPr>
            <w:r>
              <w:rPr>
                <w:rFonts w:ascii="Arial" w:cs="Arial" w:eastAsia="Arial" w:hAnsi="Arial"/>
                <w:sz w:val="16"/>
                <w:szCs w:val="16"/>
                <w:color w:val="auto"/>
              </w:rPr>
              <w:t>The 2019 LTSIP incorporates certain compensation governance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5680" w:type="dxa"/>
            <w:vAlign w:val="bottom"/>
            <w:gridSpan w:val="2"/>
          </w:tcPr>
          <w:p>
            <w:pPr>
              <w:ind w:left="560"/>
              <w:spacing w:after="0"/>
              <w:rPr>
                <w:sz w:val="20"/>
                <w:szCs w:val="20"/>
                <w:color w:val="auto"/>
              </w:rPr>
            </w:pPr>
            <w:r>
              <w:rPr>
                <w:rFonts w:ascii="Arial" w:cs="Arial" w:eastAsia="Arial" w:hAnsi="Arial"/>
                <w:sz w:val="16"/>
                <w:szCs w:val="16"/>
                <w:color w:val="auto"/>
              </w:rPr>
              <w:t>provisions that reflect best and prevalent practices. These include:</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60" w:type="dxa"/>
            <w:vAlign w:val="bottom"/>
          </w:tcPr>
          <w:p>
            <w:pPr>
              <w:ind w:left="560"/>
              <w:spacing w:after="0"/>
              <w:rPr>
                <w:sz w:val="20"/>
                <w:szCs w:val="20"/>
                <w:color w:val="auto"/>
              </w:rPr>
            </w:pPr>
            <w:r>
              <w:rPr>
                <w:rFonts w:ascii="Arial" w:cs="Arial" w:eastAsia="Arial" w:hAnsi="Arial"/>
                <w:sz w:val="16"/>
                <w:szCs w:val="16"/>
                <w:color w:val="auto"/>
              </w:rPr>
              <w:t>•</w:t>
            </w:r>
          </w:p>
        </w:tc>
        <w:tc>
          <w:tcPr>
            <w:tcW w:w="5020" w:type="dxa"/>
            <w:vAlign w:val="bottom"/>
          </w:tcPr>
          <w:p>
            <w:pPr>
              <w:ind w:left="60"/>
              <w:spacing w:after="0"/>
              <w:rPr>
                <w:sz w:val="20"/>
                <w:szCs w:val="20"/>
                <w:color w:val="auto"/>
              </w:rPr>
            </w:pPr>
            <w:r>
              <w:rPr>
                <w:rFonts w:ascii="Arial" w:cs="Arial" w:eastAsia="Arial" w:hAnsi="Arial"/>
                <w:sz w:val="16"/>
                <w:szCs w:val="16"/>
                <w:color w:val="auto"/>
              </w:rPr>
              <w:t>Minimum vesting period of one year from the date of grant for all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20" w:type="dxa"/>
            <w:vAlign w:val="bottom"/>
          </w:tcPr>
          <w:p>
            <w:pPr>
              <w:ind w:left="60"/>
              <w:spacing w:after="0"/>
              <w:rPr>
                <w:sz w:val="20"/>
                <w:szCs w:val="20"/>
                <w:color w:val="auto"/>
              </w:rPr>
            </w:pPr>
            <w:r>
              <w:rPr>
                <w:rFonts w:ascii="Arial" w:cs="Arial" w:eastAsia="Arial" w:hAnsi="Arial"/>
                <w:sz w:val="16"/>
                <w:szCs w:val="16"/>
                <w:color w:val="auto"/>
              </w:rPr>
              <w:t>awards under the 2019 LTSIP, subject to certain limited exceptions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20" w:type="dxa"/>
            <w:vAlign w:val="bottom"/>
          </w:tcPr>
          <w:p>
            <w:pPr>
              <w:ind w:left="60"/>
              <w:spacing w:after="0"/>
              <w:rPr>
                <w:sz w:val="20"/>
                <w:szCs w:val="20"/>
                <w:color w:val="auto"/>
              </w:rPr>
            </w:pPr>
            <w:r>
              <w:rPr>
                <w:rFonts w:ascii="Arial" w:cs="Arial" w:eastAsia="Arial" w:hAnsi="Arial"/>
                <w:sz w:val="16"/>
                <w:szCs w:val="16"/>
                <w:color w:val="auto"/>
              </w:rPr>
              <w:t>(including an exception for up to 5% of the Shares reserved for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20" w:type="dxa"/>
            <w:vAlign w:val="bottom"/>
          </w:tcPr>
          <w:p>
            <w:pPr>
              <w:ind w:left="60"/>
              <w:spacing w:after="0"/>
              <w:rPr>
                <w:sz w:val="20"/>
                <w:szCs w:val="20"/>
                <w:color w:val="auto"/>
              </w:rPr>
            </w:pPr>
            <w:r>
              <w:rPr>
                <w:rFonts w:ascii="Arial" w:cs="Arial" w:eastAsia="Arial" w:hAnsi="Arial"/>
                <w:sz w:val="16"/>
                <w:szCs w:val="16"/>
                <w:color w:val="auto"/>
              </w:rPr>
              <w:t>issuance under the 2019 LTSIP);</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60" w:type="dxa"/>
            <w:vAlign w:val="bottom"/>
          </w:tcPr>
          <w:p>
            <w:pPr>
              <w:ind w:left="560"/>
              <w:spacing w:after="0"/>
              <w:rPr>
                <w:sz w:val="20"/>
                <w:szCs w:val="20"/>
                <w:color w:val="auto"/>
              </w:rPr>
            </w:pPr>
            <w:r>
              <w:rPr>
                <w:rFonts w:ascii="Arial" w:cs="Arial" w:eastAsia="Arial" w:hAnsi="Arial"/>
                <w:sz w:val="16"/>
                <w:szCs w:val="16"/>
                <w:color w:val="auto"/>
              </w:rPr>
              <w:t>•</w:t>
            </w:r>
          </w:p>
        </w:tc>
        <w:tc>
          <w:tcPr>
            <w:tcW w:w="5020" w:type="dxa"/>
            <w:vAlign w:val="bottom"/>
          </w:tcPr>
          <w:p>
            <w:pPr>
              <w:ind w:left="60"/>
              <w:spacing w:after="0"/>
              <w:rPr>
                <w:sz w:val="20"/>
                <w:szCs w:val="20"/>
                <w:color w:val="auto"/>
              </w:rPr>
            </w:pPr>
            <w:r>
              <w:rPr>
                <w:rFonts w:ascii="Arial" w:cs="Arial" w:eastAsia="Arial" w:hAnsi="Arial"/>
                <w:sz w:val="16"/>
                <w:szCs w:val="16"/>
                <w:color w:val="auto"/>
              </w:rPr>
              <w:t>Minimum 100% fair market value exercise or grant price for options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20" w:type="dxa"/>
            <w:vAlign w:val="bottom"/>
          </w:tcPr>
          <w:p>
            <w:pPr>
              <w:ind w:left="60"/>
              <w:spacing w:after="0"/>
              <w:rPr>
                <w:sz w:val="20"/>
                <w:szCs w:val="20"/>
                <w:color w:val="auto"/>
              </w:rPr>
            </w:pPr>
            <w:r>
              <w:rPr>
                <w:rFonts w:ascii="Arial" w:cs="Arial" w:eastAsia="Arial" w:hAnsi="Arial"/>
                <w:sz w:val="16"/>
                <w:szCs w:val="16"/>
                <w:color w:val="auto"/>
              </w:rPr>
              <w:t>and stock appreciation rights (“SARs”), which have a maximum term</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20" w:type="dxa"/>
            <w:vAlign w:val="bottom"/>
          </w:tcPr>
          <w:p>
            <w:pPr>
              <w:ind w:left="60"/>
              <w:spacing w:after="0"/>
              <w:rPr>
                <w:sz w:val="20"/>
                <w:szCs w:val="20"/>
                <w:color w:val="auto"/>
              </w:rPr>
            </w:pPr>
            <w:r>
              <w:rPr>
                <w:rFonts w:ascii="Arial" w:cs="Arial" w:eastAsia="Arial" w:hAnsi="Arial"/>
                <w:sz w:val="16"/>
                <w:szCs w:val="16"/>
                <w:color w:val="auto"/>
              </w:rPr>
              <w:t>of 10 years from the date of grant;</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680" w:type="dxa"/>
            <w:vAlign w:val="bottom"/>
            <w:gridSpan w:val="2"/>
          </w:tcPr>
          <w:p>
            <w:pPr>
              <w:ind w:left="560"/>
              <w:spacing w:after="0"/>
              <w:rPr>
                <w:sz w:val="20"/>
                <w:szCs w:val="20"/>
                <w:color w:val="auto"/>
              </w:rPr>
            </w:pPr>
            <w:r>
              <w:rPr>
                <w:rFonts w:ascii="Arial" w:cs="Arial" w:eastAsia="Arial" w:hAnsi="Arial"/>
                <w:sz w:val="16"/>
                <w:szCs w:val="16"/>
                <w:color w:val="auto"/>
              </w:rPr>
              <w:t>• Annual limit of 1,000,000 Shares that may be granted to any one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20" w:type="dxa"/>
            <w:vAlign w:val="bottom"/>
          </w:tcPr>
          <w:p>
            <w:pPr>
              <w:ind w:left="60"/>
              <w:spacing w:after="0"/>
              <w:rPr>
                <w:sz w:val="20"/>
                <w:szCs w:val="20"/>
                <w:color w:val="auto"/>
              </w:rPr>
            </w:pPr>
            <w:r>
              <w:rPr>
                <w:rFonts w:ascii="Arial" w:cs="Arial" w:eastAsia="Arial" w:hAnsi="Arial"/>
                <w:sz w:val="16"/>
                <w:szCs w:val="16"/>
                <w:color w:val="auto"/>
              </w:rPr>
              <w:t>participant subject to awards under the 2019 LTSIP;</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60" w:type="dxa"/>
            <w:vAlign w:val="bottom"/>
          </w:tcPr>
          <w:p>
            <w:pPr>
              <w:ind w:left="560"/>
              <w:spacing w:after="0"/>
              <w:rPr>
                <w:sz w:val="20"/>
                <w:szCs w:val="20"/>
                <w:color w:val="auto"/>
              </w:rPr>
            </w:pPr>
            <w:r>
              <w:rPr>
                <w:rFonts w:ascii="Arial" w:cs="Arial" w:eastAsia="Arial" w:hAnsi="Arial"/>
                <w:sz w:val="16"/>
                <w:szCs w:val="16"/>
                <w:color w:val="auto"/>
              </w:rPr>
              <w:t>•</w:t>
            </w:r>
          </w:p>
        </w:tc>
        <w:tc>
          <w:tcPr>
            <w:tcW w:w="5020" w:type="dxa"/>
            <w:vAlign w:val="bottom"/>
          </w:tcPr>
          <w:p>
            <w:pPr>
              <w:ind w:left="60"/>
              <w:spacing w:after="0"/>
              <w:rPr>
                <w:sz w:val="20"/>
                <w:szCs w:val="20"/>
                <w:color w:val="auto"/>
              </w:rPr>
            </w:pPr>
            <w:r>
              <w:rPr>
                <w:rFonts w:ascii="Arial" w:cs="Arial" w:eastAsia="Arial" w:hAnsi="Arial"/>
                <w:sz w:val="16"/>
                <w:szCs w:val="16"/>
                <w:color w:val="auto"/>
              </w:rPr>
              <w:t>Maximum limit of 1,000,000 Shares that may be issued pursuant to</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20" w:type="dxa"/>
            <w:vAlign w:val="bottom"/>
          </w:tcPr>
          <w:p>
            <w:pPr>
              <w:ind w:left="60"/>
              <w:spacing w:after="0"/>
              <w:rPr>
                <w:sz w:val="20"/>
                <w:szCs w:val="20"/>
                <w:color w:val="auto"/>
              </w:rPr>
            </w:pPr>
            <w:r>
              <w:rPr>
                <w:rFonts w:ascii="Arial" w:cs="Arial" w:eastAsia="Arial" w:hAnsi="Arial"/>
                <w:sz w:val="16"/>
                <w:szCs w:val="16"/>
                <w:color w:val="auto"/>
              </w:rPr>
              <w:t>options intended to qualify as incentive stock options;</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60" w:type="dxa"/>
            <w:vAlign w:val="bottom"/>
          </w:tcPr>
          <w:p>
            <w:pPr>
              <w:ind w:left="560"/>
              <w:spacing w:after="0"/>
              <w:rPr>
                <w:sz w:val="20"/>
                <w:szCs w:val="20"/>
                <w:color w:val="auto"/>
              </w:rPr>
            </w:pPr>
            <w:r>
              <w:rPr>
                <w:rFonts w:ascii="Arial" w:cs="Arial" w:eastAsia="Arial" w:hAnsi="Arial"/>
                <w:sz w:val="16"/>
                <w:szCs w:val="16"/>
                <w:color w:val="auto"/>
              </w:rPr>
              <w:t>•</w:t>
            </w:r>
          </w:p>
        </w:tc>
        <w:tc>
          <w:tcPr>
            <w:tcW w:w="5020" w:type="dxa"/>
            <w:vAlign w:val="bottom"/>
          </w:tcPr>
          <w:p>
            <w:pPr>
              <w:ind w:left="60"/>
              <w:spacing w:after="0"/>
              <w:rPr>
                <w:sz w:val="20"/>
                <w:szCs w:val="20"/>
                <w:color w:val="auto"/>
              </w:rPr>
            </w:pPr>
            <w:r>
              <w:rPr>
                <w:rFonts w:ascii="Arial" w:cs="Arial" w:eastAsia="Arial" w:hAnsi="Arial"/>
                <w:sz w:val="16"/>
                <w:szCs w:val="16"/>
                <w:color w:val="auto"/>
              </w:rPr>
              <w:t>Maximum aggregate dollar amount of $20,000,000 that may be paid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20" w:type="dxa"/>
            <w:vAlign w:val="bottom"/>
          </w:tcPr>
          <w:p>
            <w:pPr>
              <w:ind w:left="60"/>
              <w:spacing w:after="0"/>
              <w:rPr>
                <w:sz w:val="20"/>
                <w:szCs w:val="20"/>
                <w:color w:val="auto"/>
              </w:rPr>
            </w:pPr>
            <w:r>
              <w:rPr>
                <w:rFonts w:ascii="Arial" w:cs="Arial" w:eastAsia="Arial" w:hAnsi="Arial"/>
                <w:sz w:val="16"/>
                <w:szCs w:val="16"/>
                <w:color w:val="auto"/>
              </w:rPr>
              <w:t>to a participant during any calendar year under performance units or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20" w:type="dxa"/>
            <w:vAlign w:val="bottom"/>
          </w:tcPr>
          <w:p>
            <w:pPr>
              <w:ind w:left="60"/>
              <w:spacing w:after="0"/>
              <w:rPr>
                <w:sz w:val="20"/>
                <w:szCs w:val="20"/>
                <w:color w:val="auto"/>
              </w:rPr>
            </w:pPr>
            <w:r>
              <w:rPr>
                <w:rFonts w:ascii="Arial" w:cs="Arial" w:eastAsia="Arial" w:hAnsi="Arial"/>
                <w:sz w:val="16"/>
                <w:szCs w:val="16"/>
                <w:color w:val="auto"/>
              </w:rPr>
              <w:t>cash incentive awards;</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680" w:type="dxa"/>
            <w:vAlign w:val="bottom"/>
            <w:gridSpan w:val="2"/>
          </w:tcPr>
          <w:p>
            <w:pPr>
              <w:ind w:left="560"/>
              <w:spacing w:after="0"/>
              <w:rPr>
                <w:sz w:val="20"/>
                <w:szCs w:val="20"/>
                <w:color w:val="auto"/>
              </w:rPr>
            </w:pPr>
            <w:r>
              <w:rPr>
                <w:rFonts w:ascii="Arial" w:cs="Arial" w:eastAsia="Arial" w:hAnsi="Arial"/>
                <w:sz w:val="16"/>
                <w:szCs w:val="16"/>
                <w:color w:val="auto"/>
              </w:rPr>
              <w:t>• Annual limit of $900,000 on the cash and equity compensation that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20" w:type="dxa"/>
            <w:vAlign w:val="bottom"/>
          </w:tcPr>
          <w:p>
            <w:pPr>
              <w:ind w:left="60"/>
              <w:spacing w:after="0"/>
              <w:rPr>
                <w:sz w:val="20"/>
                <w:szCs w:val="20"/>
                <w:color w:val="auto"/>
              </w:rPr>
            </w:pPr>
            <w:r>
              <w:rPr>
                <w:rFonts w:ascii="Arial" w:cs="Arial" w:eastAsia="Arial" w:hAnsi="Arial"/>
                <w:sz w:val="16"/>
                <w:szCs w:val="16"/>
                <w:color w:val="auto"/>
              </w:rPr>
              <w:t>may be paid or awarded to a non-employee director in any calendar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20" w:type="dxa"/>
            <w:vAlign w:val="bottom"/>
          </w:tcPr>
          <w:p>
            <w:pPr>
              <w:ind w:left="60"/>
              <w:spacing w:after="0"/>
              <w:rPr>
                <w:sz w:val="20"/>
                <w:szCs w:val="20"/>
                <w:color w:val="auto"/>
              </w:rPr>
            </w:pPr>
            <w:r>
              <w:rPr>
                <w:rFonts w:ascii="Arial" w:cs="Arial" w:eastAsia="Arial" w:hAnsi="Arial"/>
                <w:sz w:val="16"/>
                <w:szCs w:val="16"/>
                <w:color w:val="auto"/>
              </w:rPr>
              <w:t>year with respect to his or her service as a non-employee director;</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60" w:type="dxa"/>
            <w:vAlign w:val="bottom"/>
          </w:tcPr>
          <w:p>
            <w:pPr>
              <w:ind w:left="560"/>
              <w:spacing w:after="0"/>
              <w:rPr>
                <w:sz w:val="20"/>
                <w:szCs w:val="20"/>
                <w:color w:val="auto"/>
              </w:rPr>
            </w:pPr>
            <w:r>
              <w:rPr>
                <w:rFonts w:ascii="Arial" w:cs="Arial" w:eastAsia="Arial" w:hAnsi="Arial"/>
                <w:sz w:val="16"/>
                <w:szCs w:val="16"/>
                <w:color w:val="auto"/>
              </w:rPr>
              <w:t>•</w:t>
            </w:r>
          </w:p>
        </w:tc>
        <w:tc>
          <w:tcPr>
            <w:tcW w:w="5020" w:type="dxa"/>
            <w:vAlign w:val="bottom"/>
          </w:tcPr>
          <w:p>
            <w:pPr>
              <w:ind w:left="60"/>
              <w:spacing w:after="0"/>
              <w:rPr>
                <w:sz w:val="20"/>
                <w:szCs w:val="20"/>
                <w:color w:val="auto"/>
              </w:rPr>
            </w:pPr>
            <w:r>
              <w:rPr>
                <w:rFonts w:ascii="Arial" w:cs="Arial" w:eastAsia="Arial" w:hAnsi="Arial"/>
                <w:sz w:val="16"/>
                <w:szCs w:val="16"/>
                <w:color w:val="auto"/>
              </w:rPr>
              <w:t>No repricing of options or SARs and no cash buyout of underwater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20" w:type="dxa"/>
            <w:vAlign w:val="bottom"/>
          </w:tcPr>
          <w:p>
            <w:pPr>
              <w:ind w:left="60"/>
              <w:spacing w:after="0"/>
              <w:rPr>
                <w:sz w:val="20"/>
                <w:szCs w:val="20"/>
                <w:color w:val="auto"/>
              </w:rPr>
            </w:pPr>
            <w:r>
              <w:rPr>
                <w:rFonts w:ascii="Arial" w:cs="Arial" w:eastAsia="Arial" w:hAnsi="Arial"/>
                <w:sz w:val="16"/>
                <w:szCs w:val="16"/>
                <w:color w:val="auto"/>
              </w:rPr>
              <w:t>options and SARs without stockholder approval;</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60" w:type="dxa"/>
            <w:vAlign w:val="bottom"/>
          </w:tcPr>
          <w:p>
            <w:pPr>
              <w:ind w:left="560"/>
              <w:spacing w:after="0"/>
              <w:rPr>
                <w:sz w:val="20"/>
                <w:szCs w:val="20"/>
                <w:color w:val="auto"/>
              </w:rPr>
            </w:pPr>
            <w:r>
              <w:rPr>
                <w:rFonts w:ascii="Arial" w:cs="Arial" w:eastAsia="Arial" w:hAnsi="Arial"/>
                <w:sz w:val="16"/>
                <w:szCs w:val="16"/>
                <w:color w:val="auto"/>
              </w:rPr>
              <w:t>•</w:t>
            </w:r>
          </w:p>
        </w:tc>
        <w:tc>
          <w:tcPr>
            <w:tcW w:w="5020" w:type="dxa"/>
            <w:vAlign w:val="bottom"/>
          </w:tcPr>
          <w:p>
            <w:pPr>
              <w:ind w:left="60"/>
              <w:spacing w:after="0"/>
              <w:rPr>
                <w:sz w:val="20"/>
                <w:szCs w:val="20"/>
                <w:color w:val="auto"/>
              </w:rPr>
            </w:pPr>
            <w:r>
              <w:rPr>
                <w:rFonts w:ascii="Arial" w:cs="Arial" w:eastAsia="Arial" w:hAnsi="Arial"/>
                <w:sz w:val="16"/>
                <w:szCs w:val="16"/>
                <w:color w:val="auto"/>
              </w:rPr>
              <w:t>No “liberal” share recycling for any awards under the 2019 LTSIP;</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60" w:type="dxa"/>
            <w:vAlign w:val="bottom"/>
          </w:tcPr>
          <w:p>
            <w:pPr>
              <w:ind w:left="560"/>
              <w:spacing w:after="0"/>
              <w:rPr>
                <w:sz w:val="20"/>
                <w:szCs w:val="20"/>
                <w:color w:val="auto"/>
              </w:rPr>
            </w:pPr>
            <w:r>
              <w:rPr>
                <w:rFonts w:ascii="Arial" w:cs="Arial" w:eastAsia="Arial" w:hAnsi="Arial"/>
                <w:sz w:val="16"/>
                <w:szCs w:val="16"/>
                <w:color w:val="auto"/>
              </w:rPr>
              <w:t>•</w:t>
            </w:r>
          </w:p>
        </w:tc>
        <w:tc>
          <w:tcPr>
            <w:tcW w:w="5020" w:type="dxa"/>
            <w:vAlign w:val="bottom"/>
          </w:tcPr>
          <w:p>
            <w:pPr>
              <w:ind w:left="60"/>
              <w:spacing w:after="0"/>
              <w:rPr>
                <w:sz w:val="20"/>
                <w:szCs w:val="20"/>
                <w:color w:val="auto"/>
              </w:rPr>
            </w:pPr>
            <w:r>
              <w:rPr>
                <w:rFonts w:ascii="Arial" w:cs="Arial" w:eastAsia="Arial" w:hAnsi="Arial"/>
                <w:sz w:val="16"/>
                <w:szCs w:val="16"/>
                <w:color w:val="auto"/>
              </w:rPr>
              <w:t>No dividends or dividend equivalents paid out currently on unvested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20" w:type="dxa"/>
            <w:vAlign w:val="bottom"/>
          </w:tcPr>
          <w:p>
            <w:pPr>
              <w:ind w:left="60"/>
              <w:spacing w:after="0"/>
              <w:rPr>
                <w:sz w:val="20"/>
                <w:szCs w:val="20"/>
                <w:color w:val="auto"/>
              </w:rPr>
            </w:pPr>
            <w:r>
              <w:rPr>
                <w:rFonts w:ascii="Arial" w:cs="Arial" w:eastAsia="Arial" w:hAnsi="Arial"/>
                <w:sz w:val="16"/>
                <w:szCs w:val="16"/>
                <w:color w:val="auto"/>
              </w:rPr>
              <w:t>awards;</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60" w:type="dxa"/>
            <w:vAlign w:val="bottom"/>
          </w:tcPr>
          <w:p>
            <w:pPr>
              <w:ind w:left="560"/>
              <w:spacing w:after="0"/>
              <w:rPr>
                <w:sz w:val="20"/>
                <w:szCs w:val="20"/>
                <w:color w:val="auto"/>
              </w:rPr>
            </w:pPr>
            <w:r>
              <w:rPr>
                <w:rFonts w:ascii="Arial" w:cs="Arial" w:eastAsia="Arial" w:hAnsi="Arial"/>
                <w:sz w:val="16"/>
                <w:szCs w:val="16"/>
                <w:color w:val="auto"/>
              </w:rPr>
              <w:t>•</w:t>
            </w:r>
          </w:p>
        </w:tc>
        <w:tc>
          <w:tcPr>
            <w:tcW w:w="5020" w:type="dxa"/>
            <w:vAlign w:val="bottom"/>
          </w:tcPr>
          <w:p>
            <w:pPr>
              <w:ind w:left="60"/>
              <w:spacing w:after="0"/>
              <w:rPr>
                <w:sz w:val="20"/>
                <w:szCs w:val="20"/>
                <w:color w:val="auto"/>
              </w:rPr>
            </w:pPr>
            <w:r>
              <w:rPr>
                <w:rFonts w:ascii="Arial" w:cs="Arial" w:eastAsia="Arial" w:hAnsi="Arial"/>
                <w:sz w:val="16"/>
                <w:szCs w:val="16"/>
                <w:color w:val="auto"/>
              </w:rPr>
              <w:t>No dividend equivalents on options or SARs;</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60" w:type="dxa"/>
            <w:vAlign w:val="bottom"/>
          </w:tcPr>
          <w:p>
            <w:pPr>
              <w:ind w:left="560"/>
              <w:spacing w:after="0"/>
              <w:rPr>
                <w:sz w:val="20"/>
                <w:szCs w:val="20"/>
                <w:color w:val="auto"/>
              </w:rPr>
            </w:pPr>
            <w:r>
              <w:rPr>
                <w:rFonts w:ascii="Arial" w:cs="Arial" w:eastAsia="Arial" w:hAnsi="Arial"/>
                <w:sz w:val="16"/>
                <w:szCs w:val="16"/>
                <w:color w:val="auto"/>
              </w:rPr>
              <w:t>•</w:t>
            </w:r>
          </w:p>
        </w:tc>
        <w:tc>
          <w:tcPr>
            <w:tcW w:w="5020" w:type="dxa"/>
            <w:vAlign w:val="bottom"/>
          </w:tcPr>
          <w:p>
            <w:pPr>
              <w:ind w:left="60"/>
              <w:spacing w:after="0"/>
              <w:rPr>
                <w:sz w:val="20"/>
                <w:szCs w:val="20"/>
                <w:color w:val="auto"/>
              </w:rPr>
            </w:pPr>
            <w:r>
              <w:rPr>
                <w:rFonts w:ascii="Arial" w:cs="Arial" w:eastAsia="Arial" w:hAnsi="Arial"/>
                <w:sz w:val="16"/>
                <w:szCs w:val="16"/>
                <w:color w:val="auto"/>
              </w:rPr>
              <w:t>No evergreen provision;</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60" w:type="dxa"/>
            <w:vAlign w:val="bottom"/>
          </w:tcPr>
          <w:p>
            <w:pPr>
              <w:ind w:left="560"/>
              <w:spacing w:after="0"/>
              <w:rPr>
                <w:sz w:val="20"/>
                <w:szCs w:val="20"/>
                <w:color w:val="auto"/>
              </w:rPr>
            </w:pPr>
            <w:r>
              <w:rPr>
                <w:rFonts w:ascii="Arial" w:cs="Arial" w:eastAsia="Arial" w:hAnsi="Arial"/>
                <w:sz w:val="16"/>
                <w:szCs w:val="16"/>
                <w:color w:val="auto"/>
              </w:rPr>
              <w:t>•</w:t>
            </w:r>
          </w:p>
        </w:tc>
        <w:tc>
          <w:tcPr>
            <w:tcW w:w="5020" w:type="dxa"/>
            <w:vAlign w:val="bottom"/>
          </w:tcPr>
          <w:p>
            <w:pPr>
              <w:ind w:left="60"/>
              <w:spacing w:after="0"/>
              <w:rPr>
                <w:sz w:val="20"/>
                <w:szCs w:val="20"/>
                <w:color w:val="auto"/>
              </w:rPr>
            </w:pPr>
            <w:r>
              <w:rPr>
                <w:rFonts w:ascii="Arial" w:cs="Arial" w:eastAsia="Arial" w:hAnsi="Arial"/>
                <w:sz w:val="16"/>
                <w:szCs w:val="16"/>
                <w:color w:val="auto"/>
              </w:rPr>
              <w:t>No “liberal” change in control definition;</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60" w:type="dxa"/>
            <w:vAlign w:val="bottom"/>
          </w:tcPr>
          <w:p>
            <w:pPr>
              <w:ind w:left="560"/>
              <w:spacing w:after="0"/>
              <w:rPr>
                <w:sz w:val="20"/>
                <w:szCs w:val="20"/>
                <w:color w:val="auto"/>
              </w:rPr>
            </w:pPr>
            <w:r>
              <w:rPr>
                <w:rFonts w:ascii="Arial" w:cs="Arial" w:eastAsia="Arial" w:hAnsi="Arial"/>
                <w:sz w:val="16"/>
                <w:szCs w:val="16"/>
                <w:color w:val="auto"/>
              </w:rPr>
              <w:t>•</w:t>
            </w:r>
          </w:p>
        </w:tc>
        <w:tc>
          <w:tcPr>
            <w:tcW w:w="5020" w:type="dxa"/>
            <w:vAlign w:val="bottom"/>
          </w:tcPr>
          <w:p>
            <w:pPr>
              <w:ind w:left="60"/>
              <w:spacing w:after="0"/>
              <w:rPr>
                <w:sz w:val="20"/>
                <w:szCs w:val="20"/>
                <w:color w:val="auto"/>
              </w:rPr>
            </w:pPr>
            <w:r>
              <w:rPr>
                <w:rFonts w:ascii="Arial" w:cs="Arial" w:eastAsia="Arial" w:hAnsi="Arial"/>
                <w:sz w:val="16"/>
                <w:szCs w:val="16"/>
                <w:color w:val="auto"/>
              </w:rPr>
              <w:t>“Double-trigger” vesting for change in control benefits;</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60" w:type="dxa"/>
            <w:vAlign w:val="bottom"/>
          </w:tcPr>
          <w:p>
            <w:pPr>
              <w:ind w:left="560"/>
              <w:spacing w:after="0"/>
              <w:rPr>
                <w:sz w:val="20"/>
                <w:szCs w:val="20"/>
                <w:color w:val="auto"/>
              </w:rPr>
            </w:pPr>
            <w:r>
              <w:rPr>
                <w:rFonts w:ascii="Arial" w:cs="Arial" w:eastAsia="Arial" w:hAnsi="Arial"/>
                <w:sz w:val="16"/>
                <w:szCs w:val="16"/>
                <w:color w:val="auto"/>
              </w:rPr>
              <w:t>•</w:t>
            </w:r>
          </w:p>
        </w:tc>
        <w:tc>
          <w:tcPr>
            <w:tcW w:w="5020" w:type="dxa"/>
            <w:vAlign w:val="bottom"/>
          </w:tcPr>
          <w:p>
            <w:pPr>
              <w:ind w:left="60"/>
              <w:spacing w:after="0"/>
              <w:rPr>
                <w:sz w:val="20"/>
                <w:szCs w:val="20"/>
                <w:color w:val="auto"/>
              </w:rPr>
            </w:pPr>
            <w:r>
              <w:rPr>
                <w:rFonts w:ascii="Arial" w:cs="Arial" w:eastAsia="Arial" w:hAnsi="Arial"/>
                <w:sz w:val="16"/>
                <w:szCs w:val="16"/>
                <w:color w:val="auto"/>
              </w:rPr>
              <w:t>No excise tax gross-up on change in control benefits; and</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60" w:type="dxa"/>
            <w:vAlign w:val="bottom"/>
          </w:tcPr>
          <w:p>
            <w:pPr>
              <w:ind w:left="560"/>
              <w:spacing w:after="0"/>
              <w:rPr>
                <w:sz w:val="20"/>
                <w:szCs w:val="20"/>
                <w:color w:val="auto"/>
              </w:rPr>
            </w:pPr>
            <w:r>
              <w:rPr>
                <w:rFonts w:ascii="Arial" w:cs="Arial" w:eastAsia="Arial" w:hAnsi="Arial"/>
                <w:sz w:val="16"/>
                <w:szCs w:val="16"/>
                <w:color w:val="auto"/>
              </w:rPr>
              <w:t>•</w:t>
            </w:r>
          </w:p>
        </w:tc>
        <w:tc>
          <w:tcPr>
            <w:tcW w:w="5020" w:type="dxa"/>
            <w:vAlign w:val="bottom"/>
          </w:tcPr>
          <w:p>
            <w:pPr>
              <w:ind w:left="60"/>
              <w:spacing w:after="0"/>
              <w:rPr>
                <w:sz w:val="20"/>
                <w:szCs w:val="20"/>
                <w:color w:val="auto"/>
              </w:rPr>
            </w:pPr>
            <w:r>
              <w:rPr>
                <w:rFonts w:ascii="Arial" w:cs="Arial" w:eastAsia="Arial" w:hAnsi="Arial"/>
                <w:sz w:val="16"/>
                <w:szCs w:val="16"/>
                <w:color w:val="auto"/>
              </w:rPr>
              <w:t>Clawback provisions.</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5180" w:type="dxa"/>
            <w:vAlign w:val="bottom"/>
          </w:tcPr>
          <w:p>
            <w:pPr>
              <w:spacing w:after="0"/>
              <w:rPr>
                <w:sz w:val="10"/>
                <w:szCs w:val="10"/>
                <w:color w:val="auto"/>
              </w:rPr>
            </w:pPr>
          </w:p>
        </w:tc>
        <w:tc>
          <w:tcPr>
            <w:tcW w:w="56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180" w:type="dxa"/>
            <w:vAlign w:val="bottom"/>
            <w:shd w:val="clear" w:color="auto" w:fill="FCE9E8"/>
          </w:tcPr>
          <w:p>
            <w:pPr>
              <w:spacing w:after="0"/>
              <w:rPr>
                <w:sz w:val="20"/>
                <w:szCs w:val="20"/>
                <w:color w:val="auto"/>
              </w:rPr>
            </w:pPr>
            <w:r>
              <w:rPr>
                <w:rFonts w:ascii="Arial" w:cs="Arial" w:eastAsia="Arial" w:hAnsi="Arial"/>
                <w:sz w:val="16"/>
                <w:szCs w:val="16"/>
                <w:b w:val="1"/>
                <w:bCs w:val="1"/>
                <w:i w:val="1"/>
                <w:iCs w:val="1"/>
                <w:color w:val="auto"/>
              </w:rPr>
              <w:t>Plan Term:</w:t>
            </w:r>
          </w:p>
        </w:tc>
        <w:tc>
          <w:tcPr>
            <w:tcW w:w="5680" w:type="dxa"/>
            <w:vAlign w:val="bottom"/>
            <w:gridSpan w:val="2"/>
            <w:shd w:val="clear" w:color="auto" w:fill="FCE9E8"/>
          </w:tcPr>
          <w:p>
            <w:pPr>
              <w:ind w:left="560"/>
              <w:spacing w:after="0"/>
              <w:rPr>
                <w:sz w:val="20"/>
                <w:szCs w:val="20"/>
                <w:color w:val="auto"/>
              </w:rPr>
            </w:pPr>
            <w:r>
              <w:rPr>
                <w:rFonts w:ascii="Arial" w:cs="Arial" w:eastAsia="Arial" w:hAnsi="Arial"/>
                <w:sz w:val="16"/>
                <w:szCs w:val="16"/>
                <w:color w:val="auto"/>
              </w:rPr>
              <w:t>The 2019 LTSIP will expire on May 16, 2029, unless earlier terminated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80" w:type="dxa"/>
            <w:vAlign w:val="bottom"/>
            <w:shd w:val="clear" w:color="auto" w:fill="FCE9E8"/>
          </w:tcPr>
          <w:p>
            <w:pPr>
              <w:spacing w:after="0"/>
              <w:rPr>
                <w:sz w:val="16"/>
                <w:szCs w:val="16"/>
                <w:color w:val="auto"/>
              </w:rPr>
            </w:pPr>
          </w:p>
        </w:tc>
        <w:tc>
          <w:tcPr>
            <w:tcW w:w="5680" w:type="dxa"/>
            <w:vAlign w:val="bottom"/>
            <w:gridSpan w:val="2"/>
            <w:shd w:val="clear" w:color="auto" w:fill="FCE9E8"/>
          </w:tcPr>
          <w:p>
            <w:pPr>
              <w:ind w:left="560"/>
              <w:spacing w:after="0"/>
              <w:rPr>
                <w:sz w:val="20"/>
                <w:szCs w:val="20"/>
                <w:color w:val="auto"/>
              </w:rPr>
            </w:pPr>
            <w:r>
              <w:rPr>
                <w:rFonts w:ascii="Arial" w:cs="Arial" w:eastAsia="Arial" w:hAnsi="Arial"/>
                <w:sz w:val="16"/>
                <w:szCs w:val="16"/>
                <w:color w:val="auto"/>
              </w:rPr>
              <w:t>by the Compensation Committee, but awards granted prior to such date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shd w:val="clear" w:color="auto" w:fill="FCE9E8"/>
          </w:tcPr>
          <w:p>
            <w:pPr>
              <w:spacing w:after="0"/>
              <w:rPr>
                <w:sz w:val="16"/>
                <w:szCs w:val="16"/>
                <w:color w:val="auto"/>
              </w:rPr>
            </w:pPr>
          </w:p>
        </w:tc>
        <w:tc>
          <w:tcPr>
            <w:tcW w:w="5680" w:type="dxa"/>
            <w:vAlign w:val="bottom"/>
            <w:gridSpan w:val="2"/>
            <w:shd w:val="clear" w:color="auto" w:fill="FCE9E8"/>
          </w:tcPr>
          <w:p>
            <w:pPr>
              <w:ind w:left="560"/>
              <w:spacing w:after="0"/>
              <w:rPr>
                <w:sz w:val="20"/>
                <w:szCs w:val="20"/>
                <w:color w:val="auto"/>
              </w:rPr>
            </w:pPr>
            <w:r>
              <w:rPr>
                <w:rFonts w:ascii="Arial" w:cs="Arial" w:eastAsia="Arial" w:hAnsi="Arial"/>
                <w:sz w:val="16"/>
                <w:szCs w:val="16"/>
                <w:color w:val="auto"/>
              </w:rPr>
              <w:t>may extend beyond that date.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80" w:type="dxa"/>
            <w:vAlign w:val="bottom"/>
            <w:shd w:val="clear" w:color="auto" w:fill="FCE9E8"/>
          </w:tcPr>
          <w:p>
            <w:pPr>
              <w:spacing w:after="0"/>
              <w:rPr>
                <w:sz w:val="21"/>
                <w:szCs w:val="21"/>
                <w:color w:val="auto"/>
              </w:rPr>
            </w:pPr>
          </w:p>
        </w:tc>
        <w:tc>
          <w:tcPr>
            <w:tcW w:w="660" w:type="dxa"/>
            <w:vAlign w:val="bottom"/>
            <w:shd w:val="clear" w:color="auto" w:fill="FCE9E8"/>
          </w:tcPr>
          <w:p>
            <w:pPr>
              <w:spacing w:after="0"/>
              <w:rPr>
                <w:sz w:val="21"/>
                <w:szCs w:val="21"/>
                <w:color w:val="auto"/>
              </w:rPr>
            </w:pPr>
          </w:p>
        </w:tc>
        <w:tc>
          <w:tcPr>
            <w:tcW w:w="5020" w:type="dxa"/>
            <w:vAlign w:val="bottom"/>
            <w:shd w:val="clear" w:color="auto" w:fill="FCE9E8"/>
          </w:tcPr>
          <w:p>
            <w:pPr>
              <w:spacing w:after="0"/>
              <w:rPr>
                <w:sz w:val="21"/>
                <w:szCs w:val="2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740" w:hanging="359"/>
        <w:spacing w:after="0"/>
        <w:tabs>
          <w:tab w:leader="none" w:pos="7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60"/>
          </w:cols>
          <w:pgMar w:left="240" w:top="455"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3120"/>
        <w:spacing w:after="0"/>
        <w:rPr>
          <w:sz w:val="20"/>
          <w:szCs w:val="20"/>
          <w:color w:val="auto"/>
        </w:rPr>
      </w:pPr>
      <w:r>
        <w:rPr>
          <w:rFonts w:ascii="Arial" w:cs="Arial" w:eastAsia="Arial" w:hAnsi="Arial"/>
          <w:sz w:val="15"/>
          <w:szCs w:val="15"/>
          <w:b w:val="1"/>
          <w:bCs w:val="1"/>
          <w:u w:val="single" w:color="auto"/>
          <w:color w:val="E2231A"/>
        </w:rPr>
        <w:t>VOTE TO APPROVE THE LEAR CORPORATION 2019 LONG-TERM STOCK INCENTIVE PLAN (PROPOSAL NO. 4)</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Burn Rate and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Burn Rate</w:t>
      </w:r>
    </w:p>
    <w:p>
      <w:pPr>
        <w:spacing w:after="0" w:line="124" w:lineRule="exact"/>
        <w:rPr>
          <w:sz w:val="20"/>
          <w:szCs w:val="20"/>
          <w:color w:val="auto"/>
        </w:rPr>
      </w:pPr>
    </w:p>
    <w:p>
      <w:pPr>
        <w:ind w:left="280" w:right="40"/>
        <w:spacing w:after="0" w:line="254" w:lineRule="auto"/>
        <w:rPr>
          <w:sz w:val="20"/>
          <w:szCs w:val="20"/>
          <w:color w:val="auto"/>
        </w:rPr>
      </w:pPr>
      <w:r>
        <w:rPr>
          <w:rFonts w:ascii="Arial" w:cs="Arial" w:eastAsia="Arial" w:hAnsi="Arial"/>
          <w:sz w:val="16"/>
          <w:szCs w:val="16"/>
          <w:color w:val="auto"/>
        </w:rPr>
        <w:t>The following table sets forth information regarding awards granted, the burn rate for each of the last three fiscal years and the average burn rate over the last three years under the Prior LTSIP.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140335</wp:posOffset>
            </wp:positionV>
            <wp:extent cx="6901815" cy="3467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01815" cy="346710"/>
                    </a:xfrm>
                    <a:prstGeom prst="rect">
                      <a:avLst/>
                    </a:prstGeom>
                    <a:noFill/>
                  </pic:spPr>
                </pic:pic>
              </a:graphicData>
            </a:graphic>
          </wp:anchor>
        </w:drawing>
      </w:r>
    </w:p>
    <w:p>
      <w:pPr>
        <w:spacing w:after="0" w:line="222"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color w:val="FFFFFF"/>
        </w:rPr>
        <w:t>BURN RATE</w:t>
      </w:r>
    </w:p>
    <w:p>
      <w:pPr>
        <w:spacing w:after="0" w:line="24"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color w:val="FFFFFF"/>
        </w:rPr>
        <w:t>(shares in thousands)</w:t>
      </w:r>
    </w:p>
    <w:p>
      <w:pPr>
        <w:spacing w:after="0" w:line="15"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E2231A"/>
                <w:w w:val="99"/>
              </w:rPr>
              <w:t>Year Ended December 31,</w:t>
            </w:r>
          </w:p>
        </w:tc>
        <w:tc>
          <w:tcPr>
            <w:tcW w:w="12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5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42"/>
              <w:spacing w:after="0" w:line="153" w:lineRule="exact"/>
              <w:rPr>
                <w:sz w:val="20"/>
                <w:szCs w:val="20"/>
                <w:color w:val="auto"/>
              </w:rPr>
            </w:pPr>
            <w:r>
              <w:rPr>
                <w:rFonts w:ascii="Arial" w:cs="Arial" w:eastAsia="Arial" w:hAnsi="Arial"/>
                <w:sz w:val="14"/>
                <w:szCs w:val="14"/>
                <w:b w:val="1"/>
                <w:bCs w:val="1"/>
                <w:color w:val="E2231A"/>
              </w:rPr>
              <w:t>2018</w:t>
            </w:r>
          </w:p>
        </w:tc>
        <w:tc>
          <w:tcPr>
            <w:tcW w:w="1840" w:type="dxa"/>
            <w:vAlign w:val="bottom"/>
            <w:tcBorders>
              <w:bottom w:val="single" w:sz="8" w:color="auto"/>
            </w:tcBorders>
          </w:tcPr>
          <w:p>
            <w:pPr>
              <w:jc w:val="right"/>
              <w:ind w:right="683"/>
              <w:spacing w:after="0" w:line="153" w:lineRule="exact"/>
              <w:rPr>
                <w:sz w:val="20"/>
                <w:szCs w:val="20"/>
                <w:color w:val="auto"/>
              </w:rPr>
            </w:pPr>
            <w:r>
              <w:rPr>
                <w:rFonts w:ascii="Arial" w:cs="Arial" w:eastAsia="Arial" w:hAnsi="Arial"/>
                <w:sz w:val="14"/>
                <w:szCs w:val="14"/>
                <w:b w:val="1"/>
                <w:bCs w:val="1"/>
                <w:color w:val="E2231A"/>
              </w:rPr>
              <w:t>2017</w:t>
            </w:r>
          </w:p>
        </w:tc>
        <w:tc>
          <w:tcPr>
            <w:tcW w:w="1240" w:type="dxa"/>
            <w:vAlign w:val="bottom"/>
            <w:tcBorders>
              <w:bottom w:val="single" w:sz="8" w:color="auto"/>
            </w:tcBorders>
          </w:tcPr>
          <w:p>
            <w:pPr>
              <w:jc w:val="right"/>
              <w:ind w:right="522"/>
              <w:spacing w:after="0" w:line="153" w:lineRule="exact"/>
              <w:rPr>
                <w:sz w:val="20"/>
                <w:szCs w:val="20"/>
                <w:color w:val="auto"/>
              </w:rPr>
            </w:pPr>
            <w:r>
              <w:rPr>
                <w:rFonts w:ascii="Arial" w:cs="Arial" w:eastAsia="Arial" w:hAnsi="Arial"/>
                <w:sz w:val="14"/>
                <w:szCs w:val="14"/>
                <w:b w:val="1"/>
                <w:bCs w:val="1"/>
                <w:color w:val="E2231A"/>
              </w:rPr>
              <w:t>2016</w:t>
            </w:r>
          </w:p>
        </w:tc>
        <w:tc>
          <w:tcPr>
            <w:tcW w:w="340" w:type="dxa"/>
            <w:vAlign w:val="bottom"/>
            <w:tcBorders>
              <w:bottom w:val="single" w:sz="8" w:color="FCE9E8"/>
            </w:tcBorders>
          </w:tcPr>
          <w:p>
            <w:pPr>
              <w:spacing w:after="0"/>
              <w:rPr>
                <w:sz w:val="13"/>
                <w:szCs w:val="13"/>
                <w:color w:val="auto"/>
              </w:rPr>
            </w:pPr>
          </w:p>
        </w:tc>
        <w:tc>
          <w:tcPr>
            <w:tcW w:w="640" w:type="dxa"/>
            <w:vAlign w:val="bottom"/>
            <w:tcBorders>
              <w:bottom w:val="single" w:sz="8" w:color="FCE9E8"/>
            </w:tcBorders>
          </w:tcPr>
          <w:p>
            <w:pPr>
              <w:spacing w:after="0"/>
              <w:rPr>
                <w:sz w:val="13"/>
                <w:szCs w:val="13"/>
                <w:color w:val="auto"/>
              </w:rPr>
            </w:pPr>
          </w:p>
        </w:tc>
        <w:tc>
          <w:tcPr>
            <w:tcW w:w="220" w:type="dxa"/>
            <w:vAlign w:val="bottom"/>
            <w:tcBorders>
              <w:bottom w:val="single" w:sz="8" w:color="FCE9E8"/>
            </w:tcBorders>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360" w:type="dxa"/>
            <w:vAlign w:val="bottom"/>
            <w:shd w:val="clear" w:color="auto" w:fill="FCE9E8"/>
          </w:tcPr>
          <w:p>
            <w:pPr>
              <w:spacing w:after="0" w:line="180" w:lineRule="exact"/>
              <w:rPr>
                <w:sz w:val="20"/>
                <w:szCs w:val="20"/>
                <w:color w:val="auto"/>
              </w:rPr>
            </w:pPr>
            <w:r>
              <w:rPr>
                <w:rFonts w:ascii="Arial" w:cs="Arial" w:eastAsia="Arial" w:hAnsi="Arial"/>
                <w:sz w:val="16"/>
                <w:szCs w:val="16"/>
                <w:color w:val="auto"/>
              </w:rPr>
              <w:t>Service-based RSUs granted</w:t>
            </w:r>
          </w:p>
        </w:tc>
        <w:tc>
          <w:tcPr>
            <w:tcW w:w="1220" w:type="dxa"/>
            <w:vAlign w:val="bottom"/>
            <w:shd w:val="clear" w:color="auto" w:fill="FCE9E8"/>
          </w:tcPr>
          <w:p>
            <w:pPr>
              <w:jc w:val="right"/>
              <w:ind w:right="62"/>
              <w:spacing w:after="0" w:line="180" w:lineRule="exact"/>
              <w:rPr>
                <w:sz w:val="20"/>
                <w:szCs w:val="20"/>
                <w:color w:val="auto"/>
              </w:rPr>
            </w:pPr>
            <w:r>
              <w:rPr>
                <w:rFonts w:ascii="Arial" w:cs="Arial" w:eastAsia="Arial" w:hAnsi="Arial"/>
                <w:sz w:val="16"/>
                <w:szCs w:val="16"/>
                <w:color w:val="auto"/>
              </w:rPr>
              <w:t>141,439</w:t>
            </w:r>
          </w:p>
        </w:tc>
        <w:tc>
          <w:tcPr>
            <w:tcW w:w="1840" w:type="dxa"/>
            <w:vAlign w:val="bottom"/>
            <w:shd w:val="clear" w:color="auto" w:fill="FCE9E8"/>
          </w:tcPr>
          <w:p>
            <w:pPr>
              <w:jc w:val="right"/>
              <w:ind w:right="403"/>
              <w:spacing w:after="0" w:line="180" w:lineRule="exact"/>
              <w:rPr>
                <w:sz w:val="20"/>
                <w:szCs w:val="20"/>
                <w:color w:val="auto"/>
              </w:rPr>
            </w:pPr>
            <w:r>
              <w:rPr>
                <w:rFonts w:ascii="Arial" w:cs="Arial" w:eastAsia="Arial" w:hAnsi="Arial"/>
                <w:sz w:val="16"/>
                <w:szCs w:val="16"/>
                <w:color w:val="auto"/>
              </w:rPr>
              <w:t>153,675</w:t>
            </w:r>
          </w:p>
        </w:tc>
        <w:tc>
          <w:tcPr>
            <w:tcW w:w="1240" w:type="dxa"/>
            <w:vAlign w:val="bottom"/>
            <w:shd w:val="clear" w:color="auto" w:fill="FCE9E8"/>
          </w:tcPr>
          <w:p>
            <w:pPr>
              <w:jc w:val="right"/>
              <w:ind w:right="262"/>
              <w:spacing w:after="0" w:line="180" w:lineRule="exact"/>
              <w:rPr>
                <w:sz w:val="20"/>
                <w:szCs w:val="20"/>
                <w:color w:val="auto"/>
              </w:rPr>
            </w:pPr>
            <w:r>
              <w:rPr>
                <w:rFonts w:ascii="Arial" w:cs="Arial" w:eastAsia="Arial" w:hAnsi="Arial"/>
                <w:sz w:val="16"/>
                <w:szCs w:val="16"/>
                <w:color w:val="auto"/>
              </w:rPr>
              <w:t>168,247</w:t>
            </w:r>
          </w:p>
        </w:tc>
        <w:tc>
          <w:tcPr>
            <w:tcW w:w="340" w:type="dxa"/>
            <w:vAlign w:val="bottom"/>
            <w:shd w:val="clear" w:color="auto" w:fill="FCE9E8"/>
          </w:tcPr>
          <w:p>
            <w:pPr>
              <w:spacing w:after="0"/>
              <w:rPr>
                <w:sz w:val="15"/>
                <w:szCs w:val="15"/>
                <w:color w:val="auto"/>
              </w:rPr>
            </w:pPr>
          </w:p>
        </w:tc>
        <w:tc>
          <w:tcPr>
            <w:tcW w:w="640" w:type="dxa"/>
            <w:vAlign w:val="bottom"/>
            <w:shd w:val="clear" w:color="auto" w:fill="FCE9E8"/>
          </w:tcPr>
          <w:p>
            <w:pPr>
              <w:spacing w:after="0"/>
              <w:rPr>
                <w:sz w:val="15"/>
                <w:szCs w:val="15"/>
                <w:color w:val="auto"/>
              </w:rPr>
            </w:pPr>
          </w:p>
        </w:tc>
        <w:tc>
          <w:tcPr>
            <w:tcW w:w="220" w:type="dxa"/>
            <w:vAlign w:val="bottom"/>
            <w:shd w:val="clear" w:color="auto" w:fill="FCE9E8"/>
          </w:tcPr>
          <w:p>
            <w:pPr>
              <w:spacing w:after="0"/>
              <w:rPr>
                <w:sz w:val="15"/>
                <w:szCs w:val="15"/>
                <w:color w:val="auto"/>
              </w:rPr>
            </w:pPr>
          </w:p>
        </w:tc>
      </w:tr>
      <w:tr>
        <w:trPr>
          <w:trHeight w:val="186"/>
        </w:trPr>
        <w:tc>
          <w:tcPr>
            <w:tcW w:w="5380" w:type="dxa"/>
            <w:vAlign w:val="bottom"/>
            <w:gridSpan w:val="2"/>
          </w:tcPr>
          <w:p>
            <w:pPr>
              <w:spacing w:after="0"/>
              <w:rPr>
                <w:sz w:val="20"/>
                <w:szCs w:val="20"/>
                <w:color w:val="auto"/>
              </w:rPr>
            </w:pPr>
            <w:r>
              <w:rPr>
                <w:rFonts w:ascii="Arial" w:cs="Arial" w:eastAsia="Arial" w:hAnsi="Arial"/>
                <w:sz w:val="16"/>
                <w:szCs w:val="16"/>
                <w:color w:val="auto"/>
              </w:rPr>
              <w:t>Performance shares earned</w:t>
            </w:r>
          </w:p>
        </w:tc>
        <w:tc>
          <w:tcPr>
            <w:tcW w:w="1220" w:type="dxa"/>
            <w:vAlign w:val="bottom"/>
          </w:tcPr>
          <w:p>
            <w:pPr>
              <w:jc w:val="right"/>
              <w:ind w:right="62"/>
              <w:spacing w:after="0"/>
              <w:rPr>
                <w:sz w:val="20"/>
                <w:szCs w:val="20"/>
                <w:color w:val="auto"/>
              </w:rPr>
            </w:pPr>
            <w:r>
              <w:rPr>
                <w:rFonts w:ascii="Arial" w:cs="Arial" w:eastAsia="Arial" w:hAnsi="Arial"/>
                <w:sz w:val="16"/>
                <w:szCs w:val="16"/>
                <w:color w:val="auto"/>
              </w:rPr>
              <w:t>453,956</w:t>
            </w:r>
          </w:p>
        </w:tc>
        <w:tc>
          <w:tcPr>
            <w:tcW w:w="1840" w:type="dxa"/>
            <w:vAlign w:val="bottom"/>
          </w:tcPr>
          <w:p>
            <w:pPr>
              <w:jc w:val="right"/>
              <w:ind w:right="403"/>
              <w:spacing w:after="0"/>
              <w:rPr>
                <w:sz w:val="20"/>
                <w:szCs w:val="20"/>
                <w:color w:val="auto"/>
              </w:rPr>
            </w:pPr>
            <w:r>
              <w:rPr>
                <w:rFonts w:ascii="Arial" w:cs="Arial" w:eastAsia="Arial" w:hAnsi="Arial"/>
                <w:sz w:val="16"/>
                <w:szCs w:val="16"/>
                <w:color w:val="auto"/>
              </w:rPr>
              <w:t>571,254</w:t>
            </w:r>
          </w:p>
        </w:tc>
        <w:tc>
          <w:tcPr>
            <w:tcW w:w="1240" w:type="dxa"/>
            <w:vAlign w:val="bottom"/>
          </w:tcPr>
          <w:p>
            <w:pPr>
              <w:jc w:val="right"/>
              <w:ind w:right="242"/>
              <w:spacing w:after="0"/>
              <w:rPr>
                <w:sz w:val="20"/>
                <w:szCs w:val="20"/>
                <w:color w:val="auto"/>
              </w:rPr>
            </w:pPr>
            <w:r>
              <w:rPr>
                <w:rFonts w:ascii="Arial" w:cs="Arial" w:eastAsia="Arial" w:hAnsi="Arial"/>
                <w:sz w:val="16"/>
                <w:szCs w:val="16"/>
                <w:color w:val="auto"/>
              </w:rPr>
              <w:t>1,011,759</w:t>
            </w:r>
          </w:p>
        </w:tc>
        <w:tc>
          <w:tcPr>
            <w:tcW w:w="3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3-Year</w:t>
            </w:r>
          </w:p>
        </w:tc>
      </w:tr>
      <w:tr>
        <w:trPr>
          <w:trHeight w:val="180"/>
        </w:trPr>
        <w:tc>
          <w:tcPr>
            <w:tcW w:w="20" w:type="dxa"/>
            <w:vAlign w:val="bottom"/>
          </w:tcPr>
          <w:p>
            <w:pPr>
              <w:spacing w:after="0"/>
              <w:rPr>
                <w:sz w:val="15"/>
                <w:szCs w:val="15"/>
                <w:color w:val="auto"/>
              </w:rPr>
            </w:pPr>
          </w:p>
        </w:tc>
        <w:tc>
          <w:tcPr>
            <w:tcW w:w="5360" w:type="dxa"/>
            <w:vAlign w:val="bottom"/>
            <w:tcBorders>
              <w:bottom w:val="single" w:sz="8" w:color="FCE9E8"/>
            </w:tcBorders>
            <w:shd w:val="clear" w:color="auto" w:fill="FCE9E8"/>
          </w:tcPr>
          <w:p>
            <w:pPr>
              <w:spacing w:after="0" w:line="140" w:lineRule="exact"/>
              <w:rPr>
                <w:sz w:val="20"/>
                <w:szCs w:val="20"/>
                <w:color w:val="auto"/>
              </w:rPr>
            </w:pPr>
            <w:r>
              <w:rPr>
                <w:rFonts w:ascii="Arial" w:cs="Arial" w:eastAsia="Arial" w:hAnsi="Arial"/>
                <w:sz w:val="16"/>
                <w:szCs w:val="16"/>
                <w:color w:val="auto"/>
              </w:rPr>
              <w:t>Weighted average shares of common stock outstanding</w:t>
            </w:r>
          </w:p>
        </w:tc>
        <w:tc>
          <w:tcPr>
            <w:tcW w:w="1220" w:type="dxa"/>
            <w:vAlign w:val="bottom"/>
            <w:tcBorders>
              <w:bottom w:val="single" w:sz="8" w:color="FCE9E8"/>
            </w:tcBorders>
            <w:shd w:val="clear" w:color="auto" w:fill="FCE9E8"/>
          </w:tcPr>
          <w:p>
            <w:pPr>
              <w:jc w:val="right"/>
              <w:ind w:right="62"/>
              <w:spacing w:after="0" w:line="140" w:lineRule="exact"/>
              <w:rPr>
                <w:sz w:val="20"/>
                <w:szCs w:val="20"/>
                <w:color w:val="auto"/>
              </w:rPr>
            </w:pPr>
            <w:r>
              <w:rPr>
                <w:rFonts w:ascii="Arial" w:cs="Arial" w:eastAsia="Arial" w:hAnsi="Arial"/>
                <w:sz w:val="16"/>
                <w:szCs w:val="16"/>
                <w:color w:val="auto"/>
              </w:rPr>
              <w:t>65,672,164</w:t>
            </w:r>
          </w:p>
        </w:tc>
        <w:tc>
          <w:tcPr>
            <w:tcW w:w="1840" w:type="dxa"/>
            <w:vAlign w:val="bottom"/>
            <w:tcBorders>
              <w:bottom w:val="single" w:sz="8" w:color="FCE9E8"/>
            </w:tcBorders>
            <w:shd w:val="clear" w:color="auto" w:fill="FCE9E8"/>
          </w:tcPr>
          <w:p>
            <w:pPr>
              <w:jc w:val="right"/>
              <w:ind w:right="403"/>
              <w:spacing w:after="0" w:line="140" w:lineRule="exact"/>
              <w:rPr>
                <w:sz w:val="20"/>
                <w:szCs w:val="20"/>
                <w:color w:val="auto"/>
              </w:rPr>
            </w:pPr>
            <w:r>
              <w:rPr>
                <w:rFonts w:ascii="Arial" w:cs="Arial" w:eastAsia="Arial" w:hAnsi="Arial"/>
                <w:sz w:val="16"/>
                <w:szCs w:val="16"/>
                <w:color w:val="auto"/>
              </w:rPr>
              <w:t>68,542,363</w:t>
            </w:r>
          </w:p>
        </w:tc>
        <w:tc>
          <w:tcPr>
            <w:tcW w:w="1240" w:type="dxa"/>
            <w:vAlign w:val="bottom"/>
            <w:tcBorders>
              <w:bottom w:val="single" w:sz="8" w:color="FCE9E8"/>
            </w:tcBorders>
            <w:shd w:val="clear" w:color="auto" w:fill="FCE9E8"/>
          </w:tcPr>
          <w:p>
            <w:pPr>
              <w:jc w:val="right"/>
              <w:ind w:right="242"/>
              <w:spacing w:after="0" w:line="140" w:lineRule="exact"/>
              <w:rPr>
                <w:sz w:val="20"/>
                <w:szCs w:val="20"/>
                <w:color w:val="auto"/>
              </w:rPr>
            </w:pPr>
            <w:r>
              <w:rPr>
                <w:rFonts w:ascii="Arial" w:cs="Arial" w:eastAsia="Arial" w:hAnsi="Arial"/>
                <w:sz w:val="16"/>
                <w:szCs w:val="16"/>
                <w:color w:val="auto"/>
              </w:rPr>
              <w:t>72,345,436</w:t>
            </w:r>
          </w:p>
        </w:tc>
        <w:tc>
          <w:tcPr>
            <w:tcW w:w="3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5"/>
                <w:szCs w:val="15"/>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tcPr>
          <w:p>
            <w:pPr>
              <w:spacing w:after="0" w:line="187" w:lineRule="exact"/>
              <w:rPr>
                <w:sz w:val="20"/>
                <w:szCs w:val="20"/>
                <w:color w:val="auto"/>
              </w:rPr>
            </w:pPr>
            <w:r>
              <w:rPr>
                <w:rFonts w:ascii="Arial" w:cs="Arial" w:eastAsia="Arial" w:hAnsi="Arial"/>
                <w:sz w:val="13"/>
                <w:szCs w:val="13"/>
                <w:color w:val="auto"/>
              </w:rPr>
              <w:t>Burn rate</w:t>
            </w:r>
            <w:r>
              <w:rPr>
                <w:rFonts w:ascii="Arial" w:cs="Arial" w:eastAsia="Arial" w:hAnsi="Arial"/>
                <w:sz w:val="21"/>
                <w:szCs w:val="21"/>
                <w:color w:val="auto"/>
                <w:vertAlign w:val="superscript"/>
              </w:rPr>
              <w:t>(1)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0.91%</w:t>
            </w:r>
          </w:p>
        </w:tc>
        <w:tc>
          <w:tcPr>
            <w:tcW w:w="184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1.06%</w:t>
            </w:r>
          </w:p>
        </w:tc>
        <w:tc>
          <w:tcPr>
            <w:tcW w:w="12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1.63%</w:t>
            </w: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1.20%</w:t>
            </w:r>
          </w:p>
        </w:tc>
      </w:tr>
    </w:tbl>
    <w:p>
      <w:pPr>
        <w:spacing w:after="0" w:line="85" w:lineRule="exact"/>
        <w:rPr>
          <w:sz w:val="20"/>
          <w:szCs w:val="20"/>
          <w:color w:val="auto"/>
        </w:rPr>
      </w:pPr>
    </w:p>
    <w:p>
      <w:pPr>
        <w:ind w:left="600" w:right="320" w:hanging="320"/>
        <w:spacing w:after="0" w:line="181" w:lineRule="auto"/>
        <w:tabs>
          <w:tab w:leader="none" w:pos="600" w:val="left"/>
        </w:tabs>
        <w:numPr>
          <w:ilvl w:val="0"/>
          <w:numId w:val="124"/>
        </w:numPr>
        <w:rPr>
          <w:rFonts w:ascii="Arial" w:cs="Arial" w:eastAsia="Arial" w:hAnsi="Arial"/>
          <w:sz w:val="24"/>
          <w:szCs w:val="24"/>
          <w:color w:val="auto"/>
          <w:vertAlign w:val="superscript"/>
        </w:rPr>
      </w:pPr>
      <w:r>
        <w:rPr>
          <w:rFonts w:ascii="Arial" w:cs="Arial" w:eastAsia="Arial" w:hAnsi="Arial"/>
          <w:sz w:val="14"/>
          <w:szCs w:val="14"/>
          <w:color w:val="auto"/>
        </w:rPr>
        <w:t>Burn rate is calculated as the quotient of (i) the sum of all service-based RSUs granted and all performance shares earned in such year, divided by (ii) the weighted average number of Shares during such year.</w:t>
      </w:r>
    </w:p>
    <w:p>
      <w:pPr>
        <w:sectPr>
          <w:pgSz w:w="11900" w:h="16838" w:orient="portrait"/>
          <w:cols w:equalWidth="0" w:num="1">
            <w:col w:w="11160"/>
          </w:cols>
          <w:pgMar w:left="240" w:top="455" w:right="499" w:bottom="1440" w:gutter="0" w:footer="0" w:header="0"/>
        </w:sectPr>
      </w:pPr>
    </w:p>
    <w:p>
      <w:pPr>
        <w:spacing w:after="0" w:line="17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Dilution</w:t>
      </w:r>
    </w:p>
    <w:p>
      <w:pPr>
        <w:spacing w:after="0" w:line="191" w:lineRule="exact"/>
        <w:rPr>
          <w:sz w:val="20"/>
          <w:szCs w:val="20"/>
          <w:color w:val="auto"/>
        </w:rPr>
      </w:pPr>
    </w:p>
    <w:p>
      <w:pPr>
        <w:ind w:left="280"/>
        <w:spacing w:after="0" w:line="246" w:lineRule="auto"/>
        <w:rPr>
          <w:sz w:val="20"/>
          <w:szCs w:val="20"/>
          <w:color w:val="auto"/>
        </w:rPr>
      </w:pPr>
      <w:r>
        <w:rPr>
          <w:rFonts w:ascii="Arial" w:cs="Arial" w:eastAsia="Arial" w:hAnsi="Arial"/>
          <w:sz w:val="16"/>
          <w:szCs w:val="16"/>
          <w:color w:val="auto"/>
        </w:rPr>
        <w:t>As of March 21, 2019, our capital structure consists of 62,415,363 Shares outstanding. The table below represents our potential voting power dilution levels based on our Shares outstanding and 2,526,858 Shares that may be issued subject to awards pursuant to the 2019 LTSIP. The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Committee believes that the requested Shares under the 2019 LTSIP represent a reasonable amount of potential equity dilution and will allow us to continue awarding equity incentives, an important component of our overall executive compensation program.</w:t>
      </w:r>
    </w:p>
    <w:p>
      <w:pPr>
        <w:spacing w:after="0" w:line="385" w:lineRule="exact"/>
        <w:rPr>
          <w:sz w:val="20"/>
          <w:szCs w:val="20"/>
          <w:color w:val="auto"/>
        </w:rPr>
      </w:pPr>
    </w:p>
    <w:p>
      <w:pPr>
        <w:sectPr>
          <w:pgSz w:w="11900" w:h="16838" w:orient="portrait"/>
          <w:cols w:equalWidth="0" w:num="2">
            <w:col w:w="5480" w:space="340"/>
            <w:col w:w="5340"/>
          </w:cols>
          <w:pgMar w:left="240" w:top="455" w:right="499" w:bottom="1440" w:gutter="0" w:footer="0" w:header="0"/>
          <w:type w:val="continuous"/>
        </w:sectPr>
      </w:pPr>
    </w:p>
    <w:p>
      <w:pPr>
        <w:spacing w:after="0" w:line="43" w:lineRule="exact"/>
        <w:rPr>
          <w:sz w:val="20"/>
          <w:szCs w:val="20"/>
          <w:color w:val="auto"/>
        </w:rPr>
      </w:pPr>
    </w:p>
    <w:p>
      <w:pPr>
        <w:ind w:left="280" w:right="300"/>
        <w:spacing w:after="0" w:line="254" w:lineRule="auto"/>
        <w:rPr>
          <w:sz w:val="20"/>
          <w:szCs w:val="20"/>
          <w:color w:val="auto"/>
        </w:rPr>
      </w:pPr>
      <w:r>
        <w:rPr>
          <w:rFonts w:ascii="Arial" w:cs="Arial" w:eastAsia="Arial" w:hAnsi="Arial"/>
          <w:sz w:val="16"/>
          <w:szCs w:val="16"/>
          <w:color w:val="auto"/>
        </w:rPr>
        <w:t>This conclusion is based, in part, on advice received from Pay Governance based on an analysis of the equity grant practices of companies within our industry classification and of a size that is similar to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140335</wp:posOffset>
            </wp:positionV>
            <wp:extent cx="6901815" cy="135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01815" cy="135255"/>
                    </a:xfrm>
                    <a:prstGeom prst="rect">
                      <a:avLst/>
                    </a:prstGeom>
                    <a:noFill/>
                  </pic:spPr>
                </pic:pic>
              </a:graphicData>
            </a:graphic>
          </wp:anchor>
        </w:drawing>
      </w:r>
    </w:p>
    <w:p>
      <w:pPr>
        <w:spacing w:after="0" w:line="241"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FFFFFF"/>
        </w:rPr>
        <w:t>DILUTION</w:t>
      </w:r>
    </w:p>
    <w:tbl>
      <w:tblPr>
        <w:tblLayout w:type="fixed"/>
        <w:tblInd w:w="280" w:type="dxa"/>
        <w:tblCellMar>
          <w:top w:w="0" w:type="dxa"/>
          <w:left w:w="0" w:type="dxa"/>
          <w:bottom w:w="0" w:type="dxa"/>
          <w:right w:w="0" w:type="dxa"/>
        </w:tblCellMar>
      </w:tblPr>
      <w:tr>
        <w:trPr>
          <w:trHeight w:val="159"/>
        </w:trPr>
        <w:tc>
          <w:tcPr>
            <w:tcW w:w="7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0" w:type="dxa"/>
            <w:vAlign w:val="bottom"/>
          </w:tcPr>
          <w:p>
            <w:pPr>
              <w:jc w:val="right"/>
              <w:ind w:right="472"/>
              <w:spacing w:after="0" w:line="159" w:lineRule="exact"/>
              <w:rPr>
                <w:sz w:val="20"/>
                <w:szCs w:val="20"/>
                <w:color w:val="auto"/>
              </w:rPr>
            </w:pPr>
            <w:r>
              <w:rPr>
                <w:rFonts w:ascii="Arial" w:cs="Arial" w:eastAsia="Arial" w:hAnsi="Arial"/>
                <w:sz w:val="14"/>
                <w:szCs w:val="14"/>
                <w:b w:val="1"/>
                <w:bCs w:val="1"/>
                <w:color w:val="E2231A"/>
              </w:rPr>
              <w:t>Potential Voting</w:t>
            </w:r>
          </w:p>
        </w:tc>
      </w:tr>
      <w:tr>
        <w:trPr>
          <w:trHeight w:val="173"/>
        </w:trPr>
        <w:tc>
          <w:tcPr>
            <w:tcW w:w="7420" w:type="dxa"/>
            <w:vAlign w:val="bottom"/>
            <w:tcBorders>
              <w:bottom w:val="single" w:sz="8" w:color="FCE9E8"/>
            </w:tcBorders>
          </w:tcPr>
          <w:p>
            <w:pPr>
              <w:spacing w:after="0"/>
              <w:rPr>
                <w:sz w:val="15"/>
                <w:szCs w:val="15"/>
                <w:color w:val="auto"/>
              </w:rPr>
            </w:pPr>
          </w:p>
        </w:tc>
        <w:tc>
          <w:tcPr>
            <w:tcW w:w="1460" w:type="dxa"/>
            <w:vAlign w:val="bottom"/>
            <w:tcBorders>
              <w:bottom w:val="single" w:sz="8" w:color="FCE9E8"/>
            </w:tcBorders>
          </w:tcPr>
          <w:p>
            <w:pPr>
              <w:spacing w:after="0"/>
              <w:rPr>
                <w:sz w:val="15"/>
                <w:szCs w:val="15"/>
                <w:color w:val="auto"/>
              </w:rPr>
            </w:pPr>
          </w:p>
        </w:tc>
        <w:tc>
          <w:tcPr>
            <w:tcW w:w="2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E2231A"/>
              </w:rPr>
              <w:t>Power Dilution</w:t>
            </w:r>
          </w:p>
        </w:tc>
      </w:tr>
      <w:tr>
        <w:trPr>
          <w:trHeight w:val="180"/>
        </w:trPr>
        <w:tc>
          <w:tcPr>
            <w:tcW w:w="7420" w:type="dxa"/>
            <w:vAlign w:val="bottom"/>
            <w:shd w:val="clear" w:color="auto" w:fill="FCE9E8"/>
          </w:tcPr>
          <w:p>
            <w:pPr>
              <w:spacing w:after="0" w:line="175" w:lineRule="exact"/>
              <w:rPr>
                <w:sz w:val="20"/>
                <w:szCs w:val="20"/>
                <w:color w:val="auto"/>
              </w:rPr>
            </w:pPr>
            <w:r>
              <w:rPr>
                <w:rFonts w:ascii="Arial" w:cs="Arial" w:eastAsia="Arial" w:hAnsi="Arial"/>
                <w:sz w:val="16"/>
                <w:szCs w:val="16"/>
                <w:color w:val="auto"/>
              </w:rPr>
              <w:t>Potential Voting Power Dilution with 436,000 Additional Shares:</w:t>
            </w:r>
          </w:p>
        </w:tc>
        <w:tc>
          <w:tcPr>
            <w:tcW w:w="1460" w:type="dxa"/>
            <w:vAlign w:val="bottom"/>
            <w:shd w:val="clear" w:color="auto" w:fill="FCE9E8"/>
          </w:tcPr>
          <w:p>
            <w:pPr>
              <w:spacing w:after="0"/>
              <w:rPr>
                <w:sz w:val="15"/>
                <w:szCs w:val="15"/>
                <w:color w:val="auto"/>
              </w:rPr>
            </w:pPr>
          </w:p>
        </w:tc>
        <w:tc>
          <w:tcPr>
            <w:tcW w:w="2000" w:type="dxa"/>
            <w:vAlign w:val="bottom"/>
            <w:shd w:val="clear" w:color="auto" w:fill="FCE9E8"/>
          </w:tcPr>
          <w:p>
            <w:pPr>
              <w:spacing w:after="0"/>
              <w:rPr>
                <w:sz w:val="15"/>
                <w:szCs w:val="15"/>
                <w:color w:val="auto"/>
              </w:rPr>
            </w:pPr>
          </w:p>
        </w:tc>
      </w:tr>
      <w:tr>
        <w:trPr>
          <w:trHeight w:val="186"/>
        </w:trPr>
        <w:tc>
          <w:tcPr>
            <w:tcW w:w="7420" w:type="dxa"/>
            <w:vAlign w:val="bottom"/>
          </w:tcPr>
          <w:p>
            <w:pPr>
              <w:ind w:left="160"/>
              <w:spacing w:after="0" w:line="187" w:lineRule="exact"/>
              <w:rPr>
                <w:sz w:val="20"/>
                <w:szCs w:val="20"/>
                <w:color w:val="auto"/>
              </w:rPr>
            </w:pPr>
            <w:r>
              <w:rPr>
                <w:rFonts w:ascii="Arial" w:cs="Arial" w:eastAsia="Arial" w:hAnsi="Arial"/>
                <w:sz w:val="13"/>
                <w:szCs w:val="13"/>
                <w:color w:val="auto"/>
              </w:rPr>
              <w:t>Equity awards outstanding as of March 21, 2019</w:t>
            </w:r>
            <w:r>
              <w:rPr>
                <w:rFonts w:ascii="Arial" w:cs="Arial" w:eastAsia="Arial" w:hAnsi="Arial"/>
                <w:sz w:val="21"/>
                <w:szCs w:val="21"/>
                <w:color w:val="auto"/>
                <w:vertAlign w:val="superscript"/>
              </w:rPr>
              <w:t>(1)</w:t>
            </w:r>
          </w:p>
        </w:tc>
        <w:tc>
          <w:tcPr>
            <w:tcW w:w="1460" w:type="dxa"/>
            <w:vAlign w:val="bottom"/>
          </w:tcPr>
          <w:p>
            <w:pPr>
              <w:jc w:val="right"/>
              <w:ind w:right="320"/>
              <w:spacing w:after="0"/>
              <w:rPr>
                <w:sz w:val="20"/>
                <w:szCs w:val="20"/>
                <w:color w:val="auto"/>
              </w:rPr>
            </w:pPr>
            <w:r>
              <w:rPr>
                <w:rFonts w:ascii="Arial" w:cs="Arial" w:eastAsia="Arial" w:hAnsi="Arial"/>
                <w:sz w:val="16"/>
                <w:szCs w:val="16"/>
                <w:color w:val="auto"/>
              </w:rPr>
              <w:t>1,360,487</w:t>
            </w:r>
          </w:p>
        </w:tc>
        <w:tc>
          <w:tcPr>
            <w:tcW w:w="2000" w:type="dxa"/>
            <w:vAlign w:val="bottom"/>
          </w:tcPr>
          <w:p>
            <w:pPr>
              <w:spacing w:after="0"/>
              <w:rPr>
                <w:sz w:val="16"/>
                <w:szCs w:val="16"/>
                <w:color w:val="auto"/>
              </w:rPr>
            </w:pPr>
          </w:p>
        </w:tc>
      </w:tr>
      <w:tr>
        <w:trPr>
          <w:trHeight w:val="186"/>
        </w:trPr>
        <w:tc>
          <w:tcPr>
            <w:tcW w:w="7420" w:type="dxa"/>
            <w:vAlign w:val="bottom"/>
            <w:shd w:val="clear" w:color="auto" w:fill="FCE9E8"/>
          </w:tcPr>
          <w:p>
            <w:pPr>
              <w:ind w:left="160"/>
              <w:spacing w:after="0"/>
              <w:rPr>
                <w:sz w:val="20"/>
                <w:szCs w:val="20"/>
                <w:color w:val="auto"/>
              </w:rPr>
            </w:pPr>
            <w:r>
              <w:rPr>
                <w:rFonts w:ascii="Arial" w:cs="Arial" w:eastAsia="Arial" w:hAnsi="Arial"/>
                <w:sz w:val="16"/>
                <w:szCs w:val="16"/>
                <w:color w:val="auto"/>
              </w:rPr>
              <w:t>Shares available for grant under the Prior LTSIP as of March 21, 2019</w:t>
            </w:r>
          </w:p>
        </w:tc>
        <w:tc>
          <w:tcPr>
            <w:tcW w:w="1460" w:type="dxa"/>
            <w:vAlign w:val="bottom"/>
            <w:shd w:val="clear" w:color="auto" w:fill="FCE9E8"/>
          </w:tcPr>
          <w:p>
            <w:pPr>
              <w:jc w:val="right"/>
              <w:ind w:right="320"/>
              <w:spacing w:after="0"/>
              <w:rPr>
                <w:sz w:val="20"/>
                <w:szCs w:val="20"/>
                <w:color w:val="auto"/>
              </w:rPr>
            </w:pPr>
            <w:r>
              <w:rPr>
                <w:rFonts w:ascii="Arial" w:cs="Arial" w:eastAsia="Arial" w:hAnsi="Arial"/>
                <w:sz w:val="16"/>
                <w:szCs w:val="16"/>
                <w:color w:val="auto"/>
              </w:rPr>
              <w:t>2,090,858</w:t>
            </w:r>
          </w:p>
        </w:tc>
        <w:tc>
          <w:tcPr>
            <w:tcW w:w="2000" w:type="dxa"/>
            <w:vAlign w:val="bottom"/>
            <w:shd w:val="clear" w:color="auto" w:fill="FCE9E8"/>
          </w:tcPr>
          <w:p>
            <w:pPr>
              <w:spacing w:after="0"/>
              <w:rPr>
                <w:sz w:val="16"/>
                <w:szCs w:val="16"/>
                <w:color w:val="auto"/>
              </w:rPr>
            </w:pPr>
          </w:p>
        </w:tc>
      </w:tr>
      <w:tr>
        <w:trPr>
          <w:trHeight w:val="186"/>
        </w:trPr>
        <w:tc>
          <w:tcPr>
            <w:tcW w:w="7420" w:type="dxa"/>
            <w:vAlign w:val="bottom"/>
            <w:tcBorders>
              <w:bottom w:val="single" w:sz="8" w:color="FCE9E8"/>
            </w:tcBorders>
          </w:tcPr>
          <w:p>
            <w:pPr>
              <w:ind w:left="160"/>
              <w:spacing w:after="0"/>
              <w:rPr>
                <w:sz w:val="20"/>
                <w:szCs w:val="20"/>
                <w:color w:val="auto"/>
              </w:rPr>
            </w:pPr>
            <w:r>
              <w:rPr>
                <w:rFonts w:ascii="Arial" w:cs="Arial" w:eastAsia="Arial" w:hAnsi="Arial"/>
                <w:sz w:val="16"/>
                <w:szCs w:val="16"/>
                <w:color w:val="auto"/>
              </w:rPr>
              <w:t>Additional requested shares under the 2019 LTSIP</w:t>
            </w:r>
          </w:p>
        </w:tc>
        <w:tc>
          <w:tcPr>
            <w:tcW w:w="14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436,000</w:t>
            </w:r>
          </w:p>
        </w:tc>
        <w:tc>
          <w:tcPr>
            <w:tcW w:w="2000" w:type="dxa"/>
            <w:vAlign w:val="bottom"/>
            <w:tcBorders>
              <w:bottom w:val="single" w:sz="8" w:color="FCE9E8"/>
            </w:tcBorders>
          </w:tcPr>
          <w:p>
            <w:pPr>
              <w:jc w:val="right"/>
              <w:ind w:right="152"/>
              <w:spacing w:after="0" w:line="187" w:lineRule="exact"/>
              <w:rPr>
                <w:sz w:val="20"/>
                <w:szCs w:val="20"/>
                <w:color w:val="auto"/>
              </w:rPr>
            </w:pPr>
            <w:r>
              <w:rPr>
                <w:rFonts w:ascii="Arial" w:cs="Arial" w:eastAsia="Arial" w:hAnsi="Arial"/>
                <w:sz w:val="13"/>
                <w:szCs w:val="13"/>
                <w:color w:val="auto"/>
              </w:rPr>
              <w:t>0.66%</w:t>
            </w:r>
            <w:r>
              <w:rPr>
                <w:rFonts w:ascii="Arial" w:cs="Arial" w:eastAsia="Arial" w:hAnsi="Arial"/>
                <w:sz w:val="21"/>
                <w:szCs w:val="21"/>
                <w:color w:val="auto"/>
                <w:vertAlign w:val="superscript"/>
              </w:rPr>
              <w:t>(2)</w:t>
            </w:r>
          </w:p>
        </w:tc>
      </w:tr>
      <w:tr>
        <w:trPr>
          <w:trHeight w:val="180"/>
        </w:trPr>
        <w:tc>
          <w:tcPr>
            <w:tcW w:w="7420" w:type="dxa"/>
            <w:vAlign w:val="bottom"/>
            <w:tcBorders>
              <w:bottom w:val="single" w:sz="8" w:color="auto"/>
            </w:tcBorders>
            <w:shd w:val="clear" w:color="auto" w:fill="FCE9E8"/>
          </w:tcPr>
          <w:p>
            <w:pPr>
              <w:ind w:left="320"/>
              <w:spacing w:after="0" w:line="175" w:lineRule="exact"/>
              <w:rPr>
                <w:sz w:val="20"/>
                <w:szCs w:val="20"/>
                <w:color w:val="auto"/>
              </w:rPr>
            </w:pPr>
            <w:r>
              <w:rPr>
                <w:rFonts w:ascii="Arial" w:cs="Arial" w:eastAsia="Arial" w:hAnsi="Arial"/>
                <w:sz w:val="16"/>
                <w:szCs w:val="16"/>
                <w:color w:val="auto"/>
              </w:rPr>
              <w:t>Total Potential Voting Power Dilution</w:t>
            </w:r>
          </w:p>
        </w:tc>
        <w:tc>
          <w:tcPr>
            <w:tcW w:w="1460" w:type="dxa"/>
            <w:vAlign w:val="bottom"/>
            <w:tcBorders>
              <w:bottom w:val="single" w:sz="8" w:color="auto"/>
            </w:tcBorders>
            <w:shd w:val="clear" w:color="auto" w:fill="FCE9E8"/>
          </w:tcPr>
          <w:p>
            <w:pPr>
              <w:jc w:val="right"/>
              <w:ind w:right="320"/>
              <w:spacing w:after="0" w:line="180" w:lineRule="exact"/>
              <w:rPr>
                <w:sz w:val="20"/>
                <w:szCs w:val="20"/>
                <w:color w:val="auto"/>
              </w:rPr>
            </w:pPr>
            <w:r>
              <w:rPr>
                <w:rFonts w:ascii="Arial" w:cs="Arial" w:eastAsia="Arial" w:hAnsi="Arial"/>
                <w:sz w:val="16"/>
                <w:szCs w:val="16"/>
                <w:color w:val="auto"/>
              </w:rPr>
              <w:t>3,887,345</w:t>
            </w:r>
          </w:p>
        </w:tc>
        <w:tc>
          <w:tcPr>
            <w:tcW w:w="2000" w:type="dxa"/>
            <w:vAlign w:val="bottom"/>
            <w:tcBorders>
              <w:bottom w:val="single" w:sz="8" w:color="auto"/>
            </w:tcBorders>
            <w:shd w:val="clear" w:color="auto" w:fill="FCE9E8"/>
          </w:tcPr>
          <w:p>
            <w:pPr>
              <w:jc w:val="right"/>
              <w:ind w:right="152"/>
              <w:spacing w:after="0" w:line="180" w:lineRule="exact"/>
              <w:rPr>
                <w:sz w:val="20"/>
                <w:szCs w:val="20"/>
                <w:color w:val="auto"/>
              </w:rPr>
            </w:pPr>
            <w:r>
              <w:rPr>
                <w:rFonts w:ascii="Arial" w:cs="Arial" w:eastAsia="Arial" w:hAnsi="Arial"/>
                <w:sz w:val="13"/>
                <w:szCs w:val="13"/>
                <w:color w:val="auto"/>
              </w:rPr>
              <w:t>5.86%</w:t>
            </w:r>
            <w:r>
              <w:rPr>
                <w:rFonts w:ascii="Arial" w:cs="Arial" w:eastAsia="Arial" w:hAnsi="Arial"/>
                <w:sz w:val="20"/>
                <w:szCs w:val="20"/>
                <w:color w:val="auto"/>
                <w:vertAlign w:val="superscript"/>
              </w:rPr>
              <w:t>(3)</w:t>
            </w:r>
          </w:p>
        </w:tc>
      </w:tr>
    </w:tbl>
    <w:p>
      <w:pPr>
        <w:spacing w:after="0" w:line="85" w:lineRule="exact"/>
        <w:rPr>
          <w:sz w:val="20"/>
          <w:szCs w:val="20"/>
          <w:color w:val="auto"/>
        </w:rPr>
      </w:pPr>
    </w:p>
    <w:p>
      <w:pPr>
        <w:ind w:left="600" w:right="100" w:hanging="320"/>
        <w:spacing w:after="0" w:line="181" w:lineRule="auto"/>
        <w:tabs>
          <w:tab w:leader="none" w:pos="600" w:val="left"/>
        </w:tabs>
        <w:numPr>
          <w:ilvl w:val="0"/>
          <w:numId w:val="125"/>
        </w:numPr>
        <w:rPr>
          <w:rFonts w:ascii="Arial" w:cs="Arial" w:eastAsia="Arial" w:hAnsi="Arial"/>
          <w:sz w:val="24"/>
          <w:szCs w:val="24"/>
          <w:color w:val="auto"/>
          <w:vertAlign w:val="superscript"/>
        </w:rPr>
      </w:pPr>
      <w:r>
        <w:rPr>
          <w:rFonts w:ascii="Arial" w:cs="Arial" w:eastAsia="Arial" w:hAnsi="Arial"/>
          <w:sz w:val="14"/>
          <w:szCs w:val="14"/>
          <w:color w:val="auto"/>
        </w:rPr>
        <w:t>The amounts included for performance share awards are based on maximum performance for the 2017-2019, 2018-2020 and 2019-2021 awards that are payable only upon the satisfaction of performance measures. Amounts exclude awards that will settle only in cash in accordance with local law requirements.</w:t>
      </w:r>
    </w:p>
    <w:p>
      <w:pPr>
        <w:spacing w:after="0" w:line="70" w:lineRule="exact"/>
        <w:rPr>
          <w:rFonts w:ascii="Arial" w:cs="Arial" w:eastAsia="Arial" w:hAnsi="Arial"/>
          <w:sz w:val="24"/>
          <w:szCs w:val="24"/>
          <w:color w:val="auto"/>
          <w:vertAlign w:val="superscript"/>
        </w:rPr>
      </w:pPr>
    </w:p>
    <w:p>
      <w:pPr>
        <w:ind w:left="600" w:right="240" w:hanging="320"/>
        <w:spacing w:after="0" w:line="181" w:lineRule="auto"/>
        <w:tabs>
          <w:tab w:leader="none" w:pos="600" w:val="left"/>
        </w:tabs>
        <w:numPr>
          <w:ilvl w:val="0"/>
          <w:numId w:val="125"/>
        </w:numPr>
        <w:rPr>
          <w:rFonts w:ascii="Arial" w:cs="Arial" w:eastAsia="Arial" w:hAnsi="Arial"/>
          <w:sz w:val="24"/>
          <w:szCs w:val="24"/>
          <w:color w:val="auto"/>
          <w:vertAlign w:val="superscript"/>
        </w:rPr>
      </w:pPr>
      <w:r>
        <w:rPr>
          <w:rFonts w:ascii="Arial" w:cs="Arial" w:eastAsia="Arial" w:hAnsi="Arial"/>
          <w:sz w:val="14"/>
          <w:szCs w:val="14"/>
          <w:color w:val="auto"/>
        </w:rPr>
        <w:t>Potential voting power dilution attributable to the additional requested shares is calculated as of March 21, 2019 as follows: (additional requested Shares under 2019 LTSIP) / (Shares outstanding + equity awards outstanding + Shares available for grant under Prior LTSIP + additional requested Shares under 2019 LTSIP).</w:t>
      </w:r>
    </w:p>
    <w:p>
      <w:pPr>
        <w:spacing w:after="0" w:line="70" w:lineRule="exact"/>
        <w:rPr>
          <w:rFonts w:ascii="Arial" w:cs="Arial" w:eastAsia="Arial" w:hAnsi="Arial"/>
          <w:sz w:val="24"/>
          <w:szCs w:val="24"/>
          <w:color w:val="auto"/>
          <w:vertAlign w:val="superscript"/>
        </w:rPr>
      </w:pPr>
    </w:p>
    <w:p>
      <w:pPr>
        <w:jc w:val="both"/>
        <w:ind w:left="600" w:right="660" w:hanging="320"/>
        <w:spacing w:after="0" w:line="196" w:lineRule="auto"/>
        <w:tabs>
          <w:tab w:leader="none" w:pos="600" w:val="left"/>
        </w:tabs>
        <w:numPr>
          <w:ilvl w:val="0"/>
          <w:numId w:val="125"/>
        </w:numPr>
        <w:rPr>
          <w:rFonts w:ascii="Arial" w:cs="Arial" w:eastAsia="Arial" w:hAnsi="Arial"/>
          <w:sz w:val="24"/>
          <w:szCs w:val="24"/>
          <w:color w:val="auto"/>
          <w:vertAlign w:val="superscript"/>
        </w:rPr>
      </w:pPr>
      <w:r>
        <w:rPr>
          <w:rFonts w:ascii="Arial" w:cs="Arial" w:eastAsia="Arial" w:hAnsi="Arial"/>
          <w:sz w:val="14"/>
          <w:szCs w:val="14"/>
          <w:color w:val="auto"/>
        </w:rPr>
        <w:t>Total potential voting power dilution is calculated as of March 21, 2019 as follows: (equity awards outstanding + Shares available for grant under Prior LTSIP + additional requested shares under 2019 LTSIP) / (Shares outstanding + equity awards outstanding + Shares available for grant under Prior LTSIP + additional requested Shares under 2019 LTSIP).</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Required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type w:val="continuous"/>
        </w:sectPr>
      </w:pPr>
    </w:p>
    <w:p>
      <w:pPr>
        <w:spacing w:after="0" w:line="334" w:lineRule="exact"/>
        <w:rPr>
          <w:sz w:val="20"/>
          <w:szCs w:val="20"/>
          <w:color w:val="auto"/>
        </w:rPr>
      </w:pPr>
    </w:p>
    <w:p>
      <w:pPr>
        <w:ind w:left="280"/>
        <w:spacing w:after="0" w:line="246" w:lineRule="auto"/>
        <w:rPr>
          <w:sz w:val="20"/>
          <w:szCs w:val="20"/>
          <w:color w:val="auto"/>
        </w:rPr>
      </w:pPr>
      <w:r>
        <w:rPr>
          <w:rFonts w:ascii="Arial" w:cs="Arial" w:eastAsia="Arial" w:hAnsi="Arial"/>
          <w:sz w:val="16"/>
          <w:szCs w:val="16"/>
          <w:color w:val="auto"/>
        </w:rPr>
        <w:t>The affirmative vote of a majority of the Shares present in person or represented by proxy and entitled to be voted on the proposal at the Annual Meeting is required for approval of this proposal. If stockholders do not approve this proposal, it will not be implemented and the Prior LTSIP will remain in place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until its expiration. The Company reserves the right to adopt such other compensation plans and programs as deemed appropriate and in the best interests of the Company and its stockholders.</w:t>
      </w:r>
    </w:p>
    <w:p>
      <w:pPr>
        <w:spacing w:after="0" w:line="572" w:lineRule="exact"/>
        <w:rPr>
          <w:sz w:val="20"/>
          <w:szCs w:val="20"/>
          <w:color w:val="auto"/>
        </w:rPr>
      </w:pPr>
    </w:p>
    <w:p>
      <w:pPr>
        <w:sectPr>
          <w:pgSz w:w="11900" w:h="16838" w:orient="portrait"/>
          <w:cols w:equalWidth="0" w:num="2">
            <w:col w:w="5320" w:space="500"/>
            <w:col w:w="5340"/>
          </w:cols>
          <w:pgMar w:left="240" w:top="455" w:right="499" w:bottom="1440" w:gutter="0" w:footer="0" w:header="0"/>
          <w:type w:val="continuous"/>
        </w:sectPr>
      </w:pPr>
    </w:p>
    <w:p>
      <w:pPr>
        <w:spacing w:after="0" w:line="58"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71</w:t>
      </w:r>
    </w:p>
    <w:p>
      <w:pPr>
        <w:sectPr>
          <w:pgSz w:w="11900" w:h="16838" w:orient="portrait"/>
          <w:cols w:equalWidth="0" w:num="1">
            <w:col w:w="11160"/>
          </w:cols>
          <w:pgMar w:left="240" w:top="455" w:right="49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VOTE TO APPROVE THE LEAR CORPORATION 2019 LONG-TERM STOCK INCENTIVE PLAN (PROPOSAL NO. 4)</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sectPr>
      </w:pPr>
    </w:p>
    <w:p>
      <w:pPr>
        <w:spacing w:after="0" w:line="314" w:lineRule="exact"/>
        <w:rPr>
          <w:sz w:val="20"/>
          <w:szCs w:val="20"/>
          <w:color w:val="auto"/>
        </w:rPr>
      </w:pPr>
    </w:p>
    <w:p>
      <w:pPr>
        <w:jc w:val="both"/>
        <w:ind w:left="280"/>
        <w:spacing w:after="0" w:line="261" w:lineRule="auto"/>
        <w:rPr>
          <w:sz w:val="20"/>
          <w:szCs w:val="20"/>
          <w:color w:val="auto"/>
        </w:rPr>
      </w:pPr>
      <w:r>
        <w:rPr>
          <w:rFonts w:ascii="Arial" w:cs="Arial" w:eastAsia="Arial" w:hAnsi="Arial"/>
          <w:sz w:val="16"/>
          <w:szCs w:val="16"/>
          <w:b w:val="1"/>
          <w:bCs w:val="1"/>
          <w:color w:val="auto"/>
        </w:rPr>
        <w:t>THE BOARD UNANIMOUSLY RECOMMENDS A VOTE “FOR” THE APPROVAL OF THE 2019 LONG-TERM STOCK INCENTIVE PLAN SET FORTH IN THIS PROXY STATEMENT.</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400"/>
        <w:spacing w:after="0" w:line="261" w:lineRule="auto"/>
        <w:rPr>
          <w:sz w:val="20"/>
          <w:szCs w:val="20"/>
          <w:color w:val="auto"/>
        </w:rPr>
      </w:pPr>
      <w:r>
        <w:rPr>
          <w:rFonts w:ascii="Arial" w:cs="Arial" w:eastAsia="Arial" w:hAnsi="Arial"/>
          <w:sz w:val="16"/>
          <w:szCs w:val="16"/>
          <w:b w:val="1"/>
          <w:bCs w:val="1"/>
          <w:color w:val="auto"/>
        </w:rPr>
        <w:t>PROXIES SOLICITED BY THE BOARD WILL BE VOTED FOR THE PROPOSAL UNLESS STOCKHOLDERS SPECIFY A CONTRARY VOTE.</w:t>
      </w:r>
    </w:p>
    <w:p>
      <w:pPr>
        <w:spacing w:after="0" w:line="200" w:lineRule="exact"/>
        <w:rPr>
          <w:sz w:val="20"/>
          <w:szCs w:val="20"/>
          <w:color w:val="auto"/>
        </w:rPr>
      </w:pPr>
    </w:p>
    <w:p>
      <w:pPr>
        <w:sectPr>
          <w:pgSz w:w="11900" w:h="16838" w:orient="portrait"/>
          <w:cols w:equalWidth="0" w:num="2">
            <w:col w:w="5220" w:space="600"/>
            <w:col w:w="5320"/>
          </w:cols>
          <w:pgMar w:left="240" w:top="455" w:right="519" w:bottom="1440" w:gutter="0" w:footer="0" w:header="0"/>
          <w:type w:val="continuous"/>
        </w:sectPr>
      </w:pPr>
    </w:p>
    <w:p>
      <w:pPr>
        <w:spacing w:after="0" w:line="260"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334" w:lineRule="exact"/>
        <w:rPr>
          <w:sz w:val="20"/>
          <w:szCs w:val="20"/>
          <w:color w:val="auto"/>
        </w:rPr>
      </w:pPr>
    </w:p>
    <w:p>
      <w:pPr>
        <w:ind w:left="280"/>
        <w:spacing w:after="0" w:line="254" w:lineRule="auto"/>
        <w:rPr>
          <w:sz w:val="20"/>
          <w:szCs w:val="20"/>
          <w:color w:val="auto"/>
        </w:rPr>
      </w:pPr>
      <w:r>
        <w:rPr>
          <w:rFonts w:ascii="Arial" w:cs="Arial" w:eastAsia="Arial" w:hAnsi="Arial"/>
          <w:sz w:val="16"/>
          <w:szCs w:val="16"/>
          <w:color w:val="auto"/>
        </w:rPr>
        <w:t>We have provided a brief summary of the material terms of the 2019 LTSIP below, which is also qualified in its entirety by</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reference to the full copy of the 2019 LTSIP, attached as Appendix B to this proxy statement.</w:t>
      </w:r>
    </w:p>
    <w:p>
      <w:pPr>
        <w:spacing w:after="0" w:line="200" w:lineRule="exact"/>
        <w:rPr>
          <w:sz w:val="20"/>
          <w:szCs w:val="20"/>
          <w:color w:val="auto"/>
        </w:rPr>
      </w:pPr>
    </w:p>
    <w:p>
      <w:pPr>
        <w:sectPr>
          <w:pgSz w:w="11900" w:h="16838" w:orient="portrait"/>
          <w:cols w:equalWidth="0" w:num="2">
            <w:col w:w="5100" w:space="720"/>
            <w:col w:w="5320"/>
          </w:cols>
          <w:pgMar w:left="240" w:top="455" w:right="519" w:bottom="1440" w:gutter="0" w:footer="0" w:header="0"/>
          <w:type w:val="continuous"/>
        </w:sectPr>
      </w:pPr>
    </w:p>
    <w:p>
      <w:pPr>
        <w:spacing w:after="0" w:line="14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Purpose</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2019 LTSIP is designed to provide competitive incentives intended to attract, retain, motivate and reward eligible participants.</w:t>
      </w:r>
    </w:p>
    <w:p>
      <w:pPr>
        <w:sectPr>
          <w:pgSz w:w="11900" w:h="16838" w:orient="portrait"/>
          <w:cols w:equalWidth="0" w:num="1">
            <w:col w:w="11140"/>
          </w:cols>
          <w:pgMar w:left="240" w:top="455" w:right="519" w:bottom="1440" w:gutter="0" w:footer="0" w:header="0"/>
          <w:type w:val="continuous"/>
        </w:sectPr>
      </w:pP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Eligible Participants</w:t>
      </w:r>
    </w:p>
    <w:p>
      <w:pPr>
        <w:spacing w:after="0" w:line="311" w:lineRule="exact"/>
        <w:rPr>
          <w:sz w:val="20"/>
          <w:szCs w:val="20"/>
          <w:color w:val="auto"/>
        </w:rPr>
      </w:pPr>
    </w:p>
    <w:p>
      <w:pPr>
        <w:ind w:left="280"/>
        <w:spacing w:after="0" w:line="248" w:lineRule="auto"/>
        <w:rPr>
          <w:sz w:val="20"/>
          <w:szCs w:val="20"/>
          <w:color w:val="auto"/>
        </w:rPr>
      </w:pPr>
      <w:r>
        <w:rPr>
          <w:rFonts w:ascii="Arial" w:cs="Arial" w:eastAsia="Arial" w:hAnsi="Arial"/>
          <w:sz w:val="16"/>
          <w:szCs w:val="16"/>
          <w:color w:val="auto"/>
        </w:rPr>
        <w:t>Non-employee directors, officers and other key employees of the Company and its subsidiaries are eligible to participate in the 2019 LTSIP. There are currently approximately 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60"/>
        <w:spacing w:after="0" w:line="248" w:lineRule="auto"/>
        <w:rPr>
          <w:sz w:val="20"/>
          <w:szCs w:val="20"/>
          <w:color w:val="auto"/>
        </w:rPr>
      </w:pPr>
      <w:r>
        <w:rPr>
          <w:rFonts w:ascii="Arial" w:cs="Arial" w:eastAsia="Arial" w:hAnsi="Arial"/>
          <w:sz w:val="16"/>
          <w:szCs w:val="16"/>
          <w:color w:val="auto"/>
        </w:rPr>
        <w:t>executives, 627 non-executive employees, and eight non-employee directors who would potentially be eligible to receive awards under the 2019 LTSIP.</w:t>
      </w:r>
    </w:p>
    <w:p>
      <w:pPr>
        <w:spacing w:after="0" w:line="200" w:lineRule="exact"/>
        <w:rPr>
          <w:sz w:val="20"/>
          <w:szCs w:val="20"/>
          <w:color w:val="auto"/>
        </w:rPr>
      </w:pPr>
    </w:p>
    <w:p>
      <w:pPr>
        <w:sectPr>
          <w:pgSz w:w="11900" w:h="16838" w:orient="portrait"/>
          <w:cols w:equalWidth="0" w:num="2">
            <w:col w:w="5480" w:space="340"/>
            <w:col w:w="5320"/>
          </w:cols>
          <w:pgMar w:left="240" w:top="455" w:right="519" w:bottom="1440" w:gutter="0" w:footer="0" w:header="0"/>
          <w:type w:val="continuous"/>
        </w:sectPr>
      </w:pPr>
    </w:p>
    <w:p>
      <w:pPr>
        <w:spacing w:after="0" w:line="13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91"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The 2019 LTSIP will be administered by the Compensation Committee. Unless the Board decides otherwise, the Compensation Committee’s membership is intended to satisfy the “non-employee director” provisions of Section 16(b) of the Exchange Act so long as the Company is subject to the registration requirements of the Exchange Act. The members of the Compensation Committee will be appointed from time to time by, and will serve at the discretion of, the Board. Except as limited by law and subject to the provisions of the 2019 LTSIP, the Compensation Committee will select directors and employees to participate in the 2019 LTSIP; determine the sizes and types of awards; determine the terms and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of awards in a manner consistent with the 2019 LTSIP; construe and interpret the 2019 LTSIP and any agreement or instrument entered into under the 2019 LTSIP; establish, amend or waive rules and regulations for the 2019 LTSIP’s administration; correct any defect, supply any omission or reconcile any inconsistency in the 2019 LTSIP or in any award thereunder; and amend the terms and conditions of any outstanding award to the extent that the 2019 LTSIP provides that they are within the discretion of the Compensation Committee. Further, the Compensation Committee is empowered to make other determinations it deems necessary or advisable to administer the 2019 LTSIP properly.</w:t>
      </w:r>
    </w:p>
    <w:p>
      <w:pPr>
        <w:spacing w:after="0" w:line="387" w:lineRule="exact"/>
        <w:rPr>
          <w:sz w:val="20"/>
          <w:szCs w:val="20"/>
          <w:color w:val="auto"/>
        </w:rPr>
      </w:pPr>
    </w:p>
    <w:p>
      <w:pPr>
        <w:sectPr>
          <w:pgSz w:w="11900" w:h="16838" w:orient="portrait"/>
          <w:cols w:equalWidth="0" w:num="2">
            <w:col w:w="5480" w:space="340"/>
            <w:col w:w="5320"/>
          </w:cols>
          <w:pgMar w:left="240" w:top="455" w:right="519" w:bottom="1440" w:gutter="0" w:footer="0" w:header="0"/>
          <w:type w:val="continuous"/>
        </w:sectPr>
      </w:pPr>
    </w:p>
    <w:p>
      <w:pPr>
        <w:spacing w:after="0" w:line="15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Available Shares; Award Limits</w:t>
      </w:r>
    </w:p>
    <w:p>
      <w:pPr>
        <w:spacing w:after="0" w:line="191"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The number of Shares that may be issued or transferred to participants under the 2019 LTSIP will not exceed the sum of (i) 2,526,858 Shares, which includes a request for 436,000 additional Shares and 2,090,858 Shares as of March 21, 2019 authorized and approved for issuance, but not awarded, under the Prior LTSIP, and (ii) any Shares under the Prior LTSIP subject to awards that, after the effective date of the 2019 LTSIP, are forfeited, terminated, lapsed or satisfied thereunder in cash or property other than Shares. Subject to adjustment as described below, the maximum number of Shares and Share-equivalent units that may be granted to any one participant in a calendar year under any 2019 LTSIP awards is 1,000,000. The maximum number of Shares that may be issued pursuant to options that are intended to be ISOs is 1,000,000. The maximum aggregate dollar amount that may be paid to any one participant in a calendar year under performance units or cash incentive awards is $20,000,000.</w:t>
      </w:r>
    </w:p>
    <w:p>
      <w:pPr>
        <w:spacing w:after="0" w:line="260" w:lineRule="exact"/>
        <w:rPr>
          <w:sz w:val="20"/>
          <w:szCs w:val="20"/>
          <w:color w:val="auto"/>
        </w:rPr>
      </w:pPr>
    </w:p>
    <w:p>
      <w:pPr>
        <w:ind w:left="740" w:hanging="359"/>
        <w:spacing w:after="0"/>
        <w:tabs>
          <w:tab w:leader="none" w:pos="7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Shares underlying awards that are subject to the achievement of performance goals will be counted against the share reserve and limits based on the target value of such awards unless and until such time as the awards become vested and settled in Shares.</w:t>
      </w:r>
    </w:p>
    <w:p>
      <w:pPr>
        <w:spacing w:after="0" w:line="95"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Any Shares subject to an award under the 2019 LTSIP that, after the effective date thereof, are forfeited, canceled, settled or otherwise terminated without a distribution of Shares to a participant will thereafter be deemed to be available for awards. However, none of the following Shares will be added back to the Shares authorized for grant under the 2019 LTSIP: (i) Shares otherwise issuable or issued in respect of an award that are withheld to cover taxes or any applicable exercise price, (ii) Shares subject to Share-settled SARs that are exercised, or (iii) Shares tendered to exercise outstanding options or other awards or to cover applicable taxes on such awards.</w:t>
      </w:r>
    </w:p>
    <w:p>
      <w:pPr>
        <w:sectPr>
          <w:pgSz w:w="11900" w:h="16838" w:orient="portrait"/>
          <w:cols w:equalWidth="0" w:num="2">
            <w:col w:w="5460" w:space="360"/>
            <w:col w:w="5320"/>
          </w:cols>
          <w:pgMar w:left="240" w:top="455" w:right="51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VOTE TO APPROVE THE LEAR CORPORATION 2019 LONG-TERM STOCK INCENTIVE PLAN (PROPOSAL NO. 4)</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Adjustments</w:t>
      </w:r>
    </w:p>
    <w:p>
      <w:pPr>
        <w:sectPr>
          <w:pgSz w:w="11900" w:h="16838" w:orient="portrait"/>
          <w:cols w:equalWidth="0" w:num="1">
            <w:col w:w="11140"/>
          </w:cols>
          <w:pgMar w:left="240" w:top="455" w:right="519" w:bottom="1440" w:gutter="0" w:footer="0" w:header="0"/>
        </w:sectPr>
      </w:pPr>
    </w:p>
    <w:p>
      <w:pPr>
        <w:spacing w:after="0" w:line="191"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If there is any change in the Company’s capitalization resulting from a stock split or a corporate transaction, including a merger, consolidation, separation, or other distribution of stock or property of the Company, a spin-off, or any reorganization, or any partial or complete liquidation of the Company, the Compensation Committee will adjust the number and kind of shares of stock or other securities permitted to be delivered</w:t>
      </w:r>
    </w:p>
    <w:p>
      <w:pPr>
        <w:spacing w:after="0" w:line="35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Non-Employee Director Limit</w:t>
      </w:r>
    </w:p>
    <w:p>
      <w:pPr>
        <w:spacing w:after="0" w:line="191" w:lineRule="exact"/>
        <w:rPr>
          <w:sz w:val="20"/>
          <w:szCs w:val="20"/>
          <w:color w:val="auto"/>
        </w:rPr>
      </w:pPr>
    </w:p>
    <w:p>
      <w:pPr>
        <w:ind w:left="280" w:right="180"/>
        <w:spacing w:after="0" w:line="247" w:lineRule="auto"/>
        <w:rPr>
          <w:sz w:val="20"/>
          <w:szCs w:val="20"/>
          <w:color w:val="auto"/>
        </w:rPr>
      </w:pPr>
      <w:r>
        <w:rPr>
          <w:rFonts w:ascii="Arial" w:cs="Arial" w:eastAsia="Arial" w:hAnsi="Arial"/>
          <w:sz w:val="16"/>
          <w:szCs w:val="16"/>
          <w:color w:val="auto"/>
        </w:rPr>
        <w:t>Any compensation paid to a non-employee director, including cash fees and awards under the 2019 LTSIP (based on the grant date fair market value of such awards for financial reporting purposes), will not exceed $900,000 per fiscal year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under the 2019 LTSIP, adjust the terms of outstanding awards, including the number and kind of shares of stock or other securities subject to outstanding awards, in each case as and to the extent the Compensation Committee determines an adjustment to be appropriate and equitable, to prevent dilution or enlargement of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respect of his or her service as a non-employee director. Compensation will count toward this limit in the Board compensation year in which it is earned.</w:t>
      </w:r>
    </w:p>
    <w:p>
      <w:pPr>
        <w:spacing w:after="0" w:line="387" w:lineRule="exact"/>
        <w:rPr>
          <w:sz w:val="20"/>
          <w:szCs w:val="20"/>
          <w:color w:val="auto"/>
        </w:rPr>
      </w:pPr>
    </w:p>
    <w:p>
      <w:pPr>
        <w:sectPr>
          <w:pgSz w:w="11900" w:h="16838" w:orient="portrait"/>
          <w:cols w:equalWidth="0" w:num="2">
            <w:col w:w="5500" w:space="320"/>
            <w:col w:w="5320"/>
          </w:cols>
          <w:pgMar w:left="240" w:top="455" w:right="519" w:bottom="1440" w:gutter="0" w:footer="0" w:header="0"/>
          <w:type w:val="continuous"/>
        </w:sectPr>
      </w:pPr>
    </w:p>
    <w:p>
      <w:pPr>
        <w:spacing w:after="0" w:line="15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Minimum Vesting Requirement</w:t>
      </w:r>
    </w:p>
    <w:p>
      <w:pPr>
        <w:spacing w:after="0" w:line="191"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Except in the case of substitute awards, awards granted under the 2019 LTSIP will be subject to a minimum vesting period of one year from the date of grant. Notwithstanding the foregoing, the Compensation Committee may provide that the vesting of an award will accelerate in the event of a participant’s death, disability, retirement or a change in control, and the Compensation Committee may grant awards covering 5% or fewer of the Shares reserved for issuance under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2019 LTSIP without regard to the minimum vesting provision. The vesting of any unvested awards granted to non-employee directors will be deemed to satisfy the one-year minimum vesting provision if the awards vest on the earlier of the one-year anniversary of the date of grant and the next regular annual meeting of stockholders that is at least 50 weeks after the immediately preceding year’s annual meeting.</w:t>
      </w:r>
    </w:p>
    <w:p>
      <w:pPr>
        <w:spacing w:after="0" w:line="387" w:lineRule="exact"/>
        <w:rPr>
          <w:sz w:val="20"/>
          <w:szCs w:val="20"/>
          <w:color w:val="auto"/>
        </w:rPr>
      </w:pPr>
    </w:p>
    <w:p>
      <w:pPr>
        <w:sectPr>
          <w:pgSz w:w="11900" w:h="16838" w:orient="portrait"/>
          <w:cols w:equalWidth="0" w:num="2">
            <w:col w:w="5460" w:space="360"/>
            <w:col w:w="5320"/>
          </w:cols>
          <w:pgMar w:left="240" w:top="455" w:right="519" w:bottom="1440" w:gutter="0" w:footer="0" w:header="0"/>
          <w:type w:val="continuous"/>
        </w:sectPr>
      </w:pPr>
    </w:p>
    <w:p>
      <w:pPr>
        <w:spacing w:after="0" w:line="13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Awards</w:t>
      </w:r>
    </w:p>
    <w:p>
      <w:pPr>
        <w:spacing w:after="0" w:line="191"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Under the 2019 LTSIP, the Compensation Committee is authorized to grant stock options (including nonqualified stock options (“NQSOs”) and incentive stock options (“ISOs”), SARs (including freestanding SARs and tandem SARs), restricted stock, RSUs, restricted units, performance units, performance shares and other awards, each of which may be made subject to the achievement of specified performance measures established by the Compensation Committee. The Compensation Committee may also grant substitute awards under the 2019 LTSIP. The Compensation Committee determines the terms and conditions of each award at the time of grant, including whether payment of awards will be subject to the achievement of performance goals, consistent with the provisions of the 2019 LTSIP, and the extent to which awards will be retained following the termination of employment or service.</w:t>
      </w:r>
    </w:p>
    <w:p>
      <w:pPr>
        <w:spacing w:after="0" w:line="83" w:lineRule="exact"/>
        <w:rPr>
          <w:sz w:val="20"/>
          <w:szCs w:val="20"/>
          <w:color w:val="auto"/>
        </w:rPr>
      </w:pPr>
    </w:p>
    <w:p>
      <w:pPr>
        <w:ind w:left="280"/>
        <w:spacing w:after="0" w:line="269" w:lineRule="auto"/>
        <w:rPr>
          <w:sz w:val="20"/>
          <w:szCs w:val="20"/>
          <w:color w:val="auto"/>
        </w:rPr>
      </w:pPr>
      <w:r>
        <w:rPr>
          <w:rFonts w:ascii="Arial" w:cs="Arial" w:eastAsia="Arial" w:hAnsi="Arial"/>
          <w:sz w:val="15"/>
          <w:szCs w:val="15"/>
          <w:i w:val="1"/>
          <w:iCs w:val="1"/>
          <w:color w:val="auto"/>
        </w:rPr>
        <w:t xml:space="preserve">Options and SARs. </w:t>
      </w:r>
      <w:r>
        <w:rPr>
          <w:rFonts w:ascii="Arial" w:cs="Arial" w:eastAsia="Arial" w:hAnsi="Arial"/>
          <w:sz w:val="15"/>
          <w:szCs w:val="15"/>
          <w:color w:val="auto"/>
        </w:rPr>
        <w:t>An option entitles the holder thereof to purchase a</w:t>
      </w:r>
      <w:r>
        <w:rPr>
          <w:rFonts w:ascii="Arial" w:cs="Arial" w:eastAsia="Arial" w:hAnsi="Arial"/>
          <w:sz w:val="15"/>
          <w:szCs w:val="15"/>
          <w:i w:val="1"/>
          <w:iCs w:val="1"/>
          <w:color w:val="auto"/>
        </w:rPr>
        <w:t xml:space="preserve"> </w:t>
      </w:r>
      <w:r>
        <w:rPr>
          <w:rFonts w:ascii="Arial" w:cs="Arial" w:eastAsia="Arial" w:hAnsi="Arial"/>
          <w:sz w:val="15"/>
          <w:szCs w:val="15"/>
          <w:color w:val="auto"/>
        </w:rPr>
        <w:t>specific number of Shares at a specified exercise price. A SAR entitles the holder thereof to, upon exercise, receive a payment in an amount determined by multiplying the excess (or a specified portion of the excess), if any, of the fair market value on the date of exercise over the grant price specified in the award agreement, by the number of Shares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to which the SAR is exercised. Payment of a SAR may be made in cash, Shares, or a combination of the two. A SAR may be granted independently of any options (a “freestanding SAR”) or in connection with an option (a “tandem SAR”).</w:t>
      </w:r>
    </w:p>
    <w:p>
      <w:pPr>
        <w:spacing w:after="0" w:line="95"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The applicable exercise or grant price of an option or a SAR must be equal to at least 100% of the fair market value on the date of grant, unless granted through a substitute award. The term of an option or SAR will be set by the Compensation Committee at the time of grant, but no option or SAR will be exercisable more than 10 years after the date of grant. At the time of exercise of an option, the exercise price must be paid in full and may be paid in cash, by tendering Shares already owned, through a “cashless” exercise, or through a combination of any of the foregoing.</w:t>
      </w:r>
    </w:p>
    <w:p>
      <w:pPr>
        <w:spacing w:after="0" w:line="102"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ISOs are subject to additional limitations set forth in the 2019 LTSIP and the Code.</w:t>
      </w:r>
    </w:p>
    <w:p>
      <w:pPr>
        <w:spacing w:after="0" w:line="74"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i w:val="1"/>
          <w:iCs w:val="1"/>
          <w:color w:val="auto"/>
        </w:rPr>
        <w:t xml:space="preserve">Restricted Stock, RSUs, and Restricted Units. </w:t>
      </w:r>
      <w:r>
        <w:rPr>
          <w:rFonts w:ascii="Arial" w:cs="Arial" w:eastAsia="Arial" w:hAnsi="Arial"/>
          <w:sz w:val="16"/>
          <w:szCs w:val="16"/>
          <w:color w:val="auto"/>
        </w:rPr>
        <w:t>Restricted stock awards</w:t>
      </w:r>
      <w:r>
        <w:rPr>
          <w:rFonts w:ascii="Arial" w:cs="Arial" w:eastAsia="Arial" w:hAnsi="Arial"/>
          <w:sz w:val="16"/>
          <w:szCs w:val="16"/>
          <w:i w:val="1"/>
          <w:iCs w:val="1"/>
          <w:color w:val="auto"/>
        </w:rPr>
        <w:t xml:space="preserve"> </w:t>
      </w:r>
      <w:r>
        <w:rPr>
          <w:rFonts w:ascii="Arial" w:cs="Arial" w:eastAsia="Arial" w:hAnsi="Arial"/>
          <w:sz w:val="16"/>
          <w:szCs w:val="16"/>
          <w:color w:val="auto"/>
        </w:rPr>
        <w:t>are Shares that are issued to a participant subject to transfer and other restrictions as the Compensation Committee may determine. RSUs and restricted units entitle a participant to receive, at a specified future date, Shares or an amount equal to the fair market value of a specified number of</w:t>
      </w:r>
    </w:p>
    <w:p>
      <w:pPr>
        <w:spacing w:after="0" w:line="258" w:lineRule="exact"/>
        <w:rPr>
          <w:sz w:val="20"/>
          <w:szCs w:val="20"/>
          <w:color w:val="auto"/>
        </w:rPr>
      </w:pPr>
    </w:p>
    <w:p>
      <w:pPr>
        <w:ind w:left="3120"/>
        <w:spacing w:after="0"/>
        <w:tabs>
          <w:tab w:leader="none" w:pos="4800" w:val="left"/>
          <w:tab w:leader="none" w:pos="502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73</w:t>
      </w:r>
    </w:p>
    <w:p>
      <w:pPr>
        <w:sectPr>
          <w:pgSz w:w="11900" w:h="16838" w:orient="portrait"/>
          <w:cols w:equalWidth="0" w:num="2">
            <w:col w:w="5480" w:space="340"/>
            <w:col w:w="5320"/>
          </w:cols>
          <w:pgMar w:left="240" w:top="455" w:right="51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VOTE TO APPROVE THE LEAR CORPORATION 2019 LONG-TERM STOCK INCENTIVE PLAN (PROPOSAL NO. 4)</w:t>
      </w:r>
    </w:p>
    <w:p>
      <w:pPr>
        <w:sectPr>
          <w:pgSz w:w="11900" w:h="16838" w:orient="portrait"/>
          <w:cols w:equalWidth="0" w:num="1">
            <w:col w:w="11140"/>
          </w:cols>
          <w:pgMar w:left="240" w:top="455" w:right="519" w:bottom="1440" w:gutter="0" w:footer="0" w:header="0"/>
        </w:sectPr>
      </w:pPr>
    </w:p>
    <w:p>
      <w:pPr>
        <w:spacing w:after="0" w:line="210" w:lineRule="exact"/>
        <w:rPr>
          <w:sz w:val="20"/>
          <w:szCs w:val="20"/>
          <w:color w:val="auto"/>
        </w:rPr>
      </w:pPr>
    </w:p>
    <w:p>
      <w:pPr>
        <w:ind w:left="280" w:right="120"/>
        <w:spacing w:after="0" w:line="244" w:lineRule="auto"/>
        <w:rPr>
          <w:sz w:val="20"/>
          <w:szCs w:val="20"/>
          <w:color w:val="auto"/>
        </w:rPr>
      </w:pPr>
      <w:r>
        <w:rPr>
          <w:rFonts w:ascii="Arial" w:cs="Arial" w:eastAsia="Arial" w:hAnsi="Arial"/>
          <w:sz w:val="16"/>
          <w:szCs w:val="16"/>
          <w:color w:val="auto"/>
        </w:rPr>
        <w:t>Shares (or other unit of measurement). The Compensation Committee may impose any conditions or restrictions that it deems advisable on restricted stock, RSU and restricted unit awards, including performance-and/or time-based vesting conditions. While awards of restricted stock, RSUs and restricted units are subject to restrictions, unless otherwise determined by the Compensation Committee and set forth in an award agreement, participants will be credited with regular cash dividends or dividend equivalents with respect to such awards. No dividends or dividend equivalents will be paid on unvested awards, but to the extent that such awards contain the right to receive dividends or dividend equivalents during the restriction period, such dividends or dividend equivalents will be accumulated and paid once and to the extent that the underlying award vests.</w:t>
      </w:r>
    </w:p>
    <w:p>
      <w:pPr>
        <w:spacing w:after="0" w:line="83" w:lineRule="exact"/>
        <w:rPr>
          <w:sz w:val="20"/>
          <w:szCs w:val="20"/>
          <w:color w:val="auto"/>
        </w:rPr>
      </w:pPr>
    </w:p>
    <w:p>
      <w:pPr>
        <w:ind w:left="280" w:right="60"/>
        <w:spacing w:after="0" w:line="245" w:lineRule="auto"/>
        <w:rPr>
          <w:sz w:val="20"/>
          <w:szCs w:val="20"/>
          <w:color w:val="auto"/>
        </w:rPr>
      </w:pPr>
      <w:r>
        <w:rPr>
          <w:rFonts w:ascii="Arial" w:cs="Arial" w:eastAsia="Arial" w:hAnsi="Arial"/>
          <w:sz w:val="16"/>
          <w:szCs w:val="16"/>
          <w:i w:val="1"/>
          <w:iCs w:val="1"/>
          <w:color w:val="auto"/>
        </w:rPr>
        <w:t xml:space="preserve">Performance Units and Performance Shares. </w:t>
      </w:r>
      <w:r>
        <w:rPr>
          <w:rFonts w:ascii="Arial" w:cs="Arial" w:eastAsia="Arial" w:hAnsi="Arial"/>
          <w:sz w:val="16"/>
          <w:szCs w:val="16"/>
          <w:color w:val="auto"/>
        </w:rPr>
        <w:t>Performance units and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shares have an initial value that is established by the Compensation Committee at the time of grant (for performance shares, such value per performance share is equal to the fair market value of a Share at the time of grant). The Compensation Committee will set performance periods and performance objectives that, depending to the extent to which they are met, will determine the number and/or value of the performance units or performance shares that will be earned by a participant. These awards may be paid in cash, Shares, or a combination of the two, as determined by the Compensation Committee. Unless otherwise determined by the Compensation Committee and set forth in an award agreement, participants will be credited with dividend equivalents with respect to awards of performance shares. The Compensation Committee may, in its sole discretion,</w:t>
      </w:r>
    </w:p>
    <w:p>
      <w:pPr>
        <w:spacing w:after="0" w:line="35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Performance Measures</w:t>
      </w:r>
    </w:p>
    <w:p>
      <w:pPr>
        <w:spacing w:after="0" w:line="191" w:lineRule="exact"/>
        <w:rPr>
          <w:sz w:val="20"/>
          <w:szCs w:val="20"/>
          <w:color w:val="auto"/>
        </w:rPr>
      </w:pPr>
    </w:p>
    <w:p>
      <w:pPr>
        <w:ind w:left="280"/>
        <w:spacing w:after="0" w:line="262" w:lineRule="auto"/>
        <w:rPr>
          <w:sz w:val="20"/>
          <w:szCs w:val="20"/>
          <w:color w:val="auto"/>
        </w:rPr>
      </w:pPr>
      <w:r>
        <w:rPr>
          <w:rFonts w:ascii="Arial" w:cs="Arial" w:eastAsia="Arial" w:hAnsi="Arial"/>
          <w:sz w:val="15"/>
          <w:szCs w:val="15"/>
          <w:color w:val="auto"/>
        </w:rPr>
        <w:t>The Compensation Committee may establish performance goals for performance-based awards under the 2019 LTSIP, which may be based on any performance measures selected by the Compensation Committee. Such performance measures may include, but are not limited to, any of the following: earnings (including, without limitation, earnings before interest and taxes, earnings before taxes, and net earnings); operating earnings or income; earnings growth; net sales growth; net income (absolute or competitive growth rates comparative); net income applicable to common stock; cash flow, including operating cash flow, free cash flow, discounted cash flow return on investment, and cash flow in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color w:val="auto"/>
        </w:rPr>
        <w:t>provide that dividend equivalents will be paid on awards of performance units. No dividend equivalents will be paid on unvested awards, but to the extent that such awards contain the right to receive dividend equivalents during the performance period, such dividend equivalents will be accumulated and paid once and to the extent that the underlying award vests.</w:t>
      </w:r>
    </w:p>
    <w:p>
      <w:pPr>
        <w:spacing w:after="0" w:line="82" w:lineRule="exact"/>
        <w:rPr>
          <w:sz w:val="20"/>
          <w:szCs w:val="20"/>
          <w:color w:val="auto"/>
        </w:rPr>
      </w:pPr>
    </w:p>
    <w:p>
      <w:pPr>
        <w:spacing w:after="0" w:line="247" w:lineRule="auto"/>
        <w:rPr>
          <w:sz w:val="20"/>
          <w:szCs w:val="20"/>
          <w:color w:val="auto"/>
        </w:rPr>
      </w:pPr>
      <w:r>
        <w:rPr>
          <w:rFonts w:ascii="Arial" w:cs="Arial" w:eastAsia="Arial" w:hAnsi="Arial"/>
          <w:sz w:val="16"/>
          <w:szCs w:val="16"/>
          <w:i w:val="1"/>
          <w:iCs w:val="1"/>
          <w:color w:val="auto"/>
        </w:rPr>
        <w:t xml:space="preserve">Substitute Awards. </w:t>
      </w:r>
      <w:r>
        <w:rPr>
          <w:rFonts w:ascii="Arial" w:cs="Arial" w:eastAsia="Arial" w:hAnsi="Arial"/>
          <w:sz w:val="16"/>
          <w:szCs w:val="16"/>
          <w:color w:val="auto"/>
        </w:rPr>
        <w:t>Substitute awards are awards that may be granted in</w:t>
      </w:r>
      <w:r>
        <w:rPr>
          <w:rFonts w:ascii="Arial" w:cs="Arial" w:eastAsia="Arial" w:hAnsi="Arial"/>
          <w:sz w:val="16"/>
          <w:szCs w:val="16"/>
          <w:i w:val="1"/>
          <w:iCs w:val="1"/>
          <w:color w:val="auto"/>
        </w:rPr>
        <w:t xml:space="preserve"> </w:t>
      </w:r>
      <w:r>
        <w:rPr>
          <w:rFonts w:ascii="Arial" w:cs="Arial" w:eastAsia="Arial" w:hAnsi="Arial"/>
          <w:sz w:val="16"/>
          <w:szCs w:val="16"/>
          <w:color w:val="auto"/>
        </w:rPr>
        <w:t>replacement of stock or stock-based awards from another business held by current and former employees or non-employee directors of such business that is, or whose stock is, acquired by the Company, in order to preserve the economic value of all or a portion of a substituted award on such terms and conditions (including price) as the Compensation Committee determines. Substitute awards will not reduce the Shares authorized for issuance under the 2019 LTSIP.</w:t>
      </w:r>
    </w:p>
    <w:p>
      <w:pPr>
        <w:spacing w:after="0" w:line="84"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i w:val="1"/>
          <w:iCs w:val="1"/>
          <w:color w:val="auto"/>
        </w:rPr>
        <w:t xml:space="preserve">Other Awards. </w:t>
      </w:r>
      <w:r>
        <w:rPr>
          <w:rFonts w:ascii="Arial" w:cs="Arial" w:eastAsia="Arial" w:hAnsi="Arial"/>
          <w:sz w:val="16"/>
          <w:szCs w:val="16"/>
          <w:color w:val="auto"/>
        </w:rPr>
        <w:t>In addition to the awards described above, and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terms of the 2019 LTSIP, the Compensation Committee may grant other incentives payable in cash or Shares under the 2019 LTSIP as it determines to be in the best interests of the Company and subject to such other terms and conditions as it deems appropriate. The Compensation Committee may, in its sole discretion, provide that dividend equivalents will be paid on such other awards. No dividend equivalents will be paid on unvested awards, but to the extent that such awards contain the right to receive dividend equivalents during the performance period, such dividend equivalents will be accumulated and paid once and to the extent that the underlying award vests.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excess of cost of capital; earnings per Share; return on stockholders equity (absolute or peer-group comparative); stock price (absolute or peer-group comparative); absolute and/or relative return on common stockholders equity; absolute and/or relative return on capital; absolute and/or relative return on assets; economic value added (income in excess of cost of capital); customer satisfaction; quality metrics; expense reduction; and ratio of operating expenses to operating revenues. If the Compensation Committee determines that any events or circumstances render performance goals to be unsuitable, the Compensation Committee may modify such goals as it deems appropriate.</w:t>
      </w:r>
    </w:p>
    <w:p>
      <w:pPr>
        <w:spacing w:after="0" w:line="212" w:lineRule="exact"/>
        <w:rPr>
          <w:sz w:val="20"/>
          <w:szCs w:val="20"/>
          <w:color w:val="auto"/>
        </w:rPr>
      </w:pPr>
    </w:p>
    <w:p>
      <w:pPr>
        <w:sectPr>
          <w:pgSz w:w="11900" w:h="16838" w:orient="portrait"/>
          <w:cols w:equalWidth="0" w:num="2">
            <w:col w:w="5500" w:space="320"/>
            <w:col w:w="5320"/>
          </w:cols>
          <w:pgMar w:left="240" w:top="455" w:right="519" w:bottom="1440" w:gutter="0" w:footer="0" w:header="0"/>
          <w:type w:val="continuous"/>
        </w:sectPr>
      </w:pPr>
    </w:p>
    <w:p>
      <w:pPr>
        <w:spacing w:after="0" w:line="14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91" w:lineRule="exact"/>
        <w:rPr>
          <w:sz w:val="20"/>
          <w:szCs w:val="20"/>
          <w:color w:val="auto"/>
        </w:rPr>
      </w:pPr>
    </w:p>
    <w:p>
      <w:pPr>
        <w:ind w:left="280"/>
        <w:spacing w:after="0" w:line="248" w:lineRule="auto"/>
        <w:rPr>
          <w:sz w:val="20"/>
          <w:szCs w:val="20"/>
          <w:color w:val="auto"/>
        </w:rPr>
      </w:pPr>
      <w:r>
        <w:rPr>
          <w:rFonts w:ascii="Arial" w:cs="Arial" w:eastAsia="Arial" w:hAnsi="Arial"/>
          <w:sz w:val="16"/>
          <w:szCs w:val="16"/>
          <w:color w:val="auto"/>
        </w:rPr>
        <w:t>The 2019 LTSIP provides for accelerated vesting or payout of awards immediately upon a change in control (as defined in the 2019 LTSIP) only if the successor company does not</w:t>
      </w:r>
    </w:p>
    <w:p>
      <w:pPr>
        <w:spacing w:after="0" w:line="244" w:lineRule="exact"/>
        <w:rPr>
          <w:sz w:val="20"/>
          <w:szCs w:val="20"/>
          <w:color w:val="auto"/>
        </w:rPr>
      </w:pPr>
    </w:p>
    <w:p>
      <w:pPr>
        <w:ind w:left="740" w:hanging="359"/>
        <w:spacing w:after="0"/>
        <w:tabs>
          <w:tab w:leader="none" w:pos="7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agree to assume or replace such existing awards with an equivalent award upon the change in control. Otherwise, awards will only receive accelerated vesting if a change in</w:t>
      </w:r>
    </w:p>
    <w:p>
      <w:pPr>
        <w:sectPr>
          <w:pgSz w:w="11900" w:h="16838" w:orient="portrait"/>
          <w:cols w:equalWidth="0" w:num="2">
            <w:col w:w="5460" w:space="360"/>
            <w:col w:w="5320"/>
          </w:cols>
          <w:pgMar w:left="240" w:top="455" w:right="51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VOTE TO APPROVE THE LEAR CORPORATION 2019 LONG-TERM STOCK INCENTIVE PLAN (PROPOSAL NO. 4)</w:t>
      </w:r>
    </w:p>
    <w:p>
      <w:pPr>
        <w:sectPr>
          <w:pgSz w:w="11900" w:h="16838" w:orient="portrait"/>
          <w:cols w:equalWidth="0" w:num="1">
            <w:col w:w="11140"/>
          </w:cols>
          <w:pgMar w:left="240" w:top="455" w:right="519" w:bottom="1440" w:gutter="0" w:footer="0" w:header="0"/>
        </w:sectPr>
      </w:pPr>
    </w:p>
    <w:p>
      <w:pPr>
        <w:spacing w:after="0" w:line="210" w:lineRule="exact"/>
        <w:rPr>
          <w:sz w:val="20"/>
          <w:szCs w:val="20"/>
          <w:color w:val="auto"/>
        </w:rPr>
      </w:pPr>
    </w:p>
    <w:p>
      <w:pPr>
        <w:ind w:left="280"/>
        <w:spacing w:after="0" w:line="254" w:lineRule="auto"/>
        <w:rPr>
          <w:sz w:val="20"/>
          <w:szCs w:val="20"/>
          <w:color w:val="auto"/>
        </w:rPr>
      </w:pPr>
      <w:r>
        <w:rPr>
          <w:rFonts w:ascii="Arial" w:cs="Arial" w:eastAsia="Arial" w:hAnsi="Arial"/>
          <w:sz w:val="16"/>
          <w:szCs w:val="16"/>
          <w:color w:val="auto"/>
        </w:rPr>
        <w:t>control occurs and the participant is terminated by the Company without cause or resigns for good reason (each as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defined in the 2019 LTSIP) within 24 months of such change in control.</w:t>
      </w:r>
    </w:p>
    <w:p>
      <w:pPr>
        <w:spacing w:after="0" w:line="416" w:lineRule="exact"/>
        <w:rPr>
          <w:sz w:val="20"/>
          <w:szCs w:val="20"/>
          <w:color w:val="auto"/>
        </w:rPr>
      </w:pPr>
    </w:p>
    <w:p>
      <w:pPr>
        <w:sectPr>
          <w:pgSz w:w="11900" w:h="16838" w:orient="portrait"/>
          <w:cols w:equalWidth="0" w:num="2">
            <w:col w:w="5360" w:space="460"/>
            <w:col w:w="5320"/>
          </w:cols>
          <w:pgMar w:left="240" w:top="455" w:right="519" w:bottom="1440" w:gutter="0" w:footer="0" w:header="0"/>
          <w:type w:val="continuous"/>
        </w:sectPr>
      </w:pPr>
    </w:p>
    <w:p>
      <w:pPr>
        <w:spacing w:after="0" w:line="14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Amendment, Modification, and Termination</w:t>
      </w:r>
    </w:p>
    <w:p>
      <w:pPr>
        <w:spacing w:after="0" w:line="191"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The Compensation Committee or Board may amend, modify or terminate the 2019 LTSIP. However, the Compensation Committee or Board may not increase the number of Shares that may be issued under the 2019 LTSIP (subject to adjustment as described in the 2019 LTSIP). No termination, amendment, or modification of the 2019 LTSIP may affect adversely in any material way any award already granted under the 2019 LTSIP, without the written consent of the participant who holds the award. Except for certain capitalization adjustments or adjustments upon events described in the 2019 LTSIP, the Compensation Committee will not modify any outstanding option or SAR so as to specify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a lower exercise price or grant price (and will not cancel an option or SAR and substitute for it an option or SAR with a lower exercise price or grant price) without the approval of the Company’s stockholders. In addition, except for certain capitalization adjustments or adjustments upon certain events described in the 2019 LTSIP, the Compensation Committee may not cancel an outstanding option or SAR whose exercise price or grant price is equal to or greater than the current fair market value of a Share and substitute for it another award or cash payment without the prior approval of the Company’s stockholders.</w:t>
      </w:r>
    </w:p>
    <w:p>
      <w:pPr>
        <w:spacing w:after="0" w:line="387" w:lineRule="exact"/>
        <w:rPr>
          <w:sz w:val="20"/>
          <w:szCs w:val="20"/>
          <w:color w:val="auto"/>
        </w:rPr>
      </w:pPr>
    </w:p>
    <w:p>
      <w:pPr>
        <w:sectPr>
          <w:pgSz w:w="11900" w:h="16838" w:orient="portrait"/>
          <w:cols w:equalWidth="0" w:num="2">
            <w:col w:w="5460" w:space="360"/>
            <w:col w:w="5320"/>
          </w:cols>
          <w:pgMar w:left="240" w:top="455" w:right="519" w:bottom="1440" w:gutter="0" w:footer="0" w:header="0"/>
          <w:type w:val="continuous"/>
        </w:sectPr>
      </w:pPr>
    </w:p>
    <w:p>
      <w:pPr>
        <w:spacing w:after="0" w:line="15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Incentive Compensation Recoupment Policy</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All awards granted under the 2019 LTSIP are subject to the Company’s incentive compensation recoupment policy, as in effect from time to time.</w:t>
      </w:r>
    </w:p>
    <w:p>
      <w:pPr>
        <w:sectPr>
          <w:pgSz w:w="11900" w:h="16838" w:orient="portrait"/>
          <w:cols w:equalWidth="0" w:num="1">
            <w:col w:w="11140"/>
          </w:cols>
          <w:pgMar w:left="240" w:top="455" w:right="519" w:bottom="1440" w:gutter="0" w:footer="0" w:header="0"/>
          <w:type w:val="continuous"/>
        </w:sectPr>
      </w:pPr>
    </w:p>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Effective Date and Plan Term</w:t>
      </w:r>
    </w:p>
    <w:p>
      <w:pPr>
        <w:spacing w:after="0" w:line="191" w:lineRule="exact"/>
        <w:rPr>
          <w:sz w:val="20"/>
          <w:szCs w:val="20"/>
          <w:color w:val="auto"/>
        </w:rPr>
      </w:pPr>
    </w:p>
    <w:p>
      <w:pPr>
        <w:ind w:left="280"/>
        <w:spacing w:after="0" w:line="248" w:lineRule="auto"/>
        <w:rPr>
          <w:sz w:val="20"/>
          <w:szCs w:val="20"/>
          <w:color w:val="auto"/>
        </w:rPr>
      </w:pPr>
      <w:r>
        <w:rPr>
          <w:rFonts w:ascii="Arial" w:cs="Arial" w:eastAsia="Arial" w:hAnsi="Arial"/>
          <w:sz w:val="16"/>
          <w:szCs w:val="16"/>
          <w:color w:val="auto"/>
        </w:rPr>
        <w:t>The Compensation Committee approved the 2019 LTSIP on March 26, 2019, and the 2019 LTSIP will become effective on May 16, 2019, provided that stockholder approval is obtained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at the Annual Meeting. The 2019 LTSIP will terminate as to future awards on May 16, 2029.</w:t>
      </w:r>
    </w:p>
    <w:p>
      <w:pPr>
        <w:spacing w:after="0" w:line="380" w:lineRule="exact"/>
        <w:rPr>
          <w:sz w:val="20"/>
          <w:szCs w:val="20"/>
          <w:color w:val="auto"/>
        </w:rPr>
      </w:pPr>
    </w:p>
    <w:p>
      <w:pPr>
        <w:sectPr>
          <w:pgSz w:w="11900" w:h="16838" w:orient="portrait"/>
          <w:cols w:equalWidth="0" w:num="2">
            <w:col w:w="5280" w:space="540"/>
            <w:col w:w="5320"/>
          </w:cols>
          <w:pgMar w:left="240" w:top="455" w:right="519" w:bottom="1440" w:gutter="0" w:footer="0" w:header="0"/>
          <w:type w:val="continuous"/>
        </w:sectPr>
      </w:pPr>
    </w:p>
    <w:p>
      <w:pPr>
        <w:spacing w:after="0" w:line="13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U.S. Federal Income Tax Considerations</w:t>
      </w:r>
    </w:p>
    <w:p>
      <w:pPr>
        <w:spacing w:after="0" w:line="191"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The following is a brief description of the federal income tax treatment that generally apply to 2019 LTSIP awards. The description is based on current federal tax laws, rules and regulations, which are subject to change, and does not purport to be a complete description of the federal income tax aspects of the 2019 LTSIP. A participant may also be subject to state and local taxes.</w:t>
      </w:r>
    </w:p>
    <w:p>
      <w:pPr>
        <w:spacing w:after="0" w:line="82" w:lineRule="exact"/>
        <w:rPr>
          <w:sz w:val="20"/>
          <w:szCs w:val="20"/>
          <w:color w:val="auto"/>
        </w:rPr>
      </w:pPr>
    </w:p>
    <w:p>
      <w:pPr>
        <w:ind w:left="280" w:right="60"/>
        <w:spacing w:after="0" w:line="246" w:lineRule="auto"/>
        <w:rPr>
          <w:sz w:val="20"/>
          <w:szCs w:val="20"/>
          <w:color w:val="auto"/>
        </w:rPr>
      </w:pPr>
      <w:r>
        <w:rPr>
          <w:rFonts w:ascii="Arial" w:cs="Arial" w:eastAsia="Arial" w:hAnsi="Arial"/>
          <w:sz w:val="16"/>
          <w:szCs w:val="16"/>
          <w:i w:val="1"/>
          <w:iCs w:val="1"/>
          <w:color w:val="auto"/>
        </w:rPr>
        <w:t xml:space="preserve">Awards. </w:t>
      </w:r>
      <w:r>
        <w:rPr>
          <w:rFonts w:ascii="Arial" w:cs="Arial" w:eastAsia="Arial" w:hAnsi="Arial"/>
          <w:sz w:val="16"/>
          <w:szCs w:val="16"/>
          <w:color w:val="auto"/>
        </w:rPr>
        <w:t>In general, a participant will not recognize taxable income at</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a stock option is granted. Upon exercise of an NQSO, a participant will recognize compensation, taxable as ordinary income, equal to the excess of the value of the Shares purchased over the exercise price. In the case of an “incentive stock option,” within the meaning of Code Section 422, a participant will not recognize ordinary income at the time of exercise (except for purposes of the alternative minimum tax), and if the participant observes certain holding period requirements then when the Shares are sold the entire gain over the exercise price will be taxable at capital gains rates. A participant has no taxable income at the time SARs,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performance shares and performance units are granted, but will recognize compensation taxable as ordinary income upon exercise or settlement in an amount equal to the value of any Shares delivered and the amount of cash paid by the Company. A participant who is granted shares of restricted stock, RSUs and restricted units generally will not recognize taxable income at the time the of grant, but will recognize compensation taxable as ordinary income at the time the restrictions lapse in an amount equal to the excess of the value of the Shares at such time over the amount, if any, paid for such Shares. However, a participant instead may elect to recognize compensation taxable as ordinary income on the date the restricted stock is granted in an amount equal to the value of the Shares on that date over the amount, if any, paid for such Shares.</w:t>
      </w:r>
    </w:p>
    <w:p>
      <w:pPr>
        <w:spacing w:after="0" w:line="100" w:lineRule="exact"/>
        <w:rPr>
          <w:sz w:val="20"/>
          <w:szCs w:val="20"/>
          <w:color w:val="auto"/>
        </w:rPr>
      </w:pPr>
    </w:p>
    <w:p>
      <w:pPr>
        <w:ind w:right="200"/>
        <w:spacing w:after="0" w:line="247" w:lineRule="auto"/>
        <w:rPr>
          <w:sz w:val="20"/>
          <w:szCs w:val="20"/>
          <w:color w:val="auto"/>
        </w:rPr>
      </w:pPr>
      <w:r>
        <w:rPr>
          <w:rFonts w:ascii="Arial" w:cs="Arial" w:eastAsia="Arial" w:hAnsi="Arial"/>
          <w:sz w:val="16"/>
          <w:szCs w:val="16"/>
          <w:color w:val="auto"/>
        </w:rPr>
        <w:t>Subject to the deduction limitation, described below, contained in Code Section 162(m), the Company may deduct, as a compensation expense, the amount of ordinary income recognized by a participant in connection with the 2019 LTSIP</w:t>
      </w:r>
    </w:p>
    <w:p>
      <w:pPr>
        <w:spacing w:after="0" w:line="200" w:lineRule="exact"/>
        <w:rPr>
          <w:sz w:val="20"/>
          <w:szCs w:val="20"/>
          <w:color w:val="auto"/>
        </w:rPr>
      </w:pPr>
    </w:p>
    <w:p>
      <w:pPr>
        <w:spacing w:after="0" w:line="243" w:lineRule="exact"/>
        <w:rPr>
          <w:sz w:val="20"/>
          <w:szCs w:val="20"/>
          <w:color w:val="auto"/>
        </w:rPr>
      </w:pPr>
    </w:p>
    <w:p>
      <w:pPr>
        <w:ind w:left="3120"/>
        <w:spacing w:after="0"/>
        <w:tabs>
          <w:tab w:leader="none" w:pos="4800" w:val="left"/>
          <w:tab w:leader="none" w:pos="502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75</w:t>
      </w:r>
    </w:p>
    <w:p>
      <w:pPr>
        <w:sectPr>
          <w:pgSz w:w="11900" w:h="16838" w:orient="portrait"/>
          <w:cols w:equalWidth="0" w:num="2">
            <w:col w:w="5380" w:space="440"/>
            <w:col w:w="5320"/>
          </w:cols>
          <w:pgMar w:left="240" w:top="455" w:right="51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VOTE TO APPROVE THE LEAR CORPORATION 2019 LONG-TERM STOCK INCENTIVE PLAN (PROPOSAL NO. 4)</w:t>
      </w:r>
    </w:p>
    <w:p>
      <w:pPr>
        <w:sectPr>
          <w:pgSz w:w="11900" w:h="16838" w:orient="portrait"/>
          <w:cols w:equalWidth="0" w:num="1">
            <w:col w:w="11160"/>
          </w:cols>
          <w:pgMar w:left="240" w:top="455" w:right="499" w:bottom="1440" w:gutter="0" w:footer="0" w:header="0"/>
        </w:sectPr>
      </w:pPr>
    </w:p>
    <w:p>
      <w:pPr>
        <w:spacing w:after="0" w:line="21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at the time such ordinary income is recognized by that participant.</w:t>
      </w:r>
    </w:p>
    <w:p>
      <w:pPr>
        <w:spacing w:after="0" w:line="93" w:lineRule="exact"/>
        <w:rPr>
          <w:sz w:val="20"/>
          <w:szCs w:val="20"/>
          <w:color w:val="auto"/>
        </w:rPr>
      </w:pPr>
    </w:p>
    <w:p>
      <w:pPr>
        <w:ind w:left="280"/>
        <w:spacing w:after="0" w:line="255" w:lineRule="auto"/>
        <w:rPr>
          <w:sz w:val="20"/>
          <w:szCs w:val="20"/>
          <w:color w:val="auto"/>
        </w:rPr>
      </w:pPr>
      <w:r>
        <w:rPr>
          <w:rFonts w:ascii="Arial" w:cs="Arial" w:eastAsia="Arial" w:hAnsi="Arial"/>
          <w:sz w:val="16"/>
          <w:szCs w:val="16"/>
          <w:i w:val="1"/>
          <w:iCs w:val="1"/>
          <w:color w:val="auto"/>
        </w:rPr>
        <w:t xml:space="preserve">Code Section 162(m). </w:t>
      </w:r>
      <w:r>
        <w:rPr>
          <w:rFonts w:ascii="Arial" w:cs="Arial" w:eastAsia="Arial" w:hAnsi="Arial"/>
          <w:sz w:val="16"/>
          <w:szCs w:val="16"/>
          <w:color w:val="auto"/>
        </w:rPr>
        <w:t>In general, Code Section 162(m) denies a</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held corporation a deduction for U.S. federal income tax purposes for compensation in excess of $1,000,000 per year per covered employee.</w:t>
      </w:r>
    </w:p>
    <w:p>
      <w:pPr>
        <w:spacing w:after="0" w:line="266" w:lineRule="exact"/>
        <w:rPr>
          <w:sz w:val="20"/>
          <w:szCs w:val="20"/>
          <w:color w:val="auto"/>
        </w:rPr>
      </w:pPr>
    </w:p>
    <w:p>
      <w:pPr>
        <w:ind w:left="280"/>
        <w:spacing w:after="0" w:line="251" w:lineRule="auto"/>
        <w:rPr>
          <w:sz w:val="20"/>
          <w:szCs w:val="20"/>
          <w:color w:val="auto"/>
        </w:rPr>
      </w:pPr>
      <w:r>
        <w:rPr>
          <w:rFonts w:ascii="Arial" w:cs="Arial" w:eastAsia="Arial" w:hAnsi="Arial"/>
          <w:sz w:val="16"/>
          <w:szCs w:val="16"/>
          <w:i w:val="1"/>
          <w:iCs w:val="1"/>
          <w:color w:val="auto"/>
        </w:rPr>
        <w:t xml:space="preserve">Deferrals and Code Section 409A. </w:t>
      </w:r>
      <w:r>
        <w:rPr>
          <w:rFonts w:ascii="Arial" w:cs="Arial" w:eastAsia="Arial" w:hAnsi="Arial"/>
          <w:sz w:val="16"/>
          <w:szCs w:val="16"/>
          <w:color w:val="auto"/>
        </w:rPr>
        <w:t>The Compensation Committee may,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with the requirements of Code Section 409A, permit a participant to defer receipt of cash or Shares that would otherwise be due to him or her by virtue of an option or SAR exercise, the lapse or waiver of restrictions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color w:val="auto"/>
        </w:rPr>
        <w:t>on restricted stock, RSUs, restricted units or other awards, or the satisfaction of any requirements or objectives with respect to performance units, performance shares or other awards. If any such deferral election is permitted, the Compensation Committee will, in its sole discretion, establish rules and procedures for such deferrals consistent with the requirements of Code Section 409A.</w:t>
      </w:r>
    </w:p>
    <w:p>
      <w:pPr>
        <w:spacing w:after="0" w:line="1164" w:lineRule="exact"/>
        <w:rPr>
          <w:sz w:val="20"/>
          <w:szCs w:val="20"/>
          <w:color w:val="auto"/>
        </w:rPr>
      </w:pPr>
    </w:p>
    <w:p>
      <w:pPr>
        <w:sectPr>
          <w:pgSz w:w="11900" w:h="16838" w:orient="portrait"/>
          <w:cols w:equalWidth="0" w:num="2">
            <w:col w:w="5460" w:space="360"/>
            <w:col w:w="5340"/>
          </w:cols>
          <w:pgMar w:left="240" w:top="455" w:right="499" w:bottom="1440" w:gutter="0" w:footer="0" w:header="0"/>
          <w:type w:val="continuous"/>
        </w:sectPr>
      </w:pPr>
    </w:p>
    <w:p>
      <w:pPr>
        <w:spacing w:after="0" w:line="14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New Plan Benefits</w:t>
      </w:r>
    </w:p>
    <w:p>
      <w:pPr>
        <w:spacing w:after="0" w:line="124" w:lineRule="exact"/>
        <w:rPr>
          <w:sz w:val="20"/>
          <w:szCs w:val="20"/>
          <w:color w:val="auto"/>
        </w:rPr>
      </w:pPr>
    </w:p>
    <w:p>
      <w:pPr>
        <w:ind w:left="280" w:right="200"/>
        <w:spacing w:after="0" w:line="246" w:lineRule="auto"/>
        <w:rPr>
          <w:sz w:val="20"/>
          <w:szCs w:val="20"/>
          <w:color w:val="auto"/>
        </w:rPr>
      </w:pPr>
      <w:r>
        <w:rPr>
          <w:rFonts w:ascii="Arial" w:cs="Arial" w:eastAsia="Arial" w:hAnsi="Arial"/>
          <w:sz w:val="16"/>
          <w:szCs w:val="16"/>
          <w:color w:val="auto"/>
        </w:rPr>
        <w:t>Future awards under the 2019 LTSIP will be made at the discretion of the Compensation Committee. Therefore, other than with respect to annual stock grants to our non-employee directors, it is not currently possible to determine the benefits or amounts that may be received by such persons or groups pursuant to the 2019 LTSIP in the future. Grants under the Prior LTSIP in 2018 to our named executive officers are shown in the 2018 Grants of Plan-Based Awards table above. Stock grants to be issued under the 2019 LTSIP to our non-employee directors following the Annual Meeting in accordance with our outside directors’ compensation program are shown in the table below.</w:t>
      </w:r>
    </w:p>
    <w:p>
      <w:pPr>
        <w:spacing w:after="0" w:line="111" w:lineRule="exact"/>
        <w:rPr>
          <w:sz w:val="20"/>
          <w:szCs w:val="20"/>
          <w:color w:val="auto"/>
        </w:rPr>
      </w:pPr>
    </w:p>
    <w:tbl>
      <w:tblPr>
        <w:tblLayout w:type="fixed"/>
        <w:tblInd w:w="280" w:type="dxa"/>
        <w:tblCellMar>
          <w:top w:w="0" w:type="dxa"/>
          <w:left w:w="0" w:type="dxa"/>
          <w:bottom w:w="0" w:type="dxa"/>
          <w:right w:w="0" w:type="dxa"/>
        </w:tblCellMar>
      </w:tblPr>
      <w:tr>
        <w:trPr>
          <w:trHeight w:val="276"/>
        </w:trPr>
        <w:tc>
          <w:tcPr>
            <w:tcW w:w="8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Name and Position</w:t>
            </w:r>
          </w:p>
        </w:tc>
        <w:tc>
          <w:tcPr>
            <w:tcW w:w="28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E2231A"/>
              </w:rPr>
              <w:t>Dollar Value</w:t>
            </w:r>
            <w:r>
              <w:rPr>
                <w:rFonts w:ascii="Arial" w:cs="Arial" w:eastAsia="Arial" w:hAnsi="Arial"/>
                <w:sz w:val="24"/>
                <w:szCs w:val="24"/>
                <w:b w:val="1"/>
                <w:bCs w:val="1"/>
                <w:color w:val="E2231A"/>
                <w:vertAlign w:val="superscript"/>
              </w:rPr>
              <w:t>(1)</w:t>
            </w:r>
          </w:p>
        </w:tc>
      </w:tr>
      <w:tr>
        <w:trPr>
          <w:trHeight w:val="166"/>
        </w:trPr>
        <w:tc>
          <w:tcPr>
            <w:tcW w:w="8040" w:type="dxa"/>
            <w:vAlign w:val="bottom"/>
            <w:shd w:val="clear" w:color="auto" w:fill="FCE9E8"/>
          </w:tcPr>
          <w:p>
            <w:pPr>
              <w:spacing w:after="0" w:line="166" w:lineRule="exact"/>
              <w:rPr>
                <w:sz w:val="20"/>
                <w:szCs w:val="20"/>
                <w:color w:val="auto"/>
              </w:rPr>
            </w:pPr>
            <w:r>
              <w:rPr>
                <w:rFonts w:ascii="Arial" w:cs="Arial" w:eastAsia="Arial" w:hAnsi="Arial"/>
                <w:sz w:val="16"/>
                <w:szCs w:val="16"/>
                <w:color w:val="auto"/>
              </w:rPr>
              <w:t>Raymond E. Scott</w:t>
            </w:r>
          </w:p>
        </w:tc>
        <w:tc>
          <w:tcPr>
            <w:tcW w:w="2840" w:type="dxa"/>
            <w:vAlign w:val="bottom"/>
            <w:shd w:val="clear" w:color="auto" w:fill="FCE9E8"/>
          </w:tcPr>
          <w:p>
            <w:pPr>
              <w:spacing w:after="0"/>
              <w:rPr>
                <w:sz w:val="14"/>
                <w:szCs w:val="14"/>
                <w:color w:val="auto"/>
              </w:rPr>
            </w:pPr>
          </w:p>
        </w:tc>
      </w:tr>
      <w:tr>
        <w:trPr>
          <w:trHeight w:val="201"/>
        </w:trPr>
        <w:tc>
          <w:tcPr>
            <w:tcW w:w="8040" w:type="dxa"/>
            <w:vAlign w:val="bottom"/>
            <w:shd w:val="clear" w:color="auto" w:fill="FCE9E8"/>
          </w:tcPr>
          <w:p>
            <w:pPr>
              <w:ind w:left="160"/>
              <w:spacing w:after="0"/>
              <w:rPr>
                <w:sz w:val="20"/>
                <w:szCs w:val="20"/>
                <w:color w:val="auto"/>
              </w:rPr>
            </w:pPr>
            <w:r>
              <w:rPr>
                <w:rFonts w:ascii="Arial" w:cs="Arial" w:eastAsia="Arial" w:hAnsi="Arial"/>
                <w:sz w:val="16"/>
                <w:szCs w:val="16"/>
                <w:i w:val="1"/>
                <w:iCs w:val="1"/>
                <w:color w:val="auto"/>
              </w:rPr>
              <w:t>President, Chief Executive Officer and Interim President, E-Systems</w:t>
            </w:r>
          </w:p>
        </w:tc>
        <w:tc>
          <w:tcPr>
            <w:tcW w:w="2840" w:type="dxa"/>
            <w:vAlign w:val="bottom"/>
            <w:shd w:val="clear" w:color="auto" w:fill="FCE9E8"/>
          </w:tcPr>
          <w:p>
            <w:pPr>
              <w:jc w:val="right"/>
              <w:ind w:right="461"/>
              <w:spacing w:after="0"/>
              <w:rPr>
                <w:sz w:val="20"/>
                <w:szCs w:val="20"/>
                <w:color w:val="auto"/>
              </w:rPr>
            </w:pPr>
            <w:r>
              <w:rPr>
                <w:rFonts w:ascii="Arial" w:cs="Arial" w:eastAsia="Arial" w:hAnsi="Arial"/>
                <w:sz w:val="16"/>
                <w:szCs w:val="16"/>
                <w:color w:val="auto"/>
              </w:rPr>
              <w:t>N/A</w:t>
            </w:r>
          </w:p>
        </w:tc>
      </w:tr>
      <w:tr>
        <w:trPr>
          <w:trHeight w:val="172"/>
        </w:trPr>
        <w:tc>
          <w:tcPr>
            <w:tcW w:w="8040" w:type="dxa"/>
            <w:vAlign w:val="bottom"/>
          </w:tcPr>
          <w:p>
            <w:pPr>
              <w:spacing w:after="0" w:line="172" w:lineRule="exact"/>
              <w:rPr>
                <w:sz w:val="20"/>
                <w:szCs w:val="20"/>
                <w:color w:val="auto"/>
              </w:rPr>
            </w:pPr>
            <w:r>
              <w:rPr>
                <w:rFonts w:ascii="Arial" w:cs="Arial" w:eastAsia="Arial" w:hAnsi="Arial"/>
                <w:sz w:val="16"/>
                <w:szCs w:val="16"/>
                <w:color w:val="auto"/>
              </w:rPr>
              <w:t>Jeffrey H. Vanneste</w:t>
            </w:r>
          </w:p>
        </w:tc>
        <w:tc>
          <w:tcPr>
            <w:tcW w:w="2840" w:type="dxa"/>
            <w:vAlign w:val="bottom"/>
          </w:tcPr>
          <w:p>
            <w:pPr>
              <w:spacing w:after="0"/>
              <w:rPr>
                <w:sz w:val="14"/>
                <w:szCs w:val="14"/>
                <w:color w:val="auto"/>
              </w:rPr>
            </w:pPr>
          </w:p>
        </w:tc>
      </w:tr>
      <w:tr>
        <w:trPr>
          <w:trHeight w:val="201"/>
        </w:trPr>
        <w:tc>
          <w:tcPr>
            <w:tcW w:w="8040" w:type="dxa"/>
            <w:vAlign w:val="bottom"/>
          </w:tcPr>
          <w:p>
            <w:pPr>
              <w:ind w:left="160"/>
              <w:spacing w:after="0"/>
              <w:rPr>
                <w:sz w:val="20"/>
                <w:szCs w:val="20"/>
                <w:color w:val="auto"/>
              </w:rPr>
            </w:pPr>
            <w:r>
              <w:rPr>
                <w:rFonts w:ascii="Arial" w:cs="Arial" w:eastAsia="Arial" w:hAnsi="Arial"/>
                <w:sz w:val="16"/>
                <w:szCs w:val="16"/>
                <w:i w:val="1"/>
                <w:iCs w:val="1"/>
                <w:color w:val="auto"/>
              </w:rPr>
              <w:t>Senior Vice President and Chief Financial Officer</w:t>
            </w:r>
          </w:p>
        </w:tc>
        <w:tc>
          <w:tcPr>
            <w:tcW w:w="2840" w:type="dxa"/>
            <w:vAlign w:val="bottom"/>
          </w:tcPr>
          <w:p>
            <w:pPr>
              <w:jc w:val="right"/>
              <w:ind w:right="461"/>
              <w:spacing w:after="0"/>
              <w:rPr>
                <w:sz w:val="20"/>
                <w:szCs w:val="20"/>
                <w:color w:val="auto"/>
              </w:rPr>
            </w:pPr>
            <w:r>
              <w:rPr>
                <w:rFonts w:ascii="Arial" w:cs="Arial" w:eastAsia="Arial" w:hAnsi="Arial"/>
                <w:sz w:val="16"/>
                <w:szCs w:val="16"/>
                <w:color w:val="auto"/>
              </w:rPr>
              <w:t>N/A</w:t>
            </w:r>
          </w:p>
        </w:tc>
      </w:tr>
      <w:tr>
        <w:trPr>
          <w:trHeight w:val="172"/>
        </w:trPr>
        <w:tc>
          <w:tcPr>
            <w:tcW w:w="8040" w:type="dxa"/>
            <w:vAlign w:val="bottom"/>
            <w:shd w:val="clear" w:color="auto" w:fill="FCE9E8"/>
          </w:tcPr>
          <w:p>
            <w:pPr>
              <w:spacing w:after="0" w:line="172" w:lineRule="exact"/>
              <w:rPr>
                <w:sz w:val="20"/>
                <w:szCs w:val="20"/>
                <w:color w:val="auto"/>
              </w:rPr>
            </w:pPr>
            <w:r>
              <w:rPr>
                <w:rFonts w:ascii="Arial" w:cs="Arial" w:eastAsia="Arial" w:hAnsi="Arial"/>
                <w:sz w:val="16"/>
                <w:szCs w:val="16"/>
                <w:color w:val="auto"/>
              </w:rPr>
              <w:t>Terrence B. Larkin</w:t>
            </w:r>
          </w:p>
        </w:tc>
        <w:tc>
          <w:tcPr>
            <w:tcW w:w="2840" w:type="dxa"/>
            <w:vAlign w:val="bottom"/>
            <w:shd w:val="clear" w:color="auto" w:fill="FCE9E8"/>
          </w:tcPr>
          <w:p>
            <w:pPr>
              <w:spacing w:after="0"/>
              <w:rPr>
                <w:sz w:val="14"/>
                <w:szCs w:val="14"/>
                <w:color w:val="auto"/>
              </w:rPr>
            </w:pPr>
          </w:p>
        </w:tc>
      </w:tr>
      <w:tr>
        <w:trPr>
          <w:trHeight w:val="201"/>
        </w:trPr>
        <w:tc>
          <w:tcPr>
            <w:tcW w:w="8040" w:type="dxa"/>
            <w:vAlign w:val="bottom"/>
            <w:shd w:val="clear" w:color="auto" w:fill="FCE9E8"/>
          </w:tcPr>
          <w:p>
            <w:pPr>
              <w:ind w:left="160"/>
              <w:spacing w:after="0"/>
              <w:rPr>
                <w:sz w:val="20"/>
                <w:szCs w:val="20"/>
                <w:color w:val="auto"/>
              </w:rPr>
            </w:pPr>
            <w:r>
              <w:rPr>
                <w:rFonts w:ascii="Arial" w:cs="Arial" w:eastAsia="Arial" w:hAnsi="Arial"/>
                <w:sz w:val="16"/>
                <w:szCs w:val="16"/>
                <w:i w:val="1"/>
                <w:iCs w:val="1"/>
                <w:color w:val="auto"/>
              </w:rPr>
              <w:t>Executive Vice President, Business Development, General Counsel and Corporate Secretary</w:t>
            </w:r>
          </w:p>
        </w:tc>
        <w:tc>
          <w:tcPr>
            <w:tcW w:w="2840" w:type="dxa"/>
            <w:vAlign w:val="bottom"/>
            <w:shd w:val="clear" w:color="auto" w:fill="FCE9E8"/>
          </w:tcPr>
          <w:p>
            <w:pPr>
              <w:jc w:val="right"/>
              <w:ind w:right="461"/>
              <w:spacing w:after="0"/>
              <w:rPr>
                <w:sz w:val="20"/>
                <w:szCs w:val="20"/>
                <w:color w:val="auto"/>
              </w:rPr>
            </w:pPr>
            <w:r>
              <w:rPr>
                <w:rFonts w:ascii="Arial" w:cs="Arial" w:eastAsia="Arial" w:hAnsi="Arial"/>
                <w:sz w:val="16"/>
                <w:szCs w:val="16"/>
                <w:color w:val="auto"/>
              </w:rPr>
              <w:t>N/A</w:t>
            </w:r>
          </w:p>
        </w:tc>
      </w:tr>
      <w:tr>
        <w:trPr>
          <w:trHeight w:val="172"/>
        </w:trPr>
        <w:tc>
          <w:tcPr>
            <w:tcW w:w="8040" w:type="dxa"/>
            <w:vAlign w:val="bottom"/>
          </w:tcPr>
          <w:p>
            <w:pPr>
              <w:spacing w:after="0" w:line="172" w:lineRule="exact"/>
              <w:rPr>
                <w:sz w:val="20"/>
                <w:szCs w:val="20"/>
                <w:color w:val="auto"/>
              </w:rPr>
            </w:pPr>
            <w:r>
              <w:rPr>
                <w:rFonts w:ascii="Arial" w:cs="Arial" w:eastAsia="Arial" w:hAnsi="Arial"/>
                <w:sz w:val="16"/>
                <w:szCs w:val="16"/>
                <w:color w:val="auto"/>
              </w:rPr>
              <w:t>Frank C. Orsini</w:t>
            </w:r>
          </w:p>
        </w:tc>
        <w:tc>
          <w:tcPr>
            <w:tcW w:w="2840" w:type="dxa"/>
            <w:vAlign w:val="bottom"/>
          </w:tcPr>
          <w:p>
            <w:pPr>
              <w:spacing w:after="0"/>
              <w:rPr>
                <w:sz w:val="14"/>
                <w:szCs w:val="14"/>
                <w:color w:val="auto"/>
              </w:rPr>
            </w:pPr>
          </w:p>
        </w:tc>
      </w:tr>
      <w:tr>
        <w:trPr>
          <w:trHeight w:val="201"/>
        </w:trPr>
        <w:tc>
          <w:tcPr>
            <w:tcW w:w="8040" w:type="dxa"/>
            <w:vAlign w:val="bottom"/>
          </w:tcPr>
          <w:p>
            <w:pPr>
              <w:ind w:left="160"/>
              <w:spacing w:after="0"/>
              <w:rPr>
                <w:sz w:val="20"/>
                <w:szCs w:val="20"/>
                <w:color w:val="auto"/>
              </w:rPr>
            </w:pPr>
            <w:r>
              <w:rPr>
                <w:rFonts w:ascii="Arial" w:cs="Arial" w:eastAsia="Arial" w:hAnsi="Arial"/>
                <w:sz w:val="16"/>
                <w:szCs w:val="16"/>
                <w:i w:val="1"/>
                <w:iCs w:val="1"/>
                <w:color w:val="auto"/>
              </w:rPr>
              <w:t>Executive Vice President and President, Seating</w:t>
            </w:r>
          </w:p>
        </w:tc>
        <w:tc>
          <w:tcPr>
            <w:tcW w:w="2840" w:type="dxa"/>
            <w:vAlign w:val="bottom"/>
          </w:tcPr>
          <w:p>
            <w:pPr>
              <w:jc w:val="right"/>
              <w:ind w:right="461"/>
              <w:spacing w:after="0"/>
              <w:rPr>
                <w:sz w:val="20"/>
                <w:szCs w:val="20"/>
                <w:color w:val="auto"/>
              </w:rPr>
            </w:pPr>
            <w:r>
              <w:rPr>
                <w:rFonts w:ascii="Arial" w:cs="Arial" w:eastAsia="Arial" w:hAnsi="Arial"/>
                <w:sz w:val="16"/>
                <w:szCs w:val="16"/>
                <w:color w:val="auto"/>
              </w:rPr>
              <w:t>N/A</w:t>
            </w:r>
          </w:p>
        </w:tc>
      </w:tr>
      <w:tr>
        <w:trPr>
          <w:trHeight w:val="172"/>
        </w:trPr>
        <w:tc>
          <w:tcPr>
            <w:tcW w:w="8040" w:type="dxa"/>
            <w:vAlign w:val="bottom"/>
            <w:shd w:val="clear" w:color="auto" w:fill="FCE9E8"/>
          </w:tcPr>
          <w:p>
            <w:pPr>
              <w:spacing w:after="0" w:line="172" w:lineRule="exact"/>
              <w:rPr>
                <w:sz w:val="20"/>
                <w:szCs w:val="20"/>
                <w:color w:val="auto"/>
              </w:rPr>
            </w:pPr>
            <w:r>
              <w:rPr>
                <w:rFonts w:ascii="Arial" w:cs="Arial" w:eastAsia="Arial" w:hAnsi="Arial"/>
                <w:sz w:val="16"/>
                <w:szCs w:val="16"/>
                <w:color w:val="auto"/>
              </w:rPr>
              <w:t>Thomas A. DiDonato</w:t>
            </w:r>
          </w:p>
        </w:tc>
        <w:tc>
          <w:tcPr>
            <w:tcW w:w="2840" w:type="dxa"/>
            <w:vAlign w:val="bottom"/>
            <w:shd w:val="clear" w:color="auto" w:fill="FCE9E8"/>
          </w:tcPr>
          <w:p>
            <w:pPr>
              <w:spacing w:after="0"/>
              <w:rPr>
                <w:sz w:val="14"/>
                <w:szCs w:val="14"/>
                <w:color w:val="auto"/>
              </w:rPr>
            </w:pPr>
          </w:p>
        </w:tc>
      </w:tr>
      <w:tr>
        <w:trPr>
          <w:trHeight w:val="201"/>
        </w:trPr>
        <w:tc>
          <w:tcPr>
            <w:tcW w:w="8040" w:type="dxa"/>
            <w:vAlign w:val="bottom"/>
            <w:shd w:val="clear" w:color="auto" w:fill="FCE9E8"/>
          </w:tcPr>
          <w:p>
            <w:pPr>
              <w:ind w:left="160"/>
              <w:spacing w:after="0"/>
              <w:rPr>
                <w:sz w:val="20"/>
                <w:szCs w:val="20"/>
                <w:color w:val="auto"/>
              </w:rPr>
            </w:pPr>
            <w:r>
              <w:rPr>
                <w:rFonts w:ascii="Arial" w:cs="Arial" w:eastAsia="Arial" w:hAnsi="Arial"/>
                <w:sz w:val="16"/>
                <w:szCs w:val="16"/>
                <w:i w:val="1"/>
                <w:iCs w:val="1"/>
                <w:color w:val="auto"/>
              </w:rPr>
              <w:t>Senior Vice President and Chief Administrative Officer</w:t>
            </w:r>
          </w:p>
        </w:tc>
        <w:tc>
          <w:tcPr>
            <w:tcW w:w="2840" w:type="dxa"/>
            <w:vAlign w:val="bottom"/>
            <w:shd w:val="clear" w:color="auto" w:fill="FCE9E8"/>
          </w:tcPr>
          <w:p>
            <w:pPr>
              <w:jc w:val="right"/>
              <w:ind w:right="461"/>
              <w:spacing w:after="0"/>
              <w:rPr>
                <w:sz w:val="20"/>
                <w:szCs w:val="20"/>
                <w:color w:val="auto"/>
              </w:rPr>
            </w:pPr>
            <w:r>
              <w:rPr>
                <w:rFonts w:ascii="Arial" w:cs="Arial" w:eastAsia="Arial" w:hAnsi="Arial"/>
                <w:sz w:val="16"/>
                <w:szCs w:val="16"/>
                <w:color w:val="auto"/>
              </w:rPr>
              <w:t>N/A</w:t>
            </w:r>
          </w:p>
        </w:tc>
      </w:tr>
      <w:tr>
        <w:trPr>
          <w:trHeight w:val="172"/>
        </w:trPr>
        <w:tc>
          <w:tcPr>
            <w:tcW w:w="8040" w:type="dxa"/>
            <w:vAlign w:val="bottom"/>
          </w:tcPr>
          <w:p>
            <w:pPr>
              <w:spacing w:after="0" w:line="172" w:lineRule="exact"/>
              <w:rPr>
                <w:sz w:val="20"/>
                <w:szCs w:val="20"/>
                <w:color w:val="auto"/>
              </w:rPr>
            </w:pPr>
            <w:r>
              <w:rPr>
                <w:rFonts w:ascii="Arial" w:cs="Arial" w:eastAsia="Arial" w:hAnsi="Arial"/>
                <w:sz w:val="16"/>
                <w:szCs w:val="16"/>
                <w:color w:val="auto"/>
              </w:rPr>
              <w:t>Matthew J. Simoncini</w:t>
            </w:r>
          </w:p>
        </w:tc>
        <w:tc>
          <w:tcPr>
            <w:tcW w:w="2840" w:type="dxa"/>
            <w:vAlign w:val="bottom"/>
          </w:tcPr>
          <w:p>
            <w:pPr>
              <w:spacing w:after="0"/>
              <w:rPr>
                <w:sz w:val="14"/>
                <w:szCs w:val="14"/>
                <w:color w:val="auto"/>
              </w:rPr>
            </w:pPr>
          </w:p>
        </w:tc>
      </w:tr>
      <w:tr>
        <w:trPr>
          <w:trHeight w:val="201"/>
        </w:trPr>
        <w:tc>
          <w:tcPr>
            <w:tcW w:w="8040" w:type="dxa"/>
            <w:vAlign w:val="bottom"/>
          </w:tcPr>
          <w:p>
            <w:pPr>
              <w:ind w:left="160"/>
              <w:spacing w:after="0"/>
              <w:rPr>
                <w:sz w:val="20"/>
                <w:szCs w:val="20"/>
                <w:color w:val="auto"/>
              </w:rPr>
            </w:pPr>
            <w:r>
              <w:rPr>
                <w:rFonts w:ascii="Arial" w:cs="Arial" w:eastAsia="Arial" w:hAnsi="Arial"/>
                <w:sz w:val="16"/>
                <w:szCs w:val="16"/>
                <w:i w:val="1"/>
                <w:iCs w:val="1"/>
                <w:color w:val="auto"/>
              </w:rPr>
              <w:t>Former President and Chief Executive Officer</w:t>
            </w:r>
          </w:p>
        </w:tc>
        <w:tc>
          <w:tcPr>
            <w:tcW w:w="2840" w:type="dxa"/>
            <w:vAlign w:val="bottom"/>
          </w:tcPr>
          <w:p>
            <w:pPr>
              <w:jc w:val="right"/>
              <w:ind w:right="461"/>
              <w:spacing w:after="0"/>
              <w:rPr>
                <w:sz w:val="20"/>
                <w:szCs w:val="20"/>
                <w:color w:val="auto"/>
              </w:rPr>
            </w:pPr>
            <w:r>
              <w:rPr>
                <w:rFonts w:ascii="Arial" w:cs="Arial" w:eastAsia="Arial" w:hAnsi="Arial"/>
                <w:sz w:val="16"/>
                <w:szCs w:val="16"/>
                <w:color w:val="auto"/>
              </w:rPr>
              <w:t>N/A</w:t>
            </w:r>
          </w:p>
        </w:tc>
      </w:tr>
      <w:tr>
        <w:trPr>
          <w:trHeight w:val="186"/>
        </w:trPr>
        <w:tc>
          <w:tcPr>
            <w:tcW w:w="8040" w:type="dxa"/>
            <w:vAlign w:val="bottom"/>
            <w:shd w:val="clear" w:color="auto" w:fill="FCE9E8"/>
          </w:tcPr>
          <w:p>
            <w:pPr>
              <w:spacing w:after="0"/>
              <w:rPr>
                <w:sz w:val="20"/>
                <w:szCs w:val="20"/>
                <w:color w:val="auto"/>
              </w:rPr>
            </w:pPr>
            <w:r>
              <w:rPr>
                <w:rFonts w:ascii="Arial" w:cs="Arial" w:eastAsia="Arial" w:hAnsi="Arial"/>
                <w:sz w:val="16"/>
                <w:szCs w:val="16"/>
                <w:color w:val="auto"/>
              </w:rPr>
              <w:t>Executive Officers as a Group</w:t>
            </w:r>
          </w:p>
        </w:tc>
        <w:tc>
          <w:tcPr>
            <w:tcW w:w="2840" w:type="dxa"/>
            <w:vAlign w:val="bottom"/>
            <w:shd w:val="clear" w:color="auto" w:fill="FCE9E8"/>
          </w:tcPr>
          <w:p>
            <w:pPr>
              <w:jc w:val="right"/>
              <w:ind w:right="461"/>
              <w:spacing w:after="0"/>
              <w:rPr>
                <w:sz w:val="20"/>
                <w:szCs w:val="20"/>
                <w:color w:val="auto"/>
              </w:rPr>
            </w:pPr>
            <w:r>
              <w:rPr>
                <w:rFonts w:ascii="Arial" w:cs="Arial" w:eastAsia="Arial" w:hAnsi="Arial"/>
                <w:sz w:val="16"/>
                <w:szCs w:val="16"/>
                <w:color w:val="auto"/>
              </w:rPr>
              <w:t>N/A</w:t>
            </w:r>
          </w:p>
        </w:tc>
      </w:tr>
      <w:tr>
        <w:trPr>
          <w:trHeight w:val="186"/>
        </w:trPr>
        <w:tc>
          <w:tcPr>
            <w:tcW w:w="8040" w:type="dxa"/>
            <w:vAlign w:val="bottom"/>
          </w:tcPr>
          <w:p>
            <w:pPr>
              <w:spacing w:after="0"/>
              <w:rPr>
                <w:sz w:val="20"/>
                <w:szCs w:val="20"/>
                <w:color w:val="auto"/>
              </w:rPr>
            </w:pPr>
            <w:r>
              <w:rPr>
                <w:rFonts w:ascii="Arial" w:cs="Arial" w:eastAsia="Arial" w:hAnsi="Arial"/>
                <w:sz w:val="16"/>
                <w:szCs w:val="16"/>
                <w:color w:val="auto"/>
              </w:rPr>
              <w:t>Non-Executive Directors as a Group</w:t>
            </w:r>
          </w:p>
        </w:tc>
        <w:tc>
          <w:tcPr>
            <w:tcW w:w="2840" w:type="dxa"/>
            <w:vAlign w:val="bottom"/>
          </w:tcPr>
          <w:p>
            <w:pPr>
              <w:jc w:val="right"/>
              <w:ind w:right="461"/>
              <w:spacing w:after="0"/>
              <w:rPr>
                <w:sz w:val="20"/>
                <w:szCs w:val="20"/>
                <w:color w:val="auto"/>
              </w:rPr>
            </w:pPr>
            <w:r>
              <w:rPr>
                <w:rFonts w:ascii="Arial" w:cs="Arial" w:eastAsia="Arial" w:hAnsi="Arial"/>
                <w:sz w:val="16"/>
                <w:szCs w:val="16"/>
                <w:color w:val="auto"/>
              </w:rPr>
              <w:t>$  1,400,000</w:t>
            </w:r>
          </w:p>
        </w:tc>
      </w:tr>
      <w:tr>
        <w:trPr>
          <w:trHeight w:val="186"/>
        </w:trPr>
        <w:tc>
          <w:tcPr>
            <w:tcW w:w="8040" w:type="dxa"/>
            <w:vAlign w:val="bottom"/>
            <w:shd w:val="clear" w:color="auto" w:fill="FCE9E8"/>
          </w:tcPr>
          <w:p>
            <w:pPr>
              <w:spacing w:after="0"/>
              <w:rPr>
                <w:sz w:val="20"/>
                <w:szCs w:val="20"/>
                <w:color w:val="auto"/>
              </w:rPr>
            </w:pPr>
            <w:r>
              <w:rPr>
                <w:rFonts w:ascii="Arial" w:cs="Arial" w:eastAsia="Arial" w:hAnsi="Arial"/>
                <w:sz w:val="16"/>
                <w:szCs w:val="16"/>
                <w:color w:val="auto"/>
              </w:rPr>
              <w:t>Non-Executive Officer Employees as a Group</w:t>
            </w:r>
          </w:p>
        </w:tc>
        <w:tc>
          <w:tcPr>
            <w:tcW w:w="2840" w:type="dxa"/>
            <w:vAlign w:val="bottom"/>
            <w:shd w:val="clear" w:color="auto" w:fill="FCE9E8"/>
          </w:tcPr>
          <w:p>
            <w:pPr>
              <w:jc w:val="right"/>
              <w:ind w:right="461"/>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0</wp:posOffset>
            </wp:positionV>
            <wp:extent cx="69018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ind w:left="600" w:right="60" w:hanging="320"/>
        <w:spacing w:after="0" w:line="181" w:lineRule="auto"/>
        <w:tabs>
          <w:tab w:leader="none" w:pos="600" w:val="left"/>
        </w:tabs>
        <w:numPr>
          <w:ilvl w:val="0"/>
          <w:numId w:val="128"/>
        </w:numPr>
        <w:rPr>
          <w:rFonts w:ascii="Arial" w:cs="Arial" w:eastAsia="Arial" w:hAnsi="Arial"/>
          <w:sz w:val="24"/>
          <w:szCs w:val="24"/>
          <w:color w:val="auto"/>
          <w:vertAlign w:val="superscript"/>
        </w:rPr>
      </w:pPr>
      <w:r>
        <w:rPr>
          <w:rFonts w:ascii="Arial" w:cs="Arial" w:eastAsia="Arial" w:hAnsi="Arial"/>
          <w:sz w:val="14"/>
          <w:szCs w:val="14"/>
          <w:color w:val="auto"/>
        </w:rPr>
        <w:t>The amount disclosed is equal to the total dollar value of all annual stock grants to be issued to our non-employee directors following the Annual Meeting. Share figures will be determined by dividing the dollar value by the average of the high and low stock prices on the date of the Annual Meeting.</w:t>
      </w:r>
    </w:p>
    <w:p>
      <w:pPr>
        <w:spacing w:after="0" w:line="109" w:lineRule="exact"/>
        <w:rPr>
          <w:sz w:val="20"/>
          <w:szCs w:val="20"/>
          <w:color w:val="auto"/>
        </w:rPr>
      </w:pPr>
    </w:p>
    <w:p>
      <w:pPr>
        <w:ind w:left="740" w:hanging="359"/>
        <w:spacing w:after="0"/>
        <w:tabs>
          <w:tab w:leader="none" w:pos="7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60"/>
          </w:cols>
          <w:pgMar w:left="240" w:top="455" w:right="49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3120"/>
        <w:spacing w:after="0"/>
        <w:rPr>
          <w:sz w:val="20"/>
          <w:szCs w:val="20"/>
          <w:color w:val="auto"/>
        </w:rPr>
      </w:pPr>
      <w:r>
        <w:rPr>
          <w:rFonts w:ascii="Arial" w:cs="Arial" w:eastAsia="Arial" w:hAnsi="Arial"/>
          <w:sz w:val="15"/>
          <w:szCs w:val="15"/>
          <w:b w:val="1"/>
          <w:bCs w:val="1"/>
          <w:u w:val="single" w:color="auto"/>
          <w:color w:val="E2231A"/>
        </w:rPr>
        <w:t>VOTE TO APPROVE THE LEAR CORPORATION 2019 LONG-TERM STOCK INCENTIVE PLAN (PROPOSAL NO. 4)</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21"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80" w:type="dxa"/>
            <w:vAlign w:val="bottom"/>
          </w:tcPr>
          <w:p>
            <w:pPr>
              <w:jc w:val="center"/>
              <w:ind w:right="47"/>
              <w:spacing w:after="0"/>
              <w:rPr>
                <w:sz w:val="20"/>
                <w:szCs w:val="20"/>
                <w:color w:val="auto"/>
              </w:rPr>
            </w:pPr>
            <w:r>
              <w:rPr>
                <w:rFonts w:ascii="Arial" w:cs="Arial" w:eastAsia="Arial" w:hAnsi="Arial"/>
                <w:sz w:val="14"/>
                <w:szCs w:val="14"/>
                <w:b w:val="1"/>
                <w:bCs w:val="1"/>
                <w:color w:val="E2231A"/>
              </w:rPr>
              <w:t>Number of securities</w:t>
            </w:r>
          </w:p>
        </w:tc>
        <w:tc>
          <w:tcPr>
            <w:tcW w:w="0" w:type="dxa"/>
            <w:vAlign w:val="bottom"/>
          </w:tcPr>
          <w:p>
            <w:pPr>
              <w:spacing w:after="0"/>
              <w:rPr>
                <w:sz w:val="1"/>
                <w:szCs w:val="1"/>
                <w:color w:val="auto"/>
              </w:rPr>
            </w:pPr>
          </w:p>
        </w:tc>
      </w:tr>
      <w:tr>
        <w:trPr>
          <w:trHeight w:val="160"/>
        </w:trPr>
        <w:tc>
          <w:tcPr>
            <w:tcW w:w="34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580" w:type="dxa"/>
            <w:vAlign w:val="bottom"/>
          </w:tcPr>
          <w:p>
            <w:pPr>
              <w:jc w:val="center"/>
              <w:ind w:right="47"/>
              <w:spacing w:after="0" w:line="160" w:lineRule="exact"/>
              <w:rPr>
                <w:sz w:val="20"/>
                <w:szCs w:val="20"/>
                <w:color w:val="auto"/>
              </w:rPr>
            </w:pPr>
            <w:r>
              <w:rPr>
                <w:rFonts w:ascii="Arial" w:cs="Arial" w:eastAsia="Arial" w:hAnsi="Arial"/>
                <w:sz w:val="14"/>
                <w:szCs w:val="14"/>
                <w:b w:val="1"/>
                <w:bCs w:val="1"/>
                <w:color w:val="E2231A"/>
              </w:rPr>
              <w:t>available for future</w:t>
            </w:r>
          </w:p>
        </w:tc>
        <w:tc>
          <w:tcPr>
            <w:tcW w:w="0" w:type="dxa"/>
            <w:vAlign w:val="bottom"/>
          </w:tcPr>
          <w:p>
            <w:pPr>
              <w:spacing w:after="0"/>
              <w:rPr>
                <w:sz w:val="1"/>
                <w:szCs w:val="1"/>
                <w:color w:val="auto"/>
              </w:rPr>
            </w:pPr>
          </w:p>
        </w:tc>
      </w:tr>
      <w:tr>
        <w:trPr>
          <w:trHeight w:val="160"/>
        </w:trPr>
        <w:tc>
          <w:tcPr>
            <w:tcW w:w="3420" w:type="dxa"/>
            <w:vAlign w:val="bottom"/>
          </w:tcPr>
          <w:p>
            <w:pPr>
              <w:spacing w:after="0"/>
              <w:rPr>
                <w:sz w:val="13"/>
                <w:szCs w:val="13"/>
                <w:color w:val="auto"/>
              </w:rPr>
            </w:pPr>
          </w:p>
        </w:tc>
        <w:tc>
          <w:tcPr>
            <w:tcW w:w="2360" w:type="dxa"/>
            <w:vAlign w:val="bottom"/>
          </w:tcPr>
          <w:p>
            <w:pPr>
              <w:jc w:val="center"/>
              <w:ind w:right="266"/>
              <w:spacing w:after="0" w:line="160" w:lineRule="exact"/>
              <w:rPr>
                <w:sz w:val="20"/>
                <w:szCs w:val="20"/>
                <w:color w:val="auto"/>
              </w:rPr>
            </w:pPr>
            <w:r>
              <w:rPr>
                <w:rFonts w:ascii="Arial" w:cs="Arial" w:eastAsia="Arial" w:hAnsi="Arial"/>
                <w:sz w:val="14"/>
                <w:szCs w:val="14"/>
                <w:b w:val="1"/>
                <w:bCs w:val="1"/>
                <w:color w:val="E2231A"/>
              </w:rPr>
              <w:t>Number of securities</w:t>
            </w:r>
          </w:p>
        </w:tc>
        <w:tc>
          <w:tcPr>
            <w:tcW w:w="5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580" w:type="dxa"/>
            <w:vAlign w:val="bottom"/>
          </w:tcPr>
          <w:p>
            <w:pPr>
              <w:jc w:val="center"/>
              <w:ind w:right="47"/>
              <w:spacing w:after="0" w:line="160" w:lineRule="exact"/>
              <w:rPr>
                <w:sz w:val="20"/>
                <w:szCs w:val="20"/>
                <w:color w:val="auto"/>
              </w:rPr>
            </w:pPr>
            <w:r>
              <w:rPr>
                <w:rFonts w:ascii="Arial" w:cs="Arial" w:eastAsia="Arial" w:hAnsi="Arial"/>
                <w:sz w:val="14"/>
                <w:szCs w:val="14"/>
                <w:b w:val="1"/>
                <w:bCs w:val="1"/>
                <w:color w:val="E2231A"/>
              </w:rPr>
              <w:t>issuance under equity</w:t>
            </w:r>
          </w:p>
        </w:tc>
        <w:tc>
          <w:tcPr>
            <w:tcW w:w="0" w:type="dxa"/>
            <w:vAlign w:val="bottom"/>
          </w:tcPr>
          <w:p>
            <w:pPr>
              <w:spacing w:after="0"/>
              <w:rPr>
                <w:sz w:val="1"/>
                <w:szCs w:val="1"/>
                <w:color w:val="auto"/>
              </w:rPr>
            </w:pPr>
          </w:p>
        </w:tc>
      </w:tr>
      <w:tr>
        <w:trPr>
          <w:trHeight w:val="160"/>
        </w:trPr>
        <w:tc>
          <w:tcPr>
            <w:tcW w:w="3420" w:type="dxa"/>
            <w:vAlign w:val="bottom"/>
          </w:tcPr>
          <w:p>
            <w:pPr>
              <w:spacing w:after="0"/>
              <w:rPr>
                <w:sz w:val="13"/>
                <w:szCs w:val="13"/>
                <w:color w:val="auto"/>
              </w:rPr>
            </w:pPr>
          </w:p>
        </w:tc>
        <w:tc>
          <w:tcPr>
            <w:tcW w:w="2360" w:type="dxa"/>
            <w:vAlign w:val="bottom"/>
          </w:tcPr>
          <w:p>
            <w:pPr>
              <w:jc w:val="center"/>
              <w:ind w:right="266"/>
              <w:spacing w:after="0" w:line="160" w:lineRule="exact"/>
              <w:rPr>
                <w:sz w:val="20"/>
                <w:szCs w:val="20"/>
                <w:color w:val="auto"/>
              </w:rPr>
            </w:pPr>
            <w:r>
              <w:rPr>
                <w:rFonts w:ascii="Arial" w:cs="Arial" w:eastAsia="Arial" w:hAnsi="Arial"/>
                <w:sz w:val="14"/>
                <w:szCs w:val="14"/>
                <w:b w:val="1"/>
                <w:bCs w:val="1"/>
                <w:color w:val="E2231A"/>
              </w:rPr>
              <w:t>to be issued upon</w:t>
            </w:r>
          </w:p>
        </w:tc>
        <w:tc>
          <w:tcPr>
            <w:tcW w:w="580" w:type="dxa"/>
            <w:vAlign w:val="bottom"/>
          </w:tcPr>
          <w:p>
            <w:pPr>
              <w:spacing w:after="0"/>
              <w:rPr>
                <w:sz w:val="13"/>
                <w:szCs w:val="13"/>
                <w:color w:val="auto"/>
              </w:rPr>
            </w:pPr>
          </w:p>
        </w:tc>
        <w:tc>
          <w:tcPr>
            <w:tcW w:w="1940" w:type="dxa"/>
            <w:vAlign w:val="bottom"/>
          </w:tcPr>
          <w:p>
            <w:pPr>
              <w:jc w:val="center"/>
              <w:ind w:right="645"/>
              <w:spacing w:after="0" w:line="160" w:lineRule="exact"/>
              <w:rPr>
                <w:sz w:val="20"/>
                <w:szCs w:val="20"/>
                <w:color w:val="auto"/>
              </w:rPr>
            </w:pPr>
            <w:r>
              <w:rPr>
                <w:rFonts w:ascii="Arial" w:cs="Arial" w:eastAsia="Arial" w:hAnsi="Arial"/>
                <w:sz w:val="14"/>
                <w:szCs w:val="14"/>
                <w:b w:val="1"/>
                <w:bCs w:val="1"/>
                <w:color w:val="E2231A"/>
              </w:rPr>
              <w:t>Weighted average</w:t>
            </w:r>
          </w:p>
        </w:tc>
        <w:tc>
          <w:tcPr>
            <w:tcW w:w="2580" w:type="dxa"/>
            <w:vAlign w:val="bottom"/>
          </w:tcPr>
          <w:p>
            <w:pPr>
              <w:jc w:val="center"/>
              <w:ind w:right="47"/>
              <w:spacing w:after="0" w:line="160" w:lineRule="exact"/>
              <w:rPr>
                <w:sz w:val="20"/>
                <w:szCs w:val="20"/>
                <w:color w:val="auto"/>
              </w:rPr>
            </w:pPr>
            <w:r>
              <w:rPr>
                <w:rFonts w:ascii="Arial" w:cs="Arial" w:eastAsia="Arial" w:hAnsi="Arial"/>
                <w:sz w:val="14"/>
                <w:szCs w:val="14"/>
                <w:b w:val="1"/>
                <w:bCs w:val="1"/>
                <w:color w:val="E2231A"/>
              </w:rPr>
              <w:t>compensation plans</w:t>
            </w:r>
          </w:p>
        </w:tc>
        <w:tc>
          <w:tcPr>
            <w:tcW w:w="0" w:type="dxa"/>
            <w:vAlign w:val="bottom"/>
          </w:tcPr>
          <w:p>
            <w:pPr>
              <w:spacing w:after="0"/>
              <w:rPr>
                <w:sz w:val="1"/>
                <w:szCs w:val="1"/>
                <w:color w:val="auto"/>
              </w:rPr>
            </w:pPr>
          </w:p>
        </w:tc>
      </w:tr>
      <w:tr>
        <w:trPr>
          <w:trHeight w:val="160"/>
        </w:trPr>
        <w:tc>
          <w:tcPr>
            <w:tcW w:w="3420" w:type="dxa"/>
            <w:vAlign w:val="bottom"/>
          </w:tcPr>
          <w:p>
            <w:pPr>
              <w:spacing w:after="0"/>
              <w:rPr>
                <w:sz w:val="13"/>
                <w:szCs w:val="13"/>
                <w:color w:val="auto"/>
              </w:rPr>
            </w:pPr>
          </w:p>
        </w:tc>
        <w:tc>
          <w:tcPr>
            <w:tcW w:w="2360" w:type="dxa"/>
            <w:vAlign w:val="bottom"/>
          </w:tcPr>
          <w:p>
            <w:pPr>
              <w:jc w:val="center"/>
              <w:ind w:right="266"/>
              <w:spacing w:after="0" w:line="160" w:lineRule="exact"/>
              <w:rPr>
                <w:sz w:val="20"/>
                <w:szCs w:val="20"/>
                <w:color w:val="auto"/>
              </w:rPr>
            </w:pPr>
            <w:r>
              <w:rPr>
                <w:rFonts w:ascii="Arial" w:cs="Arial" w:eastAsia="Arial" w:hAnsi="Arial"/>
                <w:sz w:val="14"/>
                <w:szCs w:val="14"/>
                <w:b w:val="1"/>
                <w:bCs w:val="1"/>
                <w:color w:val="E2231A"/>
              </w:rPr>
              <w:t>exercise of</w:t>
            </w:r>
          </w:p>
        </w:tc>
        <w:tc>
          <w:tcPr>
            <w:tcW w:w="580" w:type="dxa"/>
            <w:vAlign w:val="bottom"/>
          </w:tcPr>
          <w:p>
            <w:pPr>
              <w:spacing w:after="0"/>
              <w:rPr>
                <w:sz w:val="13"/>
                <w:szCs w:val="13"/>
                <w:color w:val="auto"/>
              </w:rPr>
            </w:pPr>
          </w:p>
        </w:tc>
        <w:tc>
          <w:tcPr>
            <w:tcW w:w="1940" w:type="dxa"/>
            <w:vAlign w:val="bottom"/>
          </w:tcPr>
          <w:p>
            <w:pPr>
              <w:jc w:val="center"/>
              <w:ind w:right="665"/>
              <w:spacing w:after="0" w:line="160" w:lineRule="exact"/>
              <w:rPr>
                <w:sz w:val="20"/>
                <w:szCs w:val="20"/>
                <w:color w:val="auto"/>
              </w:rPr>
            </w:pPr>
            <w:r>
              <w:rPr>
                <w:rFonts w:ascii="Arial" w:cs="Arial" w:eastAsia="Arial" w:hAnsi="Arial"/>
                <w:sz w:val="14"/>
                <w:szCs w:val="14"/>
                <w:b w:val="1"/>
                <w:bCs w:val="1"/>
                <w:color w:val="E2231A"/>
              </w:rPr>
              <w:t>exercise price of</w:t>
            </w:r>
          </w:p>
        </w:tc>
        <w:tc>
          <w:tcPr>
            <w:tcW w:w="2580" w:type="dxa"/>
            <w:vAlign w:val="bottom"/>
          </w:tcPr>
          <w:p>
            <w:pPr>
              <w:jc w:val="center"/>
              <w:ind w:right="47"/>
              <w:spacing w:after="0" w:line="160" w:lineRule="exact"/>
              <w:rPr>
                <w:sz w:val="20"/>
                <w:szCs w:val="20"/>
                <w:color w:val="auto"/>
              </w:rPr>
            </w:pPr>
            <w:r>
              <w:rPr>
                <w:rFonts w:ascii="Arial" w:cs="Arial" w:eastAsia="Arial" w:hAnsi="Arial"/>
                <w:sz w:val="14"/>
                <w:szCs w:val="14"/>
                <w:b w:val="1"/>
                <w:bCs w:val="1"/>
                <w:color w:val="E2231A"/>
              </w:rPr>
              <w:t>(excluding securities</w:t>
            </w:r>
          </w:p>
        </w:tc>
        <w:tc>
          <w:tcPr>
            <w:tcW w:w="0" w:type="dxa"/>
            <w:vAlign w:val="bottom"/>
          </w:tcPr>
          <w:p>
            <w:pPr>
              <w:spacing w:after="0"/>
              <w:rPr>
                <w:sz w:val="1"/>
                <w:szCs w:val="1"/>
                <w:color w:val="auto"/>
              </w:rPr>
            </w:pPr>
          </w:p>
        </w:tc>
      </w:tr>
      <w:tr>
        <w:trPr>
          <w:trHeight w:val="160"/>
        </w:trPr>
        <w:tc>
          <w:tcPr>
            <w:tcW w:w="3420" w:type="dxa"/>
            <w:vAlign w:val="bottom"/>
          </w:tcPr>
          <w:p>
            <w:pPr>
              <w:spacing w:after="0"/>
              <w:rPr>
                <w:sz w:val="13"/>
                <w:szCs w:val="13"/>
                <w:color w:val="auto"/>
              </w:rPr>
            </w:pPr>
          </w:p>
        </w:tc>
        <w:tc>
          <w:tcPr>
            <w:tcW w:w="2360" w:type="dxa"/>
            <w:vAlign w:val="bottom"/>
          </w:tcPr>
          <w:p>
            <w:pPr>
              <w:jc w:val="center"/>
              <w:ind w:right="266"/>
              <w:spacing w:after="0" w:line="160" w:lineRule="exact"/>
              <w:rPr>
                <w:sz w:val="20"/>
                <w:szCs w:val="20"/>
                <w:color w:val="auto"/>
              </w:rPr>
            </w:pPr>
            <w:r>
              <w:rPr>
                <w:rFonts w:ascii="Arial" w:cs="Arial" w:eastAsia="Arial" w:hAnsi="Arial"/>
                <w:sz w:val="14"/>
                <w:szCs w:val="14"/>
                <w:b w:val="1"/>
                <w:bCs w:val="1"/>
                <w:color w:val="E2231A"/>
              </w:rPr>
              <w:t>outstanding options,</w:t>
            </w:r>
          </w:p>
        </w:tc>
        <w:tc>
          <w:tcPr>
            <w:tcW w:w="2520" w:type="dxa"/>
            <w:vAlign w:val="bottom"/>
            <w:gridSpan w:val="2"/>
          </w:tcPr>
          <w:p>
            <w:pPr>
              <w:jc w:val="center"/>
              <w:ind w:right="85"/>
              <w:spacing w:after="0" w:line="160" w:lineRule="exact"/>
              <w:rPr>
                <w:sz w:val="20"/>
                <w:szCs w:val="20"/>
                <w:color w:val="auto"/>
              </w:rPr>
            </w:pPr>
            <w:r>
              <w:rPr>
                <w:rFonts w:ascii="Arial" w:cs="Arial" w:eastAsia="Arial" w:hAnsi="Arial"/>
                <w:sz w:val="14"/>
                <w:szCs w:val="14"/>
                <w:b w:val="1"/>
                <w:bCs w:val="1"/>
                <w:color w:val="E2231A"/>
              </w:rPr>
              <w:t>outstanding options,</w:t>
            </w:r>
          </w:p>
        </w:tc>
        <w:tc>
          <w:tcPr>
            <w:tcW w:w="2580" w:type="dxa"/>
            <w:vAlign w:val="bottom"/>
          </w:tcPr>
          <w:p>
            <w:pPr>
              <w:jc w:val="center"/>
              <w:ind w:right="47"/>
              <w:spacing w:after="0" w:line="160" w:lineRule="exact"/>
              <w:rPr>
                <w:sz w:val="20"/>
                <w:szCs w:val="20"/>
                <w:color w:val="auto"/>
              </w:rPr>
            </w:pPr>
            <w:r>
              <w:rPr>
                <w:rFonts w:ascii="Arial" w:cs="Arial" w:eastAsia="Arial" w:hAnsi="Arial"/>
                <w:sz w:val="14"/>
                <w:szCs w:val="14"/>
                <w:b w:val="1"/>
                <w:bCs w:val="1"/>
                <w:color w:val="E2231A"/>
                <w:w w:val="99"/>
              </w:rPr>
              <w:t>reflected in</w:t>
            </w:r>
          </w:p>
        </w:tc>
        <w:tc>
          <w:tcPr>
            <w:tcW w:w="0" w:type="dxa"/>
            <w:vAlign w:val="bottom"/>
          </w:tcPr>
          <w:p>
            <w:pPr>
              <w:spacing w:after="0"/>
              <w:rPr>
                <w:sz w:val="1"/>
                <w:szCs w:val="1"/>
                <w:color w:val="auto"/>
              </w:rPr>
            </w:pPr>
          </w:p>
        </w:tc>
      </w:tr>
      <w:tr>
        <w:trPr>
          <w:trHeight w:val="160"/>
        </w:trPr>
        <w:tc>
          <w:tcPr>
            <w:tcW w:w="3420" w:type="dxa"/>
            <w:vAlign w:val="bottom"/>
          </w:tcPr>
          <w:p>
            <w:pPr>
              <w:spacing w:after="0"/>
              <w:rPr>
                <w:sz w:val="13"/>
                <w:szCs w:val="13"/>
                <w:color w:val="auto"/>
              </w:rPr>
            </w:pPr>
          </w:p>
        </w:tc>
        <w:tc>
          <w:tcPr>
            <w:tcW w:w="2360" w:type="dxa"/>
            <w:vAlign w:val="bottom"/>
          </w:tcPr>
          <w:p>
            <w:pPr>
              <w:jc w:val="center"/>
              <w:ind w:right="286"/>
              <w:spacing w:after="0" w:line="160" w:lineRule="exact"/>
              <w:rPr>
                <w:sz w:val="20"/>
                <w:szCs w:val="20"/>
                <w:color w:val="auto"/>
              </w:rPr>
            </w:pPr>
            <w:r>
              <w:rPr>
                <w:rFonts w:ascii="Arial" w:cs="Arial" w:eastAsia="Arial" w:hAnsi="Arial"/>
                <w:sz w:val="14"/>
                <w:szCs w:val="14"/>
                <w:b w:val="1"/>
                <w:bCs w:val="1"/>
                <w:color w:val="E2231A"/>
              </w:rPr>
              <w:t>warrants and rights</w:t>
            </w:r>
          </w:p>
        </w:tc>
        <w:tc>
          <w:tcPr>
            <w:tcW w:w="2520" w:type="dxa"/>
            <w:vAlign w:val="bottom"/>
            <w:gridSpan w:val="2"/>
          </w:tcPr>
          <w:p>
            <w:pPr>
              <w:jc w:val="center"/>
              <w:ind w:right="85"/>
              <w:spacing w:after="0" w:line="160" w:lineRule="exact"/>
              <w:rPr>
                <w:sz w:val="20"/>
                <w:szCs w:val="20"/>
                <w:color w:val="auto"/>
              </w:rPr>
            </w:pPr>
            <w:r>
              <w:rPr>
                <w:rFonts w:ascii="Arial" w:cs="Arial" w:eastAsia="Arial" w:hAnsi="Arial"/>
                <w:sz w:val="14"/>
                <w:szCs w:val="14"/>
                <w:b w:val="1"/>
                <w:bCs w:val="1"/>
                <w:color w:val="E2231A"/>
              </w:rPr>
              <w:t>warrants and rights</w:t>
            </w:r>
          </w:p>
        </w:tc>
        <w:tc>
          <w:tcPr>
            <w:tcW w:w="2580" w:type="dxa"/>
            <w:vAlign w:val="bottom"/>
          </w:tcPr>
          <w:p>
            <w:pPr>
              <w:jc w:val="center"/>
              <w:ind w:right="47"/>
              <w:spacing w:after="0" w:line="160" w:lineRule="exact"/>
              <w:rPr>
                <w:sz w:val="20"/>
                <w:szCs w:val="20"/>
                <w:color w:val="auto"/>
              </w:rPr>
            </w:pPr>
            <w:r>
              <w:rPr>
                <w:rFonts w:ascii="Arial" w:cs="Arial" w:eastAsia="Arial" w:hAnsi="Arial"/>
                <w:sz w:val="14"/>
                <w:szCs w:val="14"/>
                <w:b w:val="1"/>
                <w:bCs w:val="1"/>
                <w:color w:val="E2231A"/>
              </w:rPr>
              <w:t>column (a))</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As of December 31, 2018</w:t>
            </w:r>
          </w:p>
        </w:tc>
        <w:tc>
          <w:tcPr>
            <w:tcW w:w="2360" w:type="dxa"/>
            <w:vAlign w:val="bottom"/>
            <w:tcBorders>
              <w:bottom w:val="single" w:sz="8" w:color="auto"/>
            </w:tcBorders>
          </w:tcPr>
          <w:p>
            <w:pPr>
              <w:jc w:val="center"/>
              <w:ind w:right="266"/>
              <w:spacing w:after="0"/>
              <w:rPr>
                <w:sz w:val="20"/>
                <w:szCs w:val="20"/>
                <w:color w:val="auto"/>
              </w:rPr>
            </w:pPr>
            <w:r>
              <w:rPr>
                <w:rFonts w:ascii="Arial" w:cs="Arial" w:eastAsia="Arial" w:hAnsi="Arial"/>
                <w:sz w:val="14"/>
                <w:szCs w:val="14"/>
                <w:b w:val="1"/>
                <w:bCs w:val="1"/>
                <w:color w:val="E2231A"/>
              </w:rPr>
              <w:t>(a)</w:t>
            </w:r>
          </w:p>
        </w:tc>
        <w:tc>
          <w:tcPr>
            <w:tcW w:w="5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645"/>
              <w:spacing w:after="0"/>
              <w:rPr>
                <w:sz w:val="20"/>
                <w:szCs w:val="20"/>
                <w:color w:val="auto"/>
              </w:rPr>
            </w:pPr>
            <w:r>
              <w:rPr>
                <w:rFonts w:ascii="Arial" w:cs="Arial" w:eastAsia="Arial" w:hAnsi="Arial"/>
                <w:sz w:val="14"/>
                <w:szCs w:val="14"/>
                <w:b w:val="1"/>
                <w:bCs w:val="1"/>
                <w:color w:val="E2231A"/>
              </w:rPr>
              <w:t>(b)</w:t>
            </w:r>
          </w:p>
        </w:tc>
        <w:tc>
          <w:tcPr>
            <w:tcW w:w="258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E2231A"/>
              </w:rPr>
              <w:t>(c)</w:t>
            </w:r>
          </w:p>
        </w:tc>
        <w:tc>
          <w:tcPr>
            <w:tcW w:w="0" w:type="dxa"/>
            <w:vAlign w:val="bottom"/>
          </w:tcPr>
          <w:p>
            <w:pPr>
              <w:spacing w:after="0"/>
              <w:rPr>
                <w:sz w:val="1"/>
                <w:szCs w:val="1"/>
                <w:color w:val="auto"/>
              </w:rPr>
            </w:pPr>
          </w:p>
        </w:tc>
      </w:tr>
      <w:tr>
        <w:trPr>
          <w:trHeight w:val="182"/>
        </w:trPr>
        <w:tc>
          <w:tcPr>
            <w:tcW w:w="3420" w:type="dxa"/>
            <w:vAlign w:val="bottom"/>
            <w:shd w:val="clear" w:color="auto" w:fill="FCE9E8"/>
          </w:tcPr>
          <w:p>
            <w:pPr>
              <w:spacing w:after="0" w:line="181" w:lineRule="exact"/>
              <w:rPr>
                <w:sz w:val="20"/>
                <w:szCs w:val="20"/>
                <w:color w:val="auto"/>
              </w:rPr>
            </w:pPr>
            <w:r>
              <w:rPr>
                <w:rFonts w:ascii="Arial" w:cs="Arial" w:eastAsia="Arial" w:hAnsi="Arial"/>
                <w:sz w:val="16"/>
                <w:szCs w:val="16"/>
                <w:color w:val="auto"/>
              </w:rPr>
              <w:t>Equity compensation plans approved by</w:t>
            </w:r>
          </w:p>
        </w:tc>
        <w:tc>
          <w:tcPr>
            <w:tcW w:w="2360" w:type="dxa"/>
            <w:vAlign w:val="bottom"/>
            <w:vMerge w:val="restart"/>
            <w:shd w:val="clear" w:color="auto" w:fill="FCE9E8"/>
          </w:tcPr>
          <w:p>
            <w:pPr>
              <w:jc w:val="right"/>
              <w:ind w:right="406"/>
              <w:spacing w:after="0"/>
              <w:rPr>
                <w:sz w:val="20"/>
                <w:szCs w:val="20"/>
                <w:color w:val="auto"/>
              </w:rPr>
            </w:pPr>
            <w:r>
              <w:rPr>
                <w:rFonts w:ascii="Arial" w:cs="Arial" w:eastAsia="Arial" w:hAnsi="Arial"/>
                <w:sz w:val="16"/>
                <w:szCs w:val="16"/>
                <w:color w:val="auto"/>
              </w:rPr>
              <w:t>1,438,037</w:t>
            </w:r>
            <w:r>
              <w:rPr>
                <w:rFonts w:ascii="Arial" w:cs="Arial" w:eastAsia="Arial" w:hAnsi="Arial"/>
                <w:sz w:val="27"/>
                <w:szCs w:val="27"/>
                <w:color w:val="auto"/>
                <w:vertAlign w:val="superscript"/>
              </w:rPr>
              <w:t>(1)</w:t>
            </w:r>
          </w:p>
        </w:tc>
        <w:tc>
          <w:tcPr>
            <w:tcW w:w="580" w:type="dxa"/>
            <w:vAlign w:val="bottom"/>
            <w:shd w:val="clear" w:color="auto" w:fill="FCE9E8"/>
          </w:tcPr>
          <w:p>
            <w:pPr>
              <w:spacing w:after="0"/>
              <w:rPr>
                <w:sz w:val="15"/>
                <w:szCs w:val="15"/>
                <w:color w:val="auto"/>
              </w:rPr>
            </w:pPr>
          </w:p>
        </w:tc>
        <w:tc>
          <w:tcPr>
            <w:tcW w:w="1940" w:type="dxa"/>
            <w:vAlign w:val="bottom"/>
            <w:vMerge w:val="restart"/>
            <w:shd w:val="clear" w:color="auto" w:fill="FCE9E8"/>
          </w:tcPr>
          <w:p>
            <w:pPr>
              <w:ind w:left="116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(2)</w:t>
            </w:r>
          </w:p>
        </w:tc>
        <w:tc>
          <w:tcPr>
            <w:tcW w:w="2580" w:type="dxa"/>
            <w:vAlign w:val="bottom"/>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20" w:type="dxa"/>
            <w:vAlign w:val="bottom"/>
            <w:shd w:val="clear" w:color="auto" w:fill="FCE9E8"/>
          </w:tcPr>
          <w:p>
            <w:pPr>
              <w:spacing w:after="0"/>
              <w:rPr>
                <w:sz w:val="20"/>
                <w:szCs w:val="20"/>
                <w:color w:val="auto"/>
              </w:rPr>
            </w:pPr>
            <w:r>
              <w:rPr>
                <w:rFonts w:ascii="Arial" w:cs="Arial" w:eastAsia="Arial" w:hAnsi="Arial"/>
                <w:sz w:val="16"/>
                <w:szCs w:val="16"/>
                <w:color w:val="auto"/>
              </w:rPr>
              <w:t>security holders</w:t>
            </w:r>
          </w:p>
        </w:tc>
        <w:tc>
          <w:tcPr>
            <w:tcW w:w="2360" w:type="dxa"/>
            <w:vAlign w:val="bottom"/>
            <w:vMerge w:val="continue"/>
            <w:shd w:val="clear" w:color="auto" w:fill="FCE9E8"/>
          </w:tcPr>
          <w:p>
            <w:pPr>
              <w:spacing w:after="0"/>
              <w:rPr>
                <w:sz w:val="16"/>
                <w:szCs w:val="16"/>
                <w:color w:val="auto"/>
              </w:rPr>
            </w:pPr>
          </w:p>
        </w:tc>
        <w:tc>
          <w:tcPr>
            <w:tcW w:w="5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940" w:type="dxa"/>
            <w:vAlign w:val="bottom"/>
            <w:vMerge w:val="continue"/>
            <w:shd w:val="clear" w:color="auto" w:fill="FCE9E8"/>
          </w:tcPr>
          <w:p>
            <w:pPr>
              <w:spacing w:after="0"/>
              <w:rPr>
                <w:sz w:val="16"/>
                <w:szCs w:val="16"/>
                <w:color w:val="auto"/>
              </w:rPr>
            </w:pPr>
          </w:p>
        </w:tc>
        <w:tc>
          <w:tcPr>
            <w:tcW w:w="2580" w:type="dxa"/>
            <w:vAlign w:val="bottom"/>
            <w:shd w:val="clear" w:color="auto" w:fill="FCE9E8"/>
          </w:tcPr>
          <w:p>
            <w:pPr>
              <w:jc w:val="right"/>
              <w:ind w:right="527"/>
              <w:spacing w:after="0"/>
              <w:rPr>
                <w:sz w:val="20"/>
                <w:szCs w:val="20"/>
                <w:color w:val="auto"/>
              </w:rPr>
            </w:pPr>
            <w:r>
              <w:rPr>
                <w:rFonts w:ascii="Arial" w:cs="Arial" w:eastAsia="Arial" w:hAnsi="Arial"/>
                <w:sz w:val="16"/>
                <w:szCs w:val="16"/>
                <w:color w:val="auto"/>
              </w:rPr>
              <w:t>2,492,347</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Arial" w:cs="Arial" w:eastAsia="Arial" w:hAnsi="Arial"/>
                <w:sz w:val="16"/>
                <w:szCs w:val="16"/>
                <w:color w:val="auto"/>
              </w:rPr>
              <w:t>Equity compensation plans not approved by</w:t>
            </w:r>
          </w:p>
        </w:tc>
        <w:tc>
          <w:tcPr>
            <w:tcW w:w="2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20" w:type="dxa"/>
            <w:vAlign w:val="bottom"/>
          </w:tcPr>
          <w:p>
            <w:pPr>
              <w:spacing w:after="0"/>
              <w:rPr>
                <w:sz w:val="20"/>
                <w:szCs w:val="20"/>
                <w:color w:val="auto"/>
              </w:rPr>
            </w:pPr>
            <w:r>
              <w:rPr>
                <w:rFonts w:ascii="Arial" w:cs="Arial" w:eastAsia="Arial" w:hAnsi="Arial"/>
                <w:sz w:val="16"/>
                <w:szCs w:val="16"/>
                <w:color w:val="auto"/>
              </w:rPr>
              <w:t>security holders</w:t>
            </w:r>
          </w:p>
        </w:tc>
        <w:tc>
          <w:tcPr>
            <w:tcW w:w="2360" w:type="dxa"/>
            <w:vAlign w:val="bottom"/>
          </w:tcPr>
          <w:p>
            <w:pPr>
              <w:jc w:val="right"/>
              <w:ind w:right="566"/>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940" w:type="dxa"/>
            <w:vAlign w:val="bottom"/>
          </w:tcPr>
          <w:p>
            <w:pPr>
              <w:ind w:left="1160"/>
              <w:spacing w:after="0"/>
              <w:rPr>
                <w:sz w:val="20"/>
                <w:szCs w:val="20"/>
                <w:color w:val="auto"/>
              </w:rPr>
            </w:pPr>
            <w:r>
              <w:rPr>
                <w:rFonts w:ascii="Arial" w:cs="Arial" w:eastAsia="Arial" w:hAnsi="Arial"/>
                <w:sz w:val="16"/>
                <w:szCs w:val="16"/>
                <w:color w:val="auto"/>
              </w:rPr>
              <w:t>—</w:t>
            </w:r>
          </w:p>
        </w:tc>
        <w:tc>
          <w:tcPr>
            <w:tcW w:w="2580" w:type="dxa"/>
            <w:vAlign w:val="bottom"/>
          </w:tcPr>
          <w:p>
            <w:pPr>
              <w:jc w:val="right"/>
              <w:ind w:right="52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420" w:type="dxa"/>
            <w:vAlign w:val="bottom"/>
            <w:shd w:val="clear" w:color="auto" w:fill="FCE9E8"/>
          </w:tcPr>
          <w:p>
            <w:pPr>
              <w:spacing w:after="0"/>
              <w:rPr>
                <w:sz w:val="20"/>
                <w:szCs w:val="20"/>
                <w:color w:val="auto"/>
              </w:rPr>
            </w:pPr>
            <w:r>
              <w:rPr>
                <w:rFonts w:ascii="Arial" w:cs="Arial" w:eastAsia="Arial" w:hAnsi="Arial"/>
                <w:sz w:val="16"/>
                <w:szCs w:val="16"/>
                <w:color w:val="auto"/>
              </w:rPr>
              <w:t>Total</w:t>
            </w:r>
          </w:p>
        </w:tc>
        <w:tc>
          <w:tcPr>
            <w:tcW w:w="2360" w:type="dxa"/>
            <w:vAlign w:val="bottom"/>
            <w:shd w:val="clear" w:color="auto" w:fill="FCE9E8"/>
          </w:tcPr>
          <w:p>
            <w:pPr>
              <w:jc w:val="right"/>
              <w:ind w:right="566"/>
              <w:spacing w:after="0"/>
              <w:rPr>
                <w:sz w:val="20"/>
                <w:szCs w:val="20"/>
                <w:color w:val="auto"/>
              </w:rPr>
            </w:pPr>
            <w:r>
              <w:rPr>
                <w:rFonts w:ascii="Arial" w:cs="Arial" w:eastAsia="Arial" w:hAnsi="Arial"/>
                <w:sz w:val="16"/>
                <w:szCs w:val="16"/>
                <w:color w:val="auto"/>
              </w:rPr>
              <w:t>1,438,037</w:t>
            </w:r>
          </w:p>
        </w:tc>
        <w:tc>
          <w:tcPr>
            <w:tcW w:w="5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940" w:type="dxa"/>
            <w:vAlign w:val="bottom"/>
            <w:shd w:val="clear" w:color="auto" w:fill="FCE9E8"/>
          </w:tcPr>
          <w:p>
            <w:pPr>
              <w:ind w:left="1160"/>
              <w:spacing w:after="0"/>
              <w:rPr>
                <w:sz w:val="20"/>
                <w:szCs w:val="20"/>
                <w:color w:val="auto"/>
              </w:rPr>
            </w:pPr>
            <w:r>
              <w:rPr>
                <w:rFonts w:ascii="Arial" w:cs="Arial" w:eastAsia="Arial" w:hAnsi="Arial"/>
                <w:sz w:val="16"/>
                <w:szCs w:val="16"/>
                <w:color w:val="auto"/>
              </w:rPr>
              <w:t>—</w:t>
            </w:r>
          </w:p>
        </w:tc>
        <w:tc>
          <w:tcPr>
            <w:tcW w:w="2580" w:type="dxa"/>
            <w:vAlign w:val="bottom"/>
            <w:shd w:val="clear" w:color="auto" w:fill="FCE9E8"/>
          </w:tcPr>
          <w:p>
            <w:pPr>
              <w:jc w:val="right"/>
              <w:ind w:right="527"/>
              <w:spacing w:after="0"/>
              <w:rPr>
                <w:sz w:val="20"/>
                <w:szCs w:val="20"/>
                <w:color w:val="auto"/>
              </w:rPr>
            </w:pPr>
            <w:r>
              <w:rPr>
                <w:rFonts w:ascii="Arial" w:cs="Arial" w:eastAsia="Arial" w:hAnsi="Arial"/>
                <w:sz w:val="16"/>
                <w:szCs w:val="16"/>
                <w:color w:val="auto"/>
              </w:rPr>
              <w:t>2,492,347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0</wp:posOffset>
            </wp:positionV>
            <wp:extent cx="69018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ind w:left="600" w:right="140" w:hanging="320"/>
        <w:spacing w:after="0" w:line="181" w:lineRule="auto"/>
        <w:tabs>
          <w:tab w:leader="none" w:pos="600" w:val="left"/>
        </w:tabs>
        <w:numPr>
          <w:ilvl w:val="0"/>
          <w:numId w:val="130"/>
        </w:numPr>
        <w:rPr>
          <w:rFonts w:ascii="Arial" w:cs="Arial" w:eastAsia="Arial" w:hAnsi="Arial"/>
          <w:sz w:val="24"/>
          <w:szCs w:val="24"/>
          <w:color w:val="auto"/>
          <w:vertAlign w:val="superscript"/>
        </w:rPr>
      </w:pPr>
      <w:r>
        <w:rPr>
          <w:rFonts w:ascii="Arial" w:cs="Arial" w:eastAsia="Arial" w:hAnsi="Arial"/>
          <w:sz w:val="14"/>
          <w:szCs w:val="14"/>
          <w:color w:val="auto"/>
        </w:rPr>
        <w:t>Includes 517,331 of outstanding restricted stock units and 920,706 of outstanding performance shares. Outstanding performance shares are reflected at the maximum possible payout that may be earned during the relevant performance periods.</w:t>
      </w:r>
    </w:p>
    <w:p>
      <w:pPr>
        <w:ind w:left="600" w:hanging="320"/>
        <w:spacing w:after="0" w:line="208" w:lineRule="auto"/>
        <w:tabs>
          <w:tab w:leader="none" w:pos="600" w:val="left"/>
        </w:tabs>
        <w:numPr>
          <w:ilvl w:val="0"/>
          <w:numId w:val="130"/>
        </w:numPr>
        <w:rPr>
          <w:rFonts w:ascii="Arial" w:cs="Arial" w:eastAsia="Arial" w:hAnsi="Arial"/>
          <w:sz w:val="24"/>
          <w:szCs w:val="24"/>
          <w:color w:val="auto"/>
          <w:vertAlign w:val="superscript"/>
        </w:rPr>
      </w:pPr>
      <w:r>
        <w:rPr>
          <w:rFonts w:ascii="Arial" w:cs="Arial" w:eastAsia="Arial" w:hAnsi="Arial"/>
          <w:sz w:val="14"/>
          <w:szCs w:val="14"/>
          <w:color w:val="auto"/>
        </w:rPr>
        <w:t>Reflects outstanding restricted stock units and performance shares at a weighted average price of zero.</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Updated Share Information</w:t>
      </w:r>
    </w:p>
    <w:p>
      <w:pPr>
        <w:spacing w:after="0" w:line="124" w:lineRule="exact"/>
        <w:rPr>
          <w:sz w:val="20"/>
          <w:szCs w:val="20"/>
          <w:color w:val="auto"/>
        </w:rPr>
      </w:pPr>
    </w:p>
    <w:p>
      <w:pPr>
        <w:jc w:val="both"/>
        <w:ind w:left="280" w:right="560"/>
        <w:spacing w:after="0" w:line="248" w:lineRule="auto"/>
        <w:rPr>
          <w:sz w:val="20"/>
          <w:szCs w:val="20"/>
          <w:color w:val="auto"/>
        </w:rPr>
      </w:pPr>
      <w:r>
        <w:rPr>
          <w:rFonts w:ascii="Arial" w:cs="Arial" w:eastAsia="Arial" w:hAnsi="Arial"/>
          <w:sz w:val="16"/>
          <w:szCs w:val="16"/>
          <w:color w:val="auto"/>
        </w:rPr>
        <w:t>The following table presents updated information as of March 21, 2019 about the number of shares that were subject to outstanding equity awards previously granted and shares remaining available for issuance. On the record date, March 21, 2019, the total number of shares of common stock outstanding was 62,415,363.</w:t>
      </w:r>
    </w:p>
    <w:p>
      <w:pPr>
        <w:spacing w:after="0" w:line="214"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2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E2231A"/>
              </w:rPr>
              <w:t>As of March 21, 2019</w:t>
            </w:r>
          </w:p>
        </w:tc>
      </w:tr>
      <w:tr>
        <w:trPr>
          <w:trHeight w:val="180"/>
        </w:trPr>
        <w:tc>
          <w:tcPr>
            <w:tcW w:w="20" w:type="dxa"/>
            <w:vAlign w:val="bottom"/>
          </w:tcPr>
          <w:p>
            <w:pPr>
              <w:spacing w:after="0"/>
              <w:rPr>
                <w:sz w:val="15"/>
                <w:szCs w:val="15"/>
                <w:color w:val="auto"/>
              </w:rPr>
            </w:pPr>
          </w:p>
        </w:tc>
        <w:tc>
          <w:tcPr>
            <w:tcW w:w="6720" w:type="dxa"/>
            <w:vAlign w:val="bottom"/>
            <w:shd w:val="clear" w:color="auto" w:fill="FCE9E8"/>
          </w:tcPr>
          <w:p>
            <w:pPr>
              <w:spacing w:after="0" w:line="180" w:lineRule="exact"/>
              <w:rPr>
                <w:sz w:val="20"/>
                <w:szCs w:val="20"/>
                <w:color w:val="auto"/>
              </w:rPr>
            </w:pPr>
            <w:r>
              <w:rPr>
                <w:rFonts w:ascii="Arial" w:cs="Arial" w:eastAsia="Arial" w:hAnsi="Arial"/>
                <w:sz w:val="16"/>
                <w:szCs w:val="16"/>
                <w:color w:val="auto"/>
              </w:rPr>
              <w:t>Number of stock options outstanding</w:t>
            </w:r>
          </w:p>
        </w:tc>
        <w:tc>
          <w:tcPr>
            <w:tcW w:w="4140" w:type="dxa"/>
            <w:vAlign w:val="bottom"/>
            <w:shd w:val="clear" w:color="auto" w:fill="FCE9E8"/>
          </w:tcPr>
          <w:p>
            <w:pPr>
              <w:jc w:val="right"/>
              <w:ind w:right="661"/>
              <w:spacing w:after="0" w:line="180" w:lineRule="exact"/>
              <w:rPr>
                <w:sz w:val="20"/>
                <w:szCs w:val="20"/>
                <w:color w:val="auto"/>
              </w:rPr>
            </w:pPr>
            <w:r>
              <w:rPr>
                <w:rFonts w:ascii="Arial" w:cs="Arial" w:eastAsia="Arial" w:hAnsi="Arial"/>
                <w:sz w:val="16"/>
                <w:szCs w:val="16"/>
                <w:color w:val="auto"/>
              </w:rPr>
              <w:t>—</w:t>
            </w:r>
          </w:p>
        </w:tc>
      </w:tr>
      <w:tr>
        <w:trPr>
          <w:trHeight w:val="186"/>
        </w:trPr>
        <w:tc>
          <w:tcPr>
            <w:tcW w:w="20" w:type="dxa"/>
            <w:vAlign w:val="bottom"/>
          </w:tcPr>
          <w:p>
            <w:pPr>
              <w:spacing w:after="0"/>
              <w:rPr>
                <w:sz w:val="16"/>
                <w:szCs w:val="16"/>
                <w:color w:val="auto"/>
              </w:rPr>
            </w:pPr>
          </w:p>
        </w:tc>
        <w:tc>
          <w:tcPr>
            <w:tcW w:w="6720" w:type="dxa"/>
            <w:vAlign w:val="bottom"/>
          </w:tcPr>
          <w:p>
            <w:pPr>
              <w:ind w:left="300"/>
              <w:spacing w:after="0"/>
              <w:rPr>
                <w:sz w:val="20"/>
                <w:szCs w:val="20"/>
                <w:color w:val="auto"/>
              </w:rPr>
            </w:pPr>
            <w:r>
              <w:rPr>
                <w:rFonts w:ascii="Arial" w:cs="Arial" w:eastAsia="Arial" w:hAnsi="Arial"/>
                <w:sz w:val="16"/>
                <w:szCs w:val="16"/>
                <w:i w:val="1"/>
                <w:iCs w:val="1"/>
                <w:color w:val="auto"/>
              </w:rPr>
              <w:t>Weighted average exercise price of outstanding stock options</w:t>
            </w:r>
          </w:p>
        </w:tc>
        <w:tc>
          <w:tcPr>
            <w:tcW w:w="4140" w:type="dxa"/>
            <w:vAlign w:val="bottom"/>
          </w:tcPr>
          <w:p>
            <w:pPr>
              <w:jc w:val="right"/>
              <w:ind w:right="661"/>
              <w:spacing w:after="0"/>
              <w:rPr>
                <w:sz w:val="20"/>
                <w:szCs w:val="20"/>
                <w:color w:val="auto"/>
              </w:rPr>
            </w:pPr>
            <w:r>
              <w:rPr>
                <w:rFonts w:ascii="Arial" w:cs="Arial" w:eastAsia="Arial" w:hAnsi="Arial"/>
                <w:sz w:val="16"/>
                <w:szCs w:val="16"/>
                <w:color w:val="auto"/>
              </w:rPr>
              <w:t>N/A</w:t>
            </w:r>
          </w:p>
        </w:tc>
      </w:tr>
      <w:tr>
        <w:trPr>
          <w:trHeight w:val="186"/>
        </w:trPr>
        <w:tc>
          <w:tcPr>
            <w:tcW w:w="20" w:type="dxa"/>
            <w:vAlign w:val="bottom"/>
          </w:tcPr>
          <w:p>
            <w:pPr>
              <w:spacing w:after="0"/>
              <w:rPr>
                <w:sz w:val="16"/>
                <w:szCs w:val="16"/>
                <w:color w:val="auto"/>
              </w:rPr>
            </w:pPr>
          </w:p>
        </w:tc>
        <w:tc>
          <w:tcPr>
            <w:tcW w:w="6720" w:type="dxa"/>
            <w:vAlign w:val="bottom"/>
            <w:shd w:val="clear" w:color="auto" w:fill="FCE9E8"/>
          </w:tcPr>
          <w:p>
            <w:pPr>
              <w:ind w:left="300"/>
              <w:spacing w:after="0"/>
              <w:rPr>
                <w:sz w:val="20"/>
                <w:szCs w:val="20"/>
                <w:color w:val="auto"/>
              </w:rPr>
            </w:pPr>
            <w:r>
              <w:rPr>
                <w:rFonts w:ascii="Arial" w:cs="Arial" w:eastAsia="Arial" w:hAnsi="Arial"/>
                <w:sz w:val="16"/>
                <w:szCs w:val="16"/>
                <w:i w:val="1"/>
                <w:iCs w:val="1"/>
                <w:color w:val="auto"/>
              </w:rPr>
              <w:t>Weighted average remaining term of outstanding stock options</w:t>
            </w:r>
          </w:p>
        </w:tc>
        <w:tc>
          <w:tcPr>
            <w:tcW w:w="4140" w:type="dxa"/>
            <w:vAlign w:val="bottom"/>
            <w:shd w:val="clear" w:color="auto" w:fill="FCE9E8"/>
          </w:tcPr>
          <w:p>
            <w:pPr>
              <w:jc w:val="right"/>
              <w:ind w:right="661"/>
              <w:spacing w:after="0"/>
              <w:rPr>
                <w:sz w:val="20"/>
                <w:szCs w:val="20"/>
                <w:color w:val="auto"/>
              </w:rPr>
            </w:pPr>
            <w:r>
              <w:rPr>
                <w:rFonts w:ascii="Arial" w:cs="Arial" w:eastAsia="Arial" w:hAnsi="Arial"/>
                <w:sz w:val="16"/>
                <w:szCs w:val="16"/>
                <w:color w:val="auto"/>
              </w:rPr>
              <w:t>N/A</w:t>
            </w:r>
          </w:p>
        </w:tc>
      </w:tr>
      <w:tr>
        <w:trPr>
          <w:trHeight w:val="186"/>
        </w:trPr>
        <w:tc>
          <w:tcPr>
            <w:tcW w:w="6740" w:type="dxa"/>
            <w:vAlign w:val="bottom"/>
            <w:gridSpan w:val="2"/>
          </w:tcPr>
          <w:p>
            <w:pPr>
              <w:spacing w:after="0"/>
              <w:rPr>
                <w:sz w:val="20"/>
                <w:szCs w:val="20"/>
                <w:color w:val="auto"/>
              </w:rPr>
            </w:pPr>
            <w:r>
              <w:rPr>
                <w:rFonts w:ascii="Arial" w:cs="Arial" w:eastAsia="Arial" w:hAnsi="Arial"/>
                <w:sz w:val="16"/>
                <w:szCs w:val="16"/>
                <w:color w:val="auto"/>
              </w:rPr>
              <w:t>Number of restricted stock units outstanding</w:t>
            </w:r>
          </w:p>
        </w:tc>
        <w:tc>
          <w:tcPr>
            <w:tcW w:w="4140" w:type="dxa"/>
            <w:vAlign w:val="bottom"/>
          </w:tcPr>
          <w:p>
            <w:pPr>
              <w:jc w:val="right"/>
              <w:ind w:right="661"/>
              <w:spacing w:after="0"/>
              <w:rPr>
                <w:sz w:val="20"/>
                <w:szCs w:val="20"/>
                <w:color w:val="auto"/>
              </w:rPr>
            </w:pPr>
            <w:r>
              <w:rPr>
                <w:rFonts w:ascii="Arial" w:cs="Arial" w:eastAsia="Arial" w:hAnsi="Arial"/>
                <w:sz w:val="16"/>
                <w:szCs w:val="16"/>
                <w:color w:val="auto"/>
              </w:rPr>
              <w:t>497,221</w:t>
            </w:r>
          </w:p>
        </w:tc>
      </w:tr>
      <w:tr>
        <w:trPr>
          <w:trHeight w:val="186"/>
        </w:trPr>
        <w:tc>
          <w:tcPr>
            <w:tcW w:w="20" w:type="dxa"/>
            <w:vAlign w:val="bottom"/>
          </w:tcPr>
          <w:p>
            <w:pPr>
              <w:spacing w:after="0"/>
              <w:rPr>
                <w:sz w:val="16"/>
                <w:szCs w:val="16"/>
                <w:color w:val="auto"/>
              </w:rPr>
            </w:pPr>
          </w:p>
        </w:tc>
        <w:tc>
          <w:tcPr>
            <w:tcW w:w="6720" w:type="dxa"/>
            <w:vAlign w:val="bottom"/>
            <w:tcBorders>
              <w:bottom w:val="single" w:sz="8" w:color="auto"/>
            </w:tcBorders>
            <w:shd w:val="clear" w:color="auto" w:fill="FCE9E8"/>
          </w:tcPr>
          <w:p>
            <w:pPr>
              <w:spacing w:after="0"/>
              <w:rPr>
                <w:sz w:val="20"/>
                <w:szCs w:val="20"/>
                <w:color w:val="auto"/>
              </w:rPr>
            </w:pPr>
            <w:r>
              <w:rPr>
                <w:rFonts w:ascii="Arial" w:cs="Arial" w:eastAsia="Arial" w:hAnsi="Arial"/>
                <w:sz w:val="16"/>
                <w:szCs w:val="16"/>
                <w:color w:val="auto"/>
              </w:rPr>
              <w:t>Number of performance shares outstanding</w:t>
            </w:r>
          </w:p>
        </w:tc>
        <w:tc>
          <w:tcPr>
            <w:tcW w:w="4140" w:type="dxa"/>
            <w:vAlign w:val="bottom"/>
            <w:tcBorders>
              <w:bottom w:val="single" w:sz="8" w:color="auto"/>
            </w:tcBorders>
            <w:shd w:val="clear" w:color="auto" w:fill="FCE9E8"/>
          </w:tcPr>
          <w:p>
            <w:pPr>
              <w:jc w:val="right"/>
              <w:ind w:right="661"/>
              <w:spacing w:after="0"/>
              <w:rPr>
                <w:sz w:val="20"/>
                <w:szCs w:val="20"/>
                <w:color w:val="auto"/>
              </w:rPr>
            </w:pPr>
            <w:r>
              <w:rPr>
                <w:rFonts w:ascii="Arial" w:cs="Arial" w:eastAsia="Arial" w:hAnsi="Arial"/>
                <w:sz w:val="16"/>
                <w:szCs w:val="16"/>
                <w:color w:val="auto"/>
              </w:rPr>
              <w:t>863,266</w:t>
            </w:r>
          </w:p>
        </w:tc>
      </w:tr>
      <w:tr>
        <w:trPr>
          <w:trHeight w:val="180"/>
        </w:trPr>
        <w:tc>
          <w:tcPr>
            <w:tcW w:w="20" w:type="dxa"/>
            <w:vAlign w:val="bottom"/>
          </w:tcPr>
          <w:p>
            <w:pPr>
              <w:spacing w:after="0"/>
              <w:rPr>
                <w:sz w:val="15"/>
                <w:szCs w:val="15"/>
                <w:color w:val="auto"/>
              </w:rPr>
            </w:pPr>
          </w:p>
        </w:tc>
        <w:tc>
          <w:tcPr>
            <w:tcW w:w="6720" w:type="dxa"/>
            <w:vAlign w:val="bottom"/>
          </w:tcPr>
          <w:p>
            <w:pPr>
              <w:spacing w:after="0" w:line="180" w:lineRule="exact"/>
              <w:rPr>
                <w:sz w:val="20"/>
                <w:szCs w:val="20"/>
                <w:color w:val="auto"/>
              </w:rPr>
            </w:pPr>
            <w:r>
              <w:rPr>
                <w:rFonts w:ascii="Arial" w:cs="Arial" w:eastAsia="Arial" w:hAnsi="Arial"/>
                <w:sz w:val="13"/>
                <w:szCs w:val="13"/>
                <w:color w:val="auto"/>
              </w:rPr>
              <w:t>Shares remaining available for issuance under the Prior LTSIP</w:t>
            </w:r>
            <w:r>
              <w:rPr>
                <w:rFonts w:ascii="Arial" w:cs="Arial" w:eastAsia="Arial" w:hAnsi="Arial"/>
                <w:sz w:val="20"/>
                <w:szCs w:val="20"/>
                <w:color w:val="auto"/>
                <w:vertAlign w:val="superscript"/>
              </w:rPr>
              <w:t>(1)</w:t>
            </w:r>
          </w:p>
        </w:tc>
        <w:tc>
          <w:tcPr>
            <w:tcW w:w="4140" w:type="dxa"/>
            <w:vAlign w:val="bottom"/>
          </w:tcPr>
          <w:p>
            <w:pPr>
              <w:jc w:val="right"/>
              <w:ind w:right="661"/>
              <w:spacing w:after="0" w:line="180" w:lineRule="exact"/>
              <w:rPr>
                <w:sz w:val="20"/>
                <w:szCs w:val="20"/>
                <w:color w:val="auto"/>
              </w:rPr>
            </w:pPr>
            <w:r>
              <w:rPr>
                <w:rFonts w:ascii="Arial" w:cs="Arial" w:eastAsia="Arial" w:hAnsi="Arial"/>
                <w:sz w:val="16"/>
                <w:szCs w:val="16"/>
                <w:color w:val="auto"/>
              </w:rPr>
              <w:t>2,090,858</w:t>
            </w:r>
          </w:p>
        </w:tc>
      </w:tr>
      <w:tr>
        <w:trPr>
          <w:trHeight w:val="186"/>
        </w:trPr>
        <w:tc>
          <w:tcPr>
            <w:tcW w:w="20" w:type="dxa"/>
            <w:vAlign w:val="bottom"/>
          </w:tcPr>
          <w:p>
            <w:pPr>
              <w:spacing w:after="0"/>
              <w:rPr>
                <w:sz w:val="16"/>
                <w:szCs w:val="16"/>
                <w:color w:val="auto"/>
              </w:rPr>
            </w:pPr>
          </w:p>
        </w:tc>
        <w:tc>
          <w:tcPr>
            <w:tcW w:w="6720" w:type="dxa"/>
            <w:vAlign w:val="bottom"/>
            <w:tcBorders>
              <w:bottom w:val="single" w:sz="8" w:color="auto"/>
            </w:tcBorders>
            <w:shd w:val="clear" w:color="auto" w:fill="FCE9E8"/>
          </w:tcPr>
          <w:p>
            <w:pPr>
              <w:spacing w:after="0"/>
              <w:rPr>
                <w:sz w:val="20"/>
                <w:szCs w:val="20"/>
                <w:color w:val="auto"/>
              </w:rPr>
            </w:pPr>
            <w:r>
              <w:rPr>
                <w:rFonts w:ascii="Arial" w:cs="Arial" w:eastAsia="Arial" w:hAnsi="Arial"/>
                <w:sz w:val="16"/>
                <w:szCs w:val="16"/>
                <w:color w:val="auto"/>
              </w:rPr>
              <w:t>Additional shares requested for issuance under the 2019 LTSIP</w:t>
            </w:r>
          </w:p>
        </w:tc>
        <w:tc>
          <w:tcPr>
            <w:tcW w:w="4140" w:type="dxa"/>
            <w:vAlign w:val="bottom"/>
            <w:tcBorders>
              <w:bottom w:val="single" w:sz="8" w:color="auto"/>
            </w:tcBorders>
            <w:shd w:val="clear" w:color="auto" w:fill="FCE9E8"/>
          </w:tcPr>
          <w:p>
            <w:pPr>
              <w:jc w:val="right"/>
              <w:ind w:right="661"/>
              <w:spacing w:after="0"/>
              <w:rPr>
                <w:sz w:val="20"/>
                <w:szCs w:val="20"/>
                <w:color w:val="auto"/>
              </w:rPr>
            </w:pPr>
            <w:r>
              <w:rPr>
                <w:rFonts w:ascii="Arial" w:cs="Arial" w:eastAsia="Arial" w:hAnsi="Arial"/>
                <w:sz w:val="16"/>
                <w:szCs w:val="16"/>
                <w:color w:val="auto"/>
              </w:rPr>
              <w:t>436,000</w:t>
            </w:r>
          </w:p>
        </w:tc>
      </w:tr>
      <w:tr>
        <w:trPr>
          <w:trHeight w:val="190"/>
        </w:trPr>
        <w:tc>
          <w:tcPr>
            <w:tcW w:w="20" w:type="dxa"/>
            <w:vAlign w:val="bottom"/>
          </w:tcPr>
          <w:p>
            <w:pPr>
              <w:spacing w:after="0"/>
              <w:rPr>
                <w:sz w:val="16"/>
                <w:szCs w:val="16"/>
                <w:color w:val="auto"/>
              </w:rPr>
            </w:pPr>
          </w:p>
        </w:tc>
        <w:tc>
          <w:tcPr>
            <w:tcW w:w="6720" w:type="dxa"/>
            <w:vAlign w:val="bottom"/>
          </w:tcPr>
          <w:p>
            <w:pPr>
              <w:spacing w:after="0" w:line="190" w:lineRule="exact"/>
              <w:rPr>
                <w:sz w:val="20"/>
                <w:szCs w:val="20"/>
                <w:color w:val="auto"/>
              </w:rPr>
            </w:pPr>
            <w:r>
              <w:rPr>
                <w:rFonts w:ascii="Arial" w:cs="Arial" w:eastAsia="Arial" w:hAnsi="Arial"/>
                <w:sz w:val="17"/>
                <w:szCs w:val="17"/>
                <w:b w:val="1"/>
                <w:bCs w:val="1"/>
                <w:color w:val="auto"/>
              </w:rPr>
              <w:t>Total shares available for issuance under the 2019 LTSIP</w:t>
            </w:r>
          </w:p>
        </w:tc>
        <w:tc>
          <w:tcPr>
            <w:tcW w:w="4140" w:type="dxa"/>
            <w:vAlign w:val="bottom"/>
          </w:tcPr>
          <w:p>
            <w:pPr>
              <w:jc w:val="right"/>
              <w:ind w:right="661"/>
              <w:spacing w:after="0"/>
              <w:rPr>
                <w:sz w:val="20"/>
                <w:szCs w:val="20"/>
                <w:color w:val="auto"/>
              </w:rPr>
            </w:pPr>
            <w:r>
              <w:rPr>
                <w:rFonts w:ascii="Arial" w:cs="Arial" w:eastAsia="Arial" w:hAnsi="Arial"/>
                <w:sz w:val="16"/>
                <w:szCs w:val="16"/>
                <w:b w:val="1"/>
                <w:bCs w:val="1"/>
                <w:color w:val="auto"/>
              </w:rPr>
              <w:t>2,526,858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wp:posOffset>
            </wp:positionV>
            <wp:extent cx="69018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ind w:left="600" w:hanging="320"/>
        <w:spacing w:after="0" w:line="185" w:lineRule="auto"/>
        <w:tabs>
          <w:tab w:leader="none" w:pos="600" w:val="left"/>
        </w:tabs>
        <w:numPr>
          <w:ilvl w:val="0"/>
          <w:numId w:val="131"/>
        </w:numPr>
        <w:rPr>
          <w:rFonts w:ascii="Arial" w:cs="Arial" w:eastAsia="Arial" w:hAnsi="Arial"/>
          <w:sz w:val="20"/>
          <w:szCs w:val="20"/>
          <w:color w:val="auto"/>
          <w:vertAlign w:val="superscript"/>
        </w:rPr>
      </w:pPr>
      <w:r>
        <w:rPr>
          <w:rFonts w:ascii="Arial" w:cs="Arial" w:eastAsia="Arial" w:hAnsi="Arial"/>
          <w:sz w:val="12"/>
          <w:szCs w:val="12"/>
          <w:color w:val="auto"/>
        </w:rPr>
        <w:t>As of the effective date of the 2019 LTSIP, no additional grants may thereafter be issued under the Prior LTSIP.</w:t>
      </w:r>
    </w:p>
    <w:p>
      <w:pPr>
        <w:spacing w:after="0" w:line="131"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77</w:t>
      </w:r>
    </w:p>
    <w:p>
      <w:pPr>
        <w:sectPr>
          <w:pgSz w:w="11900" w:h="16838" w:orient="portrait"/>
          <w:cols w:equalWidth="0" w:num="1">
            <w:col w:w="11160"/>
          </w:cols>
          <w:pgMar w:left="240" w:top="455"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280" w:right="1340"/>
        <w:spacing w:after="0" w:line="280" w:lineRule="auto"/>
        <w:rPr>
          <w:sz w:val="20"/>
          <w:szCs w:val="20"/>
          <w:color w:val="auto"/>
        </w:rPr>
      </w:pPr>
      <w:r>
        <w:rPr>
          <w:rFonts w:ascii="Arial" w:cs="Arial" w:eastAsia="Arial" w:hAnsi="Arial"/>
          <w:sz w:val="39"/>
          <w:szCs w:val="39"/>
          <w:b w:val="1"/>
          <w:bCs w:val="1"/>
          <w:color w:val="E2231A"/>
        </w:rPr>
        <w:t>QUESTIONS AND ANSWERS ABOUT THE ANNUAL MEETING</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Why did you send me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20"/>
          </w:cols>
          <w:pgMar w:left="240" w:top="455" w:right="539" w:bottom="1440" w:gutter="0" w:footer="0" w:header="0"/>
        </w:sectPr>
      </w:pPr>
    </w:p>
    <w:p>
      <w:pPr>
        <w:spacing w:after="0" w:line="334" w:lineRule="exact"/>
        <w:rPr>
          <w:sz w:val="20"/>
          <w:szCs w:val="20"/>
          <w:color w:val="auto"/>
        </w:rPr>
      </w:pPr>
    </w:p>
    <w:p>
      <w:pPr>
        <w:ind w:left="280"/>
        <w:spacing w:after="0" w:line="247" w:lineRule="auto"/>
        <w:rPr>
          <w:sz w:val="20"/>
          <w:szCs w:val="20"/>
          <w:color w:val="auto"/>
        </w:rPr>
      </w:pPr>
      <w:r>
        <w:rPr>
          <w:rFonts w:ascii="Arial" w:cs="Arial" w:eastAsia="Arial" w:hAnsi="Arial"/>
          <w:sz w:val="16"/>
          <w:szCs w:val="16"/>
          <w:color w:val="auto"/>
        </w:rPr>
        <w:t>We sent you this proxy statement because the Board is soliciting your proxy to vote at the Annual Meeting to be held on May 16, 2019, at 9:00 a.m. (Eastern Time) and at any postponements or adjournments of the Annual Meeting. This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proxy statement summarizes information that is intended to assist you in making an informed vote on the proposals described in this proxy statement.</w:t>
      </w:r>
    </w:p>
    <w:p>
      <w:pPr>
        <w:spacing w:after="0" w:line="387" w:lineRule="exact"/>
        <w:rPr>
          <w:sz w:val="20"/>
          <w:szCs w:val="20"/>
          <w:color w:val="auto"/>
        </w:rPr>
      </w:pPr>
    </w:p>
    <w:p>
      <w:pPr>
        <w:sectPr>
          <w:pgSz w:w="11900" w:h="16838" w:orient="portrait"/>
          <w:cols w:equalWidth="0" w:num="2">
            <w:col w:w="5360" w:space="460"/>
            <w:col w:w="5300"/>
          </w:cols>
          <w:pgMar w:left="240" w:top="455" w:right="539" w:bottom="1440" w:gutter="0" w:footer="0" w:header="0"/>
          <w:type w:val="continuous"/>
        </w:sectPr>
      </w:pPr>
    </w:p>
    <w:p>
      <w:pPr>
        <w:spacing w:after="0" w:line="149"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Who can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20"/>
          </w:cols>
          <w:pgMar w:left="240" w:top="455" w:right="539" w:bottom="1440" w:gutter="0" w:footer="0" w:header="0"/>
          <w:type w:val="continuous"/>
        </w:sectPr>
      </w:pPr>
    </w:p>
    <w:p>
      <w:pPr>
        <w:spacing w:after="0" w:line="334" w:lineRule="exact"/>
        <w:rPr>
          <w:sz w:val="20"/>
          <w:szCs w:val="20"/>
          <w:color w:val="auto"/>
        </w:rPr>
      </w:pPr>
    </w:p>
    <w:p>
      <w:pPr>
        <w:ind w:left="280"/>
        <w:spacing w:after="0" w:line="247" w:lineRule="auto"/>
        <w:rPr>
          <w:sz w:val="20"/>
          <w:szCs w:val="20"/>
          <w:color w:val="auto"/>
        </w:rPr>
      </w:pPr>
      <w:r>
        <w:rPr>
          <w:rFonts w:ascii="Arial" w:cs="Arial" w:eastAsia="Arial" w:hAnsi="Arial"/>
          <w:sz w:val="16"/>
          <w:szCs w:val="16"/>
          <w:color w:val="auto"/>
        </w:rPr>
        <w:t>Only stockholders of record as of the record date are entitled to vote at the Annual Meeting. The record date to determine stockholders entitled to notice of and to vote at the Annual Meeting is the close of business on March 21, 2019. On the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record date, there were 62,415,363 shares of our common stock, par value $0.01 per share, outstanding. Our common stock is the only class of voting securities outstanding.</w:t>
      </w:r>
    </w:p>
    <w:p>
      <w:pPr>
        <w:spacing w:after="0" w:line="387" w:lineRule="exact"/>
        <w:rPr>
          <w:sz w:val="20"/>
          <w:szCs w:val="20"/>
          <w:color w:val="auto"/>
        </w:rPr>
      </w:pPr>
    </w:p>
    <w:p>
      <w:pPr>
        <w:sectPr>
          <w:pgSz w:w="11900" w:h="16838" w:orient="portrait"/>
          <w:cols w:equalWidth="0" w:num="2">
            <w:col w:w="5480" w:space="340"/>
            <w:col w:w="5300"/>
          </w:cols>
          <w:pgMar w:left="240" w:top="455" w:right="539" w:bottom="1440" w:gutter="0" w:footer="0" w:header="0"/>
          <w:type w:val="continuous"/>
        </w:sectPr>
      </w:pPr>
    </w:p>
    <w:p>
      <w:pPr>
        <w:spacing w:after="0" w:line="149"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How many shares must be present to conduct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20"/>
          </w:cols>
          <w:pgMar w:left="240" w:top="455" w:right="539" w:bottom="1440" w:gutter="0" w:footer="0" w:header="0"/>
          <w:type w:val="continuous"/>
        </w:sectPr>
      </w:pPr>
    </w:p>
    <w:p>
      <w:pPr>
        <w:spacing w:after="0" w:line="334" w:lineRule="exact"/>
        <w:rPr>
          <w:sz w:val="20"/>
          <w:szCs w:val="20"/>
          <w:color w:val="auto"/>
        </w:rPr>
      </w:pPr>
    </w:p>
    <w:p>
      <w:pPr>
        <w:ind w:left="280"/>
        <w:spacing w:after="0" w:line="248" w:lineRule="auto"/>
        <w:rPr>
          <w:sz w:val="20"/>
          <w:szCs w:val="20"/>
          <w:color w:val="auto"/>
        </w:rPr>
      </w:pPr>
      <w:r>
        <w:rPr>
          <w:rFonts w:ascii="Arial" w:cs="Arial" w:eastAsia="Arial" w:hAnsi="Arial"/>
          <w:sz w:val="16"/>
          <w:szCs w:val="16"/>
          <w:color w:val="auto"/>
        </w:rPr>
        <w:t>We must have a quorum present in person or by proxy to conduct the Annual Meeting. A quorum is established when a majority of shares entitled to vote is present in person or</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represented by proxy at the Annual Meeting. Abstentions and broker non-votes (as described below) are counted for purposes of determining whether a quorum is present.</w:t>
      </w:r>
    </w:p>
    <w:p>
      <w:pPr>
        <w:spacing w:after="0" w:line="200" w:lineRule="exact"/>
        <w:rPr>
          <w:sz w:val="20"/>
          <w:szCs w:val="20"/>
          <w:color w:val="auto"/>
        </w:rPr>
      </w:pPr>
    </w:p>
    <w:p>
      <w:pPr>
        <w:sectPr>
          <w:pgSz w:w="11900" w:h="16838" w:orient="portrait"/>
          <w:cols w:equalWidth="0" w:num="2">
            <w:col w:w="5180" w:space="640"/>
            <w:col w:w="5300"/>
          </w:cols>
          <w:pgMar w:left="240" w:top="455" w:right="539" w:bottom="1440" w:gutter="0" w:footer="0" w:header="0"/>
          <w:type w:val="continuous"/>
        </w:sectPr>
      </w:pPr>
    </w:p>
    <w:p>
      <w:pPr>
        <w:spacing w:after="0" w:line="136"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What matters are to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20"/>
          </w:cols>
          <w:pgMar w:left="240" w:top="455" w:right="539" w:bottom="1440" w:gutter="0" w:footer="0" w:header="0"/>
          <w:type w:val="continuous"/>
        </w:sectPr>
      </w:pPr>
    </w:p>
    <w:p>
      <w:pPr>
        <w:spacing w:after="0" w:line="33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agenda for the Annual Meeting is to:</w:t>
      </w:r>
    </w:p>
    <w:p>
      <w:pPr>
        <w:spacing w:after="0" w:line="122" w:lineRule="exact"/>
        <w:rPr>
          <w:sz w:val="20"/>
          <w:szCs w:val="20"/>
          <w:color w:val="auto"/>
        </w:rPr>
      </w:pPr>
    </w:p>
    <w:p>
      <w:pPr>
        <w:ind w:left="600" w:hanging="320"/>
        <w:spacing w:after="0"/>
        <w:tabs>
          <w:tab w:leader="none" w:pos="6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elect nine directors;</w:t>
      </w:r>
    </w:p>
    <w:p>
      <w:pPr>
        <w:spacing w:after="0" w:line="122" w:lineRule="exact"/>
        <w:rPr>
          <w:rFonts w:ascii="Arial" w:cs="Arial" w:eastAsia="Arial" w:hAnsi="Arial"/>
          <w:sz w:val="16"/>
          <w:szCs w:val="16"/>
          <w:color w:val="auto"/>
        </w:rPr>
      </w:pPr>
    </w:p>
    <w:p>
      <w:pPr>
        <w:ind w:left="600" w:right="360" w:hanging="320"/>
        <w:spacing w:after="0" w:line="254" w:lineRule="auto"/>
        <w:tabs>
          <w:tab w:leader="none" w:pos="6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ratify the retention of Ernst &amp; Young LLP as our independent registered public accounting firm for 2019;</w:t>
      </w:r>
    </w:p>
    <w:p>
      <w:pPr>
        <w:spacing w:after="0" w:line="103" w:lineRule="exact"/>
        <w:rPr>
          <w:rFonts w:ascii="Arial" w:cs="Arial" w:eastAsia="Arial" w:hAnsi="Arial"/>
          <w:sz w:val="16"/>
          <w:szCs w:val="16"/>
          <w:color w:val="auto"/>
        </w:rPr>
      </w:pPr>
    </w:p>
    <w:p>
      <w:pPr>
        <w:ind w:left="600" w:hanging="320"/>
        <w:spacing w:after="0"/>
        <w:tabs>
          <w:tab w:leader="none" w:pos="6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provide an advisory vote to approve our executive compensation;</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vote to approve the 2019 LTSIP; and</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320" w:right="520" w:hanging="318"/>
        <w:spacing w:after="0" w:line="287" w:lineRule="auto"/>
        <w:tabs>
          <w:tab w:leader="none" w:pos="32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conduct any other business properly brought before the Annual Meeting or any adjournments or postponements thereof.</w:t>
      </w:r>
    </w:p>
    <w:p>
      <w:pPr>
        <w:spacing w:after="0" w:line="67"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As of the date of this proxy statement, we do not know of any other matters to be presented at the Annual Meeting. If any other matters properly come before the Annual Meeting, however, the persons named as proxies will be authorized to vote or otherwise act in accordance with their judgment.</w:t>
      </w:r>
    </w:p>
    <w:p>
      <w:pPr>
        <w:spacing w:after="0" w:line="545" w:lineRule="exact"/>
        <w:rPr>
          <w:sz w:val="20"/>
          <w:szCs w:val="20"/>
          <w:color w:val="auto"/>
        </w:rPr>
      </w:pPr>
    </w:p>
    <w:p>
      <w:pPr>
        <w:sectPr>
          <w:pgSz w:w="11900" w:h="16838" w:orient="portrait"/>
          <w:cols w:equalWidth="0" w:num="2">
            <w:col w:w="5220" w:space="600"/>
            <w:col w:w="5300"/>
          </w:cols>
          <w:pgMar w:left="240" w:top="455" w:right="539" w:bottom="1440" w:gutter="0" w:footer="0" w:header="0"/>
          <w:type w:val="continuous"/>
        </w:sectPr>
      </w:pPr>
    </w:p>
    <w:p>
      <w:pPr>
        <w:spacing w:after="0" w:line="283"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How does the Board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314" w:lineRule="exact"/>
        <w:rPr>
          <w:sz w:val="20"/>
          <w:szCs w:val="20"/>
          <w:color w:val="auto"/>
        </w:rPr>
      </w:pPr>
    </w:p>
    <w:tbl>
      <w:tblPr>
        <w:tblLayout w:type="fixed"/>
        <w:tblInd w:w="280" w:type="dxa"/>
        <w:tblCellMar>
          <w:top w:w="0" w:type="dxa"/>
          <w:left w:w="0" w:type="dxa"/>
          <w:bottom w:w="0" w:type="dxa"/>
          <w:right w:w="0" w:type="dxa"/>
        </w:tblCellMar>
      </w:tblPr>
      <w:tr>
        <w:trPr>
          <w:trHeight w:val="193"/>
        </w:trPr>
        <w:tc>
          <w:tcPr>
            <w:tcW w:w="5300" w:type="dxa"/>
            <w:vAlign w:val="bottom"/>
            <w:gridSpan w:val="2"/>
          </w:tcPr>
          <w:p>
            <w:pPr>
              <w:spacing w:after="0"/>
              <w:rPr>
                <w:sz w:val="20"/>
                <w:szCs w:val="20"/>
                <w:color w:val="auto"/>
              </w:rPr>
            </w:pPr>
            <w:r>
              <w:rPr>
                <w:rFonts w:ascii="Arial" w:cs="Arial" w:eastAsia="Arial" w:hAnsi="Arial"/>
                <w:sz w:val="16"/>
                <w:szCs w:val="16"/>
                <w:color w:val="auto"/>
              </w:rPr>
              <w:t>The Board recommends that you vote:</w:t>
            </w:r>
          </w:p>
        </w:tc>
        <w:tc>
          <w:tcPr>
            <w:tcW w:w="460" w:type="dxa"/>
            <w:vAlign w:val="bottom"/>
          </w:tcPr>
          <w:p>
            <w:pPr>
              <w:spacing w:after="0"/>
              <w:rPr>
                <w:sz w:val="16"/>
                <w:szCs w:val="16"/>
                <w:color w:val="auto"/>
              </w:rPr>
            </w:pPr>
          </w:p>
        </w:tc>
        <w:tc>
          <w:tcPr>
            <w:tcW w:w="4500" w:type="dxa"/>
            <w:vAlign w:val="bottom"/>
          </w:tcPr>
          <w:p>
            <w:pPr>
              <w:ind w:left="100"/>
              <w:spacing w:after="0"/>
              <w:rPr>
                <w:sz w:val="20"/>
                <w:szCs w:val="20"/>
                <w:color w:val="auto"/>
              </w:rPr>
            </w:pPr>
            <w:r>
              <w:rPr>
                <w:rFonts w:ascii="Arial" w:cs="Arial" w:eastAsia="Arial" w:hAnsi="Arial"/>
                <w:sz w:val="16"/>
                <w:szCs w:val="16"/>
                <w:color w:val="auto"/>
                <w:w w:val="99"/>
              </w:rPr>
              <w:t>as our independent registered public accounting firm for 2019;</w:t>
            </w:r>
          </w:p>
        </w:tc>
      </w:tr>
      <w:tr>
        <w:trPr>
          <w:trHeight w:val="300"/>
        </w:trPr>
        <w:tc>
          <w:tcPr>
            <w:tcW w:w="220" w:type="dxa"/>
            <w:vAlign w:val="bottom"/>
          </w:tcPr>
          <w:p>
            <w:pPr>
              <w:spacing w:after="0"/>
              <w:rPr>
                <w:sz w:val="20"/>
                <w:szCs w:val="20"/>
                <w:color w:val="auto"/>
              </w:rPr>
            </w:pPr>
            <w:r>
              <w:rPr>
                <w:rFonts w:ascii="Arial" w:cs="Arial" w:eastAsia="Arial" w:hAnsi="Arial"/>
                <w:sz w:val="16"/>
                <w:szCs w:val="16"/>
                <w:color w:val="auto"/>
              </w:rPr>
              <w:t>1.</w:t>
            </w:r>
          </w:p>
        </w:tc>
        <w:tc>
          <w:tcPr>
            <w:tcW w:w="5080" w:type="dxa"/>
            <w:vAlign w:val="bottom"/>
          </w:tcPr>
          <w:p>
            <w:pPr>
              <w:ind w:left="1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Lear’s director nominees named in this</w:t>
            </w: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4500" w:type="dxa"/>
            <w:vAlign w:val="bottom"/>
          </w:tcPr>
          <w:p>
            <w:pPr>
              <w:ind w:left="1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our executive</w:t>
            </w:r>
          </w:p>
        </w:tc>
      </w:tr>
      <w:tr>
        <w:trPr>
          <w:trHeight w:val="193"/>
        </w:trPr>
        <w:tc>
          <w:tcPr>
            <w:tcW w:w="220" w:type="dxa"/>
            <w:vAlign w:val="bottom"/>
          </w:tcPr>
          <w:p>
            <w:pPr>
              <w:spacing w:after="0"/>
              <w:rPr>
                <w:sz w:val="16"/>
                <w:szCs w:val="16"/>
                <w:color w:val="auto"/>
              </w:rPr>
            </w:pPr>
          </w:p>
        </w:tc>
        <w:tc>
          <w:tcPr>
            <w:tcW w:w="5080" w:type="dxa"/>
            <w:vAlign w:val="bottom"/>
          </w:tcPr>
          <w:p>
            <w:pPr>
              <w:ind w:left="100"/>
              <w:spacing w:after="0"/>
              <w:rPr>
                <w:sz w:val="20"/>
                <w:szCs w:val="20"/>
                <w:color w:val="auto"/>
              </w:rPr>
            </w:pPr>
            <w:r>
              <w:rPr>
                <w:rFonts w:ascii="Arial" w:cs="Arial" w:eastAsia="Arial" w:hAnsi="Arial"/>
                <w:sz w:val="16"/>
                <w:szCs w:val="16"/>
                <w:color w:val="auto"/>
              </w:rPr>
              <w:t>proxy statement;</w:t>
            </w:r>
          </w:p>
        </w:tc>
        <w:tc>
          <w:tcPr>
            <w:tcW w:w="460" w:type="dxa"/>
            <w:vAlign w:val="bottom"/>
          </w:tcPr>
          <w:p>
            <w:pPr>
              <w:spacing w:after="0"/>
              <w:rPr>
                <w:sz w:val="16"/>
                <w:szCs w:val="16"/>
                <w:color w:val="auto"/>
              </w:rPr>
            </w:pPr>
          </w:p>
        </w:tc>
        <w:tc>
          <w:tcPr>
            <w:tcW w:w="4500" w:type="dxa"/>
            <w:vAlign w:val="bottom"/>
          </w:tcPr>
          <w:p>
            <w:pPr>
              <w:ind w:left="100"/>
              <w:spacing w:after="0"/>
              <w:rPr>
                <w:sz w:val="20"/>
                <w:szCs w:val="20"/>
                <w:color w:val="auto"/>
              </w:rPr>
            </w:pPr>
            <w:r>
              <w:rPr>
                <w:rFonts w:ascii="Arial" w:cs="Arial" w:eastAsia="Arial" w:hAnsi="Arial"/>
                <w:sz w:val="16"/>
                <w:szCs w:val="16"/>
                <w:color w:val="auto"/>
              </w:rPr>
              <w:t>compensation; and</w:t>
            </w:r>
          </w:p>
        </w:tc>
      </w:tr>
      <w:tr>
        <w:trPr>
          <w:trHeight w:val="306"/>
        </w:trPr>
        <w:tc>
          <w:tcPr>
            <w:tcW w:w="220" w:type="dxa"/>
            <w:vAlign w:val="bottom"/>
          </w:tcPr>
          <w:p>
            <w:pPr>
              <w:spacing w:after="0"/>
              <w:rPr>
                <w:sz w:val="20"/>
                <w:szCs w:val="20"/>
                <w:color w:val="auto"/>
              </w:rPr>
            </w:pPr>
            <w:r>
              <w:rPr>
                <w:rFonts w:ascii="Arial" w:cs="Arial" w:eastAsia="Arial" w:hAnsi="Arial"/>
                <w:sz w:val="16"/>
                <w:szCs w:val="16"/>
                <w:color w:val="auto"/>
              </w:rPr>
              <w:t>2.</w:t>
            </w:r>
          </w:p>
        </w:tc>
        <w:tc>
          <w:tcPr>
            <w:tcW w:w="5080" w:type="dxa"/>
            <w:vAlign w:val="bottom"/>
          </w:tcPr>
          <w:p>
            <w:pPr>
              <w:ind w:left="1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retention of Ernst &amp; Young LLP</w:t>
            </w: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4500" w:type="dxa"/>
            <w:vAlign w:val="bottom"/>
          </w:tcPr>
          <w:p>
            <w:pPr>
              <w:ind w:left="1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2019 LTSIP.</w:t>
            </w:r>
          </w:p>
        </w:tc>
      </w:tr>
    </w:tbl>
    <w:p>
      <w:pPr>
        <w:spacing w:after="0" w:line="262" w:lineRule="exact"/>
        <w:rPr>
          <w:sz w:val="20"/>
          <w:szCs w:val="20"/>
          <w:color w:val="auto"/>
        </w:rPr>
      </w:pPr>
    </w:p>
    <w:p>
      <w:pPr>
        <w:ind w:left="740" w:hanging="359"/>
        <w:spacing w:after="0"/>
        <w:tabs>
          <w:tab w:leader="none" w:pos="7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20"/>
          </w:cols>
          <w:pgMar w:left="240" w:top="455" w:right="5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QUESTIONS AND ANSWERS ABOUT THE ANNUAL MEETING</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How do I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sectPr>
      </w:pPr>
    </w:p>
    <w:p>
      <w:pPr>
        <w:spacing w:after="0" w:line="334" w:lineRule="exact"/>
        <w:rPr>
          <w:sz w:val="20"/>
          <w:szCs w:val="20"/>
          <w:color w:val="auto"/>
        </w:rPr>
      </w:pPr>
    </w:p>
    <w:p>
      <w:pPr>
        <w:jc w:val="both"/>
        <w:ind w:left="280" w:right="80"/>
        <w:spacing w:after="0" w:line="248" w:lineRule="auto"/>
        <w:rPr>
          <w:sz w:val="20"/>
          <w:szCs w:val="20"/>
          <w:color w:val="auto"/>
        </w:rPr>
      </w:pPr>
      <w:r>
        <w:rPr>
          <w:rFonts w:ascii="Arial" w:cs="Arial" w:eastAsia="Arial" w:hAnsi="Arial"/>
          <w:sz w:val="16"/>
          <w:szCs w:val="16"/>
          <w:color w:val="auto"/>
        </w:rPr>
        <w:t>You may vote in person at the Annual Meeting or by proxy. In addition, if you are a stockholder of record of Lear’s shares, there are three ways to vote by proxy:</w:t>
      </w:r>
    </w:p>
    <w:p>
      <w:pPr>
        <w:spacing w:after="0" w:line="109" w:lineRule="exact"/>
        <w:rPr>
          <w:sz w:val="20"/>
          <w:szCs w:val="20"/>
          <w:color w:val="auto"/>
        </w:rPr>
      </w:pPr>
    </w:p>
    <w:p>
      <w:pPr>
        <w:ind w:left="480" w:right="500" w:hanging="200"/>
        <w:spacing w:after="0" w:line="247" w:lineRule="auto"/>
        <w:tabs>
          <w:tab w:leader="none" w:pos="4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By Telephone — You can vote by telephone by following the instructions on your proxy card. You will need to use the control number appearing on your notice of Internet availability of proxy materials (“Notice”) or proxy card to vote by telephone;</w:t>
      </w:r>
    </w:p>
    <w:p>
      <w:pPr>
        <w:spacing w:after="0" w:line="108" w:lineRule="exact"/>
        <w:rPr>
          <w:rFonts w:ascii="Arial" w:cs="Arial" w:eastAsia="Arial" w:hAnsi="Arial"/>
          <w:sz w:val="16"/>
          <w:szCs w:val="16"/>
          <w:color w:val="auto"/>
        </w:rPr>
      </w:pPr>
    </w:p>
    <w:p>
      <w:pPr>
        <w:ind w:left="480" w:right="520" w:hanging="200"/>
        <w:spacing w:after="0" w:line="247" w:lineRule="auto"/>
        <w:tabs>
          <w:tab w:leader="none" w:pos="4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By Internet — You can vote via the Internet by following the instructions on your proxy card. You will need to use the control number appearing on your Notice or proxy card to vote via the Internet; or</w:t>
      </w:r>
    </w:p>
    <w:p>
      <w:pPr>
        <w:spacing w:after="0" w:line="108" w:lineRule="exact"/>
        <w:rPr>
          <w:rFonts w:ascii="Arial" w:cs="Arial" w:eastAsia="Arial" w:hAnsi="Arial"/>
          <w:sz w:val="16"/>
          <w:szCs w:val="16"/>
          <w:color w:val="auto"/>
        </w:rPr>
      </w:pPr>
    </w:p>
    <w:p>
      <w:pPr>
        <w:ind w:left="480" w:right="180" w:hanging="200"/>
        <w:spacing w:after="0" w:line="254" w:lineRule="auto"/>
        <w:tabs>
          <w:tab w:leader="none" w:pos="4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By Mail — You can vote by completing, dating, signing and returning the proxy card.</w:t>
      </w:r>
    </w:p>
    <w:p>
      <w:pPr>
        <w:spacing w:after="0" w:line="90" w:lineRule="exact"/>
        <w:rPr>
          <w:sz w:val="20"/>
          <w:szCs w:val="20"/>
          <w:color w:val="auto"/>
        </w:rPr>
      </w:pPr>
    </w:p>
    <w:p>
      <w:pPr>
        <w:ind w:left="280" w:right="60"/>
        <w:spacing w:after="0" w:line="254" w:lineRule="auto"/>
        <w:rPr>
          <w:sz w:val="20"/>
          <w:szCs w:val="20"/>
          <w:color w:val="auto"/>
        </w:rPr>
      </w:pPr>
      <w:r>
        <w:rPr>
          <w:rFonts w:ascii="Arial" w:cs="Arial" w:eastAsia="Arial" w:hAnsi="Arial"/>
          <w:sz w:val="16"/>
          <w:szCs w:val="16"/>
          <w:color w:val="auto"/>
        </w:rPr>
        <w:t>If you are a beneficial owner of shares held in street name, you may vote as follows:</w:t>
      </w:r>
    </w:p>
    <w:p>
      <w:pPr>
        <w:spacing w:after="0" w:line="103" w:lineRule="exact"/>
        <w:rPr>
          <w:sz w:val="20"/>
          <w:szCs w:val="20"/>
          <w:color w:val="auto"/>
        </w:rPr>
      </w:pPr>
    </w:p>
    <w:p>
      <w:pPr>
        <w:ind w:left="480" w:right="60" w:hanging="200"/>
        <w:spacing w:after="0" w:line="246" w:lineRule="auto"/>
        <w:tabs>
          <w:tab w:leader="none" w:pos="4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By Telephone — If you request printed copies of the proxy materials by mail, you will receive a voting instruction form and you may vote by proxy by calling the toll free number found on the voting instruction form. The availability of telephone voting may depend on the voting process of the organization that holds your shares.</w:t>
      </w:r>
    </w:p>
    <w:p>
      <w:pPr>
        <w:spacing w:after="0" w:line="109" w:lineRule="exact"/>
        <w:rPr>
          <w:rFonts w:ascii="Arial" w:cs="Arial" w:eastAsia="Arial" w:hAnsi="Arial"/>
          <w:sz w:val="16"/>
          <w:szCs w:val="16"/>
          <w:color w:val="auto"/>
        </w:rPr>
      </w:pPr>
    </w:p>
    <w:p>
      <w:pPr>
        <w:ind w:left="480" w:right="300" w:hanging="200"/>
        <w:spacing w:after="0" w:line="247" w:lineRule="auto"/>
        <w:tabs>
          <w:tab w:leader="none" w:pos="4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By Internet — You may vote by proxy via the Internet by visiting www.proxyvote.com and entering the control number found in your Notice. The availability of internet voting may depend on the voting process of the organization that holds your shares.</w:t>
      </w:r>
    </w:p>
    <w:p>
      <w:pPr>
        <w:spacing w:after="0" w:line="108" w:lineRule="exact"/>
        <w:rPr>
          <w:rFonts w:ascii="Arial" w:cs="Arial" w:eastAsia="Arial" w:hAnsi="Arial"/>
          <w:sz w:val="16"/>
          <w:szCs w:val="16"/>
          <w:color w:val="auto"/>
        </w:rPr>
      </w:pPr>
    </w:p>
    <w:p>
      <w:pPr>
        <w:ind w:left="480" w:hanging="200"/>
        <w:spacing w:after="0" w:line="247" w:lineRule="auto"/>
        <w:tabs>
          <w:tab w:leader="none" w:pos="4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By Mail — If you request printed copies of the proxy materials by mail, you will receive a voting instruction form and you may vote by proxy by filling out the voting instruction form and returning it in the envelope provided.</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If you are a beneficial owner of shares held in street name and wish to vote in person at the Annual Meeting, you must obtain a “legal proxy” from the organization that holds your shares. A legal proxy is a written document that will authorize you to vote your shares held in street name at the Annual Meeting. Please contact the organization that holds your shares for instructions regarding obtaining a legal proxy. You must bring a copy of the legal proxy to the Annual Meeting and ask for a ballot when you arrive.</w:t>
      </w:r>
    </w:p>
    <w:p>
      <w:pPr>
        <w:spacing w:after="0" w:line="84"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Telephone and internet voting facilities for stockholders of record will be available 24 hours a day. You may vote over the telephone or via the Internet until 11:59 p.m. on May 15, 2019. Even if you plan to attend the Annual Meeting in person, we recommend that you also submit your proxy or voting instructions as described above so that your vote will be counted if you later decide not to attend the Annual Meeting in person.</w:t>
      </w:r>
    </w:p>
    <w:p>
      <w:pPr>
        <w:spacing w:after="0" w:line="98"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Your proxy will be voted in accordance with your instructions, so long as, in the case of a proxy card returned by mail, such card has been signed and dated. If you vote your shares via the Internet, by telephone or by executing and returning a proxy card by mail but you do not provide specific instructions with respect to the proposals, your shares will be voted FOR the director nominees named in this proxy statement, FOR the ratification of the retention of our independent registered public accounting firm, FOR the advisory approval of executive compensation described in this proxy statement and FOR the approval of the 2019 LTSIP.</w:t>
      </w:r>
    </w:p>
    <w:p>
      <w:pPr>
        <w:spacing w:after="0" w:line="101"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As of the date of this proxy statement, we do not know of any matters to be presented at the Annual Meeting except those described in this proxy statement. If any other matters properly come before the Annual Meeting, however, the persons named as proxies will be authorized to vote or otherwise act in accordance with their judgment.</w:t>
      </w:r>
    </w:p>
    <w:p>
      <w:pPr>
        <w:spacing w:after="0" w:line="893" w:lineRule="exact"/>
        <w:rPr>
          <w:sz w:val="20"/>
          <w:szCs w:val="20"/>
          <w:color w:val="auto"/>
        </w:rPr>
      </w:pPr>
    </w:p>
    <w:p>
      <w:pPr>
        <w:sectPr>
          <w:pgSz w:w="11900" w:h="16838" w:orient="portrait"/>
          <w:cols w:equalWidth="0" w:num="2">
            <w:col w:w="5480" w:space="340"/>
            <w:col w:w="5320"/>
          </w:cols>
          <w:pgMar w:left="240" w:top="455" w:right="519" w:bottom="1440" w:gutter="0" w:footer="0" w:header="0"/>
          <w:type w:val="continuous"/>
        </w:sectPr>
      </w:pPr>
    </w:p>
    <w:p>
      <w:pPr>
        <w:spacing w:after="0" w:line="149"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What does it mean if I receive more than one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334"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You may receive more than one Notice, more than one e-mail or multiple proxy cards or voting instruction cards. For example, if you hold your shares in more than one brokerage account, you may receive a separate Notice, a separate e-mail or a separate voting instruction card for each brokerage account in which you hold shares. If you are a stockholder of record and your shares are registered in more than one name, you may receive more than one Notice, more than one e-mail</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or more than one proxy card. To vote all of your shares by proxy, you must complete, sign, date and return each proxy card and voting instruction card that you receive and vote over the Internet the shares represented by each Notice that you receive (unless you have requested and received a proxy card or voting instruction card for the shares represented by one or more of those Notices).</w:t>
      </w:r>
    </w:p>
    <w:p>
      <w:pPr>
        <w:spacing w:after="0" w:line="387" w:lineRule="exact"/>
        <w:rPr>
          <w:sz w:val="20"/>
          <w:szCs w:val="20"/>
          <w:color w:val="auto"/>
        </w:rPr>
      </w:pPr>
    </w:p>
    <w:p>
      <w:pPr>
        <w:sectPr>
          <w:pgSz w:w="11900" w:h="16838" w:orient="portrait"/>
          <w:cols w:equalWidth="0" w:num="2">
            <w:col w:w="5420" w:space="400"/>
            <w:col w:w="5320"/>
          </w:cols>
          <w:pgMar w:left="240" w:top="455" w:right="519" w:bottom="1440" w:gutter="0" w:footer="0" w:header="0"/>
          <w:type w:val="continuous"/>
        </w:sectPr>
      </w:pPr>
    </w:p>
    <w:p>
      <w:pPr>
        <w:spacing w:after="0" w:line="59"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79</w:t>
      </w:r>
    </w:p>
    <w:p>
      <w:pPr>
        <w:sectPr>
          <w:pgSz w:w="11900" w:h="16838" w:orient="portrait"/>
          <w:cols w:equalWidth="0" w:num="1">
            <w:col w:w="11140"/>
          </w:cols>
          <w:pgMar w:left="240" w:top="455" w:right="51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QUESTIONS AND ANSWERS ABOUT THE ANNUAL MEETING</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May I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sectPr>
      </w:pPr>
    </w:p>
    <w:p>
      <w:pPr>
        <w:spacing w:after="0" w:line="334"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Yes. You may revoke your proxy at any time before it is voted at the Annual Meeting. To change your vote, if you are a stockholder of record, you may submit another later dated proxy by telephone, Internet or mail or by voting your shares in person at the Annual Meeting (your attendance at the Annual Meeting will not, by itself, revoke your proxy; you must vote in person at the Annual Meeting to revoke your proxy). If you are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a beneficial owner and your shares are held in street name, you may change your vote by submitting new voting instructions to your bank, broker, trustee or nominee, or if you have obtained a legal proxy from such entity giving you the right to vote your shares, you may change your vote by attending the Annual Meeting and voting in person.</w:t>
      </w:r>
    </w:p>
    <w:p>
      <w:pPr>
        <w:spacing w:after="0" w:line="571" w:lineRule="exact"/>
        <w:rPr>
          <w:sz w:val="20"/>
          <w:szCs w:val="20"/>
          <w:color w:val="auto"/>
        </w:rPr>
      </w:pPr>
    </w:p>
    <w:p>
      <w:pPr>
        <w:sectPr>
          <w:pgSz w:w="11900" w:h="16838" w:orient="portrait"/>
          <w:cols w:equalWidth="0" w:num="2">
            <w:col w:w="5380" w:space="440"/>
            <w:col w:w="5320"/>
          </w:cols>
          <w:pgMar w:left="240" w:top="455" w:right="519" w:bottom="1440" w:gutter="0" w:footer="0" w:header="0"/>
          <w:type w:val="continuous"/>
        </w:sectPr>
      </w:pPr>
    </w:p>
    <w:p>
      <w:pPr>
        <w:spacing w:after="0" w:line="151" w:lineRule="exact"/>
        <w:rPr>
          <w:sz w:val="20"/>
          <w:szCs w:val="20"/>
          <w:color w:val="auto"/>
        </w:rPr>
      </w:pPr>
    </w:p>
    <w:p>
      <w:pPr>
        <w:ind w:left="280" w:right="620"/>
        <w:spacing w:after="0" w:line="290" w:lineRule="auto"/>
        <w:rPr>
          <w:sz w:val="20"/>
          <w:szCs w:val="20"/>
          <w:color w:val="auto"/>
        </w:rPr>
      </w:pPr>
      <w:r>
        <w:rPr>
          <w:rFonts w:ascii="Arial" w:cs="Arial" w:eastAsia="Arial" w:hAnsi="Arial"/>
          <w:sz w:val="23"/>
          <w:szCs w:val="23"/>
          <w:b w:val="1"/>
          <w:bCs w:val="1"/>
          <w:color w:val="auto"/>
        </w:rPr>
        <w:t>What vote is required to elect directors and approve the other matters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6985</wp:posOffset>
            </wp:positionV>
            <wp:extent cx="69018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239"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Because this is an uncontested election, the director nominees must receive the affirmative vote of a majority of the votes cast to be elected (i.e., the number of shares voted “for” a director nominee must exceed the number of votes cast “against” that nominee) (Proposal No. 1). Abstentions and broker non-votes will have no effect on the outcome of the election of directors. In an uncontested election, our Bylaws provide that any incumbent director that fails to receive a majority of votes cast shall immediately tender his or her resignation. Our Board, in a process managed by the Nominating Committee and following a recommendation by that committee, must decide whether or not to accept the tendered resignation.</w:t>
      </w:r>
    </w:p>
    <w:p>
      <w:pPr>
        <w:spacing w:after="0" w:line="100" w:lineRule="exact"/>
        <w:rPr>
          <w:sz w:val="20"/>
          <w:szCs w:val="20"/>
          <w:color w:val="auto"/>
        </w:rPr>
      </w:pPr>
    </w:p>
    <w:p>
      <w:pPr>
        <w:ind w:left="280" w:right="720"/>
        <w:spacing w:after="0" w:line="254" w:lineRule="auto"/>
        <w:rPr>
          <w:sz w:val="20"/>
          <w:szCs w:val="20"/>
          <w:color w:val="auto"/>
        </w:rPr>
      </w:pPr>
      <w:r>
        <w:rPr>
          <w:rFonts w:ascii="Arial" w:cs="Arial" w:eastAsia="Arial" w:hAnsi="Arial"/>
          <w:sz w:val="16"/>
          <w:szCs w:val="16"/>
          <w:color w:val="auto"/>
        </w:rPr>
        <w:t>For the ratification of the retention of Ernst &amp; Young LLP as our independent registered public accounting firm (Proposal</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No. 2), the advisory approval of our executive compensation (Proposal No. 3) and the approval of the 2019 LTSIP (Proposal No. 4), the affirmative vote of the holders of a majority of the shares represented in person or by proxy and entitled to vote on the proposal will be required for approval. Abstentions will not be voted but will be counted for purposes of determining whether there is a quorum. Accordingly, abstentions will have the effect of a negative vote on Proposals No. 2, 3 and 4. Absent specific instructions on Proposal No. 2, brokers are permitted to exercise voting discretion with respect to such proposal. Broker non-votes will have no effect on Proposals No. 3 and 4. For additional information about broker non-votes see “How do I vote if my bank or broker holds my shares in ‘street name’?”</w:t>
      </w:r>
    </w:p>
    <w:p>
      <w:pPr>
        <w:spacing w:after="0" w:line="502" w:lineRule="exact"/>
        <w:rPr>
          <w:sz w:val="20"/>
          <w:szCs w:val="20"/>
          <w:color w:val="auto"/>
        </w:rPr>
      </w:pPr>
    </w:p>
    <w:p>
      <w:pPr>
        <w:sectPr>
          <w:pgSz w:w="11900" w:h="16838" w:orient="portrait"/>
          <w:cols w:equalWidth="0" w:num="2">
            <w:col w:w="5440" w:space="380"/>
            <w:col w:w="5320"/>
          </w:cols>
          <w:pgMar w:left="240" w:top="455" w:right="519" w:bottom="1440" w:gutter="0" w:footer="0" w:header="0"/>
          <w:type w:val="continuous"/>
        </w:sectPr>
      </w:pPr>
    </w:p>
    <w:p>
      <w:pPr>
        <w:spacing w:after="0" w:line="144" w:lineRule="exact"/>
        <w:rPr>
          <w:sz w:val="20"/>
          <w:szCs w:val="20"/>
          <w:color w:val="auto"/>
        </w:rPr>
      </w:pPr>
    </w:p>
    <w:p>
      <w:pPr>
        <w:ind w:left="280" w:right="700"/>
        <w:spacing w:after="0" w:line="290" w:lineRule="auto"/>
        <w:rPr>
          <w:sz w:val="20"/>
          <w:szCs w:val="20"/>
          <w:color w:val="auto"/>
        </w:rPr>
      </w:pPr>
      <w:r>
        <w:rPr>
          <w:rFonts w:ascii="Arial" w:cs="Arial" w:eastAsia="Arial" w:hAnsi="Arial"/>
          <w:sz w:val="23"/>
          <w:szCs w:val="23"/>
          <w:b w:val="1"/>
          <w:bCs w:val="1"/>
          <w:color w:val="auto"/>
        </w:rPr>
        <w:t>What is the difference between holding shares as a stockholder of record and as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6985</wp:posOffset>
            </wp:positionV>
            <wp:extent cx="69018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239"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If your shares are registered in your name on the Company’s books and records or with our transfer agent, you are the “stockholder of record” of those shares, and this proxy statement and accompanying materials have been provided directly to you by the Company. On the other hand, if you purchased your shares through a brokerage or other financial intermediary, the brokerage or other financial intermediary will automatically put your shares into “street name” which means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that the brokerage or other financial intermediary will hold your shares in its name or another nominee’s name and not in your name, but will keep records showing you as the “beneficial owner.” If you hold shares beneficially in street name, this proxy statement and accompanying materials have been forwarded to you by your broker, bank or other holder of record.</w:t>
      </w:r>
    </w:p>
    <w:p>
      <w:pPr>
        <w:spacing w:after="0" w:line="387" w:lineRule="exact"/>
        <w:rPr>
          <w:sz w:val="20"/>
          <w:szCs w:val="20"/>
          <w:color w:val="auto"/>
        </w:rPr>
      </w:pPr>
    </w:p>
    <w:p>
      <w:pPr>
        <w:sectPr>
          <w:pgSz w:w="11900" w:h="16838" w:orient="portrait"/>
          <w:cols w:equalWidth="0" w:num="2">
            <w:col w:w="5500" w:space="320"/>
            <w:col w:w="5320"/>
          </w:cols>
          <w:pgMar w:left="240" w:top="455" w:right="519" w:bottom="1440" w:gutter="0" w:footer="0" w:header="0"/>
          <w:type w:val="continuous"/>
        </w:sectPr>
      </w:pPr>
    </w:p>
    <w:p>
      <w:pPr>
        <w:spacing w:after="0" w:line="138"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How do I vote if my bank or broker holds my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334"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If you hold your shares in “street name” through a bank, broker or other nominee, such bank, broker or nominee will vote those shares in accordance with your instructions. To so instruct your bank, broker or nominee, you should refer to the information provided to you by such entity. Without instructions from you, a bank, broker or nominee will be permitted to exercise its own voting discretion with respect to so-called routine matters (Proposal No. 2 (ratification of</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auditors)) but will not be permitted to exercise voting discretion with respect to non-routine matters (Proposals No. 1 (director elections), No. 3 (advisory vote on executive compensation) and No. 4 (vote to approve the 2019 LTSIP)). Thus, if you do not give your bank, broker or nominee specific instructions with respect to Proposal No. 2, your shares will be voted in such entity’s discretion. If you do not give your bank, broker or nominee specific instructions with respect to the remaining</w:t>
      </w:r>
    </w:p>
    <w:p>
      <w:pPr>
        <w:spacing w:after="0" w:line="200" w:lineRule="exact"/>
        <w:rPr>
          <w:sz w:val="20"/>
          <w:szCs w:val="20"/>
          <w:color w:val="auto"/>
        </w:rPr>
      </w:pPr>
    </w:p>
    <w:p>
      <w:pPr>
        <w:sectPr>
          <w:pgSz w:w="11900" w:h="16838" w:orient="portrait"/>
          <w:cols w:equalWidth="0" w:num="2">
            <w:col w:w="5300" w:space="520"/>
            <w:col w:w="5320"/>
          </w:cols>
          <w:pgMar w:left="240" w:top="455" w:right="519" w:bottom="1440" w:gutter="0" w:footer="0" w:header="0"/>
          <w:type w:val="continuous"/>
        </w:sectPr>
      </w:pPr>
    </w:p>
    <w:p>
      <w:pPr>
        <w:spacing w:after="0" w:line="59" w:lineRule="exact"/>
        <w:rPr>
          <w:sz w:val="20"/>
          <w:szCs w:val="20"/>
          <w:color w:val="auto"/>
        </w:rPr>
      </w:pPr>
    </w:p>
    <w:p>
      <w:pPr>
        <w:ind w:left="740" w:hanging="359"/>
        <w:spacing w:after="0"/>
        <w:tabs>
          <w:tab w:leader="none" w:pos="7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240" w:top="455" w:right="51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280"/>
        <w:spacing w:after="0" w:line="247" w:lineRule="auto"/>
        <w:rPr>
          <w:sz w:val="20"/>
          <w:szCs w:val="20"/>
          <w:color w:val="auto"/>
        </w:rPr>
      </w:pPr>
      <w:r>
        <w:rPr>
          <w:rFonts w:ascii="Arial" w:cs="Arial" w:eastAsia="Arial" w:hAnsi="Arial"/>
          <w:sz w:val="16"/>
          <w:szCs w:val="16"/>
          <w:color w:val="auto"/>
        </w:rPr>
        <w:t>proposals, your shares will not be voted on such proposals. This is called a “broker non-vote.” Shares represented by such broker non-votes will be counted in determining whether there is a quorum and will have no effect on the non-routine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920"/>
        <w:spacing w:after="0"/>
        <w:rPr>
          <w:sz w:val="20"/>
          <w:szCs w:val="20"/>
          <w:color w:val="auto"/>
        </w:rPr>
      </w:pPr>
      <w:r>
        <w:rPr>
          <w:rFonts w:ascii="Arial" w:cs="Arial" w:eastAsia="Arial" w:hAnsi="Arial"/>
          <w:sz w:val="15"/>
          <w:szCs w:val="15"/>
          <w:b w:val="1"/>
          <w:bCs w:val="1"/>
          <w:u w:val="single" w:color="auto"/>
          <w:color w:val="E2231A"/>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-628015</wp:posOffset>
            </wp:positionV>
            <wp:extent cx="7291070"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190" w:lineRule="exact"/>
        <w:rPr>
          <w:sz w:val="20"/>
          <w:szCs w:val="20"/>
          <w:color w:val="auto"/>
        </w:rPr>
      </w:pPr>
    </w:p>
    <w:p>
      <w:pPr>
        <w:jc w:val="both"/>
        <w:ind w:right="60"/>
        <w:spacing w:after="0" w:line="248" w:lineRule="auto"/>
        <w:rPr>
          <w:sz w:val="20"/>
          <w:szCs w:val="20"/>
          <w:color w:val="auto"/>
        </w:rPr>
      </w:pPr>
      <w:r>
        <w:rPr>
          <w:rFonts w:ascii="Arial" w:cs="Arial" w:eastAsia="Arial" w:hAnsi="Arial"/>
          <w:sz w:val="16"/>
          <w:szCs w:val="16"/>
          <w:color w:val="auto"/>
        </w:rPr>
        <w:t>proposals. We urge you to promptly provide your bank, broker or nominee with appropriate voting instructions so that all your shares may be voted at the Annual Meeting.</w:t>
      </w:r>
    </w:p>
    <w:p>
      <w:pPr>
        <w:spacing w:after="0" w:line="387" w:lineRule="exact"/>
        <w:rPr>
          <w:sz w:val="20"/>
          <w:szCs w:val="20"/>
          <w:color w:val="auto"/>
        </w:rPr>
      </w:pPr>
    </w:p>
    <w:p>
      <w:pPr>
        <w:sectPr>
          <w:pgSz w:w="11900" w:h="16838" w:orient="portrait"/>
          <w:cols w:equalWidth="0" w:num="2">
            <w:col w:w="5460" w:space="360"/>
            <w:col w:w="5320"/>
          </w:cols>
          <w:pgMar w:left="240" w:top="455" w:right="519" w:bottom="1440" w:gutter="0" w:footer="0" w:header="0"/>
        </w:sectPr>
      </w:pPr>
    </w:p>
    <w:p>
      <w:pPr>
        <w:spacing w:after="0" w:line="149"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61" w:lineRule="exact"/>
        <w:rPr>
          <w:sz w:val="20"/>
          <w:szCs w:val="20"/>
          <w:color w:val="auto"/>
        </w:rPr>
      </w:pPr>
    </w:p>
    <w:p>
      <w:pPr>
        <w:ind w:left="280" w:right="400"/>
        <w:spacing w:after="0" w:line="254" w:lineRule="auto"/>
        <w:rPr>
          <w:sz w:val="20"/>
          <w:szCs w:val="20"/>
          <w:color w:val="auto"/>
        </w:rPr>
      </w:pPr>
      <w:r>
        <w:rPr>
          <w:rFonts w:ascii="Arial" w:cs="Arial" w:eastAsia="Arial" w:hAnsi="Arial"/>
          <w:sz w:val="16"/>
          <w:szCs w:val="16"/>
          <w:color w:val="auto"/>
        </w:rPr>
        <w:t>Each share of common stock that you hold as of the record date entitles you to one vote, without cumulation, on each matter to be voted upon at the Annual Meeting.</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How will the votes be counted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6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votes will be counted by the inspector of election appointed for the Annual Meeting.</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How will the Company announce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6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will report the final results of the voting at the Annual Meeting in a filing with the SEC on a Current Report on Form 8-K.</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Who pays for the Company’s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334"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The Board is soliciting your proxy to vote your shares of common stock at our Annual Meeting. We will bear the cost of soliciting proxies on behalf of the Company, including preparing, printing and mailing this proxy statement. Proxies may be solicited personally, by mail, email or by telephone by certain of our directors, officers, employees or representatives.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Our directors and employees will not be paid any additional compensation for soliciting proxies. We will reimburse brokerage houses, banks, custodians and other nominees and fiduciaries for out-of-pocket expenses incurred in forwarding our proxy solicitation materials.</w:t>
      </w:r>
    </w:p>
    <w:p>
      <w:pPr>
        <w:spacing w:after="0" w:line="569" w:lineRule="exact"/>
        <w:rPr>
          <w:sz w:val="20"/>
          <w:szCs w:val="20"/>
          <w:color w:val="auto"/>
        </w:rPr>
      </w:pPr>
    </w:p>
    <w:p>
      <w:pPr>
        <w:sectPr>
          <w:pgSz w:w="11900" w:h="16838" w:orient="portrait"/>
          <w:cols w:equalWidth="0" w:num="2">
            <w:col w:w="5460" w:space="360"/>
            <w:col w:w="5320"/>
          </w:cols>
          <w:pgMar w:left="240" w:top="455" w:right="519" w:bottom="1440" w:gutter="0" w:footer="0" w:header="0"/>
          <w:type w:val="continuous"/>
        </w:sectPr>
      </w:pPr>
    </w:p>
    <w:p>
      <w:pPr>
        <w:spacing w:after="0" w:line="153"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What is “householding” and how does it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334"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Under the rules adopted by the SEC, we may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these documents was delivered. If you prefer to receive separate copies of the Notice, proxy statement or annual report, contact Broadridge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color w:val="auto"/>
        </w:rPr>
        <w:t>Financial Solutions, Inc. by calling 1-800-542-1061 or in writing at Broadridge, Householding Department, 51 Mercedes Way, Edgewood, New York 11717.</w:t>
      </w:r>
    </w:p>
    <w:p>
      <w:pPr>
        <w:spacing w:after="0" w:line="96"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In addition, if you currently are a stockholder who shares an address with another stockholder and would like to receive only one copy of future notices and proxy materials for your household, you may notify your broker if your shares are held in a brokerage account or you may notify us if you hold registered shares. Registered stockholders may notify us by contacting Broadridge Financial Solutions, Inc. at the above telephone number or address or sending a written request to Lear Corporation, 21557 Telegraph Road, Southfield, Michigan 48033, Attention: Investor Relations.</w:t>
      </w:r>
    </w:p>
    <w:p>
      <w:pPr>
        <w:spacing w:after="0" w:line="282" w:lineRule="exact"/>
        <w:rPr>
          <w:sz w:val="20"/>
          <w:szCs w:val="20"/>
          <w:color w:val="auto"/>
        </w:rPr>
      </w:pPr>
    </w:p>
    <w:p>
      <w:pPr>
        <w:sectPr>
          <w:pgSz w:w="11900" w:h="16838" w:orient="portrait"/>
          <w:cols w:equalWidth="0" w:num="2">
            <w:col w:w="5460" w:space="360"/>
            <w:col w:w="5320"/>
          </w:cols>
          <w:pgMar w:left="240" w:top="455" w:right="519" w:bottom="1440" w:gutter="0" w:footer="0" w:header="0"/>
          <w:type w:val="continuous"/>
        </w:sectPr>
      </w:pPr>
    </w:p>
    <w:p>
      <w:pPr>
        <w:spacing w:after="0" w:line="140"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What do I need for admission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type w:val="continuous"/>
        </w:sectPr>
      </w:pPr>
    </w:p>
    <w:p>
      <w:pPr>
        <w:spacing w:after="0" w:line="334" w:lineRule="exact"/>
        <w:rPr>
          <w:sz w:val="20"/>
          <w:szCs w:val="20"/>
          <w:color w:val="auto"/>
        </w:rPr>
      </w:pPr>
    </w:p>
    <w:p>
      <w:pPr>
        <w:ind w:left="280"/>
        <w:spacing w:after="0" w:line="268" w:lineRule="auto"/>
        <w:rPr>
          <w:sz w:val="20"/>
          <w:szCs w:val="20"/>
          <w:color w:val="auto"/>
        </w:rPr>
      </w:pPr>
      <w:r>
        <w:rPr>
          <w:rFonts w:ascii="Arial" w:cs="Arial" w:eastAsia="Arial" w:hAnsi="Arial"/>
          <w:sz w:val="15"/>
          <w:szCs w:val="15"/>
          <w:color w:val="auto"/>
        </w:rPr>
        <w:t>Attendance at the Annual Meeting or any adjournment or postponement thereof will be limited to record and beneficial stockholders as of the record date (March 21, 2019), individuals holding a valid proxy from a record holder and other persons authorized by the Company. If you are a</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stockholder of record (or a “recordholder”), your name will be verified against the list of stockholders of record prior to your admittance to the Annual Meeting or any adjournment or postponement thereof. You should be prepared to present photo identification for admission. If you hold your shares in a</w:t>
      </w:r>
    </w:p>
    <w:p>
      <w:pPr>
        <w:spacing w:after="0" w:line="200" w:lineRule="exact"/>
        <w:rPr>
          <w:sz w:val="20"/>
          <w:szCs w:val="20"/>
          <w:color w:val="auto"/>
        </w:rPr>
      </w:pPr>
    </w:p>
    <w:p>
      <w:pPr>
        <w:sectPr>
          <w:pgSz w:w="11900" w:h="16838" w:orient="portrait"/>
          <w:cols w:equalWidth="0" w:num="2">
            <w:col w:w="5440" w:space="380"/>
            <w:col w:w="5320"/>
          </w:cols>
          <w:pgMar w:left="240" w:top="455" w:right="519" w:bottom="1440" w:gutter="0" w:footer="0" w:header="0"/>
          <w:type w:val="continuous"/>
        </w:sectPr>
      </w:pPr>
    </w:p>
    <w:p>
      <w:pPr>
        <w:spacing w:after="0" w:line="58"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81</w:t>
      </w:r>
    </w:p>
    <w:p>
      <w:pPr>
        <w:sectPr>
          <w:pgSz w:w="11900" w:h="16838" w:orient="portrait"/>
          <w:cols w:equalWidth="0" w:num="1">
            <w:col w:w="11140"/>
          </w:cols>
          <w:pgMar w:left="240" w:top="455" w:right="51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QUESTIONS AND ANSWERS ABOUT THE ANNUAL MEETING</w:t>
      </w:r>
    </w:p>
    <w:p>
      <w:pPr>
        <w:spacing w:after="0" w:line="210" w:lineRule="exact"/>
        <w:rPr>
          <w:sz w:val="20"/>
          <w:szCs w:val="20"/>
          <w:color w:val="auto"/>
        </w:rPr>
      </w:pPr>
    </w:p>
    <w:p>
      <w:pPr>
        <w:ind w:left="280"/>
        <w:spacing w:after="0" w:line="246" w:lineRule="auto"/>
        <w:rPr>
          <w:sz w:val="20"/>
          <w:szCs w:val="20"/>
          <w:color w:val="auto"/>
        </w:rPr>
      </w:pPr>
      <w:r>
        <w:rPr>
          <w:rFonts w:ascii="Arial" w:cs="Arial" w:eastAsia="Arial" w:hAnsi="Arial"/>
          <w:sz w:val="16"/>
          <w:szCs w:val="16"/>
          <w:color w:val="auto"/>
        </w:rPr>
        <w:t>street name, you will need to provide proof of beneficial ownership on the record date, such as a brokerage account statement showing that you owned stock as of the record date, a copy of a voting instruction form provided by your broker, bank or other nominee, or other similar evidence of ownership as of the record date, as well as your photo</w:t>
      </w:r>
    </w:p>
    <w:p>
      <w:pPr>
        <w:spacing w:after="0" w:line="258" w:lineRule="exact"/>
        <w:rPr>
          <w:sz w:val="20"/>
          <w:szCs w:val="20"/>
          <w:color w:val="auto"/>
        </w:rPr>
      </w:pPr>
    </w:p>
    <w:p>
      <w:pPr>
        <w:ind w:left="740" w:hanging="359"/>
        <w:spacing w:after="0"/>
        <w:tabs>
          <w:tab w:leader="none" w:pos="7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identification, for admission. If you do not provide photo identification or comply with the other procedures described above, you will not be admitted to the Annual Meeting or any adjournment or postponement thereof. For security reasons, you and your bags may be subject to search prior to your admittance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-1360805</wp:posOffset>
            </wp:positionV>
            <wp:extent cx="7291070"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ectPr>
          <w:pgSz w:w="11900" w:h="16838" w:orient="portrait"/>
          <w:cols w:equalWidth="0" w:num="2">
            <w:col w:w="5460" w:space="360"/>
            <w:col w:w="5260"/>
          </w:cols>
          <w:pgMar w:left="240" w:top="455" w:right="5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280" w:right="1620"/>
        <w:spacing w:after="0" w:line="280" w:lineRule="auto"/>
        <w:rPr>
          <w:sz w:val="20"/>
          <w:szCs w:val="20"/>
          <w:color w:val="auto"/>
        </w:rPr>
      </w:pPr>
      <w:r>
        <w:rPr>
          <w:rFonts w:ascii="Arial" w:cs="Arial" w:eastAsia="Arial" w:hAnsi="Arial"/>
          <w:sz w:val="39"/>
          <w:szCs w:val="39"/>
          <w:b w:val="1"/>
          <w:bCs w:val="1"/>
          <w:color w:val="E2231A"/>
        </w:rPr>
        <w:t>STOCKHOLDER PROPOSALS FOR 2020 ANNUAL MEETING OF STOCKHOLDERS</w:t>
      </w:r>
    </w:p>
    <w:p>
      <w:pPr>
        <w:sectPr>
          <w:pgSz w:w="11900" w:h="16838" w:orient="portrait"/>
          <w:cols w:equalWidth="0" w:num="1">
            <w:col w:w="11140"/>
          </w:cols>
          <w:pgMar w:left="240" w:top="455" w:right="519" w:bottom="1440" w:gutter="0" w:footer="0" w:header="0"/>
        </w:sectPr>
      </w:pPr>
    </w:p>
    <w:p>
      <w:pPr>
        <w:spacing w:after="0" w:line="78" w:lineRule="exact"/>
        <w:rPr>
          <w:sz w:val="20"/>
          <w:szCs w:val="20"/>
          <w:color w:val="auto"/>
        </w:rPr>
      </w:pPr>
    </w:p>
    <w:p>
      <w:pPr>
        <w:ind w:left="280"/>
        <w:spacing w:after="0" w:line="262" w:lineRule="auto"/>
        <w:rPr>
          <w:sz w:val="20"/>
          <w:szCs w:val="20"/>
          <w:color w:val="auto"/>
        </w:rPr>
      </w:pPr>
      <w:r>
        <w:rPr>
          <w:rFonts w:ascii="Arial" w:cs="Arial" w:eastAsia="Arial" w:hAnsi="Arial"/>
          <w:sz w:val="15"/>
          <w:szCs w:val="15"/>
          <w:color w:val="auto"/>
        </w:rPr>
        <w:t>Stockholders who intend to present proposals at the Company’s annual meeting of stockholders in 2020 pursuant to Rule 14a-8 under the Exchange Act must send notice of their proposal to us so that we receive it no later than November 30, 2019. Stockholders who intend to present proposals at the annual meeting of stockholders in 2019 other than pursuant to Rule 14a-8 must comply with the notice provisions in our Bylaws. The notice provisions in our Bylaws require that, for a proposal to be properly brought before the annual meeting of stockholders in 2020, proper notice of the proposal be received by us not less than 90 days nor more than 120 days prior to the first anniversary of the preceding</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year’s annual meeting; provided, however that in the event next year’s annual meeting is more than 30 days before or less than 70 days after such anniversary date, notice must be delivered not less than the later of 90 days prior to next year’s annual meeting or the 10th day following the day the Company first publicly announces next year’s annual meeting date. Under these requirements, the deadline for proposals brought under our Bylaws is February 16, 2020. Stockholder proposals should be addressed to Lear Corporation, 21557 Telegraph Road, Southfield, Michigan 48033, Attention: Terrence B. Larkin, Executive Vice President, Business Development, General Counsel and Corporate Secretary.</w:t>
      </w:r>
    </w:p>
    <w:p>
      <w:pPr>
        <w:spacing w:after="0" w:line="212" w:lineRule="exact"/>
        <w:rPr>
          <w:sz w:val="20"/>
          <w:szCs w:val="20"/>
          <w:color w:val="auto"/>
        </w:rPr>
      </w:pPr>
    </w:p>
    <w:p>
      <w:pPr>
        <w:sectPr>
          <w:pgSz w:w="11900" w:h="16838" w:orient="portrait"/>
          <w:cols w:equalWidth="0" w:num="2">
            <w:col w:w="5480" w:space="340"/>
            <w:col w:w="5320"/>
          </w:cols>
          <w:pgMar w:left="240" w:top="455" w:right="519" w:bottom="1440" w:gutter="0" w:footer="0" w:header="0"/>
          <w:type w:val="continuous"/>
        </w:sectPr>
      </w:pPr>
    </w:p>
    <w:p>
      <w:pPr>
        <w:spacing w:after="0" w:line="50" w:lineRule="exact"/>
        <w:rPr>
          <w:sz w:val="20"/>
          <w:szCs w:val="20"/>
          <w:color w:val="auto"/>
        </w:rPr>
      </w:pPr>
    </w:p>
    <w:p>
      <w:pPr>
        <w:ind w:left="8940"/>
        <w:spacing w:after="0"/>
        <w:tabs>
          <w:tab w:leader="none" w:pos="10620" w:val="left"/>
          <w:tab w:leader="none" w:pos="108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b w:val="1"/>
          <w:bCs w:val="1"/>
          <w:color w:val="auto"/>
        </w:rPr>
        <w:t>83</w:t>
      </w:r>
    </w:p>
    <w:p>
      <w:pPr>
        <w:sectPr>
          <w:pgSz w:w="11900" w:h="16838" w:orient="portrait"/>
          <w:cols w:equalWidth="0" w:num="1">
            <w:col w:w="11140"/>
          </w:cols>
          <w:pgMar w:left="240" w:top="455" w:right="51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280"/>
        <w:spacing w:after="0"/>
        <w:rPr>
          <w:sz w:val="20"/>
          <w:szCs w:val="20"/>
          <w:color w:val="auto"/>
        </w:rPr>
      </w:pPr>
      <w:r>
        <w:rPr>
          <w:rFonts w:ascii="Arial" w:cs="Arial" w:eastAsia="Arial" w:hAnsi="Arial"/>
          <w:sz w:val="39"/>
          <w:szCs w:val="39"/>
          <w:b w:val="1"/>
          <w:bCs w:val="1"/>
          <w:color w:val="E2231A"/>
        </w:rPr>
        <w:t>OTHER MATTERS</w:t>
      </w:r>
    </w:p>
    <w:p>
      <w:pPr>
        <w:spacing w:after="0" w:line="343" w:lineRule="exact"/>
        <w:rPr>
          <w:sz w:val="20"/>
          <w:szCs w:val="20"/>
          <w:color w:val="auto"/>
        </w:rPr>
      </w:pPr>
    </w:p>
    <w:p>
      <w:pPr>
        <w:ind w:left="280" w:right="200"/>
        <w:spacing w:after="0" w:line="247" w:lineRule="auto"/>
        <w:rPr>
          <w:sz w:val="20"/>
          <w:szCs w:val="20"/>
          <w:color w:val="auto"/>
        </w:rPr>
      </w:pPr>
      <w:r>
        <w:rPr>
          <w:rFonts w:ascii="Arial" w:cs="Arial" w:eastAsia="Arial" w:hAnsi="Arial"/>
          <w:sz w:val="16"/>
          <w:szCs w:val="16"/>
          <w:color w:val="auto"/>
        </w:rPr>
        <w:t>We know of no other matters to be submitted to the stockholders at the Annual Meeting. If any other matters properly come before the Annual Meeting, persons named in the proxy intend to vote the shares they represent in accordance with their own judgments.</w:t>
      </w:r>
    </w:p>
    <w:p>
      <w:pPr>
        <w:spacing w:after="0" w:line="70" w:lineRule="exact"/>
        <w:rPr>
          <w:sz w:val="20"/>
          <w:szCs w:val="20"/>
          <w:color w:val="auto"/>
        </w:rPr>
      </w:pPr>
    </w:p>
    <w:p>
      <w:pPr>
        <w:ind w:left="280"/>
        <w:spacing w:after="0" w:line="257" w:lineRule="auto"/>
        <w:rPr>
          <w:sz w:val="20"/>
          <w:szCs w:val="20"/>
          <w:color w:val="auto"/>
        </w:rPr>
      </w:pPr>
      <w:r>
        <w:rPr>
          <w:rFonts w:ascii="Arial" w:cs="Arial" w:eastAsia="Arial" w:hAnsi="Arial"/>
          <w:sz w:val="17"/>
          <w:szCs w:val="17"/>
          <w:b w:val="1"/>
          <w:bCs w:val="1"/>
          <w:color w:val="auto"/>
        </w:rPr>
        <w:t>Upon written request by any stockholder entitled to vote at the Annual Meeting, we will promptly furnish, without charge, a copy of the Annual Report on Form 10-K for the fiscal year ended December 31, 2018, which we filed with the SEC, including the financial statements and schedule. If the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36" w:lineRule="auto"/>
        <w:rPr>
          <w:sz w:val="20"/>
          <w:szCs w:val="20"/>
          <w:color w:val="auto"/>
        </w:rPr>
      </w:pPr>
      <w:r>
        <w:rPr>
          <w:rFonts w:ascii="Arial" w:cs="Arial" w:eastAsia="Arial" w:hAnsi="Arial"/>
          <w:sz w:val="18"/>
          <w:szCs w:val="18"/>
          <w:b w:val="1"/>
          <w:bCs w:val="1"/>
          <w:color w:val="auto"/>
        </w:rPr>
        <w:t>requesting the report was not a stockholder of record on March 21, 2019, the request must contain a good faith representation that he or she was a beneficial owner of our common stock at the close of business on that date. Requests should be addressed to Lear Corporation, 21557 Telegraph Road, Southfield, Michigan 48033, Attention: Terrence B. Larkin, Executive Vice President, Business Development,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-2118360</wp:posOffset>
            </wp:positionV>
            <wp:extent cx="7291070"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470" w:lineRule="exact"/>
        <w:rPr>
          <w:sz w:val="20"/>
          <w:szCs w:val="20"/>
          <w:color w:val="auto"/>
        </w:rPr>
      </w:pPr>
    </w:p>
    <w:p>
      <w:pPr>
        <w:sectPr>
          <w:pgSz w:w="11900" w:h="16838" w:orient="portrait"/>
          <w:cols w:equalWidth="0" w:num="2">
            <w:col w:w="5480" w:space="340"/>
            <w:col w:w="5280"/>
          </w:cols>
          <w:pgMar w:left="240" w:top="455" w:right="559" w:bottom="1440" w:gutter="0" w:footer="0" w:header="0"/>
        </w:sectPr>
      </w:pPr>
    </w:p>
    <w:p>
      <w:pPr>
        <w:spacing w:after="0" w:line="135"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YOUR VOTE IS IMPORTANT. WE URGE YOU TO VOTE TODAY BY TELEPHONE, VIA THE INTERNET OR BY MAIL.</w:t>
      </w:r>
    </w:p>
    <w:p>
      <w:pPr>
        <w:spacing w:after="0" w:line="259"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135890</wp:posOffset>
            </wp:positionV>
            <wp:extent cx="1776095" cy="4819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76095" cy="481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Terrence B. Larkin</w:t>
      </w:r>
    </w:p>
    <w:p>
      <w:pPr>
        <w:spacing w:after="0" w:line="2"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Executive Vice President, Business Development,</w:t>
      </w:r>
    </w:p>
    <w:p>
      <w:pPr>
        <w:spacing w:after="0" w:line="2" w:lineRule="exact"/>
        <w:rPr>
          <w:sz w:val="20"/>
          <w:szCs w:val="20"/>
          <w:color w:val="auto"/>
        </w:rPr>
      </w:pPr>
    </w:p>
    <w:p>
      <w:pPr>
        <w:ind w:left="6800"/>
        <w:spacing w:after="0"/>
        <w:rPr>
          <w:sz w:val="20"/>
          <w:szCs w:val="20"/>
          <w:color w:val="auto"/>
        </w:rPr>
      </w:pPr>
      <w:r>
        <w:rPr>
          <w:rFonts w:ascii="Arial" w:cs="Arial" w:eastAsia="Arial" w:hAnsi="Arial"/>
          <w:sz w:val="16"/>
          <w:szCs w:val="16"/>
          <w:i w:val="1"/>
          <w:iCs w:val="1"/>
          <w:color w:val="auto"/>
        </w:rPr>
        <w:t>General Counsel and Corporate Secretary</w:t>
      </w:r>
    </w:p>
    <w:p>
      <w:pPr>
        <w:spacing w:after="0" w:line="124" w:lineRule="exact"/>
        <w:rPr>
          <w:sz w:val="20"/>
          <w:szCs w:val="20"/>
          <w:color w:val="auto"/>
        </w:rPr>
      </w:pPr>
    </w:p>
    <w:p>
      <w:pPr>
        <w:ind w:left="740" w:hanging="359"/>
        <w:spacing w:after="0"/>
        <w:tabs>
          <w:tab w:leader="none" w:pos="7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00"/>
          </w:cols>
          <w:pgMar w:left="240" w:top="455" w:right="55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APPENDIX A</w:t>
      </w:r>
    </w:p>
    <w:p>
      <w:pPr>
        <w:spacing w:after="0" w:line="83" w:lineRule="exact"/>
        <w:rPr>
          <w:sz w:val="20"/>
          <w:szCs w:val="20"/>
          <w:color w:val="auto"/>
        </w:rPr>
      </w:pPr>
    </w:p>
    <w:p>
      <w:pPr>
        <w:ind w:left="280"/>
        <w:spacing w:after="0"/>
        <w:rPr>
          <w:sz w:val="20"/>
          <w:szCs w:val="20"/>
          <w:color w:val="auto"/>
        </w:rPr>
      </w:pPr>
      <w:r>
        <w:rPr>
          <w:rFonts w:ascii="Arial" w:cs="Arial" w:eastAsia="Arial" w:hAnsi="Arial"/>
          <w:sz w:val="39"/>
          <w:szCs w:val="39"/>
          <w:b w:val="1"/>
          <w:bCs w:val="1"/>
          <w:color w:val="E2231A"/>
        </w:rPr>
        <w:t>APPENDIX A</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39"/>
          <w:szCs w:val="39"/>
          <w:b w:val="1"/>
          <w:bCs w:val="1"/>
          <w:color w:val="E2231A"/>
        </w:rPr>
        <w:t>RECONCILIATION OF NON-GAAP FINANCIAL MEASURES</w:t>
      </w:r>
    </w:p>
    <w:p>
      <w:pPr>
        <w:sectPr>
          <w:pgSz w:w="11900" w:h="16838" w:orient="portrait"/>
          <w:cols w:equalWidth="0" w:num="1">
            <w:col w:w="11160"/>
          </w:cols>
          <w:pgMar w:left="240" w:top="455" w:right="499" w:bottom="1440" w:gutter="0" w:footer="0" w:header="0"/>
        </w:sectPr>
      </w:pPr>
    </w:p>
    <w:p>
      <w:pPr>
        <w:spacing w:after="0" w:line="343" w:lineRule="exact"/>
        <w:rPr>
          <w:sz w:val="20"/>
          <w:szCs w:val="20"/>
          <w:color w:val="auto"/>
        </w:rPr>
      </w:pPr>
    </w:p>
    <w:p>
      <w:pPr>
        <w:ind w:left="280" w:right="60"/>
        <w:spacing w:after="0" w:line="245" w:lineRule="auto"/>
        <w:rPr>
          <w:sz w:val="20"/>
          <w:szCs w:val="20"/>
          <w:color w:val="auto"/>
        </w:rPr>
      </w:pPr>
      <w:r>
        <w:rPr>
          <w:rFonts w:ascii="Arial" w:cs="Arial" w:eastAsia="Arial" w:hAnsi="Arial"/>
          <w:sz w:val="16"/>
          <w:szCs w:val="16"/>
          <w:color w:val="auto"/>
        </w:rPr>
        <w:t>The information presented in this proxy statement under the captions “Proxy Summary” and “Compensation Discussion and Analysis — Executive Summary” regarding core operating earnings, adjusted earnings per share and free cash flow does not conform to GAAP and should not be construed as an alternative to the reported financial results of the Company determined in accordance with GAAP.</w:t>
      </w:r>
    </w:p>
    <w:p>
      <w:pPr>
        <w:spacing w:after="0" w:line="98"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Management believes that the non-GAAP information used in this proxy statement is useful to both management and investors in their analysis of the Company’s financial position and results of operations. In particular, management believes that core operating earnings and adjusted earnings per share are useful measures in assessing the Company’s financial performance by excluding certain items that are not indicative of the Company’s core operating performance or that may obscure trends useful in evaluating the Company’s continuing</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140"/>
        <w:spacing w:after="0" w:line="259" w:lineRule="auto"/>
        <w:rPr>
          <w:sz w:val="20"/>
          <w:szCs w:val="20"/>
          <w:color w:val="auto"/>
        </w:rPr>
      </w:pPr>
      <w:r>
        <w:rPr>
          <w:rFonts w:ascii="Arial" w:cs="Arial" w:eastAsia="Arial" w:hAnsi="Arial"/>
          <w:sz w:val="15"/>
          <w:szCs w:val="15"/>
          <w:color w:val="auto"/>
        </w:rPr>
        <w:t>operating activities. Management also believes that these measures are useful to both management and investors in their analysis of the Company’s results of operations and provide improved comparability between fiscal periods. Management believes that free cash flow is useful to both management and investors in their analysis of the Company’s ability to service and repay its debt. Further, management uses</w:t>
      </w:r>
    </w:p>
    <w:p>
      <w:pPr>
        <w:spacing w:after="0" w:line="2"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auto"/>
        </w:rPr>
        <w:t>these non-GAAP financial measures for planning and forecasting future periods.</w:t>
      </w:r>
    </w:p>
    <w:p>
      <w:pPr>
        <w:spacing w:after="0" w:line="90" w:lineRule="exact"/>
        <w:rPr>
          <w:sz w:val="20"/>
          <w:szCs w:val="20"/>
          <w:color w:val="auto"/>
        </w:rPr>
      </w:pPr>
    </w:p>
    <w:p>
      <w:pPr>
        <w:ind w:right="240"/>
        <w:spacing w:after="0" w:line="246" w:lineRule="auto"/>
        <w:rPr>
          <w:sz w:val="20"/>
          <w:szCs w:val="20"/>
          <w:color w:val="auto"/>
        </w:rPr>
      </w:pPr>
      <w:r>
        <w:rPr>
          <w:rFonts w:ascii="Arial" w:cs="Arial" w:eastAsia="Arial" w:hAnsi="Arial"/>
          <w:sz w:val="16"/>
          <w:szCs w:val="16"/>
          <w:color w:val="auto"/>
        </w:rPr>
        <w:t>The non-GAAP information provided may not be consistent with methodologies used by other companies. All non-GAAP information regarding core operating earnings, adjusted earnings per share and free cash flow is reconciled to the most directly comparable reported GAAP results in the tables below.</w:t>
      </w:r>
    </w:p>
    <w:p>
      <w:pPr>
        <w:spacing w:after="0" w:line="380" w:lineRule="exact"/>
        <w:rPr>
          <w:sz w:val="20"/>
          <w:szCs w:val="20"/>
          <w:color w:val="auto"/>
        </w:rPr>
      </w:pPr>
    </w:p>
    <w:p>
      <w:pPr>
        <w:sectPr>
          <w:pgSz w:w="11900" w:h="16838" w:orient="portrait"/>
          <w:cols w:equalWidth="0" w:num="2">
            <w:col w:w="5500" w:space="320"/>
            <w:col w:w="5340"/>
          </w:cols>
          <w:pgMar w:left="240" w:top="455" w:right="499" w:bottom="1440" w:gutter="0" w:footer="0" w:header="0"/>
          <w:type w:val="continuous"/>
        </w:sectPr>
      </w:pPr>
    </w:p>
    <w:p>
      <w:pPr>
        <w:spacing w:after="0" w:line="156"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Core Operating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365"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(unaudited; in millions)</w:t>
            </w:r>
          </w:p>
        </w:tc>
        <w:tc>
          <w:tcPr>
            <w:tcW w:w="18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E2231A"/>
              </w:rPr>
              <w:t>2018</w:t>
            </w: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E2231A"/>
              </w:rPr>
              <w:t>2013</w:t>
            </w:r>
          </w:p>
        </w:tc>
        <w:tc>
          <w:tcPr>
            <w:tcW w:w="420" w:type="dxa"/>
            <w:vAlign w:val="bottom"/>
            <w:tcBorders>
              <w:bottom w:val="single" w:sz="8" w:color="auto"/>
            </w:tcBorders>
          </w:tcPr>
          <w:p>
            <w:pPr>
              <w:spacing w:after="0"/>
              <w:rPr>
                <w:sz w:val="15"/>
                <w:szCs w:val="15"/>
                <w:color w:val="auto"/>
              </w:rPr>
            </w:pPr>
          </w:p>
        </w:tc>
      </w:tr>
      <w:tr>
        <w:trPr>
          <w:trHeight w:val="180"/>
        </w:trPr>
        <w:tc>
          <w:tcPr>
            <w:tcW w:w="6500" w:type="dxa"/>
            <w:vAlign w:val="bottom"/>
            <w:tcBorders>
              <w:bottom w:val="single" w:sz="8" w:color="auto"/>
            </w:tcBorders>
            <w:shd w:val="clear" w:color="auto" w:fill="FCE9E8"/>
          </w:tcPr>
          <w:p>
            <w:pPr>
              <w:spacing w:after="0" w:line="180" w:lineRule="exact"/>
              <w:rPr>
                <w:sz w:val="20"/>
                <w:szCs w:val="20"/>
                <w:color w:val="auto"/>
              </w:rPr>
            </w:pPr>
            <w:r>
              <w:rPr>
                <w:rFonts w:ascii="Arial" w:cs="Arial" w:eastAsia="Arial" w:hAnsi="Arial"/>
                <w:sz w:val="16"/>
                <w:szCs w:val="16"/>
                <w:b w:val="1"/>
                <w:bCs w:val="1"/>
                <w:color w:val="auto"/>
              </w:rPr>
              <w:t>Sales</w:t>
            </w:r>
          </w:p>
        </w:tc>
        <w:tc>
          <w:tcPr>
            <w:tcW w:w="1880" w:type="dxa"/>
            <w:vAlign w:val="bottom"/>
            <w:tcBorders>
              <w:bottom w:val="single" w:sz="8" w:color="auto"/>
            </w:tcBorders>
            <w:shd w:val="clear" w:color="auto" w:fill="FCE9E8"/>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FCE9E8"/>
          </w:tcPr>
          <w:p>
            <w:pPr>
              <w:jc w:val="right"/>
              <w:ind w:right="301"/>
              <w:spacing w:after="0" w:line="180" w:lineRule="exact"/>
              <w:rPr>
                <w:sz w:val="20"/>
                <w:szCs w:val="20"/>
                <w:color w:val="auto"/>
              </w:rPr>
            </w:pPr>
            <w:r>
              <w:rPr>
                <w:rFonts w:ascii="Arial" w:cs="Arial" w:eastAsia="Arial" w:hAnsi="Arial"/>
                <w:sz w:val="16"/>
                <w:szCs w:val="16"/>
                <w:b w:val="1"/>
                <w:bCs w:val="1"/>
                <w:color w:val="auto"/>
              </w:rPr>
              <w:t>21,148.5</w:t>
            </w:r>
          </w:p>
        </w:tc>
        <w:tc>
          <w:tcPr>
            <w:tcW w:w="360" w:type="dxa"/>
            <w:vAlign w:val="bottom"/>
            <w:tcBorders>
              <w:bottom w:val="single" w:sz="8" w:color="auto"/>
            </w:tcBorders>
            <w:shd w:val="clear" w:color="auto" w:fill="FCE9E8"/>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shd w:val="clear" w:color="auto" w:fill="FCE9E8"/>
          </w:tcPr>
          <w:p>
            <w:pPr>
              <w:jc w:val="right"/>
              <w:spacing w:after="0" w:line="180" w:lineRule="exact"/>
              <w:rPr>
                <w:sz w:val="20"/>
                <w:szCs w:val="20"/>
                <w:color w:val="auto"/>
              </w:rPr>
            </w:pPr>
            <w:r>
              <w:rPr>
                <w:rFonts w:ascii="Arial" w:cs="Arial" w:eastAsia="Arial" w:hAnsi="Arial"/>
                <w:sz w:val="16"/>
                <w:szCs w:val="16"/>
                <w:b w:val="1"/>
                <w:bCs w:val="1"/>
                <w:color w:val="auto"/>
              </w:rPr>
              <w:t>16,234.0</w:t>
            </w:r>
          </w:p>
        </w:tc>
        <w:tc>
          <w:tcPr>
            <w:tcW w:w="420" w:type="dxa"/>
            <w:vAlign w:val="bottom"/>
            <w:tcBorders>
              <w:bottom w:val="single" w:sz="8" w:color="auto"/>
            </w:tcBorders>
            <w:shd w:val="clear" w:color="auto" w:fill="FCE9E8"/>
          </w:tcPr>
          <w:p>
            <w:pPr>
              <w:spacing w:after="0"/>
              <w:rPr>
                <w:sz w:val="15"/>
                <w:szCs w:val="15"/>
                <w:color w:val="auto"/>
              </w:rPr>
            </w:pPr>
          </w:p>
        </w:tc>
      </w:tr>
      <w:tr>
        <w:trPr>
          <w:trHeight w:val="180"/>
        </w:trPr>
        <w:tc>
          <w:tcPr>
            <w:tcW w:w="6500" w:type="dxa"/>
            <w:vAlign w:val="bottom"/>
          </w:tcPr>
          <w:p>
            <w:pPr>
              <w:spacing w:after="0" w:line="180" w:lineRule="exact"/>
              <w:rPr>
                <w:sz w:val="20"/>
                <w:szCs w:val="20"/>
                <w:color w:val="auto"/>
              </w:rPr>
            </w:pPr>
            <w:r>
              <w:rPr>
                <w:rFonts w:ascii="Arial" w:cs="Arial" w:eastAsia="Arial" w:hAnsi="Arial"/>
                <w:sz w:val="16"/>
                <w:szCs w:val="16"/>
                <w:b w:val="1"/>
                <w:bCs w:val="1"/>
                <w:color w:val="auto"/>
              </w:rPr>
              <w:t>Net income attributable to Lear</w:t>
            </w:r>
          </w:p>
        </w:tc>
        <w:tc>
          <w:tcPr>
            <w:tcW w:w="18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301"/>
              <w:spacing w:after="0" w:line="180" w:lineRule="exact"/>
              <w:rPr>
                <w:sz w:val="20"/>
                <w:szCs w:val="20"/>
                <w:color w:val="auto"/>
              </w:rPr>
            </w:pPr>
            <w:r>
              <w:rPr>
                <w:rFonts w:ascii="Arial" w:cs="Arial" w:eastAsia="Arial" w:hAnsi="Arial"/>
                <w:sz w:val="16"/>
                <w:szCs w:val="16"/>
                <w:b w:val="1"/>
                <w:bCs w:val="1"/>
                <w:color w:val="auto"/>
              </w:rPr>
              <w:t>1,149.8</w:t>
            </w:r>
          </w:p>
        </w:tc>
        <w:tc>
          <w:tcPr>
            <w:tcW w:w="36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431.4</w:t>
            </w:r>
          </w:p>
        </w:tc>
        <w:tc>
          <w:tcPr>
            <w:tcW w:w="420" w:type="dxa"/>
            <w:vAlign w:val="bottom"/>
          </w:tcPr>
          <w:p>
            <w:pPr>
              <w:spacing w:after="0"/>
              <w:rPr>
                <w:sz w:val="15"/>
                <w:szCs w:val="15"/>
                <w:color w:val="auto"/>
              </w:rPr>
            </w:pPr>
          </w:p>
        </w:tc>
      </w:tr>
      <w:tr>
        <w:trPr>
          <w:trHeight w:val="186"/>
        </w:trPr>
        <w:tc>
          <w:tcPr>
            <w:tcW w:w="6500" w:type="dxa"/>
            <w:vAlign w:val="bottom"/>
            <w:shd w:val="clear" w:color="auto" w:fill="FCE9E8"/>
          </w:tcPr>
          <w:p>
            <w:pPr>
              <w:ind w:left="400"/>
              <w:spacing w:after="0"/>
              <w:rPr>
                <w:sz w:val="20"/>
                <w:szCs w:val="20"/>
                <w:color w:val="auto"/>
              </w:rPr>
            </w:pPr>
            <w:r>
              <w:rPr>
                <w:rFonts w:ascii="Arial" w:cs="Arial" w:eastAsia="Arial" w:hAnsi="Arial"/>
                <w:sz w:val="16"/>
                <w:szCs w:val="16"/>
                <w:color w:val="auto"/>
              </w:rPr>
              <w:t>Interest expense</w:t>
            </w:r>
          </w:p>
        </w:tc>
        <w:tc>
          <w:tcPr>
            <w:tcW w:w="1880" w:type="dxa"/>
            <w:vAlign w:val="bottom"/>
            <w:shd w:val="clear" w:color="auto" w:fill="FCE9E8"/>
          </w:tcPr>
          <w:p>
            <w:pPr>
              <w:spacing w:after="0"/>
              <w:rPr>
                <w:sz w:val="16"/>
                <w:szCs w:val="16"/>
                <w:color w:val="auto"/>
              </w:rPr>
            </w:pPr>
          </w:p>
        </w:tc>
        <w:tc>
          <w:tcPr>
            <w:tcW w:w="1040" w:type="dxa"/>
            <w:vAlign w:val="bottom"/>
            <w:shd w:val="clear" w:color="auto" w:fill="FCE9E8"/>
          </w:tcPr>
          <w:p>
            <w:pPr>
              <w:jc w:val="right"/>
              <w:ind w:right="301"/>
              <w:spacing w:after="0"/>
              <w:rPr>
                <w:sz w:val="20"/>
                <w:szCs w:val="20"/>
                <w:color w:val="auto"/>
              </w:rPr>
            </w:pPr>
            <w:r>
              <w:rPr>
                <w:rFonts w:ascii="Arial" w:cs="Arial" w:eastAsia="Arial" w:hAnsi="Arial"/>
                <w:sz w:val="16"/>
                <w:szCs w:val="16"/>
                <w:color w:val="auto"/>
              </w:rPr>
              <w:t>84.1</w:t>
            </w:r>
          </w:p>
        </w:tc>
        <w:tc>
          <w:tcPr>
            <w:tcW w:w="360" w:type="dxa"/>
            <w:vAlign w:val="bottom"/>
            <w:shd w:val="clear" w:color="auto" w:fill="FCE9E8"/>
          </w:tcPr>
          <w:p>
            <w:pPr>
              <w:spacing w:after="0"/>
              <w:rPr>
                <w:sz w:val="16"/>
                <w:szCs w:val="16"/>
                <w:color w:val="auto"/>
              </w:rPr>
            </w:pPr>
          </w:p>
        </w:tc>
        <w:tc>
          <w:tcPr>
            <w:tcW w:w="6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68.4</w:t>
            </w:r>
          </w:p>
        </w:tc>
        <w:tc>
          <w:tcPr>
            <w:tcW w:w="420" w:type="dxa"/>
            <w:vAlign w:val="bottom"/>
            <w:shd w:val="clear" w:color="auto" w:fill="FCE9E8"/>
          </w:tcPr>
          <w:p>
            <w:pPr>
              <w:spacing w:after="0"/>
              <w:rPr>
                <w:sz w:val="16"/>
                <w:szCs w:val="16"/>
                <w:color w:val="auto"/>
              </w:rPr>
            </w:pPr>
          </w:p>
        </w:tc>
      </w:tr>
      <w:tr>
        <w:trPr>
          <w:trHeight w:val="186"/>
        </w:trPr>
        <w:tc>
          <w:tcPr>
            <w:tcW w:w="6500" w:type="dxa"/>
            <w:vAlign w:val="bottom"/>
          </w:tcPr>
          <w:p>
            <w:pPr>
              <w:ind w:left="400"/>
              <w:spacing w:after="0"/>
              <w:rPr>
                <w:sz w:val="20"/>
                <w:szCs w:val="20"/>
                <w:color w:val="auto"/>
              </w:rPr>
            </w:pPr>
            <w:r>
              <w:rPr>
                <w:rFonts w:ascii="Arial" w:cs="Arial" w:eastAsia="Arial" w:hAnsi="Arial"/>
                <w:sz w:val="16"/>
                <w:szCs w:val="16"/>
                <w:color w:val="auto"/>
              </w:rPr>
              <w:t>Other expense, net</w:t>
            </w:r>
          </w:p>
        </w:tc>
        <w:tc>
          <w:tcPr>
            <w:tcW w:w="1880" w:type="dxa"/>
            <w:vAlign w:val="bottom"/>
          </w:tcPr>
          <w:p>
            <w:pPr>
              <w:spacing w:after="0"/>
              <w:rPr>
                <w:sz w:val="16"/>
                <w:szCs w:val="16"/>
                <w:color w:val="auto"/>
              </w:rPr>
            </w:pPr>
          </w:p>
        </w:tc>
        <w:tc>
          <w:tcPr>
            <w:tcW w:w="1040" w:type="dxa"/>
            <w:vAlign w:val="bottom"/>
          </w:tcPr>
          <w:p>
            <w:pPr>
              <w:jc w:val="right"/>
              <w:ind w:right="301"/>
              <w:spacing w:after="0"/>
              <w:rPr>
                <w:sz w:val="20"/>
                <w:szCs w:val="20"/>
                <w:color w:val="auto"/>
              </w:rPr>
            </w:pPr>
            <w:r>
              <w:rPr>
                <w:rFonts w:ascii="Arial" w:cs="Arial" w:eastAsia="Arial" w:hAnsi="Arial"/>
                <w:sz w:val="16"/>
                <w:szCs w:val="16"/>
                <w:color w:val="auto"/>
              </w:rPr>
              <w:t>31.6</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58.1</w:t>
            </w:r>
          </w:p>
        </w:tc>
        <w:tc>
          <w:tcPr>
            <w:tcW w:w="420" w:type="dxa"/>
            <w:vAlign w:val="bottom"/>
          </w:tcPr>
          <w:p>
            <w:pPr>
              <w:spacing w:after="0"/>
              <w:rPr>
                <w:sz w:val="16"/>
                <w:szCs w:val="16"/>
                <w:color w:val="auto"/>
              </w:rPr>
            </w:pPr>
          </w:p>
        </w:tc>
      </w:tr>
      <w:tr>
        <w:trPr>
          <w:trHeight w:val="186"/>
        </w:trPr>
        <w:tc>
          <w:tcPr>
            <w:tcW w:w="6500" w:type="dxa"/>
            <w:vAlign w:val="bottom"/>
            <w:shd w:val="clear" w:color="auto" w:fill="FCE9E8"/>
          </w:tcPr>
          <w:p>
            <w:pPr>
              <w:ind w:left="400"/>
              <w:spacing w:after="0"/>
              <w:rPr>
                <w:sz w:val="20"/>
                <w:szCs w:val="20"/>
                <w:color w:val="auto"/>
              </w:rPr>
            </w:pPr>
            <w:r>
              <w:rPr>
                <w:rFonts w:ascii="Arial" w:cs="Arial" w:eastAsia="Arial" w:hAnsi="Arial"/>
                <w:sz w:val="16"/>
                <w:szCs w:val="16"/>
                <w:color w:val="auto"/>
              </w:rPr>
              <w:t>Income taxes</w:t>
            </w:r>
          </w:p>
        </w:tc>
        <w:tc>
          <w:tcPr>
            <w:tcW w:w="1880" w:type="dxa"/>
            <w:vAlign w:val="bottom"/>
            <w:shd w:val="clear" w:color="auto" w:fill="FCE9E8"/>
          </w:tcPr>
          <w:p>
            <w:pPr>
              <w:spacing w:after="0"/>
              <w:rPr>
                <w:sz w:val="16"/>
                <w:szCs w:val="16"/>
                <w:color w:val="auto"/>
              </w:rPr>
            </w:pPr>
          </w:p>
        </w:tc>
        <w:tc>
          <w:tcPr>
            <w:tcW w:w="1040" w:type="dxa"/>
            <w:vAlign w:val="bottom"/>
            <w:shd w:val="clear" w:color="auto" w:fill="FCE9E8"/>
          </w:tcPr>
          <w:p>
            <w:pPr>
              <w:jc w:val="right"/>
              <w:ind w:right="301"/>
              <w:spacing w:after="0"/>
              <w:rPr>
                <w:sz w:val="20"/>
                <w:szCs w:val="20"/>
                <w:color w:val="auto"/>
              </w:rPr>
            </w:pPr>
            <w:r>
              <w:rPr>
                <w:rFonts w:ascii="Arial" w:cs="Arial" w:eastAsia="Arial" w:hAnsi="Arial"/>
                <w:sz w:val="16"/>
                <w:szCs w:val="16"/>
                <w:color w:val="auto"/>
              </w:rPr>
              <w:t>311.9</w:t>
            </w:r>
          </w:p>
        </w:tc>
        <w:tc>
          <w:tcPr>
            <w:tcW w:w="360" w:type="dxa"/>
            <w:vAlign w:val="bottom"/>
            <w:shd w:val="clear" w:color="auto" w:fill="FCE9E8"/>
          </w:tcPr>
          <w:p>
            <w:pPr>
              <w:spacing w:after="0"/>
              <w:rPr>
                <w:sz w:val="16"/>
                <w:szCs w:val="16"/>
                <w:color w:val="auto"/>
              </w:rPr>
            </w:pPr>
          </w:p>
        </w:tc>
        <w:tc>
          <w:tcPr>
            <w:tcW w:w="6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192.7</w:t>
            </w:r>
          </w:p>
        </w:tc>
        <w:tc>
          <w:tcPr>
            <w:tcW w:w="420" w:type="dxa"/>
            <w:vAlign w:val="bottom"/>
            <w:shd w:val="clear" w:color="auto" w:fill="FCE9E8"/>
          </w:tcPr>
          <w:p>
            <w:pPr>
              <w:spacing w:after="0"/>
              <w:rPr>
                <w:sz w:val="16"/>
                <w:szCs w:val="16"/>
                <w:color w:val="auto"/>
              </w:rPr>
            </w:pPr>
          </w:p>
        </w:tc>
      </w:tr>
      <w:tr>
        <w:trPr>
          <w:trHeight w:val="186"/>
        </w:trPr>
        <w:tc>
          <w:tcPr>
            <w:tcW w:w="6500" w:type="dxa"/>
            <w:vAlign w:val="bottom"/>
          </w:tcPr>
          <w:p>
            <w:pPr>
              <w:ind w:left="400"/>
              <w:spacing w:after="0"/>
              <w:rPr>
                <w:sz w:val="20"/>
                <w:szCs w:val="20"/>
                <w:color w:val="auto"/>
              </w:rPr>
            </w:pPr>
            <w:r>
              <w:rPr>
                <w:rFonts w:ascii="Arial" w:cs="Arial" w:eastAsia="Arial" w:hAnsi="Arial"/>
                <w:sz w:val="16"/>
                <w:szCs w:val="16"/>
                <w:color w:val="auto"/>
              </w:rPr>
              <w:t>Equity in net income of affiliates</w:t>
            </w:r>
          </w:p>
        </w:tc>
        <w:tc>
          <w:tcPr>
            <w:tcW w:w="1880" w:type="dxa"/>
            <w:vAlign w:val="bottom"/>
          </w:tcPr>
          <w:p>
            <w:pPr>
              <w:spacing w:after="0"/>
              <w:rPr>
                <w:sz w:val="16"/>
                <w:szCs w:val="16"/>
                <w:color w:val="auto"/>
              </w:rPr>
            </w:pPr>
          </w:p>
        </w:tc>
        <w:tc>
          <w:tcPr>
            <w:tcW w:w="1040" w:type="dxa"/>
            <w:vAlign w:val="bottom"/>
          </w:tcPr>
          <w:p>
            <w:pPr>
              <w:jc w:val="right"/>
              <w:ind w:right="261"/>
              <w:spacing w:after="0"/>
              <w:rPr>
                <w:sz w:val="20"/>
                <w:szCs w:val="20"/>
                <w:color w:val="auto"/>
              </w:rPr>
            </w:pPr>
            <w:r>
              <w:rPr>
                <w:rFonts w:ascii="Arial" w:cs="Arial" w:eastAsia="Arial" w:hAnsi="Arial"/>
                <w:sz w:val="16"/>
                <w:szCs w:val="16"/>
                <w:color w:val="auto"/>
              </w:rPr>
              <w:t>(20.2)</w:t>
            </w:r>
          </w:p>
        </w:tc>
        <w:tc>
          <w:tcPr>
            <w:tcW w:w="360" w:type="dxa"/>
            <w:vAlign w:val="bottom"/>
          </w:tcPr>
          <w:p>
            <w:pPr>
              <w:spacing w:after="0"/>
              <w:rPr>
                <w:sz w:val="16"/>
                <w:szCs w:val="16"/>
                <w:color w:val="auto"/>
              </w:rPr>
            </w:pPr>
          </w:p>
        </w:tc>
        <w:tc>
          <w:tcPr>
            <w:tcW w:w="1100" w:type="dxa"/>
            <w:vAlign w:val="bottom"/>
            <w:gridSpan w:val="2"/>
          </w:tcPr>
          <w:p>
            <w:pPr>
              <w:jc w:val="right"/>
              <w:ind w:right="291"/>
              <w:spacing w:after="0"/>
              <w:rPr>
                <w:sz w:val="20"/>
                <w:szCs w:val="20"/>
                <w:color w:val="auto"/>
              </w:rPr>
            </w:pPr>
            <w:r>
              <w:rPr>
                <w:rFonts w:ascii="Arial" w:cs="Arial" w:eastAsia="Arial" w:hAnsi="Arial"/>
                <w:sz w:val="16"/>
                <w:szCs w:val="16"/>
                <w:color w:val="auto"/>
              </w:rPr>
              <w:t>(38.4)</w:t>
            </w:r>
          </w:p>
        </w:tc>
      </w:tr>
      <w:tr>
        <w:trPr>
          <w:trHeight w:val="186"/>
        </w:trPr>
        <w:tc>
          <w:tcPr>
            <w:tcW w:w="6500" w:type="dxa"/>
            <w:vAlign w:val="bottom"/>
            <w:shd w:val="clear" w:color="auto" w:fill="FCE9E8"/>
          </w:tcPr>
          <w:p>
            <w:pPr>
              <w:ind w:left="400"/>
              <w:spacing w:after="0"/>
              <w:rPr>
                <w:sz w:val="20"/>
                <w:szCs w:val="20"/>
                <w:color w:val="auto"/>
              </w:rPr>
            </w:pPr>
            <w:r>
              <w:rPr>
                <w:rFonts w:ascii="Arial" w:cs="Arial" w:eastAsia="Arial" w:hAnsi="Arial"/>
                <w:sz w:val="16"/>
                <w:szCs w:val="16"/>
                <w:color w:val="auto"/>
              </w:rPr>
              <w:t>Net income attributable to noncontrolling interests</w:t>
            </w:r>
          </w:p>
        </w:tc>
        <w:tc>
          <w:tcPr>
            <w:tcW w:w="1880" w:type="dxa"/>
            <w:vAlign w:val="bottom"/>
            <w:shd w:val="clear" w:color="auto" w:fill="FCE9E8"/>
          </w:tcPr>
          <w:p>
            <w:pPr>
              <w:spacing w:after="0"/>
              <w:rPr>
                <w:sz w:val="16"/>
                <w:szCs w:val="16"/>
                <w:color w:val="auto"/>
              </w:rPr>
            </w:pPr>
          </w:p>
        </w:tc>
        <w:tc>
          <w:tcPr>
            <w:tcW w:w="1040" w:type="dxa"/>
            <w:vAlign w:val="bottom"/>
            <w:shd w:val="clear" w:color="auto" w:fill="FCE9E8"/>
          </w:tcPr>
          <w:p>
            <w:pPr>
              <w:jc w:val="right"/>
              <w:ind w:right="301"/>
              <w:spacing w:after="0"/>
              <w:rPr>
                <w:sz w:val="20"/>
                <w:szCs w:val="20"/>
                <w:color w:val="auto"/>
              </w:rPr>
            </w:pPr>
            <w:r>
              <w:rPr>
                <w:rFonts w:ascii="Arial" w:cs="Arial" w:eastAsia="Arial" w:hAnsi="Arial"/>
                <w:sz w:val="16"/>
                <w:szCs w:val="16"/>
                <w:color w:val="auto"/>
              </w:rPr>
              <w:t>96.9</w:t>
            </w:r>
          </w:p>
        </w:tc>
        <w:tc>
          <w:tcPr>
            <w:tcW w:w="360" w:type="dxa"/>
            <w:vAlign w:val="bottom"/>
            <w:shd w:val="clear" w:color="auto" w:fill="FCE9E8"/>
          </w:tcPr>
          <w:p>
            <w:pPr>
              <w:spacing w:after="0"/>
              <w:rPr>
                <w:sz w:val="16"/>
                <w:szCs w:val="16"/>
                <w:color w:val="auto"/>
              </w:rPr>
            </w:pPr>
          </w:p>
        </w:tc>
        <w:tc>
          <w:tcPr>
            <w:tcW w:w="6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24.4</w:t>
            </w:r>
          </w:p>
        </w:tc>
        <w:tc>
          <w:tcPr>
            <w:tcW w:w="420" w:type="dxa"/>
            <w:vAlign w:val="bottom"/>
            <w:shd w:val="clear" w:color="auto" w:fill="FCE9E8"/>
          </w:tcPr>
          <w:p>
            <w:pPr>
              <w:spacing w:after="0"/>
              <w:rPr>
                <w:sz w:val="16"/>
                <w:szCs w:val="16"/>
                <w:color w:val="auto"/>
              </w:rPr>
            </w:pPr>
          </w:p>
        </w:tc>
      </w:tr>
      <w:tr>
        <w:trPr>
          <w:trHeight w:val="186"/>
        </w:trPr>
        <w:tc>
          <w:tcPr>
            <w:tcW w:w="6500" w:type="dxa"/>
            <w:vAlign w:val="bottom"/>
          </w:tcPr>
          <w:p>
            <w:pPr>
              <w:ind w:left="240"/>
              <w:spacing w:after="0"/>
              <w:rPr>
                <w:sz w:val="20"/>
                <w:szCs w:val="20"/>
                <w:color w:val="auto"/>
              </w:rPr>
            </w:pPr>
            <w:r>
              <w:rPr>
                <w:rFonts w:ascii="Arial" w:cs="Arial" w:eastAsia="Arial" w:hAnsi="Arial"/>
                <w:sz w:val="16"/>
                <w:szCs w:val="16"/>
                <w:color w:val="auto"/>
              </w:rPr>
              <w:t>Restructuring costs and other special items -</w:t>
            </w:r>
          </w:p>
        </w:tc>
        <w:tc>
          <w:tcPr>
            <w:tcW w:w="1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6"/>
        </w:trPr>
        <w:tc>
          <w:tcPr>
            <w:tcW w:w="6500" w:type="dxa"/>
            <w:vAlign w:val="bottom"/>
            <w:shd w:val="clear" w:color="auto" w:fill="FCE9E8"/>
          </w:tcPr>
          <w:p>
            <w:pPr>
              <w:ind w:left="400"/>
              <w:spacing w:after="0"/>
              <w:rPr>
                <w:sz w:val="20"/>
                <w:szCs w:val="20"/>
                <w:color w:val="auto"/>
              </w:rPr>
            </w:pPr>
            <w:r>
              <w:rPr>
                <w:rFonts w:ascii="Arial" w:cs="Arial" w:eastAsia="Arial" w:hAnsi="Arial"/>
                <w:sz w:val="16"/>
                <w:szCs w:val="16"/>
                <w:color w:val="auto"/>
              </w:rPr>
              <w:t>Costs related to restructuring actions</w:t>
            </w:r>
          </w:p>
        </w:tc>
        <w:tc>
          <w:tcPr>
            <w:tcW w:w="1880" w:type="dxa"/>
            <w:vAlign w:val="bottom"/>
            <w:shd w:val="clear" w:color="auto" w:fill="FCE9E8"/>
          </w:tcPr>
          <w:p>
            <w:pPr>
              <w:spacing w:after="0"/>
              <w:rPr>
                <w:sz w:val="16"/>
                <w:szCs w:val="16"/>
                <w:color w:val="auto"/>
              </w:rPr>
            </w:pPr>
          </w:p>
        </w:tc>
        <w:tc>
          <w:tcPr>
            <w:tcW w:w="1040" w:type="dxa"/>
            <w:vAlign w:val="bottom"/>
            <w:shd w:val="clear" w:color="auto" w:fill="FCE9E8"/>
          </w:tcPr>
          <w:p>
            <w:pPr>
              <w:jc w:val="right"/>
              <w:ind w:right="301"/>
              <w:spacing w:after="0"/>
              <w:rPr>
                <w:sz w:val="20"/>
                <w:szCs w:val="20"/>
                <w:color w:val="auto"/>
              </w:rPr>
            </w:pPr>
            <w:r>
              <w:rPr>
                <w:rFonts w:ascii="Arial" w:cs="Arial" w:eastAsia="Arial" w:hAnsi="Arial"/>
                <w:sz w:val="16"/>
                <w:szCs w:val="16"/>
                <w:color w:val="auto"/>
              </w:rPr>
              <w:t>104.0</w:t>
            </w:r>
          </w:p>
        </w:tc>
        <w:tc>
          <w:tcPr>
            <w:tcW w:w="360" w:type="dxa"/>
            <w:vAlign w:val="bottom"/>
            <w:shd w:val="clear" w:color="auto" w:fill="FCE9E8"/>
          </w:tcPr>
          <w:p>
            <w:pPr>
              <w:spacing w:after="0"/>
              <w:rPr>
                <w:sz w:val="16"/>
                <w:szCs w:val="16"/>
                <w:color w:val="auto"/>
              </w:rPr>
            </w:pPr>
          </w:p>
        </w:tc>
        <w:tc>
          <w:tcPr>
            <w:tcW w:w="6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83.8</w:t>
            </w:r>
          </w:p>
        </w:tc>
        <w:tc>
          <w:tcPr>
            <w:tcW w:w="420" w:type="dxa"/>
            <w:vAlign w:val="bottom"/>
            <w:shd w:val="clear" w:color="auto" w:fill="FCE9E8"/>
          </w:tcPr>
          <w:p>
            <w:pPr>
              <w:spacing w:after="0"/>
              <w:rPr>
                <w:sz w:val="16"/>
                <w:szCs w:val="16"/>
                <w:color w:val="auto"/>
              </w:rPr>
            </w:pPr>
          </w:p>
        </w:tc>
      </w:tr>
      <w:tr>
        <w:trPr>
          <w:trHeight w:val="186"/>
        </w:trPr>
        <w:tc>
          <w:tcPr>
            <w:tcW w:w="6500" w:type="dxa"/>
            <w:vAlign w:val="bottom"/>
          </w:tcPr>
          <w:p>
            <w:pPr>
              <w:ind w:left="400"/>
              <w:spacing w:after="0"/>
              <w:rPr>
                <w:sz w:val="20"/>
                <w:szCs w:val="20"/>
                <w:color w:val="auto"/>
              </w:rPr>
            </w:pPr>
            <w:r>
              <w:rPr>
                <w:rFonts w:ascii="Arial" w:cs="Arial" w:eastAsia="Arial" w:hAnsi="Arial"/>
                <w:sz w:val="16"/>
                <w:szCs w:val="16"/>
                <w:color w:val="auto"/>
              </w:rPr>
              <w:t>Acquisition costs</w:t>
            </w:r>
          </w:p>
        </w:tc>
        <w:tc>
          <w:tcPr>
            <w:tcW w:w="1880" w:type="dxa"/>
            <w:vAlign w:val="bottom"/>
          </w:tcPr>
          <w:p>
            <w:pPr>
              <w:spacing w:after="0"/>
              <w:rPr>
                <w:sz w:val="16"/>
                <w:szCs w:val="16"/>
                <w:color w:val="auto"/>
              </w:rPr>
            </w:pPr>
          </w:p>
        </w:tc>
        <w:tc>
          <w:tcPr>
            <w:tcW w:w="1040" w:type="dxa"/>
            <w:vAlign w:val="bottom"/>
          </w:tcPr>
          <w:p>
            <w:pPr>
              <w:jc w:val="right"/>
              <w:ind w:right="301"/>
              <w:spacing w:after="0"/>
              <w:rPr>
                <w:sz w:val="20"/>
                <w:szCs w:val="20"/>
                <w:color w:val="auto"/>
              </w:rPr>
            </w:pPr>
            <w:r>
              <w:rPr>
                <w:rFonts w:ascii="Arial" w:cs="Arial" w:eastAsia="Arial" w:hAnsi="Arial"/>
                <w:sz w:val="16"/>
                <w:szCs w:val="16"/>
                <w:color w:val="auto"/>
              </w:rPr>
              <w:t>0.5</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r>
      <w:tr>
        <w:trPr>
          <w:trHeight w:val="186"/>
        </w:trPr>
        <w:tc>
          <w:tcPr>
            <w:tcW w:w="6500" w:type="dxa"/>
            <w:vAlign w:val="bottom"/>
            <w:shd w:val="clear" w:color="auto" w:fill="FCE9E8"/>
          </w:tcPr>
          <w:p>
            <w:pPr>
              <w:ind w:left="400"/>
              <w:spacing w:after="0"/>
              <w:rPr>
                <w:sz w:val="20"/>
                <w:szCs w:val="20"/>
                <w:color w:val="auto"/>
              </w:rPr>
            </w:pPr>
            <w:r>
              <w:rPr>
                <w:rFonts w:ascii="Arial" w:cs="Arial" w:eastAsia="Arial" w:hAnsi="Arial"/>
                <w:sz w:val="16"/>
                <w:szCs w:val="16"/>
                <w:color w:val="auto"/>
              </w:rPr>
              <w:t>Costs related to proxy contest</w:t>
            </w:r>
          </w:p>
        </w:tc>
        <w:tc>
          <w:tcPr>
            <w:tcW w:w="1880" w:type="dxa"/>
            <w:vAlign w:val="bottom"/>
            <w:shd w:val="clear" w:color="auto" w:fill="FCE9E8"/>
          </w:tcPr>
          <w:p>
            <w:pPr>
              <w:spacing w:after="0"/>
              <w:rPr>
                <w:sz w:val="16"/>
                <w:szCs w:val="16"/>
                <w:color w:val="auto"/>
              </w:rPr>
            </w:pPr>
          </w:p>
        </w:tc>
        <w:tc>
          <w:tcPr>
            <w:tcW w:w="1040" w:type="dxa"/>
            <w:vAlign w:val="bottom"/>
            <w:shd w:val="clear" w:color="auto" w:fill="FCE9E8"/>
          </w:tcPr>
          <w:p>
            <w:pPr>
              <w:jc w:val="right"/>
              <w:ind w:right="301"/>
              <w:spacing w:after="0"/>
              <w:rPr>
                <w:sz w:val="20"/>
                <w:szCs w:val="20"/>
                <w:color w:val="auto"/>
              </w:rPr>
            </w:pPr>
            <w:r>
              <w:rPr>
                <w:rFonts w:ascii="Arial" w:cs="Arial" w:eastAsia="Arial" w:hAnsi="Arial"/>
                <w:sz w:val="16"/>
                <w:szCs w:val="16"/>
                <w:color w:val="auto"/>
              </w:rPr>
              <w:t>—</w:t>
            </w:r>
          </w:p>
        </w:tc>
        <w:tc>
          <w:tcPr>
            <w:tcW w:w="360" w:type="dxa"/>
            <w:vAlign w:val="bottom"/>
            <w:shd w:val="clear" w:color="auto" w:fill="FCE9E8"/>
          </w:tcPr>
          <w:p>
            <w:pPr>
              <w:spacing w:after="0"/>
              <w:rPr>
                <w:sz w:val="16"/>
                <w:szCs w:val="16"/>
                <w:color w:val="auto"/>
              </w:rPr>
            </w:pPr>
          </w:p>
        </w:tc>
        <w:tc>
          <w:tcPr>
            <w:tcW w:w="6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3.0</w:t>
            </w:r>
          </w:p>
        </w:tc>
        <w:tc>
          <w:tcPr>
            <w:tcW w:w="420" w:type="dxa"/>
            <w:vAlign w:val="bottom"/>
            <w:shd w:val="clear" w:color="auto" w:fill="FCE9E8"/>
          </w:tcPr>
          <w:p>
            <w:pPr>
              <w:spacing w:after="0"/>
              <w:rPr>
                <w:sz w:val="16"/>
                <w:szCs w:val="16"/>
                <w:color w:val="auto"/>
              </w:rPr>
            </w:pPr>
          </w:p>
        </w:tc>
      </w:tr>
      <w:tr>
        <w:trPr>
          <w:trHeight w:val="186"/>
        </w:trPr>
        <w:tc>
          <w:tcPr>
            <w:tcW w:w="6500" w:type="dxa"/>
            <w:vAlign w:val="bottom"/>
          </w:tcPr>
          <w:p>
            <w:pPr>
              <w:ind w:left="400"/>
              <w:spacing w:after="0"/>
              <w:rPr>
                <w:sz w:val="20"/>
                <w:szCs w:val="20"/>
                <w:color w:val="auto"/>
              </w:rPr>
            </w:pPr>
            <w:r>
              <w:rPr>
                <w:rFonts w:ascii="Arial" w:cs="Arial" w:eastAsia="Arial" w:hAnsi="Arial"/>
                <w:sz w:val="16"/>
                <w:szCs w:val="16"/>
                <w:color w:val="auto"/>
              </w:rPr>
              <w:t>Litigation</w:t>
            </w:r>
          </w:p>
        </w:tc>
        <w:tc>
          <w:tcPr>
            <w:tcW w:w="1880" w:type="dxa"/>
            <w:vAlign w:val="bottom"/>
          </w:tcPr>
          <w:p>
            <w:pPr>
              <w:spacing w:after="0"/>
              <w:rPr>
                <w:sz w:val="16"/>
                <w:szCs w:val="16"/>
                <w:color w:val="auto"/>
              </w:rPr>
            </w:pPr>
          </w:p>
        </w:tc>
        <w:tc>
          <w:tcPr>
            <w:tcW w:w="1040" w:type="dxa"/>
            <w:vAlign w:val="bottom"/>
          </w:tcPr>
          <w:p>
            <w:pPr>
              <w:jc w:val="right"/>
              <w:ind w:right="261"/>
              <w:spacing w:after="0"/>
              <w:rPr>
                <w:sz w:val="20"/>
                <w:szCs w:val="20"/>
                <w:color w:val="auto"/>
              </w:rPr>
            </w:pPr>
            <w:r>
              <w:rPr>
                <w:rFonts w:ascii="Arial" w:cs="Arial" w:eastAsia="Arial" w:hAnsi="Arial"/>
                <w:sz w:val="16"/>
                <w:szCs w:val="16"/>
                <w:color w:val="auto"/>
              </w:rPr>
              <w:t>(16.8)</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w:t>
            </w:r>
          </w:p>
        </w:tc>
        <w:tc>
          <w:tcPr>
            <w:tcW w:w="420" w:type="dxa"/>
            <w:vAlign w:val="bottom"/>
          </w:tcPr>
          <w:p>
            <w:pPr>
              <w:spacing w:after="0"/>
              <w:rPr>
                <w:sz w:val="16"/>
                <w:szCs w:val="16"/>
                <w:color w:val="auto"/>
              </w:rPr>
            </w:pPr>
          </w:p>
        </w:tc>
      </w:tr>
      <w:tr>
        <w:trPr>
          <w:trHeight w:val="186"/>
        </w:trPr>
        <w:tc>
          <w:tcPr>
            <w:tcW w:w="6500" w:type="dxa"/>
            <w:vAlign w:val="bottom"/>
            <w:shd w:val="clear" w:color="auto" w:fill="FCE9E8"/>
          </w:tcPr>
          <w:p>
            <w:pPr>
              <w:ind w:left="400"/>
              <w:spacing w:after="0"/>
              <w:rPr>
                <w:sz w:val="20"/>
                <w:szCs w:val="20"/>
                <w:color w:val="auto"/>
              </w:rPr>
            </w:pPr>
            <w:r>
              <w:rPr>
                <w:rFonts w:ascii="Arial" w:cs="Arial" w:eastAsia="Arial" w:hAnsi="Arial"/>
                <w:sz w:val="16"/>
                <w:szCs w:val="16"/>
                <w:color w:val="auto"/>
              </w:rPr>
              <w:t>Losses and incremental costs related to destruction of assets</w:t>
            </w:r>
          </w:p>
        </w:tc>
        <w:tc>
          <w:tcPr>
            <w:tcW w:w="1880" w:type="dxa"/>
            <w:vAlign w:val="bottom"/>
            <w:shd w:val="clear" w:color="auto" w:fill="FCE9E8"/>
          </w:tcPr>
          <w:p>
            <w:pPr>
              <w:spacing w:after="0"/>
              <w:rPr>
                <w:sz w:val="16"/>
                <w:szCs w:val="16"/>
                <w:color w:val="auto"/>
              </w:rPr>
            </w:pPr>
          </w:p>
        </w:tc>
        <w:tc>
          <w:tcPr>
            <w:tcW w:w="1040" w:type="dxa"/>
            <w:vAlign w:val="bottom"/>
            <w:shd w:val="clear" w:color="auto" w:fill="FCE9E8"/>
          </w:tcPr>
          <w:p>
            <w:pPr>
              <w:jc w:val="right"/>
              <w:ind w:right="301"/>
              <w:spacing w:after="0"/>
              <w:rPr>
                <w:sz w:val="20"/>
                <w:szCs w:val="20"/>
                <w:color w:val="auto"/>
              </w:rPr>
            </w:pPr>
            <w:r>
              <w:rPr>
                <w:rFonts w:ascii="Arial" w:cs="Arial" w:eastAsia="Arial" w:hAnsi="Arial"/>
                <w:sz w:val="16"/>
                <w:szCs w:val="16"/>
                <w:color w:val="auto"/>
              </w:rPr>
              <w:t>—</w:t>
            </w:r>
          </w:p>
        </w:tc>
        <w:tc>
          <w:tcPr>
            <w:tcW w:w="360" w:type="dxa"/>
            <w:vAlign w:val="bottom"/>
            <w:shd w:val="clear" w:color="auto" w:fill="FCE9E8"/>
          </w:tcPr>
          <w:p>
            <w:pPr>
              <w:spacing w:after="0"/>
              <w:rPr>
                <w:sz w:val="16"/>
                <w:szCs w:val="16"/>
                <w:color w:val="auto"/>
              </w:rPr>
            </w:pPr>
          </w:p>
        </w:tc>
        <w:tc>
          <w:tcPr>
            <w:tcW w:w="6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7.3</w:t>
            </w:r>
          </w:p>
        </w:tc>
        <w:tc>
          <w:tcPr>
            <w:tcW w:w="420" w:type="dxa"/>
            <w:vAlign w:val="bottom"/>
            <w:shd w:val="clear" w:color="auto" w:fill="FCE9E8"/>
          </w:tcPr>
          <w:p>
            <w:pPr>
              <w:spacing w:after="0"/>
              <w:rPr>
                <w:sz w:val="16"/>
                <w:szCs w:val="16"/>
                <w:color w:val="auto"/>
              </w:rPr>
            </w:pPr>
          </w:p>
        </w:tc>
      </w:tr>
      <w:tr>
        <w:trPr>
          <w:trHeight w:val="186"/>
        </w:trPr>
        <w:tc>
          <w:tcPr>
            <w:tcW w:w="6500" w:type="dxa"/>
            <w:vAlign w:val="bottom"/>
          </w:tcPr>
          <w:p>
            <w:pPr>
              <w:ind w:left="400"/>
              <w:spacing w:after="0"/>
              <w:rPr>
                <w:sz w:val="20"/>
                <w:szCs w:val="20"/>
                <w:color w:val="auto"/>
              </w:rPr>
            </w:pPr>
            <w:r>
              <w:rPr>
                <w:rFonts w:ascii="Arial" w:cs="Arial" w:eastAsia="Arial" w:hAnsi="Arial"/>
                <w:sz w:val="16"/>
                <w:szCs w:val="16"/>
                <w:color w:val="auto"/>
              </w:rPr>
              <w:t>Loss related to affiliate</w:t>
            </w:r>
          </w:p>
        </w:tc>
        <w:tc>
          <w:tcPr>
            <w:tcW w:w="1880" w:type="dxa"/>
            <w:vAlign w:val="bottom"/>
          </w:tcPr>
          <w:p>
            <w:pPr>
              <w:spacing w:after="0"/>
              <w:rPr>
                <w:sz w:val="16"/>
                <w:szCs w:val="16"/>
                <w:color w:val="auto"/>
              </w:rPr>
            </w:pPr>
          </w:p>
        </w:tc>
        <w:tc>
          <w:tcPr>
            <w:tcW w:w="1040" w:type="dxa"/>
            <w:vAlign w:val="bottom"/>
          </w:tcPr>
          <w:p>
            <w:pPr>
              <w:jc w:val="right"/>
              <w:ind w:right="301"/>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r>
      <w:tr>
        <w:trPr>
          <w:trHeight w:val="186"/>
        </w:trPr>
        <w:tc>
          <w:tcPr>
            <w:tcW w:w="6500" w:type="dxa"/>
            <w:vAlign w:val="bottom"/>
            <w:shd w:val="clear" w:color="auto" w:fill="FCE9E8"/>
          </w:tcPr>
          <w:p>
            <w:pPr>
              <w:ind w:left="400"/>
              <w:spacing w:after="0"/>
              <w:rPr>
                <w:sz w:val="20"/>
                <w:szCs w:val="20"/>
                <w:color w:val="auto"/>
              </w:rPr>
            </w:pPr>
            <w:r>
              <w:rPr>
                <w:rFonts w:ascii="Arial" w:cs="Arial" w:eastAsia="Arial" w:hAnsi="Arial"/>
                <w:sz w:val="16"/>
                <w:szCs w:val="16"/>
                <w:color w:val="auto"/>
              </w:rPr>
              <w:t>Favorable tax ruling in a foreign jurisdiction</w:t>
            </w:r>
          </w:p>
        </w:tc>
        <w:tc>
          <w:tcPr>
            <w:tcW w:w="1880" w:type="dxa"/>
            <w:vAlign w:val="bottom"/>
            <w:shd w:val="clear" w:color="auto" w:fill="FCE9E8"/>
          </w:tcPr>
          <w:p>
            <w:pPr>
              <w:spacing w:after="0"/>
              <w:rPr>
                <w:sz w:val="16"/>
                <w:szCs w:val="16"/>
                <w:color w:val="auto"/>
              </w:rPr>
            </w:pPr>
          </w:p>
        </w:tc>
        <w:tc>
          <w:tcPr>
            <w:tcW w:w="1040" w:type="dxa"/>
            <w:vAlign w:val="bottom"/>
            <w:shd w:val="clear" w:color="auto" w:fill="FCE9E8"/>
          </w:tcPr>
          <w:p>
            <w:pPr>
              <w:jc w:val="right"/>
              <w:ind w:right="261"/>
              <w:spacing w:after="0"/>
              <w:rPr>
                <w:sz w:val="20"/>
                <w:szCs w:val="20"/>
                <w:color w:val="auto"/>
              </w:rPr>
            </w:pPr>
            <w:r>
              <w:rPr>
                <w:rFonts w:ascii="Arial" w:cs="Arial" w:eastAsia="Arial" w:hAnsi="Arial"/>
                <w:sz w:val="16"/>
                <w:szCs w:val="16"/>
                <w:color w:val="auto"/>
              </w:rPr>
              <w:t>(15.8)</w:t>
            </w:r>
          </w:p>
        </w:tc>
        <w:tc>
          <w:tcPr>
            <w:tcW w:w="360" w:type="dxa"/>
            <w:vAlign w:val="bottom"/>
            <w:shd w:val="clear" w:color="auto" w:fill="FCE9E8"/>
          </w:tcPr>
          <w:p>
            <w:pPr>
              <w:spacing w:after="0"/>
              <w:rPr>
                <w:sz w:val="16"/>
                <w:szCs w:val="16"/>
                <w:color w:val="auto"/>
              </w:rPr>
            </w:pPr>
          </w:p>
        </w:tc>
        <w:tc>
          <w:tcPr>
            <w:tcW w:w="6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FCE9E8"/>
          </w:tcPr>
          <w:p>
            <w:pPr>
              <w:spacing w:after="0"/>
              <w:rPr>
                <w:sz w:val="16"/>
                <w:szCs w:val="16"/>
                <w:color w:val="auto"/>
              </w:rPr>
            </w:pPr>
          </w:p>
        </w:tc>
      </w:tr>
      <w:tr>
        <w:trPr>
          <w:trHeight w:val="186"/>
        </w:trPr>
        <w:tc>
          <w:tcPr>
            <w:tcW w:w="650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Other</w:t>
            </w:r>
          </w:p>
        </w:tc>
        <w:tc>
          <w:tcPr>
            <w:tcW w:w="18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22.1</w:t>
            </w: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420" w:type="dxa"/>
            <w:vAlign w:val="bottom"/>
            <w:tcBorders>
              <w:bottom w:val="single" w:sz="8" w:color="auto"/>
            </w:tcBorders>
          </w:tcPr>
          <w:p>
            <w:pPr>
              <w:spacing w:after="0"/>
              <w:rPr>
                <w:sz w:val="16"/>
                <w:szCs w:val="16"/>
                <w:color w:val="auto"/>
              </w:rPr>
            </w:pPr>
          </w:p>
        </w:tc>
      </w:tr>
      <w:tr>
        <w:trPr>
          <w:trHeight w:val="180"/>
        </w:trPr>
        <w:tc>
          <w:tcPr>
            <w:tcW w:w="6500" w:type="dxa"/>
            <w:vAlign w:val="bottom"/>
            <w:tcBorders>
              <w:bottom w:val="single" w:sz="8" w:color="auto"/>
            </w:tcBorders>
            <w:shd w:val="clear" w:color="auto" w:fill="FCE9E8"/>
          </w:tcPr>
          <w:p>
            <w:pPr>
              <w:spacing w:after="0" w:line="180" w:lineRule="exact"/>
              <w:rPr>
                <w:sz w:val="20"/>
                <w:szCs w:val="20"/>
                <w:color w:val="auto"/>
              </w:rPr>
            </w:pPr>
            <w:r>
              <w:rPr>
                <w:rFonts w:ascii="Arial" w:cs="Arial" w:eastAsia="Arial" w:hAnsi="Arial"/>
                <w:sz w:val="16"/>
                <w:szCs w:val="16"/>
                <w:b w:val="1"/>
                <w:bCs w:val="1"/>
                <w:color w:val="auto"/>
              </w:rPr>
              <w:t>Core operating earnings</w:t>
            </w:r>
          </w:p>
        </w:tc>
        <w:tc>
          <w:tcPr>
            <w:tcW w:w="1880" w:type="dxa"/>
            <w:vAlign w:val="bottom"/>
            <w:tcBorders>
              <w:bottom w:val="single" w:sz="8" w:color="auto"/>
            </w:tcBorders>
            <w:shd w:val="clear" w:color="auto" w:fill="FCE9E8"/>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FCE9E8"/>
          </w:tcPr>
          <w:p>
            <w:pPr>
              <w:jc w:val="right"/>
              <w:ind w:right="301"/>
              <w:spacing w:after="0" w:line="180" w:lineRule="exact"/>
              <w:rPr>
                <w:sz w:val="20"/>
                <w:szCs w:val="20"/>
                <w:color w:val="auto"/>
              </w:rPr>
            </w:pPr>
            <w:r>
              <w:rPr>
                <w:rFonts w:ascii="Arial" w:cs="Arial" w:eastAsia="Arial" w:hAnsi="Arial"/>
                <w:sz w:val="16"/>
                <w:szCs w:val="16"/>
                <w:b w:val="1"/>
                <w:bCs w:val="1"/>
                <w:color w:val="auto"/>
              </w:rPr>
              <w:t>1,749.3</w:t>
            </w:r>
          </w:p>
        </w:tc>
        <w:tc>
          <w:tcPr>
            <w:tcW w:w="360" w:type="dxa"/>
            <w:vAlign w:val="bottom"/>
            <w:tcBorders>
              <w:bottom w:val="single" w:sz="8" w:color="auto"/>
            </w:tcBorders>
            <w:shd w:val="clear" w:color="auto" w:fill="FCE9E8"/>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shd w:val="clear" w:color="auto" w:fill="FCE9E8"/>
          </w:tcPr>
          <w:p>
            <w:pPr>
              <w:jc w:val="right"/>
              <w:spacing w:after="0" w:line="180" w:lineRule="exact"/>
              <w:rPr>
                <w:sz w:val="20"/>
                <w:szCs w:val="20"/>
                <w:color w:val="auto"/>
              </w:rPr>
            </w:pPr>
            <w:r>
              <w:rPr>
                <w:rFonts w:ascii="Arial" w:cs="Arial" w:eastAsia="Arial" w:hAnsi="Arial"/>
                <w:sz w:val="16"/>
                <w:szCs w:val="16"/>
                <w:b w:val="1"/>
                <w:bCs w:val="1"/>
                <w:color w:val="auto"/>
              </w:rPr>
              <w:t>839.4</w:t>
            </w:r>
          </w:p>
        </w:tc>
        <w:tc>
          <w:tcPr>
            <w:tcW w:w="420" w:type="dxa"/>
            <w:vAlign w:val="bottom"/>
            <w:tcBorders>
              <w:bottom w:val="single" w:sz="8" w:color="auto"/>
            </w:tcBorders>
            <w:shd w:val="clear" w:color="auto" w:fill="FCE9E8"/>
          </w:tcPr>
          <w:p>
            <w:pPr>
              <w:spacing w:after="0"/>
              <w:rPr>
                <w:sz w:val="15"/>
                <w:szCs w:val="15"/>
                <w:color w:val="auto"/>
              </w:rPr>
            </w:pPr>
          </w:p>
        </w:tc>
      </w:tr>
      <w:tr>
        <w:trPr>
          <w:trHeight w:val="180"/>
        </w:trPr>
        <w:tc>
          <w:tcPr>
            <w:tcW w:w="650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b w:val="1"/>
                <w:bCs w:val="1"/>
                <w:color w:val="auto"/>
              </w:rPr>
              <w:t>Core operating margin</w:t>
            </w:r>
          </w:p>
        </w:tc>
        <w:tc>
          <w:tcPr>
            <w:tcW w:w="18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61"/>
              <w:spacing w:after="0" w:line="180" w:lineRule="exact"/>
              <w:rPr>
                <w:sz w:val="20"/>
                <w:szCs w:val="20"/>
                <w:color w:val="auto"/>
              </w:rPr>
            </w:pPr>
            <w:r>
              <w:rPr>
                <w:rFonts w:ascii="Arial" w:cs="Arial" w:eastAsia="Arial" w:hAnsi="Arial"/>
                <w:sz w:val="16"/>
                <w:szCs w:val="16"/>
                <w:b w:val="1"/>
                <w:bCs w:val="1"/>
                <w:color w:val="auto"/>
              </w:rPr>
              <w:t>8.3%</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211"/>
              <w:spacing w:after="0" w:line="180" w:lineRule="exact"/>
              <w:rPr>
                <w:sz w:val="20"/>
                <w:szCs w:val="20"/>
                <w:color w:val="auto"/>
              </w:rPr>
            </w:pPr>
            <w:r>
              <w:rPr>
                <w:rFonts w:ascii="Arial" w:cs="Arial" w:eastAsia="Arial" w:hAnsi="Arial"/>
                <w:sz w:val="16"/>
                <w:szCs w:val="16"/>
                <w:b w:val="1"/>
                <w:bCs w:val="1"/>
                <w:color w:val="auto"/>
              </w:rPr>
              <w:t>5.2%</w:t>
            </w:r>
          </w:p>
        </w:tc>
      </w:tr>
      <w:tr>
        <w:trPr>
          <w:trHeight w:val="393"/>
        </w:trPr>
        <w:tc>
          <w:tcPr>
            <w:tcW w:w="6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80" w:type="dxa"/>
            <w:vAlign w:val="bottom"/>
            <w:gridSpan w:val="3"/>
          </w:tcPr>
          <w:p>
            <w:pPr>
              <w:jc w:val="right"/>
              <w:ind w:right="41"/>
              <w:spacing w:after="0"/>
              <w:rPr>
                <w:sz w:val="20"/>
                <w:szCs w:val="20"/>
                <w:color w:val="auto"/>
              </w:rPr>
            </w:pPr>
            <w:r>
              <w:rPr>
                <w:rFonts w:ascii="Arial" w:cs="Arial" w:eastAsia="Arial" w:hAnsi="Arial"/>
                <w:sz w:val="15"/>
                <w:szCs w:val="15"/>
                <w:b w:val="1"/>
                <w:bCs w:val="1"/>
                <w:color w:val="E2231A"/>
              </w:rPr>
              <w:t>2019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E2231A"/>
              </w:rPr>
              <w:t xml:space="preserve">|  </w:t>
            </w:r>
            <w:r>
              <w:rPr>
                <w:rFonts w:ascii="Arial" w:cs="Arial" w:eastAsia="Arial" w:hAnsi="Arial"/>
                <w:sz w:val="18"/>
                <w:szCs w:val="18"/>
                <w:b w:val="1"/>
                <w:bCs w:val="1"/>
                <w:color w:val="000000"/>
              </w:rPr>
              <w:t>A-</w:t>
            </w:r>
          </w:p>
        </w:tc>
      </w:tr>
      <w:tr>
        <w:trPr>
          <w:trHeight w:val="235"/>
        </w:trPr>
        <w:tc>
          <w:tcPr>
            <w:tcW w:w="65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jc w:val="right"/>
              <w:ind w:right="71"/>
              <w:spacing w:after="0"/>
              <w:rPr>
                <w:sz w:val="20"/>
                <w:szCs w:val="20"/>
                <w:color w:val="auto"/>
              </w:rPr>
            </w:pPr>
            <w:r>
              <w:rPr>
                <w:rFonts w:ascii="Arial" w:cs="Arial" w:eastAsia="Arial" w:hAnsi="Arial"/>
                <w:sz w:val="18"/>
                <w:szCs w:val="18"/>
                <w:b w:val="1"/>
                <w:bCs w:val="1"/>
                <w:color w:val="auto"/>
              </w:rPr>
              <w:t>1</w:t>
            </w:r>
          </w:p>
        </w:tc>
      </w:tr>
    </w:tbl>
    <w:p>
      <w:pPr>
        <w:sectPr>
          <w:pgSz w:w="11900" w:h="16838" w:orient="portrait"/>
          <w:cols w:equalWidth="0" w:num="1">
            <w:col w:w="11160"/>
          </w:cols>
          <w:pgMar w:left="240" w:top="455" w:right="49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APPENDIX A</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Adjusted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365"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(unaudited; in millions, except per share amounts)</w:t>
            </w:r>
          </w:p>
        </w:tc>
        <w:tc>
          <w:tcPr>
            <w:tcW w:w="20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E2231A"/>
              </w:rPr>
              <w:t>2018</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E2231A"/>
                <w:w w:val="96"/>
              </w:rPr>
              <w:t>2013</w:t>
            </w:r>
          </w:p>
        </w:tc>
      </w:tr>
      <w:tr>
        <w:trPr>
          <w:trHeight w:val="180"/>
        </w:trPr>
        <w:tc>
          <w:tcPr>
            <w:tcW w:w="6700" w:type="dxa"/>
            <w:vAlign w:val="bottom"/>
            <w:shd w:val="clear" w:color="auto" w:fill="FCE9E8"/>
          </w:tcPr>
          <w:p>
            <w:pPr>
              <w:spacing w:after="0" w:line="180" w:lineRule="exact"/>
              <w:rPr>
                <w:sz w:val="20"/>
                <w:szCs w:val="20"/>
                <w:color w:val="auto"/>
              </w:rPr>
            </w:pPr>
            <w:r>
              <w:rPr>
                <w:rFonts w:ascii="Arial" w:cs="Arial" w:eastAsia="Arial" w:hAnsi="Arial"/>
                <w:sz w:val="16"/>
                <w:szCs w:val="16"/>
                <w:b w:val="1"/>
                <w:bCs w:val="1"/>
                <w:color w:val="auto"/>
              </w:rPr>
              <w:t>Net income available to Lear common stockholders</w:t>
            </w:r>
          </w:p>
        </w:tc>
        <w:tc>
          <w:tcPr>
            <w:tcW w:w="2060" w:type="dxa"/>
            <w:vAlign w:val="bottom"/>
            <w:shd w:val="clear" w:color="auto" w:fill="FCE9E8"/>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FCE9E8"/>
          </w:tcPr>
          <w:p>
            <w:pPr>
              <w:jc w:val="right"/>
              <w:ind w:right="261"/>
              <w:spacing w:after="0" w:line="180" w:lineRule="exact"/>
              <w:rPr>
                <w:sz w:val="20"/>
                <w:szCs w:val="20"/>
                <w:color w:val="auto"/>
              </w:rPr>
            </w:pPr>
            <w:r>
              <w:rPr>
                <w:rFonts w:ascii="Arial" w:cs="Arial" w:eastAsia="Arial" w:hAnsi="Arial"/>
                <w:sz w:val="16"/>
                <w:szCs w:val="16"/>
                <w:b w:val="1"/>
                <w:bCs w:val="1"/>
                <w:color w:val="auto"/>
                <w:w w:val="97"/>
              </w:rPr>
              <w:t>1,139.4</w:t>
            </w:r>
          </w:p>
        </w:tc>
        <w:tc>
          <w:tcPr>
            <w:tcW w:w="380" w:type="dxa"/>
            <w:vAlign w:val="bottom"/>
            <w:shd w:val="clear" w:color="auto" w:fill="FCE9E8"/>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FCE9E8"/>
          </w:tcPr>
          <w:p>
            <w:pPr>
              <w:jc w:val="right"/>
              <w:ind w:right="361"/>
              <w:spacing w:after="0" w:line="180" w:lineRule="exact"/>
              <w:rPr>
                <w:sz w:val="20"/>
                <w:szCs w:val="20"/>
                <w:color w:val="auto"/>
              </w:rPr>
            </w:pPr>
            <w:r>
              <w:rPr>
                <w:rFonts w:ascii="Arial" w:cs="Arial" w:eastAsia="Arial" w:hAnsi="Arial"/>
                <w:sz w:val="16"/>
                <w:szCs w:val="16"/>
                <w:b w:val="1"/>
                <w:bCs w:val="1"/>
                <w:color w:val="auto"/>
                <w:w w:val="99"/>
              </w:rPr>
              <w:t>431.4</w:t>
            </w:r>
          </w:p>
        </w:tc>
      </w:tr>
      <w:tr>
        <w:trPr>
          <w:trHeight w:val="186"/>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Redeemable noncontrolling interest</w:t>
            </w:r>
          </w:p>
        </w:tc>
        <w:tc>
          <w:tcPr>
            <w:tcW w:w="20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10.4</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w:t>
            </w:r>
          </w:p>
        </w:tc>
      </w:tr>
      <w:tr>
        <w:trPr>
          <w:trHeight w:val="180"/>
        </w:trPr>
        <w:tc>
          <w:tcPr>
            <w:tcW w:w="6700" w:type="dxa"/>
            <w:vAlign w:val="bottom"/>
            <w:shd w:val="clear" w:color="auto" w:fill="FCE9E8"/>
          </w:tcPr>
          <w:p>
            <w:pPr>
              <w:spacing w:after="0" w:line="180" w:lineRule="exact"/>
              <w:rPr>
                <w:sz w:val="20"/>
                <w:szCs w:val="20"/>
                <w:color w:val="auto"/>
              </w:rPr>
            </w:pPr>
            <w:r>
              <w:rPr>
                <w:rFonts w:ascii="Arial" w:cs="Arial" w:eastAsia="Arial" w:hAnsi="Arial"/>
                <w:sz w:val="16"/>
                <w:szCs w:val="16"/>
                <w:b w:val="1"/>
                <w:bCs w:val="1"/>
                <w:color w:val="auto"/>
              </w:rPr>
              <w:t>Net income attributable to Lear</w:t>
            </w:r>
          </w:p>
        </w:tc>
        <w:tc>
          <w:tcPr>
            <w:tcW w:w="2060" w:type="dxa"/>
            <w:vAlign w:val="bottom"/>
            <w:shd w:val="clear" w:color="auto" w:fill="FCE9E8"/>
          </w:tcPr>
          <w:p>
            <w:pPr>
              <w:spacing w:after="0"/>
              <w:rPr>
                <w:sz w:val="15"/>
                <w:szCs w:val="15"/>
                <w:color w:val="auto"/>
              </w:rPr>
            </w:pPr>
          </w:p>
        </w:tc>
        <w:tc>
          <w:tcPr>
            <w:tcW w:w="880" w:type="dxa"/>
            <w:vAlign w:val="bottom"/>
            <w:shd w:val="clear" w:color="auto" w:fill="FCE9E8"/>
          </w:tcPr>
          <w:p>
            <w:pPr>
              <w:jc w:val="right"/>
              <w:ind w:right="261"/>
              <w:spacing w:after="0" w:line="180" w:lineRule="exact"/>
              <w:rPr>
                <w:sz w:val="20"/>
                <w:szCs w:val="20"/>
                <w:color w:val="auto"/>
              </w:rPr>
            </w:pPr>
            <w:r>
              <w:rPr>
                <w:rFonts w:ascii="Arial" w:cs="Arial" w:eastAsia="Arial" w:hAnsi="Arial"/>
                <w:sz w:val="16"/>
                <w:szCs w:val="16"/>
                <w:color w:val="auto"/>
                <w:w w:val="97"/>
              </w:rPr>
              <w:t>1,149.8</w:t>
            </w:r>
          </w:p>
        </w:tc>
        <w:tc>
          <w:tcPr>
            <w:tcW w:w="380" w:type="dxa"/>
            <w:vAlign w:val="bottom"/>
            <w:shd w:val="clear" w:color="auto" w:fill="FCE9E8"/>
          </w:tcPr>
          <w:p>
            <w:pPr>
              <w:spacing w:after="0"/>
              <w:rPr>
                <w:sz w:val="15"/>
                <w:szCs w:val="15"/>
                <w:color w:val="auto"/>
              </w:rPr>
            </w:pPr>
          </w:p>
        </w:tc>
        <w:tc>
          <w:tcPr>
            <w:tcW w:w="860" w:type="dxa"/>
            <w:vAlign w:val="bottom"/>
            <w:shd w:val="clear" w:color="auto" w:fill="FCE9E8"/>
          </w:tcPr>
          <w:p>
            <w:pPr>
              <w:jc w:val="right"/>
              <w:ind w:right="361"/>
              <w:spacing w:after="0" w:line="180" w:lineRule="exact"/>
              <w:rPr>
                <w:sz w:val="20"/>
                <w:szCs w:val="20"/>
                <w:color w:val="auto"/>
              </w:rPr>
            </w:pPr>
            <w:r>
              <w:rPr>
                <w:rFonts w:ascii="Arial" w:cs="Arial" w:eastAsia="Arial" w:hAnsi="Arial"/>
                <w:sz w:val="16"/>
                <w:szCs w:val="16"/>
                <w:color w:val="auto"/>
                <w:w w:val="99"/>
              </w:rPr>
              <w:t>431.4</w:t>
            </w:r>
          </w:p>
        </w:tc>
      </w:tr>
      <w:tr>
        <w:trPr>
          <w:trHeight w:val="200"/>
        </w:trPr>
        <w:tc>
          <w:tcPr>
            <w:tcW w:w="6700" w:type="dxa"/>
            <w:vAlign w:val="bottom"/>
          </w:tcPr>
          <w:p>
            <w:pPr>
              <w:ind w:left="180"/>
              <w:spacing w:after="0" w:line="200" w:lineRule="exact"/>
              <w:rPr>
                <w:sz w:val="20"/>
                <w:szCs w:val="20"/>
                <w:color w:val="auto"/>
              </w:rPr>
            </w:pPr>
            <w:r>
              <w:rPr>
                <w:rFonts w:ascii="Arial" w:cs="Arial" w:eastAsia="Arial" w:hAnsi="Arial"/>
                <w:sz w:val="18"/>
                <w:szCs w:val="18"/>
                <w:color w:val="auto"/>
              </w:rPr>
              <w:t>Restructuring costs and other special items -</w:t>
            </w:r>
          </w:p>
        </w:tc>
        <w:tc>
          <w:tcPr>
            <w:tcW w:w="2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6"/>
        </w:trPr>
        <w:tc>
          <w:tcPr>
            <w:tcW w:w="6700" w:type="dxa"/>
            <w:vAlign w:val="bottom"/>
            <w:shd w:val="clear" w:color="auto" w:fill="FCE9E8"/>
          </w:tcPr>
          <w:p>
            <w:pPr>
              <w:ind w:left="400"/>
              <w:spacing w:after="0"/>
              <w:rPr>
                <w:sz w:val="20"/>
                <w:szCs w:val="20"/>
                <w:color w:val="auto"/>
              </w:rPr>
            </w:pPr>
            <w:r>
              <w:rPr>
                <w:rFonts w:ascii="Arial" w:cs="Arial" w:eastAsia="Arial" w:hAnsi="Arial"/>
                <w:sz w:val="16"/>
                <w:szCs w:val="16"/>
                <w:color w:val="auto"/>
              </w:rPr>
              <w:t>Costs related to restructuring actions</w:t>
            </w:r>
          </w:p>
        </w:tc>
        <w:tc>
          <w:tcPr>
            <w:tcW w:w="2060" w:type="dxa"/>
            <w:vAlign w:val="bottom"/>
            <w:shd w:val="clear" w:color="auto" w:fill="FCE9E8"/>
          </w:tcPr>
          <w:p>
            <w:pPr>
              <w:spacing w:after="0"/>
              <w:rPr>
                <w:sz w:val="16"/>
                <w:szCs w:val="16"/>
                <w:color w:val="auto"/>
              </w:rPr>
            </w:pPr>
          </w:p>
        </w:tc>
        <w:tc>
          <w:tcPr>
            <w:tcW w:w="880" w:type="dxa"/>
            <w:vAlign w:val="bottom"/>
            <w:shd w:val="clear" w:color="auto" w:fill="FCE9E8"/>
          </w:tcPr>
          <w:p>
            <w:pPr>
              <w:jc w:val="right"/>
              <w:ind w:right="261"/>
              <w:spacing w:after="0"/>
              <w:rPr>
                <w:sz w:val="20"/>
                <w:szCs w:val="20"/>
                <w:color w:val="auto"/>
              </w:rPr>
            </w:pPr>
            <w:r>
              <w:rPr>
                <w:rFonts w:ascii="Arial" w:cs="Arial" w:eastAsia="Arial" w:hAnsi="Arial"/>
                <w:sz w:val="16"/>
                <w:szCs w:val="16"/>
                <w:color w:val="auto"/>
              </w:rPr>
              <w:t>104.3</w:t>
            </w:r>
          </w:p>
        </w:tc>
        <w:tc>
          <w:tcPr>
            <w:tcW w:w="380" w:type="dxa"/>
            <w:vAlign w:val="bottom"/>
            <w:shd w:val="clear" w:color="auto" w:fill="FCE9E8"/>
          </w:tcPr>
          <w:p>
            <w:pPr>
              <w:spacing w:after="0"/>
              <w:rPr>
                <w:sz w:val="16"/>
                <w:szCs w:val="16"/>
                <w:color w:val="auto"/>
              </w:rPr>
            </w:pPr>
          </w:p>
        </w:tc>
        <w:tc>
          <w:tcPr>
            <w:tcW w:w="86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83.8</w:t>
            </w:r>
          </w:p>
        </w:tc>
      </w:tr>
      <w:tr>
        <w:trPr>
          <w:trHeight w:val="186"/>
        </w:trPr>
        <w:tc>
          <w:tcPr>
            <w:tcW w:w="6700" w:type="dxa"/>
            <w:vAlign w:val="bottom"/>
          </w:tcPr>
          <w:p>
            <w:pPr>
              <w:ind w:left="400"/>
              <w:spacing w:after="0"/>
              <w:rPr>
                <w:sz w:val="20"/>
                <w:szCs w:val="20"/>
                <w:color w:val="auto"/>
              </w:rPr>
            </w:pPr>
            <w:r>
              <w:rPr>
                <w:rFonts w:ascii="Arial" w:cs="Arial" w:eastAsia="Arial" w:hAnsi="Arial"/>
                <w:sz w:val="16"/>
                <w:szCs w:val="16"/>
                <w:color w:val="auto"/>
              </w:rPr>
              <w:t>Acquisition costs</w:t>
            </w:r>
          </w:p>
        </w:tc>
        <w:tc>
          <w:tcPr>
            <w:tcW w:w="2060" w:type="dxa"/>
            <w:vAlign w:val="bottom"/>
          </w:tcPr>
          <w:p>
            <w:pPr>
              <w:spacing w:after="0"/>
              <w:rPr>
                <w:sz w:val="16"/>
                <w:szCs w:val="16"/>
                <w:color w:val="auto"/>
              </w:rPr>
            </w:pPr>
          </w:p>
        </w:tc>
        <w:tc>
          <w:tcPr>
            <w:tcW w:w="880" w:type="dxa"/>
            <w:vAlign w:val="bottom"/>
          </w:tcPr>
          <w:p>
            <w:pPr>
              <w:jc w:val="right"/>
              <w:ind w:right="261"/>
              <w:spacing w:after="0"/>
              <w:rPr>
                <w:sz w:val="20"/>
                <w:szCs w:val="20"/>
                <w:color w:val="auto"/>
              </w:rPr>
            </w:pPr>
            <w:r>
              <w:rPr>
                <w:rFonts w:ascii="Arial" w:cs="Arial" w:eastAsia="Arial" w:hAnsi="Arial"/>
                <w:sz w:val="16"/>
                <w:szCs w:val="16"/>
                <w:color w:val="auto"/>
              </w:rPr>
              <w:t>0.5</w:t>
            </w:r>
          </w:p>
        </w:tc>
        <w:tc>
          <w:tcPr>
            <w:tcW w:w="380" w:type="dxa"/>
            <w:vAlign w:val="bottom"/>
          </w:tcPr>
          <w:p>
            <w:pPr>
              <w:spacing w:after="0"/>
              <w:rPr>
                <w:sz w:val="16"/>
                <w:szCs w:val="16"/>
                <w:color w:val="auto"/>
              </w:rPr>
            </w:pPr>
          </w:p>
        </w:tc>
        <w:tc>
          <w:tcPr>
            <w:tcW w:w="860" w:type="dxa"/>
            <w:vAlign w:val="bottom"/>
          </w:tcPr>
          <w:p>
            <w:pPr>
              <w:jc w:val="right"/>
              <w:ind w:right="361"/>
              <w:spacing w:after="0"/>
              <w:rPr>
                <w:sz w:val="20"/>
                <w:szCs w:val="20"/>
                <w:color w:val="auto"/>
              </w:rPr>
            </w:pPr>
            <w:r>
              <w:rPr>
                <w:rFonts w:ascii="Arial" w:cs="Arial" w:eastAsia="Arial" w:hAnsi="Arial"/>
                <w:sz w:val="16"/>
                <w:szCs w:val="16"/>
                <w:color w:val="auto"/>
              </w:rPr>
              <w:t>—</w:t>
            </w:r>
          </w:p>
        </w:tc>
      </w:tr>
      <w:tr>
        <w:trPr>
          <w:trHeight w:val="186"/>
        </w:trPr>
        <w:tc>
          <w:tcPr>
            <w:tcW w:w="6700" w:type="dxa"/>
            <w:vAlign w:val="bottom"/>
            <w:shd w:val="clear" w:color="auto" w:fill="FCE9E8"/>
          </w:tcPr>
          <w:p>
            <w:pPr>
              <w:ind w:left="400"/>
              <w:spacing w:after="0"/>
              <w:rPr>
                <w:sz w:val="20"/>
                <w:szCs w:val="20"/>
                <w:color w:val="auto"/>
              </w:rPr>
            </w:pPr>
            <w:r>
              <w:rPr>
                <w:rFonts w:ascii="Arial" w:cs="Arial" w:eastAsia="Arial" w:hAnsi="Arial"/>
                <w:sz w:val="16"/>
                <w:szCs w:val="16"/>
                <w:color w:val="auto"/>
              </w:rPr>
              <w:t>Costs related to proxy context</w:t>
            </w:r>
          </w:p>
        </w:tc>
        <w:tc>
          <w:tcPr>
            <w:tcW w:w="2060" w:type="dxa"/>
            <w:vAlign w:val="bottom"/>
            <w:shd w:val="clear" w:color="auto" w:fill="FCE9E8"/>
          </w:tcPr>
          <w:p>
            <w:pPr>
              <w:spacing w:after="0"/>
              <w:rPr>
                <w:sz w:val="16"/>
                <w:szCs w:val="16"/>
                <w:color w:val="auto"/>
              </w:rPr>
            </w:pPr>
          </w:p>
        </w:tc>
        <w:tc>
          <w:tcPr>
            <w:tcW w:w="880" w:type="dxa"/>
            <w:vAlign w:val="bottom"/>
            <w:shd w:val="clear" w:color="auto" w:fill="FCE9E8"/>
          </w:tcPr>
          <w:p>
            <w:pPr>
              <w:jc w:val="right"/>
              <w:ind w:right="261"/>
              <w:spacing w:after="0"/>
              <w:rPr>
                <w:sz w:val="20"/>
                <w:szCs w:val="20"/>
                <w:color w:val="auto"/>
              </w:rPr>
            </w:pPr>
            <w:r>
              <w:rPr>
                <w:rFonts w:ascii="Arial" w:cs="Arial" w:eastAsia="Arial" w:hAnsi="Arial"/>
                <w:sz w:val="16"/>
                <w:szCs w:val="16"/>
                <w:color w:val="auto"/>
              </w:rPr>
              <w:t>—</w:t>
            </w:r>
          </w:p>
        </w:tc>
        <w:tc>
          <w:tcPr>
            <w:tcW w:w="380" w:type="dxa"/>
            <w:vAlign w:val="bottom"/>
            <w:shd w:val="clear" w:color="auto" w:fill="FCE9E8"/>
          </w:tcPr>
          <w:p>
            <w:pPr>
              <w:spacing w:after="0"/>
              <w:rPr>
                <w:sz w:val="16"/>
                <w:szCs w:val="16"/>
                <w:color w:val="auto"/>
              </w:rPr>
            </w:pPr>
          </w:p>
        </w:tc>
        <w:tc>
          <w:tcPr>
            <w:tcW w:w="86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3.0</w:t>
            </w:r>
          </w:p>
        </w:tc>
      </w:tr>
      <w:tr>
        <w:trPr>
          <w:trHeight w:val="186"/>
        </w:trPr>
        <w:tc>
          <w:tcPr>
            <w:tcW w:w="6700" w:type="dxa"/>
            <w:vAlign w:val="bottom"/>
          </w:tcPr>
          <w:p>
            <w:pPr>
              <w:ind w:left="400"/>
              <w:spacing w:after="0"/>
              <w:rPr>
                <w:sz w:val="20"/>
                <w:szCs w:val="20"/>
                <w:color w:val="auto"/>
              </w:rPr>
            </w:pPr>
            <w:r>
              <w:rPr>
                <w:rFonts w:ascii="Arial" w:cs="Arial" w:eastAsia="Arial" w:hAnsi="Arial"/>
                <w:sz w:val="16"/>
                <w:szCs w:val="16"/>
                <w:color w:val="auto"/>
              </w:rPr>
              <w:t>Pension settlement loss</w:t>
            </w:r>
          </w:p>
        </w:tc>
        <w:tc>
          <w:tcPr>
            <w:tcW w:w="2060" w:type="dxa"/>
            <w:vAlign w:val="bottom"/>
          </w:tcPr>
          <w:p>
            <w:pPr>
              <w:spacing w:after="0"/>
              <w:rPr>
                <w:sz w:val="16"/>
                <w:szCs w:val="16"/>
                <w:color w:val="auto"/>
              </w:rPr>
            </w:pPr>
          </w:p>
        </w:tc>
        <w:tc>
          <w:tcPr>
            <w:tcW w:w="880" w:type="dxa"/>
            <w:vAlign w:val="bottom"/>
          </w:tcPr>
          <w:p>
            <w:pPr>
              <w:jc w:val="right"/>
              <w:ind w:right="261"/>
              <w:spacing w:after="0"/>
              <w:rPr>
                <w:sz w:val="20"/>
                <w:szCs w:val="20"/>
                <w:color w:val="auto"/>
              </w:rPr>
            </w:pPr>
            <w:r>
              <w:rPr>
                <w:rFonts w:ascii="Arial" w:cs="Arial" w:eastAsia="Arial" w:hAnsi="Arial"/>
                <w:sz w:val="16"/>
                <w:szCs w:val="16"/>
                <w:color w:val="auto"/>
              </w:rPr>
              <w:t>5.4</w:t>
            </w:r>
          </w:p>
        </w:tc>
        <w:tc>
          <w:tcPr>
            <w:tcW w:w="380" w:type="dxa"/>
            <w:vAlign w:val="bottom"/>
          </w:tcPr>
          <w:p>
            <w:pPr>
              <w:spacing w:after="0"/>
              <w:rPr>
                <w:sz w:val="16"/>
                <w:szCs w:val="16"/>
                <w:color w:val="auto"/>
              </w:rPr>
            </w:pPr>
          </w:p>
        </w:tc>
        <w:tc>
          <w:tcPr>
            <w:tcW w:w="860" w:type="dxa"/>
            <w:vAlign w:val="bottom"/>
          </w:tcPr>
          <w:p>
            <w:pPr>
              <w:jc w:val="right"/>
              <w:ind w:right="361"/>
              <w:spacing w:after="0"/>
              <w:rPr>
                <w:sz w:val="20"/>
                <w:szCs w:val="20"/>
                <w:color w:val="auto"/>
              </w:rPr>
            </w:pPr>
            <w:r>
              <w:rPr>
                <w:rFonts w:ascii="Arial" w:cs="Arial" w:eastAsia="Arial" w:hAnsi="Arial"/>
                <w:sz w:val="16"/>
                <w:szCs w:val="16"/>
                <w:color w:val="auto"/>
              </w:rPr>
              <w:t>—</w:t>
            </w:r>
          </w:p>
        </w:tc>
      </w:tr>
      <w:tr>
        <w:trPr>
          <w:trHeight w:val="186"/>
        </w:trPr>
        <w:tc>
          <w:tcPr>
            <w:tcW w:w="6700" w:type="dxa"/>
            <w:vAlign w:val="bottom"/>
            <w:shd w:val="clear" w:color="auto" w:fill="FCE9E8"/>
          </w:tcPr>
          <w:p>
            <w:pPr>
              <w:ind w:left="400"/>
              <w:spacing w:after="0"/>
              <w:rPr>
                <w:sz w:val="20"/>
                <w:szCs w:val="20"/>
                <w:color w:val="auto"/>
              </w:rPr>
            </w:pPr>
            <w:r>
              <w:rPr>
                <w:rFonts w:ascii="Arial" w:cs="Arial" w:eastAsia="Arial" w:hAnsi="Arial"/>
                <w:sz w:val="16"/>
                <w:szCs w:val="16"/>
                <w:color w:val="auto"/>
              </w:rPr>
              <w:t>Litigation</w:t>
            </w:r>
          </w:p>
        </w:tc>
        <w:tc>
          <w:tcPr>
            <w:tcW w:w="2060" w:type="dxa"/>
            <w:vAlign w:val="bottom"/>
            <w:shd w:val="clear" w:color="auto" w:fill="FCE9E8"/>
          </w:tcPr>
          <w:p>
            <w:pPr>
              <w:spacing w:after="0"/>
              <w:rPr>
                <w:sz w:val="16"/>
                <w:szCs w:val="16"/>
                <w:color w:val="auto"/>
              </w:rPr>
            </w:pPr>
          </w:p>
        </w:tc>
        <w:tc>
          <w:tcPr>
            <w:tcW w:w="880" w:type="dxa"/>
            <w:vAlign w:val="bottom"/>
            <w:shd w:val="clear" w:color="auto" w:fill="FCE9E8"/>
          </w:tcPr>
          <w:p>
            <w:pPr>
              <w:jc w:val="right"/>
              <w:ind w:right="201"/>
              <w:spacing w:after="0"/>
              <w:rPr>
                <w:sz w:val="20"/>
                <w:szCs w:val="20"/>
                <w:color w:val="auto"/>
              </w:rPr>
            </w:pPr>
            <w:r>
              <w:rPr>
                <w:rFonts w:ascii="Arial" w:cs="Arial" w:eastAsia="Arial" w:hAnsi="Arial"/>
                <w:sz w:val="16"/>
                <w:szCs w:val="16"/>
                <w:color w:val="auto"/>
              </w:rPr>
              <w:t>(17.1)</w:t>
            </w:r>
          </w:p>
        </w:tc>
        <w:tc>
          <w:tcPr>
            <w:tcW w:w="380" w:type="dxa"/>
            <w:vAlign w:val="bottom"/>
            <w:shd w:val="clear" w:color="auto" w:fill="FCE9E8"/>
          </w:tcPr>
          <w:p>
            <w:pPr>
              <w:spacing w:after="0"/>
              <w:rPr>
                <w:sz w:val="16"/>
                <w:szCs w:val="16"/>
                <w:color w:val="auto"/>
              </w:rPr>
            </w:pPr>
          </w:p>
        </w:tc>
        <w:tc>
          <w:tcPr>
            <w:tcW w:w="86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7.3</w:t>
            </w:r>
          </w:p>
        </w:tc>
      </w:tr>
      <w:tr>
        <w:trPr>
          <w:trHeight w:val="186"/>
        </w:trPr>
        <w:tc>
          <w:tcPr>
            <w:tcW w:w="6700" w:type="dxa"/>
            <w:vAlign w:val="bottom"/>
          </w:tcPr>
          <w:p>
            <w:pPr>
              <w:ind w:left="400"/>
              <w:spacing w:after="0"/>
              <w:rPr>
                <w:sz w:val="20"/>
                <w:szCs w:val="20"/>
                <w:color w:val="auto"/>
              </w:rPr>
            </w:pPr>
            <w:r>
              <w:rPr>
                <w:rFonts w:ascii="Arial" w:cs="Arial" w:eastAsia="Arial" w:hAnsi="Arial"/>
                <w:sz w:val="16"/>
                <w:szCs w:val="16"/>
                <w:color w:val="auto"/>
              </w:rPr>
              <w:t>Losses and incremental costs related to destruction of assets</w:t>
            </w:r>
          </w:p>
        </w:tc>
        <w:tc>
          <w:tcPr>
            <w:tcW w:w="2060" w:type="dxa"/>
            <w:vAlign w:val="bottom"/>
          </w:tcPr>
          <w:p>
            <w:pPr>
              <w:spacing w:after="0"/>
              <w:rPr>
                <w:sz w:val="16"/>
                <w:szCs w:val="16"/>
                <w:color w:val="auto"/>
              </w:rPr>
            </w:pPr>
          </w:p>
        </w:tc>
        <w:tc>
          <w:tcPr>
            <w:tcW w:w="8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ind w:right="361"/>
              <w:spacing w:after="0"/>
              <w:rPr>
                <w:sz w:val="20"/>
                <w:szCs w:val="20"/>
                <w:color w:val="auto"/>
              </w:rPr>
            </w:pPr>
            <w:r>
              <w:rPr>
                <w:rFonts w:ascii="Arial" w:cs="Arial" w:eastAsia="Arial" w:hAnsi="Arial"/>
                <w:sz w:val="16"/>
                <w:szCs w:val="16"/>
                <w:color w:val="auto"/>
              </w:rPr>
              <w:t>7.3</w:t>
            </w:r>
          </w:p>
        </w:tc>
      </w:tr>
      <w:tr>
        <w:trPr>
          <w:trHeight w:val="186"/>
        </w:trPr>
        <w:tc>
          <w:tcPr>
            <w:tcW w:w="6700" w:type="dxa"/>
            <w:vAlign w:val="bottom"/>
            <w:shd w:val="clear" w:color="auto" w:fill="FCE9E8"/>
          </w:tcPr>
          <w:p>
            <w:pPr>
              <w:ind w:left="400"/>
              <w:spacing w:after="0"/>
              <w:rPr>
                <w:sz w:val="20"/>
                <w:szCs w:val="20"/>
                <w:color w:val="auto"/>
              </w:rPr>
            </w:pPr>
            <w:r>
              <w:rPr>
                <w:rFonts w:ascii="Arial" w:cs="Arial" w:eastAsia="Arial" w:hAnsi="Arial"/>
                <w:sz w:val="16"/>
                <w:szCs w:val="16"/>
                <w:color w:val="auto"/>
              </w:rPr>
              <w:t>Loss on extinguishment of debt</w:t>
            </w:r>
          </w:p>
        </w:tc>
        <w:tc>
          <w:tcPr>
            <w:tcW w:w="2060" w:type="dxa"/>
            <w:vAlign w:val="bottom"/>
            <w:shd w:val="clear" w:color="auto" w:fill="FCE9E8"/>
          </w:tcPr>
          <w:p>
            <w:pPr>
              <w:spacing w:after="0"/>
              <w:rPr>
                <w:sz w:val="16"/>
                <w:szCs w:val="16"/>
                <w:color w:val="auto"/>
              </w:rPr>
            </w:pPr>
          </w:p>
        </w:tc>
        <w:tc>
          <w:tcPr>
            <w:tcW w:w="880" w:type="dxa"/>
            <w:vAlign w:val="bottom"/>
            <w:shd w:val="clear" w:color="auto" w:fill="FCE9E8"/>
          </w:tcPr>
          <w:p>
            <w:pPr>
              <w:jc w:val="right"/>
              <w:ind w:right="261"/>
              <w:spacing w:after="0"/>
              <w:rPr>
                <w:sz w:val="20"/>
                <w:szCs w:val="20"/>
                <w:color w:val="auto"/>
              </w:rPr>
            </w:pPr>
            <w:r>
              <w:rPr>
                <w:rFonts w:ascii="Arial" w:cs="Arial" w:eastAsia="Arial" w:hAnsi="Arial"/>
                <w:sz w:val="16"/>
                <w:szCs w:val="16"/>
                <w:color w:val="auto"/>
              </w:rPr>
              <w:t>—</w:t>
            </w:r>
          </w:p>
        </w:tc>
        <w:tc>
          <w:tcPr>
            <w:tcW w:w="380" w:type="dxa"/>
            <w:vAlign w:val="bottom"/>
            <w:shd w:val="clear" w:color="auto" w:fill="FCE9E8"/>
          </w:tcPr>
          <w:p>
            <w:pPr>
              <w:spacing w:after="0"/>
              <w:rPr>
                <w:sz w:val="16"/>
                <w:szCs w:val="16"/>
                <w:color w:val="auto"/>
              </w:rPr>
            </w:pPr>
          </w:p>
        </w:tc>
        <w:tc>
          <w:tcPr>
            <w:tcW w:w="86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3.6</w:t>
            </w:r>
          </w:p>
        </w:tc>
      </w:tr>
      <w:tr>
        <w:trPr>
          <w:trHeight w:val="186"/>
        </w:trPr>
        <w:tc>
          <w:tcPr>
            <w:tcW w:w="6700" w:type="dxa"/>
            <w:vAlign w:val="bottom"/>
          </w:tcPr>
          <w:p>
            <w:pPr>
              <w:ind w:left="400"/>
              <w:spacing w:after="0"/>
              <w:rPr>
                <w:sz w:val="20"/>
                <w:szCs w:val="20"/>
                <w:color w:val="auto"/>
              </w:rPr>
            </w:pPr>
            <w:r>
              <w:rPr>
                <w:rFonts w:ascii="Arial" w:cs="Arial" w:eastAsia="Arial" w:hAnsi="Arial"/>
                <w:sz w:val="16"/>
                <w:szCs w:val="16"/>
                <w:color w:val="auto"/>
              </w:rPr>
              <w:t>Gain related to affiliate, net</w:t>
            </w:r>
          </w:p>
        </w:tc>
        <w:tc>
          <w:tcPr>
            <w:tcW w:w="2060" w:type="dxa"/>
            <w:vAlign w:val="bottom"/>
          </w:tcPr>
          <w:p>
            <w:pPr>
              <w:spacing w:after="0"/>
              <w:rPr>
                <w:sz w:val="16"/>
                <w:szCs w:val="16"/>
                <w:color w:val="auto"/>
              </w:rPr>
            </w:pPr>
          </w:p>
        </w:tc>
        <w:tc>
          <w:tcPr>
            <w:tcW w:w="880" w:type="dxa"/>
            <w:vAlign w:val="bottom"/>
          </w:tcPr>
          <w:p>
            <w:pPr>
              <w:jc w:val="right"/>
              <w:ind w:right="201"/>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16"/>
                <w:szCs w:val="16"/>
                <w:color w:val="auto"/>
              </w:rPr>
            </w:pPr>
          </w:p>
        </w:tc>
        <w:tc>
          <w:tcPr>
            <w:tcW w:w="860" w:type="dxa"/>
            <w:vAlign w:val="bottom"/>
          </w:tcPr>
          <w:p>
            <w:pPr>
              <w:jc w:val="right"/>
              <w:ind w:right="361"/>
              <w:spacing w:after="0"/>
              <w:rPr>
                <w:sz w:val="20"/>
                <w:szCs w:val="20"/>
                <w:color w:val="auto"/>
              </w:rPr>
            </w:pPr>
            <w:r>
              <w:rPr>
                <w:rFonts w:ascii="Arial" w:cs="Arial" w:eastAsia="Arial" w:hAnsi="Arial"/>
                <w:sz w:val="16"/>
                <w:szCs w:val="16"/>
                <w:color w:val="auto"/>
              </w:rPr>
              <w:t>—</w:t>
            </w:r>
          </w:p>
        </w:tc>
      </w:tr>
      <w:tr>
        <w:trPr>
          <w:trHeight w:val="186"/>
        </w:trPr>
        <w:tc>
          <w:tcPr>
            <w:tcW w:w="6700" w:type="dxa"/>
            <w:vAlign w:val="bottom"/>
            <w:shd w:val="clear" w:color="auto" w:fill="FCE9E8"/>
          </w:tcPr>
          <w:p>
            <w:pPr>
              <w:ind w:left="400"/>
              <w:spacing w:after="0"/>
              <w:rPr>
                <w:sz w:val="20"/>
                <w:szCs w:val="20"/>
                <w:color w:val="auto"/>
              </w:rPr>
            </w:pPr>
            <w:r>
              <w:rPr>
                <w:rFonts w:ascii="Arial" w:cs="Arial" w:eastAsia="Arial" w:hAnsi="Arial"/>
                <w:sz w:val="16"/>
                <w:szCs w:val="16"/>
                <w:color w:val="auto"/>
              </w:rPr>
              <w:t>Favorable tax ruling in a foreign jurisdiction</w:t>
            </w:r>
          </w:p>
        </w:tc>
        <w:tc>
          <w:tcPr>
            <w:tcW w:w="2060" w:type="dxa"/>
            <w:vAlign w:val="bottom"/>
            <w:shd w:val="clear" w:color="auto" w:fill="FCE9E8"/>
          </w:tcPr>
          <w:p>
            <w:pPr>
              <w:spacing w:after="0"/>
              <w:rPr>
                <w:sz w:val="16"/>
                <w:szCs w:val="16"/>
                <w:color w:val="auto"/>
              </w:rPr>
            </w:pPr>
          </w:p>
        </w:tc>
        <w:tc>
          <w:tcPr>
            <w:tcW w:w="880" w:type="dxa"/>
            <w:vAlign w:val="bottom"/>
            <w:shd w:val="clear" w:color="auto" w:fill="FCE9E8"/>
          </w:tcPr>
          <w:p>
            <w:pPr>
              <w:jc w:val="right"/>
              <w:ind w:right="201"/>
              <w:spacing w:after="0"/>
              <w:rPr>
                <w:sz w:val="20"/>
                <w:szCs w:val="20"/>
                <w:color w:val="auto"/>
              </w:rPr>
            </w:pPr>
            <w:r>
              <w:rPr>
                <w:rFonts w:ascii="Arial" w:cs="Arial" w:eastAsia="Arial" w:hAnsi="Arial"/>
                <w:sz w:val="16"/>
                <w:szCs w:val="16"/>
                <w:color w:val="auto"/>
              </w:rPr>
              <w:t>(15.8)</w:t>
            </w:r>
          </w:p>
        </w:tc>
        <w:tc>
          <w:tcPr>
            <w:tcW w:w="380" w:type="dxa"/>
            <w:vAlign w:val="bottom"/>
            <w:shd w:val="clear" w:color="auto" w:fill="FCE9E8"/>
          </w:tcPr>
          <w:p>
            <w:pPr>
              <w:spacing w:after="0"/>
              <w:rPr>
                <w:sz w:val="16"/>
                <w:szCs w:val="16"/>
                <w:color w:val="auto"/>
              </w:rPr>
            </w:pPr>
          </w:p>
        </w:tc>
        <w:tc>
          <w:tcPr>
            <w:tcW w:w="86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w:t>
            </w:r>
          </w:p>
        </w:tc>
      </w:tr>
      <w:tr>
        <w:trPr>
          <w:trHeight w:val="186"/>
        </w:trPr>
        <w:tc>
          <w:tcPr>
            <w:tcW w:w="6700" w:type="dxa"/>
            <w:vAlign w:val="bottom"/>
          </w:tcPr>
          <w:p>
            <w:pPr>
              <w:ind w:left="400"/>
              <w:spacing w:after="0"/>
              <w:rPr>
                <w:sz w:val="20"/>
                <w:szCs w:val="20"/>
                <w:color w:val="auto"/>
              </w:rPr>
            </w:pPr>
            <w:r>
              <w:rPr>
                <w:rFonts w:ascii="Arial" w:cs="Arial" w:eastAsia="Arial" w:hAnsi="Arial"/>
                <w:sz w:val="16"/>
                <w:szCs w:val="16"/>
                <w:color w:val="auto"/>
              </w:rPr>
              <w:t>Other</w:t>
            </w:r>
          </w:p>
        </w:tc>
        <w:tc>
          <w:tcPr>
            <w:tcW w:w="2060" w:type="dxa"/>
            <w:vAlign w:val="bottom"/>
          </w:tcPr>
          <w:p>
            <w:pPr>
              <w:spacing w:after="0"/>
              <w:rPr>
                <w:sz w:val="16"/>
                <w:szCs w:val="16"/>
                <w:color w:val="auto"/>
              </w:rPr>
            </w:pPr>
          </w:p>
        </w:tc>
        <w:tc>
          <w:tcPr>
            <w:tcW w:w="880" w:type="dxa"/>
            <w:vAlign w:val="bottom"/>
          </w:tcPr>
          <w:p>
            <w:pPr>
              <w:jc w:val="right"/>
              <w:ind w:right="261"/>
              <w:spacing w:after="0"/>
              <w:rPr>
                <w:sz w:val="20"/>
                <w:szCs w:val="20"/>
                <w:color w:val="auto"/>
              </w:rPr>
            </w:pPr>
            <w:r>
              <w:rPr>
                <w:rFonts w:ascii="Arial" w:cs="Arial" w:eastAsia="Arial" w:hAnsi="Arial"/>
                <w:sz w:val="16"/>
                <w:szCs w:val="16"/>
                <w:color w:val="auto"/>
              </w:rPr>
              <w:t>28.5</w:t>
            </w:r>
          </w:p>
        </w:tc>
        <w:tc>
          <w:tcPr>
            <w:tcW w:w="380" w:type="dxa"/>
            <w:vAlign w:val="bottom"/>
          </w:tcPr>
          <w:p>
            <w:pPr>
              <w:spacing w:after="0"/>
              <w:rPr>
                <w:sz w:val="16"/>
                <w:szCs w:val="16"/>
                <w:color w:val="auto"/>
              </w:rPr>
            </w:pPr>
          </w:p>
        </w:tc>
        <w:tc>
          <w:tcPr>
            <w:tcW w:w="860" w:type="dxa"/>
            <w:vAlign w:val="bottom"/>
          </w:tcPr>
          <w:p>
            <w:pPr>
              <w:jc w:val="right"/>
              <w:ind w:right="361"/>
              <w:spacing w:after="0"/>
              <w:rPr>
                <w:sz w:val="20"/>
                <w:szCs w:val="20"/>
                <w:color w:val="auto"/>
              </w:rPr>
            </w:pPr>
            <w:r>
              <w:rPr>
                <w:rFonts w:ascii="Arial" w:cs="Arial" w:eastAsia="Arial" w:hAnsi="Arial"/>
                <w:sz w:val="16"/>
                <w:szCs w:val="16"/>
                <w:color w:val="auto"/>
              </w:rPr>
              <w:t>1.4</w:t>
            </w:r>
          </w:p>
        </w:tc>
      </w:tr>
      <w:tr>
        <w:trPr>
          <w:trHeight w:val="186"/>
        </w:trPr>
        <w:tc>
          <w:tcPr>
            <w:tcW w:w="6700" w:type="dxa"/>
            <w:vAlign w:val="bottom"/>
            <w:tcBorders>
              <w:bottom w:val="single" w:sz="8" w:color="auto"/>
            </w:tcBorders>
            <w:shd w:val="clear" w:color="auto" w:fill="FCE9E8"/>
          </w:tcPr>
          <w:p>
            <w:pPr>
              <w:ind w:left="400"/>
              <w:spacing w:after="0" w:line="187" w:lineRule="exact"/>
              <w:rPr>
                <w:sz w:val="20"/>
                <w:szCs w:val="20"/>
                <w:color w:val="auto"/>
              </w:rPr>
            </w:pPr>
            <w:r>
              <w:rPr>
                <w:rFonts w:ascii="Arial" w:cs="Arial" w:eastAsia="Arial" w:hAnsi="Arial"/>
                <w:sz w:val="13"/>
                <w:szCs w:val="13"/>
                <w:color w:val="auto"/>
              </w:rPr>
              <w:t>Tax impact of special items and other net tax adjustments</w:t>
            </w:r>
            <w:r>
              <w:rPr>
                <w:rFonts w:ascii="Arial" w:cs="Arial" w:eastAsia="Arial" w:hAnsi="Arial"/>
                <w:sz w:val="21"/>
                <w:szCs w:val="21"/>
                <w:color w:val="auto"/>
                <w:vertAlign w:val="superscript"/>
              </w:rPr>
              <w:t>(1)</w:t>
            </w:r>
          </w:p>
        </w:tc>
        <w:tc>
          <w:tcPr>
            <w:tcW w:w="2060" w:type="dxa"/>
            <w:vAlign w:val="bottom"/>
            <w:tcBorders>
              <w:bottom w:val="single" w:sz="8" w:color="auto"/>
            </w:tcBorders>
            <w:shd w:val="clear" w:color="auto" w:fill="FCE9E8"/>
          </w:tcPr>
          <w:p>
            <w:pPr>
              <w:spacing w:after="0"/>
              <w:rPr>
                <w:sz w:val="16"/>
                <w:szCs w:val="16"/>
                <w:color w:val="auto"/>
              </w:rPr>
            </w:pPr>
          </w:p>
        </w:tc>
        <w:tc>
          <w:tcPr>
            <w:tcW w:w="880" w:type="dxa"/>
            <w:vAlign w:val="bottom"/>
            <w:tcBorders>
              <w:bottom w:val="single" w:sz="8" w:color="auto"/>
            </w:tcBorders>
            <w:shd w:val="clear" w:color="auto" w:fill="FCE9E8"/>
          </w:tcPr>
          <w:p>
            <w:pPr>
              <w:jc w:val="right"/>
              <w:ind w:right="201"/>
              <w:spacing w:after="0"/>
              <w:rPr>
                <w:sz w:val="20"/>
                <w:szCs w:val="20"/>
                <w:color w:val="auto"/>
              </w:rPr>
            </w:pPr>
            <w:r>
              <w:rPr>
                <w:rFonts w:ascii="Arial" w:cs="Arial" w:eastAsia="Arial" w:hAnsi="Arial"/>
                <w:sz w:val="16"/>
                <w:szCs w:val="16"/>
                <w:color w:val="auto"/>
              </w:rPr>
              <w:t>(49.1)</w:t>
            </w:r>
          </w:p>
        </w:tc>
        <w:tc>
          <w:tcPr>
            <w:tcW w:w="380" w:type="dxa"/>
            <w:vAlign w:val="bottom"/>
            <w:tcBorders>
              <w:bottom w:val="single" w:sz="8" w:color="auto"/>
            </w:tcBorders>
            <w:shd w:val="clear" w:color="auto" w:fill="FCE9E8"/>
          </w:tcPr>
          <w:p>
            <w:pPr>
              <w:spacing w:after="0"/>
              <w:rPr>
                <w:sz w:val="16"/>
                <w:szCs w:val="16"/>
                <w:color w:val="auto"/>
              </w:rPr>
            </w:pPr>
          </w:p>
        </w:tc>
        <w:tc>
          <w:tcPr>
            <w:tcW w:w="860" w:type="dxa"/>
            <w:vAlign w:val="bottom"/>
            <w:tcBorders>
              <w:bottom w:val="single" w:sz="8" w:color="auto"/>
            </w:tcBorders>
            <w:shd w:val="clear" w:color="auto" w:fill="FCE9E8"/>
          </w:tcPr>
          <w:p>
            <w:pPr>
              <w:jc w:val="right"/>
              <w:ind w:right="301"/>
              <w:spacing w:after="0"/>
              <w:rPr>
                <w:sz w:val="20"/>
                <w:szCs w:val="20"/>
                <w:color w:val="auto"/>
              </w:rPr>
            </w:pPr>
            <w:r>
              <w:rPr>
                <w:rFonts w:ascii="Arial" w:cs="Arial" w:eastAsia="Arial" w:hAnsi="Arial"/>
                <w:sz w:val="16"/>
                <w:szCs w:val="16"/>
                <w:color w:val="auto"/>
              </w:rPr>
              <w:t>(27.8)</w:t>
            </w:r>
          </w:p>
        </w:tc>
      </w:tr>
      <w:tr>
        <w:trPr>
          <w:trHeight w:val="180"/>
        </w:trPr>
        <w:tc>
          <w:tcPr>
            <w:tcW w:w="670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b w:val="1"/>
                <w:bCs w:val="1"/>
                <w:color w:val="auto"/>
              </w:rPr>
              <w:t>Adjusted net income attributable to Lear</w:t>
            </w:r>
          </w:p>
        </w:tc>
        <w:tc>
          <w:tcPr>
            <w:tcW w:w="2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61"/>
              <w:spacing w:after="0" w:line="180" w:lineRule="exact"/>
              <w:rPr>
                <w:sz w:val="20"/>
                <w:szCs w:val="20"/>
                <w:color w:val="auto"/>
              </w:rPr>
            </w:pPr>
            <w:r>
              <w:rPr>
                <w:rFonts w:ascii="Arial" w:cs="Arial" w:eastAsia="Arial" w:hAnsi="Arial"/>
                <w:sz w:val="16"/>
                <w:szCs w:val="16"/>
                <w:b w:val="1"/>
                <w:bCs w:val="1"/>
                <w:color w:val="auto"/>
                <w:w w:val="97"/>
              </w:rPr>
              <w:t>1,205.4</w:t>
            </w:r>
          </w:p>
        </w:tc>
        <w:tc>
          <w:tcPr>
            <w:tcW w:w="3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361"/>
              <w:spacing w:after="0" w:line="180" w:lineRule="exact"/>
              <w:rPr>
                <w:sz w:val="20"/>
                <w:szCs w:val="20"/>
                <w:color w:val="auto"/>
              </w:rPr>
            </w:pPr>
            <w:r>
              <w:rPr>
                <w:rFonts w:ascii="Arial" w:cs="Arial" w:eastAsia="Arial" w:hAnsi="Arial"/>
                <w:sz w:val="16"/>
                <w:szCs w:val="16"/>
                <w:b w:val="1"/>
                <w:bCs w:val="1"/>
                <w:color w:val="auto"/>
                <w:w w:val="99"/>
              </w:rPr>
              <w:t>510.0</w:t>
            </w:r>
          </w:p>
        </w:tc>
      </w:tr>
      <w:tr>
        <w:trPr>
          <w:trHeight w:val="180"/>
        </w:trPr>
        <w:tc>
          <w:tcPr>
            <w:tcW w:w="6700" w:type="dxa"/>
            <w:vAlign w:val="bottom"/>
            <w:shd w:val="clear" w:color="auto" w:fill="FCE9E8"/>
          </w:tcPr>
          <w:p>
            <w:pPr>
              <w:spacing w:after="0" w:line="180" w:lineRule="exact"/>
              <w:rPr>
                <w:sz w:val="20"/>
                <w:szCs w:val="20"/>
                <w:color w:val="auto"/>
              </w:rPr>
            </w:pPr>
            <w:r>
              <w:rPr>
                <w:rFonts w:ascii="Arial" w:cs="Arial" w:eastAsia="Arial" w:hAnsi="Arial"/>
                <w:sz w:val="16"/>
                <w:szCs w:val="16"/>
                <w:color w:val="auto"/>
              </w:rPr>
              <w:t>Weighted average number of diluted shares outstanding</w:t>
            </w:r>
          </w:p>
        </w:tc>
        <w:tc>
          <w:tcPr>
            <w:tcW w:w="2060" w:type="dxa"/>
            <w:vAlign w:val="bottom"/>
            <w:shd w:val="clear" w:color="auto" w:fill="FCE9E8"/>
          </w:tcPr>
          <w:p>
            <w:pPr>
              <w:spacing w:after="0"/>
              <w:rPr>
                <w:sz w:val="15"/>
                <w:szCs w:val="15"/>
                <w:color w:val="auto"/>
              </w:rPr>
            </w:pPr>
          </w:p>
        </w:tc>
        <w:tc>
          <w:tcPr>
            <w:tcW w:w="880" w:type="dxa"/>
            <w:vAlign w:val="bottom"/>
            <w:shd w:val="clear" w:color="auto" w:fill="FCE9E8"/>
          </w:tcPr>
          <w:p>
            <w:pPr>
              <w:jc w:val="right"/>
              <w:ind w:right="261"/>
              <w:spacing w:after="0" w:line="180" w:lineRule="exact"/>
              <w:rPr>
                <w:sz w:val="20"/>
                <w:szCs w:val="20"/>
                <w:color w:val="auto"/>
              </w:rPr>
            </w:pPr>
            <w:r>
              <w:rPr>
                <w:rFonts w:ascii="Arial" w:cs="Arial" w:eastAsia="Arial" w:hAnsi="Arial"/>
                <w:sz w:val="16"/>
                <w:szCs w:val="16"/>
                <w:color w:val="auto"/>
              </w:rPr>
              <w:t>66.2</w:t>
            </w:r>
          </w:p>
        </w:tc>
        <w:tc>
          <w:tcPr>
            <w:tcW w:w="380" w:type="dxa"/>
            <w:vAlign w:val="bottom"/>
            <w:shd w:val="clear" w:color="auto" w:fill="FCE9E8"/>
          </w:tcPr>
          <w:p>
            <w:pPr>
              <w:spacing w:after="0"/>
              <w:rPr>
                <w:sz w:val="15"/>
                <w:szCs w:val="15"/>
                <w:color w:val="auto"/>
              </w:rPr>
            </w:pPr>
          </w:p>
        </w:tc>
        <w:tc>
          <w:tcPr>
            <w:tcW w:w="860" w:type="dxa"/>
            <w:vAlign w:val="bottom"/>
            <w:shd w:val="clear" w:color="auto" w:fill="FCE9E8"/>
          </w:tcPr>
          <w:p>
            <w:pPr>
              <w:jc w:val="right"/>
              <w:ind w:right="361"/>
              <w:spacing w:after="0" w:line="180" w:lineRule="exact"/>
              <w:rPr>
                <w:sz w:val="20"/>
                <w:szCs w:val="20"/>
                <w:color w:val="auto"/>
              </w:rPr>
            </w:pPr>
            <w:r>
              <w:rPr>
                <w:rFonts w:ascii="Arial" w:cs="Arial" w:eastAsia="Arial" w:hAnsi="Arial"/>
                <w:sz w:val="16"/>
                <w:szCs w:val="16"/>
                <w:color w:val="auto"/>
              </w:rPr>
              <w:t>86.4</w:t>
            </w:r>
          </w:p>
        </w:tc>
      </w:tr>
      <w:tr>
        <w:trPr>
          <w:trHeight w:val="186"/>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Diluted net income per share attributable to Lear</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17.22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4.99</w:t>
            </w:r>
          </w:p>
        </w:tc>
      </w:tr>
      <w:tr>
        <w:trPr>
          <w:trHeight w:val="180"/>
        </w:trPr>
        <w:tc>
          <w:tcPr>
            <w:tcW w:w="6700" w:type="dxa"/>
            <w:vAlign w:val="bottom"/>
            <w:shd w:val="clear" w:color="auto" w:fill="FCE9E8"/>
          </w:tcPr>
          <w:p>
            <w:pPr>
              <w:spacing w:after="0" w:line="180" w:lineRule="exact"/>
              <w:rPr>
                <w:sz w:val="20"/>
                <w:szCs w:val="20"/>
                <w:color w:val="auto"/>
              </w:rPr>
            </w:pPr>
            <w:r>
              <w:rPr>
                <w:rFonts w:ascii="Arial" w:cs="Arial" w:eastAsia="Arial" w:hAnsi="Arial"/>
                <w:sz w:val="16"/>
                <w:szCs w:val="16"/>
                <w:b w:val="1"/>
                <w:bCs w:val="1"/>
                <w:color w:val="auto"/>
              </w:rPr>
              <w:t>Adjusted earnings per share</w:t>
            </w:r>
          </w:p>
        </w:tc>
        <w:tc>
          <w:tcPr>
            <w:tcW w:w="2060" w:type="dxa"/>
            <w:vAlign w:val="bottom"/>
            <w:shd w:val="clear" w:color="auto" w:fill="FCE9E8"/>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FCE9E8"/>
          </w:tcPr>
          <w:p>
            <w:pPr>
              <w:jc w:val="right"/>
              <w:ind w:right="261"/>
              <w:spacing w:after="0" w:line="180" w:lineRule="exact"/>
              <w:rPr>
                <w:sz w:val="20"/>
                <w:szCs w:val="20"/>
                <w:color w:val="auto"/>
              </w:rPr>
            </w:pPr>
            <w:r>
              <w:rPr>
                <w:rFonts w:ascii="Arial" w:cs="Arial" w:eastAsia="Arial" w:hAnsi="Arial"/>
                <w:sz w:val="16"/>
                <w:szCs w:val="16"/>
                <w:b w:val="1"/>
                <w:bCs w:val="1"/>
                <w:color w:val="auto"/>
              </w:rPr>
              <w:t>18.22</w:t>
            </w:r>
          </w:p>
        </w:tc>
        <w:tc>
          <w:tcPr>
            <w:tcW w:w="380" w:type="dxa"/>
            <w:vAlign w:val="bottom"/>
            <w:shd w:val="clear" w:color="auto" w:fill="FCE9E8"/>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FCE9E8"/>
          </w:tcPr>
          <w:p>
            <w:pPr>
              <w:jc w:val="right"/>
              <w:ind w:right="361"/>
              <w:spacing w:after="0" w:line="180" w:lineRule="exact"/>
              <w:rPr>
                <w:sz w:val="20"/>
                <w:szCs w:val="20"/>
                <w:color w:val="auto"/>
              </w:rPr>
            </w:pPr>
            <w:r>
              <w:rPr>
                <w:rFonts w:ascii="Arial" w:cs="Arial" w:eastAsia="Arial" w:hAnsi="Arial"/>
                <w:sz w:val="16"/>
                <w:szCs w:val="16"/>
                <w:b w:val="1"/>
                <w:bCs w:val="1"/>
                <w:color w:val="auto"/>
              </w:rPr>
              <w:t>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0</wp:posOffset>
            </wp:positionV>
            <wp:extent cx="69018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ind w:left="600" w:right="460" w:hanging="320"/>
        <w:spacing w:after="0" w:line="181" w:lineRule="auto"/>
        <w:tabs>
          <w:tab w:leader="none" w:pos="600" w:val="left"/>
        </w:tabs>
        <w:numPr>
          <w:ilvl w:val="0"/>
          <w:numId w:val="140"/>
        </w:numPr>
        <w:rPr>
          <w:rFonts w:ascii="Arial" w:cs="Arial" w:eastAsia="Arial" w:hAnsi="Arial"/>
          <w:sz w:val="24"/>
          <w:szCs w:val="24"/>
          <w:color w:val="auto"/>
          <w:vertAlign w:val="superscript"/>
        </w:rPr>
      </w:pPr>
      <w:r>
        <w:rPr>
          <w:rFonts w:ascii="Arial" w:cs="Arial" w:eastAsia="Arial" w:hAnsi="Arial"/>
          <w:sz w:val="14"/>
          <w:szCs w:val="14"/>
          <w:color w:val="auto"/>
        </w:rPr>
        <w:t>Represents the tax effect of restructuring costs and other special items, as well as several discrete tax items. The identification of these tax items is judgmental in nature, and their calculation is based on various assumptions and estimates.</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365"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(unaudited; in millions)</w:t>
            </w:r>
          </w:p>
        </w:tc>
        <w:tc>
          <w:tcPr>
            <w:tcW w:w="37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E2231A"/>
              </w:rPr>
              <w:t>2018</w:t>
            </w:r>
          </w:p>
        </w:tc>
        <w:tc>
          <w:tcPr>
            <w:tcW w:w="13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E2231A"/>
              </w:rPr>
              <w:t>2013</w:t>
            </w:r>
          </w:p>
        </w:tc>
      </w:tr>
      <w:tr>
        <w:trPr>
          <w:trHeight w:val="180"/>
        </w:trPr>
        <w:tc>
          <w:tcPr>
            <w:tcW w:w="5860" w:type="dxa"/>
            <w:vAlign w:val="bottom"/>
            <w:shd w:val="clear" w:color="auto" w:fill="FCE9E8"/>
          </w:tcPr>
          <w:p>
            <w:pPr>
              <w:spacing w:after="0" w:line="180" w:lineRule="exact"/>
              <w:rPr>
                <w:sz w:val="20"/>
                <w:szCs w:val="20"/>
                <w:color w:val="auto"/>
              </w:rPr>
            </w:pPr>
            <w:r>
              <w:rPr>
                <w:rFonts w:ascii="Arial" w:cs="Arial" w:eastAsia="Arial" w:hAnsi="Arial"/>
                <w:sz w:val="16"/>
                <w:szCs w:val="16"/>
                <w:b w:val="1"/>
                <w:bCs w:val="1"/>
                <w:color w:val="auto"/>
              </w:rPr>
              <w:t>Net cash provided by operating activities</w:t>
            </w:r>
          </w:p>
        </w:tc>
        <w:tc>
          <w:tcPr>
            <w:tcW w:w="3720" w:type="dxa"/>
            <w:vAlign w:val="bottom"/>
            <w:shd w:val="clear" w:color="auto" w:fill="FCE9E8"/>
          </w:tcPr>
          <w:p>
            <w:pPr>
              <w:jc w:val="right"/>
              <w:ind w:right="262"/>
              <w:spacing w:after="0" w:line="180" w:lineRule="exact"/>
              <w:rPr>
                <w:sz w:val="20"/>
                <w:szCs w:val="20"/>
                <w:color w:val="auto"/>
              </w:rPr>
            </w:pPr>
            <w:r>
              <w:rPr>
                <w:rFonts w:ascii="Arial" w:cs="Arial" w:eastAsia="Arial" w:hAnsi="Arial"/>
                <w:sz w:val="16"/>
                <w:szCs w:val="16"/>
                <w:b w:val="1"/>
                <w:bCs w:val="1"/>
                <w:color w:val="auto"/>
              </w:rPr>
              <w:t>$1,779.8</w:t>
            </w:r>
          </w:p>
        </w:tc>
        <w:tc>
          <w:tcPr>
            <w:tcW w:w="1300" w:type="dxa"/>
            <w:vAlign w:val="bottom"/>
            <w:shd w:val="clear" w:color="auto" w:fill="FCE9E8"/>
          </w:tcPr>
          <w:p>
            <w:pPr>
              <w:jc w:val="right"/>
              <w:ind w:right="362"/>
              <w:spacing w:after="0" w:line="180" w:lineRule="exact"/>
              <w:rPr>
                <w:sz w:val="20"/>
                <w:szCs w:val="20"/>
                <w:color w:val="auto"/>
              </w:rPr>
            </w:pPr>
            <w:r>
              <w:rPr>
                <w:rFonts w:ascii="Arial" w:cs="Arial" w:eastAsia="Arial" w:hAnsi="Arial"/>
                <w:sz w:val="16"/>
                <w:szCs w:val="16"/>
                <w:b w:val="1"/>
                <w:bCs w:val="1"/>
                <w:color w:val="auto"/>
              </w:rPr>
              <w:t>$820.1</w:t>
            </w:r>
          </w:p>
        </w:tc>
      </w:tr>
      <w:tr>
        <w:trPr>
          <w:trHeight w:val="186"/>
        </w:trPr>
        <w:tc>
          <w:tcPr>
            <w:tcW w:w="5860" w:type="dxa"/>
            <w:vAlign w:val="bottom"/>
            <w:tcBorders>
              <w:bottom w:val="single" w:sz="8" w:color="auto"/>
            </w:tcBorders>
          </w:tcPr>
          <w:p>
            <w:pPr>
              <w:spacing w:after="0" w:line="187" w:lineRule="exact"/>
              <w:rPr>
                <w:sz w:val="20"/>
                <w:szCs w:val="20"/>
                <w:color w:val="auto"/>
              </w:rPr>
            </w:pPr>
            <w:r>
              <w:rPr>
                <w:rFonts w:ascii="Arial" w:cs="Arial" w:eastAsia="Arial" w:hAnsi="Arial"/>
                <w:sz w:val="13"/>
                <w:szCs w:val="13"/>
                <w:color w:val="auto"/>
              </w:rPr>
              <w:t>Adjusted capital expenditures</w:t>
            </w:r>
            <w:r>
              <w:rPr>
                <w:rFonts w:ascii="Arial" w:cs="Arial" w:eastAsia="Arial" w:hAnsi="Arial"/>
                <w:sz w:val="21"/>
                <w:szCs w:val="21"/>
                <w:color w:val="auto"/>
                <w:vertAlign w:val="superscript"/>
              </w:rPr>
              <w:t>(2)</w:t>
            </w:r>
          </w:p>
        </w:tc>
        <w:tc>
          <w:tcPr>
            <w:tcW w:w="37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(677.0)</w:t>
            </w:r>
          </w:p>
        </w:tc>
        <w:tc>
          <w:tcPr>
            <w:tcW w:w="13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(453.5)</w:t>
            </w:r>
          </w:p>
        </w:tc>
      </w:tr>
      <w:tr>
        <w:trPr>
          <w:trHeight w:val="180"/>
        </w:trPr>
        <w:tc>
          <w:tcPr>
            <w:tcW w:w="5860" w:type="dxa"/>
            <w:vAlign w:val="bottom"/>
            <w:shd w:val="clear" w:color="auto" w:fill="FCE9E8"/>
          </w:tcPr>
          <w:p>
            <w:pPr>
              <w:spacing w:after="0" w:line="180" w:lineRule="exact"/>
              <w:rPr>
                <w:sz w:val="20"/>
                <w:szCs w:val="20"/>
                <w:color w:val="auto"/>
              </w:rPr>
            </w:pPr>
            <w:r>
              <w:rPr>
                <w:rFonts w:ascii="Arial" w:cs="Arial" w:eastAsia="Arial" w:hAnsi="Arial"/>
                <w:sz w:val="16"/>
                <w:szCs w:val="16"/>
                <w:b w:val="1"/>
                <w:bCs w:val="1"/>
                <w:color w:val="auto"/>
              </w:rPr>
              <w:t>Free cash flow</w:t>
            </w:r>
          </w:p>
        </w:tc>
        <w:tc>
          <w:tcPr>
            <w:tcW w:w="3720" w:type="dxa"/>
            <w:vAlign w:val="bottom"/>
            <w:shd w:val="clear" w:color="auto" w:fill="FCE9E8"/>
          </w:tcPr>
          <w:p>
            <w:pPr>
              <w:jc w:val="right"/>
              <w:ind w:right="262"/>
              <w:spacing w:after="0" w:line="180" w:lineRule="exact"/>
              <w:rPr>
                <w:sz w:val="20"/>
                <w:szCs w:val="20"/>
                <w:color w:val="auto"/>
              </w:rPr>
            </w:pPr>
            <w:r>
              <w:rPr>
                <w:rFonts w:ascii="Arial" w:cs="Arial" w:eastAsia="Arial" w:hAnsi="Arial"/>
                <w:sz w:val="16"/>
                <w:szCs w:val="16"/>
                <w:b w:val="1"/>
                <w:bCs w:val="1"/>
                <w:color w:val="auto"/>
              </w:rPr>
              <w:t>$1,102.8</w:t>
            </w:r>
          </w:p>
        </w:tc>
        <w:tc>
          <w:tcPr>
            <w:tcW w:w="1300" w:type="dxa"/>
            <w:vAlign w:val="bottom"/>
            <w:shd w:val="clear" w:color="auto" w:fill="FCE9E8"/>
          </w:tcPr>
          <w:p>
            <w:pPr>
              <w:jc w:val="right"/>
              <w:ind w:right="362"/>
              <w:spacing w:after="0" w:line="180" w:lineRule="exact"/>
              <w:rPr>
                <w:sz w:val="20"/>
                <w:szCs w:val="20"/>
                <w:color w:val="auto"/>
              </w:rPr>
            </w:pPr>
            <w:r>
              <w:rPr>
                <w:rFonts w:ascii="Arial" w:cs="Arial" w:eastAsia="Arial" w:hAnsi="Arial"/>
                <w:sz w:val="16"/>
                <w:szCs w:val="16"/>
                <w:b w:val="1"/>
                <w:bCs w:val="1"/>
                <w:color w:val="auto"/>
              </w:rPr>
              <w:t>$ 366.6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0</wp:posOffset>
            </wp:positionV>
            <wp:extent cx="69018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ind w:left="600" w:right="200" w:hanging="320"/>
        <w:spacing w:after="0" w:line="181" w:lineRule="auto"/>
        <w:tabs>
          <w:tab w:leader="none" w:pos="600" w:val="left"/>
        </w:tabs>
        <w:numPr>
          <w:ilvl w:val="0"/>
          <w:numId w:val="141"/>
        </w:numPr>
        <w:rPr>
          <w:rFonts w:ascii="Arial" w:cs="Arial" w:eastAsia="Arial" w:hAnsi="Arial"/>
          <w:sz w:val="24"/>
          <w:szCs w:val="24"/>
          <w:color w:val="auto"/>
          <w:vertAlign w:val="superscript"/>
        </w:rPr>
      </w:pPr>
      <w:r>
        <w:rPr>
          <w:rFonts w:ascii="Arial" w:cs="Arial" w:eastAsia="Arial" w:hAnsi="Arial"/>
          <w:sz w:val="14"/>
          <w:szCs w:val="14"/>
          <w:color w:val="auto"/>
        </w:rPr>
        <w:t>Adjusted capital expenditures represent capital expenditures of $677.0 million and $460.6 million in 2018 and 2013, respectively, net of related insurance proceeds of $7.1 million in 2013.</w:t>
      </w:r>
    </w:p>
    <w:p>
      <w:pPr>
        <w:ind w:left="380"/>
        <w:spacing w:after="0"/>
        <w:tabs>
          <w:tab w:leader="none" w:pos="780" w:val="left"/>
        </w:tabs>
        <w:rPr>
          <w:sz w:val="20"/>
          <w:szCs w:val="20"/>
          <w:color w:val="auto"/>
        </w:rPr>
      </w:pPr>
      <w:r>
        <w:rPr>
          <w:rFonts w:ascii="Arial" w:cs="Arial" w:eastAsia="Arial" w:hAnsi="Arial"/>
          <w:sz w:val="35"/>
          <w:szCs w:val="35"/>
          <w:b w:val="1"/>
          <w:bCs w:val="1"/>
          <w:color w:val="000000"/>
          <w:vertAlign w:val="superscript"/>
        </w:rPr>
        <w:t>A-</w:t>
      </w:r>
      <w:r>
        <w:rPr>
          <w:rFonts w:ascii="Arial" w:cs="Arial" w:eastAsia="Arial" w:hAnsi="Arial"/>
          <w:sz w:val="15"/>
          <w:szCs w:val="15"/>
          <w:b w:val="1"/>
          <w:bCs w:val="1"/>
          <w:color w:val="E2231A"/>
        </w:rPr>
        <w:t xml:space="preserve"> </w:t>
      </w:r>
      <w:r>
        <w:rPr>
          <w:rFonts w:ascii="Arial" w:cs="Arial" w:eastAsia="Arial" w:hAnsi="Arial"/>
          <w:sz w:val="35"/>
          <w:szCs w:val="35"/>
          <w:b w:val="1"/>
          <w:bCs w:val="1"/>
          <w:color w:val="E2231A"/>
          <w:vertAlign w:val="superscript"/>
        </w:rPr>
        <w:t>|</w:t>
      </w:r>
      <w:r>
        <w:rPr>
          <w:rFonts w:ascii="Arial" w:cs="Arial" w:eastAsia="Arial" w:hAnsi="Arial"/>
          <w:sz w:val="15"/>
          <w:szCs w:val="15"/>
          <w:b w:val="1"/>
          <w:bCs w:val="1"/>
          <w:color w:val="E2231A"/>
        </w:rPr>
        <w:tab/>
        <w:t>LEAR CORPORATION</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w:t>
      </w:r>
    </w:p>
    <w:p>
      <w:pPr>
        <w:sectPr>
          <w:pgSz w:w="11900" w:h="16838" w:orient="portrait"/>
          <w:cols w:equalWidth="0" w:num="1">
            <w:col w:w="11160"/>
          </w:cols>
          <w:pgMar w:left="240" w:top="455"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APPENDIX B</w:t>
      </w:r>
    </w:p>
    <w:p>
      <w:pPr>
        <w:spacing w:after="0" w:line="83" w:lineRule="exact"/>
        <w:rPr>
          <w:sz w:val="20"/>
          <w:szCs w:val="20"/>
          <w:color w:val="auto"/>
        </w:rPr>
      </w:pPr>
    </w:p>
    <w:p>
      <w:pPr>
        <w:ind w:left="280"/>
        <w:spacing w:after="0"/>
        <w:rPr>
          <w:sz w:val="20"/>
          <w:szCs w:val="20"/>
          <w:color w:val="auto"/>
        </w:rPr>
      </w:pPr>
      <w:r>
        <w:rPr>
          <w:rFonts w:ascii="Arial" w:cs="Arial" w:eastAsia="Arial" w:hAnsi="Arial"/>
          <w:sz w:val="39"/>
          <w:szCs w:val="39"/>
          <w:b w:val="1"/>
          <w:bCs w:val="1"/>
          <w:color w:val="E2231A"/>
        </w:rPr>
        <w:t>APPENDIX B</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39"/>
          <w:szCs w:val="39"/>
          <w:b w:val="1"/>
          <w:bCs w:val="1"/>
          <w:color w:val="E2231A"/>
        </w:rPr>
        <w:t>LEAR CORPORATION 2019</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39"/>
          <w:szCs w:val="39"/>
          <w:b w:val="1"/>
          <w:bCs w:val="1"/>
          <w:color w:val="E2231A"/>
        </w:rPr>
        <w:t>LONG-TERM STOCK INCENTIVE PLAN</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1. Establishment, Objectives and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01" w:lineRule="exact"/>
        <w:rPr>
          <w:sz w:val="20"/>
          <w:szCs w:val="20"/>
          <w:color w:val="auto"/>
        </w:rPr>
      </w:pPr>
    </w:p>
    <w:p>
      <w:pPr>
        <w:ind w:left="280" w:right="20"/>
        <w:spacing w:after="0" w:line="248" w:lineRule="auto"/>
        <w:rPr>
          <w:sz w:val="20"/>
          <w:szCs w:val="20"/>
          <w:color w:val="auto"/>
        </w:rPr>
      </w:pPr>
      <w:r>
        <w:rPr>
          <w:rFonts w:ascii="Arial" w:cs="Arial" w:eastAsia="Arial" w:hAnsi="Arial"/>
          <w:sz w:val="16"/>
          <w:szCs w:val="16"/>
          <w:b w:val="1"/>
          <w:bCs w:val="1"/>
          <w:color w:val="auto"/>
        </w:rPr>
        <w:t xml:space="preserve">1.1 Establishment of the Plan. </w:t>
      </w:r>
      <w:r>
        <w:rPr>
          <w:rFonts w:ascii="Arial" w:cs="Arial" w:eastAsia="Arial" w:hAnsi="Arial"/>
          <w:sz w:val="16"/>
          <w:szCs w:val="16"/>
          <w:color w:val="auto"/>
        </w:rPr>
        <w:t>Lear Corporation, a Delaware corporation (the</w:t>
      </w:r>
      <w:r>
        <w:rPr>
          <w:rFonts w:ascii="Arial" w:cs="Arial" w:eastAsia="Arial" w:hAnsi="Arial"/>
          <w:sz w:val="16"/>
          <w:szCs w:val="16"/>
          <w:b w:val="1"/>
          <w:bCs w:val="1"/>
          <w:color w:val="auto"/>
        </w:rPr>
        <w:t xml:space="preserve"> “Company”</w:t>
      </w:r>
      <w:r>
        <w:rPr>
          <w:rFonts w:ascii="Arial" w:cs="Arial" w:eastAsia="Arial" w:hAnsi="Arial"/>
          <w:sz w:val="16"/>
          <w:szCs w:val="16"/>
          <w:color w:val="auto"/>
        </w:rPr>
        <w:t>), hereby establishes this Lear Corporation 2019 Long-Term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 Incentive Plan, as set forth in this document and as may be amended from time to time (the </w:t>
      </w:r>
      <w:r>
        <w:rPr>
          <w:rFonts w:ascii="Arial" w:cs="Arial" w:eastAsia="Arial" w:hAnsi="Arial"/>
          <w:sz w:val="16"/>
          <w:szCs w:val="16"/>
          <w:b w:val="1"/>
          <w:bCs w:val="1"/>
          <w:color w:val="auto"/>
        </w:rPr>
        <w:t>“Plan”</w:t>
      </w:r>
      <w:r>
        <w:rPr>
          <w:rFonts w:ascii="Arial" w:cs="Arial" w:eastAsia="Arial" w:hAnsi="Arial"/>
          <w:sz w:val="16"/>
          <w:szCs w:val="16"/>
          <w:color w:val="auto"/>
        </w:rPr>
        <w:t xml:space="preserve">). Capitalized terms used but not otherwise defined herein will have the meanings given to them in Article 2. The Plan permits the grant of Nonqualified Stock Options, Incentive Stock Options, Stock Appreciation Rights, Restricted Stock, Restricted Units, Restricted Stock Units, Performance Shares, Performance Units and other cash and equity incentive Awards. The Plan was approved by the Committee on March 26, 2019 and by the Company’s shareholders on May 16, 2019 (the </w:t>
      </w:r>
      <w:r>
        <w:rPr>
          <w:rFonts w:ascii="Arial" w:cs="Arial" w:eastAsia="Arial" w:hAnsi="Arial"/>
          <w:sz w:val="16"/>
          <w:szCs w:val="16"/>
          <w:b w:val="1"/>
          <w:bCs w:val="1"/>
          <w:color w:val="auto"/>
        </w:rPr>
        <w:t>“Effective</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 Plan will remain in effect thereafter as provided in Section 1.3 hereof. Following the Effective Date, no new awards will be granted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Lear Corporation 2009 Long-Term Stock Incentive Plan, as amended (the </w:t>
      </w:r>
      <w:r>
        <w:rPr>
          <w:rFonts w:ascii="Arial" w:cs="Arial" w:eastAsia="Arial" w:hAnsi="Arial"/>
          <w:sz w:val="16"/>
          <w:szCs w:val="16"/>
          <w:b w:val="1"/>
          <w:bCs w:val="1"/>
          <w:color w:val="auto"/>
        </w:rPr>
        <w:t>“Prior Plan”</w:t>
      </w:r>
      <w:r>
        <w:rPr>
          <w:rFonts w:ascii="Arial" w:cs="Arial" w:eastAsia="Arial" w:hAnsi="Arial"/>
          <w:sz w:val="16"/>
          <w:szCs w:val="16"/>
          <w:color w:val="auto"/>
        </w:rPr>
        <w:t>). For the avoidance of doubt, the Prior Plan and any applicable award agreements issued thereunder will continue to govern any awards that remain outstanding thereunder on and after the Effective Date.</w:t>
      </w:r>
    </w:p>
    <w:p>
      <w:pPr>
        <w:spacing w:after="0" w:line="77" w:lineRule="exact"/>
        <w:rPr>
          <w:sz w:val="20"/>
          <w:szCs w:val="20"/>
          <w:color w:val="auto"/>
        </w:rPr>
      </w:pPr>
    </w:p>
    <w:p>
      <w:pPr>
        <w:ind w:left="280" w:right="180"/>
        <w:spacing w:after="0" w:line="255" w:lineRule="auto"/>
        <w:rPr>
          <w:sz w:val="20"/>
          <w:szCs w:val="20"/>
          <w:color w:val="auto"/>
        </w:rPr>
      </w:pPr>
      <w:r>
        <w:rPr>
          <w:rFonts w:ascii="Arial" w:cs="Arial" w:eastAsia="Arial" w:hAnsi="Arial"/>
          <w:sz w:val="16"/>
          <w:szCs w:val="16"/>
          <w:b w:val="1"/>
          <w:bCs w:val="1"/>
          <w:color w:val="auto"/>
        </w:rPr>
        <w:t xml:space="preserve">1.2 Objectives of the Plan. </w:t>
      </w:r>
      <w:r>
        <w:rPr>
          <w:rFonts w:ascii="Arial" w:cs="Arial" w:eastAsia="Arial" w:hAnsi="Arial"/>
          <w:sz w:val="16"/>
          <w:szCs w:val="16"/>
          <w:color w:val="auto"/>
        </w:rPr>
        <w:t>The objectives of the Plan are to optimize the profitability and growth of the Company through long-term incentives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consistent with the Company’s objectives and that link the interests of Participants to those of the Company’s shareholders; to provide Participants with an incentive for excellence in individual performance; to promote teamwork among Participants; and to give the Company a significant advantage in attracting and retaining officers, key Employees and Directors.</w:t>
      </w:r>
    </w:p>
    <w:p>
      <w:pPr>
        <w:spacing w:after="0" w:line="91" w:lineRule="exact"/>
        <w:rPr>
          <w:sz w:val="20"/>
          <w:szCs w:val="20"/>
          <w:color w:val="auto"/>
        </w:rPr>
      </w:pPr>
    </w:p>
    <w:p>
      <w:pPr>
        <w:ind w:left="280" w:right="660"/>
        <w:spacing w:after="0" w:line="254" w:lineRule="auto"/>
        <w:rPr>
          <w:sz w:val="20"/>
          <w:szCs w:val="20"/>
          <w:color w:val="auto"/>
        </w:rPr>
      </w:pPr>
      <w:r>
        <w:rPr>
          <w:rFonts w:ascii="Arial" w:cs="Arial" w:eastAsia="Arial" w:hAnsi="Arial"/>
          <w:sz w:val="16"/>
          <w:szCs w:val="16"/>
          <w:color w:val="auto"/>
        </w:rPr>
        <w:t>The Plan is further intended to provide flexibility to the Company in its ability to motivate, attract and retain the services of Participants who make significant contributions to the Company’s success, and to allow Participants to share in the success of the Company.</w:t>
      </w:r>
    </w:p>
    <w:p>
      <w:pPr>
        <w:spacing w:after="0" w:line="70" w:lineRule="exact"/>
        <w:rPr>
          <w:sz w:val="20"/>
          <w:szCs w:val="20"/>
          <w:color w:val="auto"/>
        </w:rPr>
      </w:pPr>
    </w:p>
    <w:p>
      <w:pPr>
        <w:jc w:val="both"/>
        <w:ind w:left="280" w:right="520"/>
        <w:spacing w:after="0" w:line="255" w:lineRule="auto"/>
        <w:rPr>
          <w:sz w:val="20"/>
          <w:szCs w:val="20"/>
          <w:color w:val="auto"/>
        </w:rPr>
      </w:pPr>
      <w:r>
        <w:rPr>
          <w:rFonts w:ascii="Arial" w:cs="Arial" w:eastAsia="Arial" w:hAnsi="Arial"/>
          <w:sz w:val="16"/>
          <w:szCs w:val="16"/>
          <w:b w:val="1"/>
          <w:bCs w:val="1"/>
          <w:color w:val="auto"/>
        </w:rPr>
        <w:t xml:space="preserve">1.3 Duration of the Plan. </w:t>
      </w:r>
      <w:r>
        <w:rPr>
          <w:rFonts w:ascii="Arial" w:cs="Arial" w:eastAsia="Arial" w:hAnsi="Arial"/>
          <w:sz w:val="16"/>
          <w:szCs w:val="16"/>
          <w:color w:val="auto"/>
        </w:rPr>
        <w:t>The Plan will commence on the Effective Date, as defined in Article 2, and will remain in effect, subject to the right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to amend or terminate the Plan at any time pursuant to Article 15, until all Shares subject to it pursuant to Article 4 have been issued or transferred according to the Plan’s provisions. In no event may an Award be granted under the Plan on or after the ten (10) year anniversary of the Effective Date.</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2.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07" w:lineRule="exact"/>
        <w:rPr>
          <w:sz w:val="20"/>
          <w:szCs w:val="20"/>
          <w:color w:val="auto"/>
        </w:rPr>
      </w:pPr>
    </w:p>
    <w:p>
      <w:pPr>
        <w:ind w:left="280" w:right="420"/>
        <w:spacing w:after="0" w:line="254" w:lineRule="auto"/>
        <w:rPr>
          <w:sz w:val="20"/>
          <w:szCs w:val="20"/>
          <w:color w:val="auto"/>
        </w:rPr>
      </w:pPr>
      <w:r>
        <w:rPr>
          <w:rFonts w:ascii="Arial" w:cs="Arial" w:eastAsia="Arial" w:hAnsi="Arial"/>
          <w:sz w:val="16"/>
          <w:szCs w:val="16"/>
          <w:color w:val="auto"/>
        </w:rPr>
        <w:t>Whenever used in the Plan, the following terms have the meanings set forth below, and when the meaning is intended, the initial letter of the word is capitalized:</w:t>
      </w:r>
    </w:p>
    <w:p>
      <w:pPr>
        <w:spacing w:after="0" w:line="70" w:lineRule="exact"/>
        <w:rPr>
          <w:sz w:val="20"/>
          <w:szCs w:val="20"/>
          <w:color w:val="auto"/>
        </w:rPr>
      </w:pPr>
    </w:p>
    <w:p>
      <w:pPr>
        <w:ind w:left="280" w:right="20"/>
        <w:spacing w:after="0" w:line="247" w:lineRule="auto"/>
        <w:rPr>
          <w:sz w:val="20"/>
          <w:szCs w:val="20"/>
          <w:color w:val="auto"/>
        </w:rPr>
      </w:pPr>
      <w:r>
        <w:rPr>
          <w:rFonts w:ascii="Arial" w:cs="Arial" w:eastAsia="Arial" w:hAnsi="Arial"/>
          <w:sz w:val="16"/>
          <w:szCs w:val="16"/>
          <w:b w:val="1"/>
          <w:bCs w:val="1"/>
          <w:color w:val="auto"/>
        </w:rPr>
        <w:t xml:space="preserve">“Affiliates” </w:t>
      </w:r>
      <w:r>
        <w:rPr>
          <w:rFonts w:ascii="Arial" w:cs="Arial" w:eastAsia="Arial" w:hAnsi="Arial"/>
          <w:sz w:val="16"/>
          <w:szCs w:val="16"/>
          <w:color w:val="auto"/>
        </w:rPr>
        <w:t>means any entity that, directly or indirectly, is controlled by, controls or is under common control with, the Company or in which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has a significant equity interest, in either case as determined by the Committee; provided, however, that the definition of Affiliate shall be limited to entities that are eligible issuers of service recipient stock (as defined in Treas. Reg. Section 1.409A-1(b)(5)(iii)(E), or applicable successor regulation) for Awards that would otherwise be subject to Section 409A, unless the Committee determines otherwise. Notwithstanding the foregoing, for purposes of determining whether a Participant has terminated employment with the Company and all Affiliates, “Affiliates” means any corporation (or partnership, limited liability company, joint venture, or other enterprise) of which the Company owns or controls, directly or indirectly, at least ten percent (10%) of the outstanding shares of stock normally entitled to vote for the election of directors (or comparable equity participation and voting power). The minimum percentage of ownership or control in the previous sentence shall be raised from ten percent (10%) to twenty percent (20%) for purposes of determining timing of payment of an Award, or amount payable with respect to an Award, that is “deferred compensation” for purposes of Code Section 409A, if payment of such Award or amount would be accelerated or otherwise triggered by a Participant’s termination of employment.</w:t>
      </w:r>
    </w:p>
    <w:p>
      <w:pPr>
        <w:ind w:left="9040"/>
        <w:spacing w:after="0"/>
        <w:tabs>
          <w:tab w:leader="none" w:pos="10740" w:val="left"/>
          <w:tab w:leader="none" w:pos="109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36"/>
          <w:szCs w:val="36"/>
          <w:b w:val="1"/>
          <w:bCs w:val="1"/>
          <w:color w:val="E2231A"/>
          <w:vertAlign w:val="superscript"/>
        </w:rPr>
        <w:t>|</w:t>
      </w:r>
      <w:r>
        <w:rPr>
          <w:sz w:val="20"/>
          <w:szCs w:val="20"/>
          <w:color w:val="auto"/>
        </w:rPr>
        <w:tab/>
      </w:r>
      <w:r>
        <w:rPr>
          <w:rFonts w:ascii="Arial" w:cs="Arial" w:eastAsia="Arial" w:hAnsi="Arial"/>
          <w:sz w:val="25"/>
          <w:szCs w:val="25"/>
          <w:b w:val="1"/>
          <w:bCs w:val="1"/>
          <w:color w:val="auto"/>
          <w:vertAlign w:val="superscript"/>
        </w:rPr>
        <w:t>B-</w:t>
      </w:r>
    </w:p>
    <w:p>
      <w:pPr>
        <w:ind w:left="10900"/>
        <w:spacing w:after="0"/>
        <w:rPr>
          <w:sz w:val="20"/>
          <w:szCs w:val="20"/>
          <w:color w:val="auto"/>
        </w:rPr>
      </w:pPr>
      <w:r>
        <w:rPr>
          <w:rFonts w:ascii="Arial" w:cs="Arial" w:eastAsia="Arial" w:hAnsi="Arial"/>
          <w:sz w:val="18"/>
          <w:szCs w:val="18"/>
          <w:b w:val="1"/>
          <w:bCs w:val="1"/>
          <w:color w:val="auto"/>
        </w:rPr>
        <w:t>1</w:t>
      </w:r>
    </w:p>
    <w:p>
      <w:pPr>
        <w:sectPr>
          <w:pgSz w:w="11900" w:h="16838" w:orient="portrait"/>
          <w:cols w:equalWidth="0" w:num="1">
            <w:col w:w="11140"/>
          </w:cols>
          <w:pgMar w:left="240" w:top="455" w:right="5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APPENDIX B</w:t>
      </w:r>
    </w:p>
    <w:p>
      <w:pPr>
        <w:spacing w:after="0" w:line="137" w:lineRule="exact"/>
        <w:rPr>
          <w:sz w:val="20"/>
          <w:szCs w:val="20"/>
          <w:color w:val="auto"/>
        </w:rPr>
      </w:pPr>
    </w:p>
    <w:p>
      <w:pPr>
        <w:ind w:left="280" w:right="40"/>
        <w:spacing w:after="0" w:line="261" w:lineRule="auto"/>
        <w:rPr>
          <w:sz w:val="20"/>
          <w:szCs w:val="20"/>
          <w:color w:val="auto"/>
        </w:rPr>
      </w:pPr>
      <w:r>
        <w:rPr>
          <w:rFonts w:ascii="Arial" w:cs="Arial" w:eastAsia="Arial" w:hAnsi="Arial"/>
          <w:sz w:val="16"/>
          <w:szCs w:val="16"/>
          <w:b w:val="1"/>
          <w:bCs w:val="1"/>
          <w:color w:val="auto"/>
        </w:rPr>
        <w:t xml:space="preserve">“Award” </w:t>
      </w:r>
      <w:r>
        <w:rPr>
          <w:rFonts w:ascii="Arial" w:cs="Arial" w:eastAsia="Arial" w:hAnsi="Arial"/>
          <w:sz w:val="16"/>
          <w:szCs w:val="16"/>
          <w:color w:val="auto"/>
        </w:rPr>
        <w:t>means, individually or collectively, a grant under this Plan to a Participant of Nonqualified Stock Options, Incentive Stock Options, Stock</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Rights, Restricted Stock, Restricted Units, Restricted Stock Units, Performance Shares, Performance Units or other types of equity-based or cash-based incentives hereafter approved by the Committee.</w:t>
      </w:r>
    </w:p>
    <w:p>
      <w:pPr>
        <w:spacing w:after="0" w:line="66" w:lineRule="exact"/>
        <w:rPr>
          <w:sz w:val="20"/>
          <w:szCs w:val="20"/>
          <w:color w:val="auto"/>
        </w:rPr>
      </w:pPr>
    </w:p>
    <w:p>
      <w:pPr>
        <w:ind w:left="280" w:right="120"/>
        <w:spacing w:after="0" w:line="280" w:lineRule="auto"/>
        <w:rPr>
          <w:sz w:val="20"/>
          <w:szCs w:val="20"/>
          <w:color w:val="auto"/>
        </w:rPr>
      </w:pPr>
      <w:r>
        <w:rPr>
          <w:rFonts w:ascii="Arial" w:cs="Arial" w:eastAsia="Arial" w:hAnsi="Arial"/>
          <w:sz w:val="16"/>
          <w:szCs w:val="16"/>
          <w:b w:val="1"/>
          <w:bCs w:val="1"/>
          <w:color w:val="auto"/>
        </w:rPr>
        <w:t xml:space="preserve">“Award Agreement” </w:t>
      </w:r>
      <w:r>
        <w:rPr>
          <w:rFonts w:ascii="Arial" w:cs="Arial" w:eastAsia="Arial" w:hAnsi="Arial"/>
          <w:sz w:val="16"/>
          <w:szCs w:val="16"/>
          <w:color w:val="auto"/>
        </w:rPr>
        <w:t>means an agreement entered into by the Company and a Participant setting forth the terms and provisions applicable to an Award</w:t>
      </w:r>
      <w:r>
        <w:rPr>
          <w:rFonts w:ascii="Arial" w:cs="Arial" w:eastAsia="Arial" w:hAnsi="Arial"/>
          <w:sz w:val="16"/>
          <w:szCs w:val="16"/>
          <w:b w:val="1"/>
          <w:bCs w:val="1"/>
          <w:color w:val="auto"/>
        </w:rPr>
        <w:t xml:space="preserve"> </w:t>
      </w:r>
      <w:r>
        <w:rPr>
          <w:rFonts w:ascii="Arial" w:cs="Arial" w:eastAsia="Arial" w:hAnsi="Arial"/>
          <w:sz w:val="16"/>
          <w:szCs w:val="16"/>
          <w:color w:val="auto"/>
        </w:rPr>
        <w:t>or Awards granted to the Participant.</w:t>
      </w:r>
    </w:p>
    <w:p>
      <w:pPr>
        <w:spacing w:after="0" w:line="50" w:lineRule="exact"/>
        <w:rPr>
          <w:sz w:val="20"/>
          <w:szCs w:val="20"/>
          <w:color w:val="auto"/>
        </w:rPr>
      </w:pPr>
    </w:p>
    <w:p>
      <w:pPr>
        <w:ind w:left="280" w:right="240"/>
        <w:spacing w:after="0" w:line="280" w:lineRule="auto"/>
        <w:rPr>
          <w:sz w:val="20"/>
          <w:szCs w:val="20"/>
          <w:color w:val="auto"/>
        </w:rPr>
      </w:pPr>
      <w:r>
        <w:rPr>
          <w:rFonts w:ascii="Arial" w:cs="Arial" w:eastAsia="Arial" w:hAnsi="Arial"/>
          <w:sz w:val="16"/>
          <w:szCs w:val="16"/>
          <w:b w:val="1"/>
          <w:bCs w:val="1"/>
          <w:color w:val="auto"/>
        </w:rPr>
        <w:t xml:space="preserve">“Beneficial Owner” </w:t>
      </w:r>
      <w:r>
        <w:rPr>
          <w:rFonts w:ascii="Arial" w:cs="Arial" w:eastAsia="Arial" w:hAnsi="Arial"/>
          <w:sz w:val="16"/>
          <w:szCs w:val="16"/>
          <w:color w:val="auto"/>
        </w:rPr>
        <w:t>or</w:t>
      </w:r>
      <w:r>
        <w:rPr>
          <w:rFonts w:ascii="Arial" w:cs="Arial" w:eastAsia="Arial" w:hAnsi="Arial"/>
          <w:sz w:val="16"/>
          <w:szCs w:val="16"/>
          <w:b w:val="1"/>
          <w:bCs w:val="1"/>
          <w:color w:val="auto"/>
        </w:rPr>
        <w:t xml:space="preserve"> “Beneficial Ownership” </w:t>
      </w:r>
      <w:r>
        <w:rPr>
          <w:rFonts w:ascii="Arial" w:cs="Arial" w:eastAsia="Arial" w:hAnsi="Arial"/>
          <w:sz w:val="16"/>
          <w:szCs w:val="16"/>
          <w:color w:val="auto"/>
        </w:rPr>
        <w:t>has the meaning ascribed to that term in Rule 13d-3 of the General Rules and Regulations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Act.</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“Board” </w:t>
      </w:r>
      <w:r>
        <w:rPr>
          <w:rFonts w:ascii="Arial" w:cs="Arial" w:eastAsia="Arial" w:hAnsi="Arial"/>
          <w:sz w:val="16"/>
          <w:szCs w:val="16"/>
          <w:color w:val="auto"/>
        </w:rPr>
        <w:t>or</w:t>
      </w:r>
      <w:r>
        <w:rPr>
          <w:rFonts w:ascii="Arial" w:cs="Arial" w:eastAsia="Arial" w:hAnsi="Arial"/>
          <w:sz w:val="16"/>
          <w:szCs w:val="16"/>
          <w:b w:val="1"/>
          <w:bCs w:val="1"/>
          <w:color w:val="auto"/>
        </w:rPr>
        <w:t xml:space="preserve"> “Board of Directors” </w:t>
      </w:r>
      <w:r>
        <w:rPr>
          <w:rFonts w:ascii="Arial" w:cs="Arial" w:eastAsia="Arial" w:hAnsi="Arial"/>
          <w:sz w:val="16"/>
          <w:szCs w:val="16"/>
          <w:color w:val="auto"/>
        </w:rPr>
        <w:t>means the Board of Directors of the Company.</w:t>
      </w:r>
    </w:p>
    <w:p>
      <w:pPr>
        <w:spacing w:after="0" w:line="109" w:lineRule="exact"/>
        <w:rPr>
          <w:sz w:val="20"/>
          <w:szCs w:val="20"/>
          <w:color w:val="auto"/>
        </w:rPr>
      </w:pPr>
    </w:p>
    <w:p>
      <w:pPr>
        <w:ind w:left="280"/>
        <w:spacing w:after="0" w:line="261" w:lineRule="auto"/>
        <w:rPr>
          <w:sz w:val="20"/>
          <w:szCs w:val="20"/>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means, unless otherwise set forth in the applicable Award Agreement, with respect to a Participant, “Cause” as defined in any unexpired,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or severance or similar agreement between the Participant and the Company or an Affiliate. If there is no such agreement or if such agreement does not define “Cause,” then “Cause” means:</w:t>
      </w:r>
    </w:p>
    <w:p>
      <w:pPr>
        <w:spacing w:after="0" w:line="99" w:lineRule="exact"/>
        <w:rPr>
          <w:sz w:val="20"/>
          <w:szCs w:val="20"/>
          <w:color w:val="auto"/>
        </w:rPr>
      </w:pPr>
    </w:p>
    <w:p>
      <w:pPr>
        <w:ind w:left="600" w:hanging="320"/>
        <w:spacing w:after="0"/>
        <w:tabs>
          <w:tab w:leader="none" w:pos="6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willful and continued failure of the Participant substantially to perform his or her duties with or for the Company or an Affiliate;</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Participant’s engaging in conduct that is significantly injurious to the Company or an Affiliate, monetarily or otherwise;</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Participant’s commission of a crime that is significantly injurious to the Company or an Affiliate, monetarily, reputationally or otherwise;</w:t>
      </w:r>
    </w:p>
    <w:p>
      <w:pPr>
        <w:spacing w:after="0" w:line="122" w:lineRule="exact"/>
        <w:rPr>
          <w:rFonts w:ascii="Arial" w:cs="Arial" w:eastAsia="Arial" w:hAnsi="Arial"/>
          <w:sz w:val="16"/>
          <w:szCs w:val="16"/>
          <w:color w:val="auto"/>
        </w:rPr>
      </w:pPr>
    </w:p>
    <w:p>
      <w:pPr>
        <w:ind w:left="600" w:right="180" w:hanging="320"/>
        <w:spacing w:after="0" w:line="254" w:lineRule="auto"/>
        <w:tabs>
          <w:tab w:leader="none" w:pos="6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Participant’s abuse of illegal drugs or other controlled substances or intoxication that impairs the Participant’s ability to perform his or her duties with or for the Company or an Affiliate; or</w:t>
      </w:r>
    </w:p>
    <w:p>
      <w:pPr>
        <w:spacing w:after="0" w:line="103" w:lineRule="exact"/>
        <w:rPr>
          <w:rFonts w:ascii="Arial" w:cs="Arial" w:eastAsia="Arial" w:hAnsi="Arial"/>
          <w:sz w:val="16"/>
          <w:szCs w:val="16"/>
          <w:color w:val="auto"/>
        </w:rPr>
      </w:pPr>
    </w:p>
    <w:p>
      <w:pPr>
        <w:ind w:left="600" w:right="320" w:hanging="320"/>
        <w:spacing w:after="0" w:line="254" w:lineRule="auto"/>
        <w:tabs>
          <w:tab w:leader="none" w:pos="6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Participant’s breach of any non-competition or non-solicitation covenants contained in any written agreement between the Participant and the Company or an Affiliate.</w:t>
      </w:r>
    </w:p>
    <w:p>
      <w:pPr>
        <w:spacing w:after="0" w:line="90" w:lineRule="exact"/>
        <w:rPr>
          <w:sz w:val="20"/>
          <w:szCs w:val="20"/>
          <w:color w:val="auto"/>
        </w:rPr>
      </w:pPr>
    </w:p>
    <w:p>
      <w:pPr>
        <w:ind w:left="280" w:right="120"/>
        <w:spacing w:after="0" w:line="265" w:lineRule="auto"/>
        <w:rPr>
          <w:sz w:val="20"/>
          <w:szCs w:val="20"/>
          <w:color w:val="auto"/>
        </w:rPr>
      </w:pPr>
      <w:r>
        <w:rPr>
          <w:rFonts w:ascii="Arial" w:cs="Arial" w:eastAsia="Arial" w:hAnsi="Arial"/>
          <w:sz w:val="15"/>
          <w:szCs w:val="15"/>
          <w:color w:val="auto"/>
        </w:rPr>
        <w:t xml:space="preserve">Unless otherwise defined in the Participant’s written employment or severance or similar agreement, an act or omission is “willful” for the purpose of determining whether a termination of employment was made for “cause” if it was knowingly done, or knowingly omitted to be done, by the Participant not in good faith and without reasonable belief that the act or omission was in the best interest of the Company or an Affiliate. For purposes of this Plan, if a Participant is convicted of a crime or pleads </w:t>
      </w:r>
      <w:r>
        <w:rPr>
          <w:rFonts w:ascii="Arial" w:cs="Arial" w:eastAsia="Arial" w:hAnsi="Arial"/>
          <w:sz w:val="15"/>
          <w:szCs w:val="15"/>
          <w:i w:val="1"/>
          <w:iCs w:val="1"/>
          <w:color w:val="auto"/>
        </w:rPr>
        <w:t>nolo contendere</w:t>
      </w:r>
      <w:r>
        <w:rPr>
          <w:rFonts w:ascii="Arial" w:cs="Arial" w:eastAsia="Arial" w:hAnsi="Arial"/>
          <w:sz w:val="15"/>
          <w:szCs w:val="15"/>
          <w:color w:val="auto"/>
        </w:rPr>
        <w:t xml:space="preserve"> to a criminal charge, he or she will conclusively be deemed to have committed the crime. The Committee has the discretion, in other circumstances, to determine in good faith, from all the facts and circumstances reasonably available to it, whether a Participant who is under investigation for, or has been charged with, a crime will be deemed to have committed it for purposes of this Plan.</w:t>
      </w:r>
    </w:p>
    <w:p>
      <w:pPr>
        <w:spacing w:after="0" w:line="63" w:lineRule="exact"/>
        <w:rPr>
          <w:sz w:val="20"/>
          <w:szCs w:val="20"/>
          <w:color w:val="auto"/>
        </w:rPr>
      </w:pPr>
    </w:p>
    <w:p>
      <w:pPr>
        <w:ind w:left="280" w:right="80"/>
        <w:spacing w:after="0" w:line="280"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“Change in Control”</w:t>
      </w:r>
      <w:r>
        <w:rPr>
          <w:rFonts w:ascii="Arial" w:cs="Arial" w:eastAsia="Arial" w:hAnsi="Arial"/>
          <w:sz w:val="16"/>
          <w:szCs w:val="16"/>
          <w:color w:val="auto"/>
        </w:rPr>
        <w:t xml:space="preserve"> of the Company will be deemed to have occurred (as of a particular day, as specified by the Board) as of the first day any one or more of the following paragraphs is satisfied.</w:t>
      </w:r>
    </w:p>
    <w:p>
      <w:pPr>
        <w:spacing w:after="0" w:line="84" w:lineRule="exact"/>
        <w:rPr>
          <w:sz w:val="20"/>
          <w:szCs w:val="20"/>
          <w:color w:val="auto"/>
        </w:rPr>
      </w:pPr>
    </w:p>
    <w:p>
      <w:pPr>
        <w:ind w:left="600" w:right="180" w:hanging="320"/>
        <w:spacing w:after="0" w:line="247" w:lineRule="auto"/>
        <w:tabs>
          <w:tab w:leader="none" w:pos="6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Any Person (other than the Company or a trustee or other fiduciary holding securities under an employee benefit plan of the Company, or a corporation owned directly or indirectly by the shareholders of the Company in substantially the same proportions as their ownership of stock of the Company) becomes the Beneficial Owner, directly or indirectly, of securities of the Company, representing more than twenty percent (20%) of the combined voting power of the Company’s then outstanding securities.</w:t>
      </w:r>
    </w:p>
    <w:p>
      <w:pPr>
        <w:spacing w:after="0" w:line="108" w:lineRule="exact"/>
        <w:rPr>
          <w:rFonts w:ascii="Arial" w:cs="Arial" w:eastAsia="Arial" w:hAnsi="Arial"/>
          <w:sz w:val="16"/>
          <w:szCs w:val="16"/>
          <w:color w:val="auto"/>
        </w:rPr>
      </w:pPr>
    </w:p>
    <w:p>
      <w:pPr>
        <w:ind w:left="600" w:right="80" w:hanging="320"/>
        <w:spacing w:after="0" w:line="246" w:lineRule="auto"/>
        <w:tabs>
          <w:tab w:leader="none" w:pos="6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During any period of twenty-four (24) consecutive months beginning on or after the Effective Date, individuals who at the beginning of the period constituted the Board cease for any reason (other than death, Disability or Retirement) to constitute a majority of the Board. For this purpose, any new Director whose election by the Board, or nomination for election by the Company’s shareholders, was approved by a vote of at least two-thirds (2/3) of the Directors then still in office, and who either were Directors at the beginning of the period or whose election or nomination for election was so approved, will be deemed to have been a Director at the beginning of any twenty-four (24) month period under consideration.</w:t>
      </w:r>
    </w:p>
    <w:p>
      <w:pPr>
        <w:spacing w:after="0" w:line="109" w:lineRule="exact"/>
        <w:rPr>
          <w:rFonts w:ascii="Arial" w:cs="Arial" w:eastAsia="Arial" w:hAnsi="Arial"/>
          <w:sz w:val="16"/>
          <w:szCs w:val="16"/>
          <w:color w:val="auto"/>
        </w:rPr>
      </w:pPr>
    </w:p>
    <w:p>
      <w:pPr>
        <w:jc w:val="both"/>
        <w:ind w:left="600" w:right="460" w:hanging="320"/>
        <w:spacing w:after="0" w:line="248" w:lineRule="auto"/>
        <w:tabs>
          <w:tab w:leader="none" w:pos="6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Consummation of: (i) a sale or disposition of all or substantially all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w:t>
      </w:r>
    </w:p>
    <w:p>
      <w:pPr>
        <w:ind w:left="380"/>
        <w:spacing w:after="0"/>
        <w:tabs>
          <w:tab w:leader="none" w:pos="800" w:val="left"/>
        </w:tabs>
        <w:rPr>
          <w:sz w:val="20"/>
          <w:szCs w:val="20"/>
          <w:color w:val="auto"/>
        </w:rPr>
      </w:pPr>
      <w:r>
        <w:rPr>
          <w:rFonts w:ascii="Arial" w:cs="Arial" w:eastAsia="Arial" w:hAnsi="Arial"/>
          <w:sz w:val="35"/>
          <w:szCs w:val="35"/>
          <w:b w:val="1"/>
          <w:bCs w:val="1"/>
          <w:color w:val="000000"/>
          <w:vertAlign w:val="superscript"/>
        </w:rPr>
        <w:t>B-</w:t>
      </w:r>
      <w:r>
        <w:rPr>
          <w:rFonts w:ascii="Arial" w:cs="Arial" w:eastAsia="Arial" w:hAnsi="Arial"/>
          <w:sz w:val="15"/>
          <w:szCs w:val="15"/>
          <w:b w:val="1"/>
          <w:bCs w:val="1"/>
          <w:color w:val="E2231A"/>
        </w:rPr>
        <w:t xml:space="preserve"> </w:t>
      </w:r>
      <w:r>
        <w:rPr>
          <w:rFonts w:ascii="Arial" w:cs="Arial" w:eastAsia="Arial" w:hAnsi="Arial"/>
          <w:sz w:val="35"/>
          <w:szCs w:val="35"/>
          <w:b w:val="1"/>
          <w:bCs w:val="1"/>
          <w:color w:val="E2231A"/>
          <w:vertAlign w:val="superscript"/>
        </w:rPr>
        <w:t>|</w:t>
      </w:r>
      <w:r>
        <w:rPr>
          <w:sz w:val="20"/>
          <w:szCs w:val="20"/>
          <w:color w:val="auto"/>
        </w:rPr>
        <w:tab/>
      </w:r>
      <w:r>
        <w:rPr>
          <w:rFonts w:ascii="Arial" w:cs="Arial" w:eastAsia="Arial" w:hAnsi="Arial"/>
          <w:sz w:val="14"/>
          <w:szCs w:val="14"/>
          <w:b w:val="1"/>
          <w:bCs w:val="1"/>
          <w:color w:val="E2231A"/>
        </w:rPr>
        <w:t>LEAR CORPORATION</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w:t>
      </w:r>
    </w:p>
    <w:p>
      <w:pPr>
        <w:sectPr>
          <w:pgSz w:w="11900" w:h="16838" w:orient="portrait"/>
          <w:cols w:equalWidth="0" w:num="1">
            <w:col w:w="11140"/>
          </w:cols>
          <w:pgMar w:left="240" w:top="455" w:right="5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0220"/>
        <w:spacing w:after="0"/>
        <w:rPr>
          <w:sz w:val="20"/>
          <w:szCs w:val="20"/>
          <w:color w:val="auto"/>
        </w:rPr>
      </w:pPr>
      <w:r>
        <w:rPr>
          <w:rFonts w:ascii="Arial" w:cs="Arial" w:eastAsia="Arial" w:hAnsi="Arial"/>
          <w:sz w:val="15"/>
          <w:szCs w:val="15"/>
          <w:b w:val="1"/>
          <w:bCs w:val="1"/>
          <w:u w:val="single" w:color="auto"/>
          <w:color w:val="E2231A"/>
        </w:rPr>
        <w:t>APPENDIX B</w:t>
      </w:r>
    </w:p>
    <w:p>
      <w:pPr>
        <w:spacing w:after="0" w:line="157" w:lineRule="exact"/>
        <w:rPr>
          <w:sz w:val="20"/>
          <w:szCs w:val="20"/>
          <w:color w:val="auto"/>
        </w:rPr>
      </w:pPr>
    </w:p>
    <w:p>
      <w:pPr>
        <w:ind w:left="600" w:right="80"/>
        <w:spacing w:after="0" w:line="254" w:lineRule="auto"/>
        <w:rPr>
          <w:sz w:val="20"/>
          <w:szCs w:val="20"/>
          <w:color w:val="auto"/>
        </w:rPr>
      </w:pPr>
      <w:r>
        <w:rPr>
          <w:rFonts w:ascii="Arial" w:cs="Arial" w:eastAsia="Arial" w:hAnsi="Arial"/>
          <w:sz w:val="16"/>
          <w:szCs w:val="16"/>
          <w:color w:val="auto"/>
        </w:rPr>
        <w:t>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  The shareholders of the Company approve a plan of complete liquidation or dissolution of the Company.</w:t>
      </w:r>
    </w:p>
    <w:p>
      <w:pPr>
        <w:spacing w:after="0" w:line="109" w:lineRule="exact"/>
        <w:rPr>
          <w:sz w:val="20"/>
          <w:szCs w:val="20"/>
          <w:color w:val="auto"/>
        </w:rPr>
      </w:pPr>
    </w:p>
    <w:p>
      <w:pPr>
        <w:ind w:left="280" w:right="40"/>
        <w:spacing w:after="0" w:line="245" w:lineRule="auto"/>
        <w:rPr>
          <w:sz w:val="20"/>
          <w:szCs w:val="20"/>
          <w:color w:val="auto"/>
        </w:rPr>
      </w:pPr>
      <w:r>
        <w:rPr>
          <w:rFonts w:ascii="Arial" w:cs="Arial" w:eastAsia="Arial" w:hAnsi="Arial"/>
          <w:sz w:val="16"/>
          <w:szCs w:val="16"/>
          <w:color w:val="auto"/>
        </w:rPr>
        <w:t>Notwithstanding the foregoing, if an Award, or amount payable with respect to an Award, is “deferred compensation” for purposes of Code Section 409A, and if a payment of such Award or amount would be accelerated or otherwise triggered upon a “Change in Control,” then the foregoing definition is modified, to the extent necessary to avoid the imposition of an excise tax under Code Section 409A, to mean a “change in control event” as such term is defined for purposes of Code Section 409A. For purposes of clarity, if an Award would, for example, vest and be paid on a “Change in Control” as defined herein but payment of such Award would violate the provisions of Code Section 409A, then the Award shall vest but will be paid only in compliance with its terms and Code Section 409A (</w:t>
      </w:r>
      <w:r>
        <w:rPr>
          <w:rFonts w:ascii="Arial" w:cs="Arial" w:eastAsia="Arial" w:hAnsi="Arial"/>
          <w:sz w:val="16"/>
          <w:szCs w:val="16"/>
          <w:i w:val="1"/>
          <w:iCs w:val="1"/>
          <w:color w:val="auto"/>
        </w:rPr>
        <w:t>i.e.,</w:t>
      </w:r>
      <w:r>
        <w:rPr>
          <w:rFonts w:ascii="Arial" w:cs="Arial" w:eastAsia="Arial" w:hAnsi="Arial"/>
          <w:sz w:val="16"/>
          <w:szCs w:val="16"/>
          <w:color w:val="auto"/>
        </w:rPr>
        <w:t xml:space="preserve"> upon a permissible payment event).</w:t>
      </w:r>
    </w:p>
    <w:p>
      <w:pPr>
        <w:spacing w:after="0" w:line="78" w:lineRule="exact"/>
        <w:rPr>
          <w:sz w:val="20"/>
          <w:szCs w:val="20"/>
          <w:color w:val="auto"/>
        </w:rPr>
      </w:pPr>
    </w:p>
    <w:p>
      <w:pPr>
        <w:ind w:left="280" w:right="380"/>
        <w:spacing w:after="0" w:line="261" w:lineRule="auto"/>
        <w:rPr>
          <w:sz w:val="20"/>
          <w:szCs w:val="20"/>
          <w:color w:val="auto"/>
        </w:rPr>
      </w:pPr>
      <w:r>
        <w:rPr>
          <w:rFonts w:ascii="Arial" w:cs="Arial" w:eastAsia="Arial" w:hAnsi="Arial"/>
          <w:sz w:val="16"/>
          <w:szCs w:val="16"/>
          <w:b w:val="1"/>
          <w:bCs w:val="1"/>
          <w:color w:val="auto"/>
        </w:rPr>
        <w:t xml:space="preserve">“Change in Control Price” </w:t>
      </w:r>
      <w:r>
        <w:rPr>
          <w:rFonts w:ascii="Arial" w:cs="Arial" w:eastAsia="Arial" w:hAnsi="Arial"/>
          <w:sz w:val="16"/>
          <w:szCs w:val="16"/>
          <w:color w:val="auto"/>
        </w:rPr>
        <w:t>means the Fair Market Value of a Share upon a Change in Control. To the extent that the consideration paid in any such</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Control transaction consists all or in part of securities or other non-cash consideration, the value of such securities or other non-cash consideration shall be determined in good faith by the Committee.</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Internal Revenue Code of 1986, as amended from time to time.</w:t>
      </w:r>
    </w:p>
    <w:p>
      <w:pPr>
        <w:spacing w:after="0" w:line="109" w:lineRule="exact"/>
        <w:rPr>
          <w:sz w:val="20"/>
          <w:szCs w:val="20"/>
          <w:color w:val="auto"/>
        </w:rPr>
      </w:pPr>
    </w:p>
    <w:p>
      <w:pPr>
        <w:ind w:left="280" w:right="400"/>
        <w:spacing w:after="0" w:line="280" w:lineRule="auto"/>
        <w:rPr>
          <w:sz w:val="20"/>
          <w:szCs w:val="20"/>
          <w:color w:val="auto"/>
        </w:rPr>
      </w:pPr>
      <w:r>
        <w:rPr>
          <w:rFonts w:ascii="Arial" w:cs="Arial" w:eastAsia="Arial" w:hAnsi="Arial"/>
          <w:sz w:val="16"/>
          <w:szCs w:val="16"/>
          <w:b w:val="1"/>
          <w:bCs w:val="1"/>
          <w:color w:val="auto"/>
        </w:rPr>
        <w:t xml:space="preserve">“Committee” </w:t>
      </w:r>
      <w:r>
        <w:rPr>
          <w:rFonts w:ascii="Arial" w:cs="Arial" w:eastAsia="Arial" w:hAnsi="Arial"/>
          <w:sz w:val="16"/>
          <w:szCs w:val="16"/>
          <w:color w:val="auto"/>
        </w:rPr>
        <w:t>means, as designated in accordance with Section 3.1, the Compensation Committee of the Board or such other committee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by the Board to administer the Plan.</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“Company” </w:t>
      </w:r>
      <w:r>
        <w:rPr>
          <w:rFonts w:ascii="Arial" w:cs="Arial" w:eastAsia="Arial" w:hAnsi="Arial"/>
          <w:sz w:val="16"/>
          <w:szCs w:val="16"/>
          <w:color w:val="auto"/>
        </w:rPr>
        <w:t>has the meaning given to such term in Section 1.1 hereof, and includes, without limitation, any successor thereto as provided in Article 18.</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“Director” </w:t>
      </w:r>
      <w:r>
        <w:rPr>
          <w:rFonts w:ascii="Arial" w:cs="Arial" w:eastAsia="Arial" w:hAnsi="Arial"/>
          <w:sz w:val="16"/>
          <w:szCs w:val="16"/>
          <w:color w:val="auto"/>
        </w:rPr>
        <w:t>means any individual who is a member of the Board of Directors and who is not employed by the Company or an Affiliate thereof.</w:t>
      </w:r>
    </w:p>
    <w:p>
      <w:pPr>
        <w:spacing w:after="0" w:line="109" w:lineRule="exact"/>
        <w:rPr>
          <w:sz w:val="20"/>
          <w:szCs w:val="20"/>
          <w:color w:val="auto"/>
        </w:rPr>
      </w:pPr>
    </w:p>
    <w:p>
      <w:pPr>
        <w:ind w:left="280" w:right="20"/>
        <w:spacing w:after="0" w:line="250" w:lineRule="auto"/>
        <w:rPr>
          <w:sz w:val="20"/>
          <w:szCs w:val="20"/>
          <w:color w:val="auto"/>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means, with respect to any Participant, (a) long-term disability as defined under the long-term disability plan of the Company or an 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that covers such Participant, or (b) if the Participant is not covered by such a long-term disability plan, disability as defined for purposes of eligibility for a disability award under the Social Security Act. Notwithstanding the foregoing, for purposes of determining the period of time after termination of employment during which a Participant may exercise an ISO, “Disability” will have the meaning set forth in Code Section 22(e)(3), which is, generally, that the Participant is unable to engage in any substantial gainful activity by reason of a medically determinable physical or mental impairment that can be expected to result in death or that has lasted or can be expected to last for a continuous period of at least twelve (12) months.</w:t>
      </w:r>
    </w:p>
    <w:p>
      <w:pPr>
        <w:spacing w:after="0" w:line="95" w:lineRule="exact"/>
        <w:rPr>
          <w:sz w:val="20"/>
          <w:szCs w:val="20"/>
          <w:color w:val="auto"/>
        </w:rPr>
      </w:pPr>
    </w:p>
    <w:p>
      <w:pPr>
        <w:ind w:left="280" w:right="40"/>
        <w:spacing w:after="0" w:line="245" w:lineRule="auto"/>
        <w:rPr>
          <w:sz w:val="20"/>
          <w:szCs w:val="20"/>
          <w:color w:val="auto"/>
        </w:rPr>
      </w:pPr>
      <w:r>
        <w:rPr>
          <w:rFonts w:ascii="Arial" w:cs="Arial" w:eastAsia="Arial" w:hAnsi="Arial"/>
          <w:sz w:val="16"/>
          <w:szCs w:val="16"/>
          <w:color w:val="auto"/>
        </w:rPr>
        <w:t>Notwithstanding the foregoing, if an Award, or amount payable with respect to an Award, is “deferred compensation” for purposes of Code Section 409A, and if a payment of such Award or amount would be accelerated or otherwise triggered upon a “Disability,” then the foregoing definition is modified, to the extent necessary to avoid the imposition of an excise tax under Code Section 409A, to refer to a Participant who is “disabled,” as such term is defined for purposes of Code Section 409A. For purposes of clarity, if an Award would, for example, vest and be paid on a “Disability” as defined herein but payment of such Award would violate the provisions of Code Section 409A, then the Award shall vest but will be paid only in compliance with its terms and Code Section 409A (</w:t>
      </w:r>
      <w:r>
        <w:rPr>
          <w:rFonts w:ascii="Arial" w:cs="Arial" w:eastAsia="Arial" w:hAnsi="Arial"/>
          <w:sz w:val="16"/>
          <w:szCs w:val="16"/>
          <w:i w:val="1"/>
          <w:iCs w:val="1"/>
          <w:color w:val="auto"/>
        </w:rPr>
        <w:t>i.e.,</w:t>
      </w:r>
      <w:r>
        <w:rPr>
          <w:rFonts w:ascii="Arial" w:cs="Arial" w:eastAsia="Arial" w:hAnsi="Arial"/>
          <w:sz w:val="16"/>
          <w:szCs w:val="16"/>
          <w:color w:val="auto"/>
        </w:rPr>
        <w:t xml:space="preserve"> upon a permissible payment event).</w:t>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has the meaning given to such term in Section 1.1 hereof.</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“Eligible Person” </w:t>
      </w:r>
      <w:r>
        <w:rPr>
          <w:rFonts w:ascii="Arial" w:cs="Arial" w:eastAsia="Arial" w:hAnsi="Arial"/>
          <w:sz w:val="16"/>
          <w:szCs w:val="16"/>
          <w:color w:val="auto"/>
        </w:rPr>
        <w:t>means any Employee or Director.</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“Employee” </w:t>
      </w:r>
      <w:r>
        <w:rPr>
          <w:rFonts w:ascii="Arial" w:cs="Arial" w:eastAsia="Arial" w:hAnsi="Arial"/>
          <w:sz w:val="16"/>
          <w:szCs w:val="16"/>
          <w:color w:val="auto"/>
        </w:rPr>
        <w:t>means any employee of the Company or any of its Affiliates.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“Exchange Act” </w:t>
      </w:r>
      <w:r>
        <w:rPr>
          <w:rFonts w:ascii="Arial" w:cs="Arial" w:eastAsia="Arial" w:hAnsi="Arial"/>
          <w:sz w:val="16"/>
          <w:szCs w:val="16"/>
          <w:color w:val="auto"/>
        </w:rPr>
        <w:t>means the Securities Exchange Act of 1934, as amended from time to time, or any successor act thereto.</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means the price at which a Share may be purchased by a Participant pursuant to an Option.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“Fair Market Value” </w:t>
      </w:r>
      <w:r>
        <w:rPr>
          <w:rFonts w:ascii="Arial" w:cs="Arial" w:eastAsia="Arial" w:hAnsi="Arial"/>
          <w:sz w:val="16"/>
          <w:szCs w:val="16"/>
          <w:color w:val="auto"/>
        </w:rPr>
        <w:t>means:</w:t>
      </w:r>
    </w:p>
    <w:p>
      <w:pPr>
        <w:spacing w:after="0" w:line="142" w:lineRule="exact"/>
        <w:rPr>
          <w:sz w:val="20"/>
          <w:szCs w:val="20"/>
          <w:color w:val="auto"/>
        </w:rPr>
      </w:pPr>
    </w:p>
    <w:p>
      <w:pPr>
        <w:ind w:left="600" w:right="300" w:hanging="320"/>
        <w:spacing w:after="0" w:line="254" w:lineRule="auto"/>
        <w:tabs>
          <w:tab w:leader="none" w:pos="6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closing trading price of the Shares on the New York Stock Exchange or, if the Shares are not traded on the New York Stock Exchange, on the NASDAQ Stock Market or any other exchange on which they are traded; or</w:t>
      </w:r>
    </w:p>
    <w:p>
      <w:pPr>
        <w:ind w:left="9040"/>
        <w:spacing w:after="0"/>
        <w:tabs>
          <w:tab w:leader="none" w:pos="10740" w:val="left"/>
          <w:tab w:leader="none" w:pos="109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36"/>
          <w:szCs w:val="36"/>
          <w:b w:val="1"/>
          <w:bCs w:val="1"/>
          <w:color w:val="E2231A"/>
          <w:vertAlign w:val="superscript"/>
        </w:rPr>
        <w:t>|</w:t>
      </w:r>
      <w:r>
        <w:rPr>
          <w:sz w:val="20"/>
          <w:szCs w:val="20"/>
          <w:color w:val="auto"/>
        </w:rPr>
        <w:tab/>
      </w:r>
      <w:r>
        <w:rPr>
          <w:rFonts w:ascii="Arial" w:cs="Arial" w:eastAsia="Arial" w:hAnsi="Arial"/>
          <w:sz w:val="25"/>
          <w:szCs w:val="25"/>
          <w:b w:val="1"/>
          <w:bCs w:val="1"/>
          <w:color w:val="auto"/>
          <w:vertAlign w:val="superscript"/>
        </w:rPr>
        <w:t>B-</w:t>
      </w:r>
    </w:p>
    <w:p>
      <w:pPr>
        <w:ind w:left="10900"/>
        <w:spacing w:after="0"/>
        <w:rPr>
          <w:sz w:val="20"/>
          <w:szCs w:val="20"/>
          <w:color w:val="auto"/>
        </w:rPr>
      </w:pPr>
      <w:r>
        <w:rPr>
          <w:rFonts w:ascii="Arial" w:cs="Arial" w:eastAsia="Arial" w:hAnsi="Arial"/>
          <w:sz w:val="18"/>
          <w:szCs w:val="18"/>
          <w:b w:val="1"/>
          <w:bCs w:val="1"/>
          <w:color w:val="auto"/>
        </w:rPr>
        <w:t>3</w:t>
      </w:r>
    </w:p>
    <w:p>
      <w:pPr>
        <w:sectPr>
          <w:pgSz w:w="11900" w:h="16838" w:orient="portrait"/>
          <w:cols w:equalWidth="0" w:num="1">
            <w:col w:w="11140"/>
          </w:cols>
          <w:pgMar w:left="240" w:top="455" w:right="5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APPENDIX B</w:t>
      </w:r>
    </w:p>
    <w:p>
      <w:pPr>
        <w:spacing w:after="0" w:line="277" w:lineRule="exact"/>
        <w:rPr>
          <w:sz w:val="20"/>
          <w:szCs w:val="20"/>
          <w:color w:val="auto"/>
        </w:rPr>
      </w:pPr>
    </w:p>
    <w:p>
      <w:pPr>
        <w:ind w:left="600" w:hanging="320"/>
        <w:spacing w:after="0"/>
        <w:tabs>
          <w:tab w:leader="none" w:pos="6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if the Shares are not traded on any exchange, the mean between the closing bid and asked prices of the Shares in the over-the-counter market; or</w:t>
      </w:r>
    </w:p>
    <w:p>
      <w:pPr>
        <w:spacing w:after="0" w:line="122" w:lineRule="exact"/>
        <w:rPr>
          <w:rFonts w:ascii="Arial" w:cs="Arial" w:eastAsia="Arial" w:hAnsi="Arial"/>
          <w:sz w:val="16"/>
          <w:szCs w:val="16"/>
          <w:color w:val="auto"/>
        </w:rPr>
      </w:pPr>
    </w:p>
    <w:p>
      <w:pPr>
        <w:ind w:left="600" w:right="80" w:hanging="320"/>
        <w:spacing w:after="0" w:line="254" w:lineRule="auto"/>
        <w:tabs>
          <w:tab w:leader="none" w:pos="6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if those bid and asked prices are not available, then the fair market value as reported by any nationally recognized quotation service selected by the Committee or as determined in good faith by the Committee.</w:t>
      </w:r>
    </w:p>
    <w:p>
      <w:pPr>
        <w:spacing w:after="0" w:line="90" w:lineRule="exact"/>
        <w:rPr>
          <w:sz w:val="20"/>
          <w:szCs w:val="20"/>
          <w:color w:val="auto"/>
        </w:rPr>
      </w:pPr>
    </w:p>
    <w:p>
      <w:pPr>
        <w:ind w:left="280" w:right="200"/>
        <w:spacing w:after="0" w:line="254" w:lineRule="auto"/>
        <w:rPr>
          <w:sz w:val="20"/>
          <w:szCs w:val="20"/>
          <w:color w:val="auto"/>
        </w:rPr>
      </w:pPr>
      <w:r>
        <w:rPr>
          <w:rFonts w:ascii="Arial" w:cs="Arial" w:eastAsia="Arial" w:hAnsi="Arial"/>
          <w:sz w:val="16"/>
          <w:szCs w:val="16"/>
          <w:color w:val="auto"/>
        </w:rPr>
        <w:t>Notwithstanding the foregoing, for purposes of Awards intended to be exempt from Code Section 409A, the Fair Market Value shall be no less than the “fair market value,” as such term is defined for purposes of Code Section 409A.</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“Freestanding SAR” </w:t>
      </w:r>
      <w:r>
        <w:rPr>
          <w:rFonts w:ascii="Arial" w:cs="Arial" w:eastAsia="Arial" w:hAnsi="Arial"/>
          <w:sz w:val="16"/>
          <w:szCs w:val="16"/>
          <w:color w:val="auto"/>
        </w:rPr>
        <w:t>means an SAR that is granted independently of any Options, as described in Article 7.</w:t>
      </w:r>
    </w:p>
    <w:p>
      <w:pPr>
        <w:spacing w:after="0" w:line="109" w:lineRule="exact"/>
        <w:rPr>
          <w:sz w:val="20"/>
          <w:szCs w:val="20"/>
          <w:color w:val="auto"/>
        </w:rPr>
      </w:pPr>
    </w:p>
    <w:p>
      <w:pPr>
        <w:ind w:left="280" w:right="20"/>
        <w:spacing w:after="0" w:line="255" w:lineRule="auto"/>
        <w:rPr>
          <w:sz w:val="20"/>
          <w:szCs w:val="20"/>
          <w:color w:val="auto"/>
        </w:rPr>
      </w:pPr>
      <w:r>
        <w:rPr>
          <w:rFonts w:ascii="Arial" w:cs="Arial" w:eastAsia="Arial" w:hAnsi="Arial"/>
          <w:sz w:val="16"/>
          <w:szCs w:val="16"/>
          <w:b w:val="1"/>
          <w:bCs w:val="1"/>
          <w:color w:val="auto"/>
        </w:rPr>
        <w:t xml:space="preserve">“Good Reason” </w:t>
      </w:r>
      <w:r>
        <w:rPr>
          <w:rFonts w:ascii="Arial" w:cs="Arial" w:eastAsia="Arial" w:hAnsi="Arial"/>
          <w:sz w:val="16"/>
          <w:szCs w:val="16"/>
          <w:color w:val="auto"/>
        </w:rPr>
        <w:t>has the meaning set forth in any unexpired, written employment or severance or similar agreement between a Participant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 Affiliate, solely if and to the extent that such term is defined in such an agreement. If a Participant does not have a written employment or severance or similar agreement with the Company or an Affiliate, or if such agreement does not define “Good Reason,” this term shall not apply to such Participant for purposes of the Plan.</w:t>
      </w:r>
    </w:p>
    <w:p>
      <w:pPr>
        <w:spacing w:after="0" w:line="71" w:lineRule="exact"/>
        <w:rPr>
          <w:sz w:val="20"/>
          <w:szCs w:val="20"/>
          <w:color w:val="auto"/>
        </w:rPr>
      </w:pPr>
    </w:p>
    <w:p>
      <w:pPr>
        <w:ind w:left="280" w:right="220"/>
        <w:spacing w:after="0" w:line="280" w:lineRule="auto"/>
        <w:rPr>
          <w:sz w:val="20"/>
          <w:szCs w:val="20"/>
          <w:color w:val="auto"/>
        </w:rPr>
      </w:pPr>
      <w:r>
        <w:rPr>
          <w:rFonts w:ascii="Arial" w:cs="Arial" w:eastAsia="Arial" w:hAnsi="Arial"/>
          <w:sz w:val="16"/>
          <w:szCs w:val="16"/>
          <w:b w:val="1"/>
          <w:bCs w:val="1"/>
          <w:color w:val="auto"/>
        </w:rPr>
        <w:t xml:space="preserve">“Incentive Stock Option” </w:t>
      </w:r>
      <w:r>
        <w:rPr>
          <w:rFonts w:ascii="Arial" w:cs="Arial" w:eastAsia="Arial" w:hAnsi="Arial"/>
          <w:sz w:val="16"/>
          <w:szCs w:val="16"/>
          <w:color w:val="auto"/>
        </w:rPr>
        <w:t>or</w:t>
      </w:r>
      <w:r>
        <w:rPr>
          <w:rFonts w:ascii="Arial" w:cs="Arial" w:eastAsia="Arial" w:hAnsi="Arial"/>
          <w:sz w:val="16"/>
          <w:szCs w:val="16"/>
          <w:b w:val="1"/>
          <w:bCs w:val="1"/>
          <w:color w:val="auto"/>
        </w:rPr>
        <w:t xml:space="preserve"> “ISO” </w:t>
      </w:r>
      <w:r>
        <w:rPr>
          <w:rFonts w:ascii="Arial" w:cs="Arial" w:eastAsia="Arial" w:hAnsi="Arial"/>
          <w:sz w:val="16"/>
          <w:szCs w:val="16"/>
          <w:color w:val="auto"/>
        </w:rPr>
        <w:t>means an Option to purchase Shares granted under Article 6 that is designated as an Incentive Stock Option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that is intended to meet the requirements of Code Section 422.</w:t>
      </w:r>
    </w:p>
    <w:p>
      <w:pPr>
        <w:spacing w:after="0" w:line="50" w:lineRule="exact"/>
        <w:rPr>
          <w:sz w:val="20"/>
          <w:szCs w:val="20"/>
          <w:color w:val="auto"/>
        </w:rPr>
      </w:pPr>
    </w:p>
    <w:p>
      <w:pPr>
        <w:ind w:left="280" w:right="40"/>
        <w:spacing w:after="0" w:line="280" w:lineRule="auto"/>
        <w:rPr>
          <w:sz w:val="20"/>
          <w:szCs w:val="20"/>
          <w:color w:val="auto"/>
        </w:rPr>
      </w:pPr>
      <w:r>
        <w:rPr>
          <w:rFonts w:ascii="Arial" w:cs="Arial" w:eastAsia="Arial" w:hAnsi="Arial"/>
          <w:sz w:val="16"/>
          <w:szCs w:val="16"/>
          <w:b w:val="1"/>
          <w:bCs w:val="1"/>
          <w:color w:val="auto"/>
        </w:rPr>
        <w:t xml:space="preserve">“Nonqualified Stock Option” </w:t>
      </w:r>
      <w:r>
        <w:rPr>
          <w:rFonts w:ascii="Arial" w:cs="Arial" w:eastAsia="Arial" w:hAnsi="Arial"/>
          <w:sz w:val="16"/>
          <w:szCs w:val="16"/>
          <w:color w:val="auto"/>
        </w:rPr>
        <w:t>or</w:t>
      </w:r>
      <w:r>
        <w:rPr>
          <w:rFonts w:ascii="Arial" w:cs="Arial" w:eastAsia="Arial" w:hAnsi="Arial"/>
          <w:sz w:val="16"/>
          <w:szCs w:val="16"/>
          <w:b w:val="1"/>
          <w:bCs w:val="1"/>
          <w:color w:val="auto"/>
        </w:rPr>
        <w:t xml:space="preserve"> “NQSO” </w:t>
      </w:r>
      <w:r>
        <w:rPr>
          <w:rFonts w:ascii="Arial" w:cs="Arial" w:eastAsia="Arial" w:hAnsi="Arial"/>
          <w:sz w:val="16"/>
          <w:szCs w:val="16"/>
          <w:color w:val="auto"/>
        </w:rPr>
        <w:t>means an Option to purchase Shares granted under Article 6 that is not intended to meet the requirements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Code Section 422.</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“Option” </w:t>
      </w:r>
      <w:r>
        <w:rPr>
          <w:rFonts w:ascii="Arial" w:cs="Arial" w:eastAsia="Arial" w:hAnsi="Arial"/>
          <w:sz w:val="16"/>
          <w:szCs w:val="16"/>
          <w:color w:val="auto"/>
        </w:rPr>
        <w:t>means an Incentive Stock Option or a Nonqualified Stock Option, as described in Article 6.</w:t>
      </w:r>
    </w:p>
    <w:p>
      <w:pPr>
        <w:spacing w:after="0" w:line="109" w:lineRule="exact"/>
        <w:rPr>
          <w:sz w:val="20"/>
          <w:szCs w:val="20"/>
          <w:color w:val="auto"/>
        </w:rPr>
      </w:pPr>
    </w:p>
    <w:p>
      <w:pPr>
        <w:ind w:left="280" w:right="600"/>
        <w:spacing w:after="0" w:line="280" w:lineRule="auto"/>
        <w:rPr>
          <w:sz w:val="20"/>
          <w:szCs w:val="20"/>
          <w:color w:val="auto"/>
        </w:rPr>
      </w:pPr>
      <w:r>
        <w:rPr>
          <w:rFonts w:ascii="Arial" w:cs="Arial" w:eastAsia="Arial" w:hAnsi="Arial"/>
          <w:sz w:val="16"/>
          <w:szCs w:val="16"/>
          <w:b w:val="1"/>
          <w:bCs w:val="1"/>
          <w:color w:val="auto"/>
        </w:rPr>
        <w:t xml:space="preserve">“Participant” </w:t>
      </w:r>
      <w:r>
        <w:rPr>
          <w:rFonts w:ascii="Arial" w:cs="Arial" w:eastAsia="Arial" w:hAnsi="Arial"/>
          <w:sz w:val="16"/>
          <w:szCs w:val="16"/>
          <w:color w:val="auto"/>
        </w:rPr>
        <w:t>means an Eligible Person who has been selected by the Committee to participate in the Plan pursuant to Section 5.2 and who has</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an Award granted under the Plan.</w:t>
      </w:r>
    </w:p>
    <w:p>
      <w:pPr>
        <w:spacing w:after="0" w:line="50" w:lineRule="exact"/>
        <w:rPr>
          <w:sz w:val="20"/>
          <w:szCs w:val="20"/>
          <w:color w:val="auto"/>
        </w:rPr>
      </w:pPr>
    </w:p>
    <w:p>
      <w:pPr>
        <w:ind w:left="280" w:right="260"/>
        <w:spacing w:after="0" w:line="280" w:lineRule="auto"/>
        <w:rPr>
          <w:sz w:val="20"/>
          <w:szCs w:val="20"/>
          <w:color w:val="auto"/>
        </w:rPr>
      </w:pPr>
      <w:r>
        <w:rPr>
          <w:rFonts w:ascii="Arial" w:cs="Arial" w:eastAsia="Arial" w:hAnsi="Arial"/>
          <w:sz w:val="16"/>
          <w:szCs w:val="16"/>
          <w:b w:val="1"/>
          <w:bCs w:val="1"/>
          <w:color w:val="auto"/>
        </w:rPr>
        <w:t xml:space="preserve">“Performance Period” </w:t>
      </w:r>
      <w:r>
        <w:rPr>
          <w:rFonts w:ascii="Arial" w:cs="Arial" w:eastAsia="Arial" w:hAnsi="Arial"/>
          <w:sz w:val="16"/>
          <w:szCs w:val="16"/>
          <w:color w:val="auto"/>
        </w:rPr>
        <w:t>means the time period, set by the Committee in its discretion, during which performance objectives must be met in order for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to earn Performance Units or Performance Shares granted under Article 9.</w:t>
      </w:r>
    </w:p>
    <w:p>
      <w:pPr>
        <w:spacing w:after="0" w:line="50" w:lineRule="exact"/>
        <w:rPr>
          <w:sz w:val="20"/>
          <w:szCs w:val="20"/>
          <w:color w:val="auto"/>
        </w:rPr>
      </w:pPr>
    </w:p>
    <w:p>
      <w:pPr>
        <w:ind w:left="280" w:right="420"/>
        <w:spacing w:after="0" w:line="280" w:lineRule="auto"/>
        <w:rPr>
          <w:sz w:val="20"/>
          <w:szCs w:val="20"/>
          <w:color w:val="auto"/>
        </w:rPr>
      </w:pPr>
      <w:r>
        <w:rPr>
          <w:rFonts w:ascii="Arial" w:cs="Arial" w:eastAsia="Arial" w:hAnsi="Arial"/>
          <w:sz w:val="16"/>
          <w:szCs w:val="16"/>
          <w:b w:val="1"/>
          <w:bCs w:val="1"/>
          <w:color w:val="auto"/>
        </w:rPr>
        <w:t xml:space="preserve">“Performance Share” </w:t>
      </w:r>
      <w:r>
        <w:rPr>
          <w:rFonts w:ascii="Arial" w:cs="Arial" w:eastAsia="Arial" w:hAnsi="Arial"/>
          <w:sz w:val="16"/>
          <w:szCs w:val="16"/>
          <w:color w:val="auto"/>
        </w:rPr>
        <w:t>means an Award with an initial value equal to the Fair Market Value on the date of grant which is based on the attainment of</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objectives, as described in Article 9.</w:t>
      </w:r>
    </w:p>
    <w:p>
      <w:pPr>
        <w:spacing w:after="0" w:line="50" w:lineRule="exact"/>
        <w:rPr>
          <w:sz w:val="20"/>
          <w:szCs w:val="20"/>
          <w:color w:val="auto"/>
        </w:rPr>
      </w:pPr>
    </w:p>
    <w:p>
      <w:pPr>
        <w:ind w:left="280" w:right="620"/>
        <w:spacing w:after="0" w:line="280" w:lineRule="auto"/>
        <w:rPr>
          <w:sz w:val="20"/>
          <w:szCs w:val="20"/>
          <w:color w:val="auto"/>
        </w:rPr>
      </w:pPr>
      <w:r>
        <w:rPr>
          <w:rFonts w:ascii="Arial" w:cs="Arial" w:eastAsia="Arial" w:hAnsi="Arial"/>
          <w:sz w:val="16"/>
          <w:szCs w:val="16"/>
          <w:b w:val="1"/>
          <w:bCs w:val="1"/>
          <w:color w:val="auto"/>
        </w:rPr>
        <w:t xml:space="preserve">“Performance Unit” </w:t>
      </w:r>
      <w:r>
        <w:rPr>
          <w:rFonts w:ascii="Arial" w:cs="Arial" w:eastAsia="Arial" w:hAnsi="Arial"/>
          <w:sz w:val="16"/>
          <w:szCs w:val="16"/>
          <w:color w:val="auto"/>
        </w:rPr>
        <w:t>means an Award with an initial value established by the Committee at the time of grant which is based on the attainment of</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objectives, as described in Article 9.</w:t>
      </w:r>
    </w:p>
    <w:p>
      <w:pPr>
        <w:spacing w:after="0" w:line="50" w:lineRule="exact"/>
        <w:rPr>
          <w:sz w:val="20"/>
          <w:szCs w:val="20"/>
          <w:color w:val="auto"/>
        </w:rPr>
      </w:pPr>
    </w:p>
    <w:p>
      <w:pPr>
        <w:ind w:left="280" w:right="20"/>
        <w:spacing w:after="0" w:line="280" w:lineRule="auto"/>
        <w:rPr>
          <w:sz w:val="20"/>
          <w:szCs w:val="20"/>
          <w:color w:val="auto"/>
        </w:rPr>
      </w:pPr>
      <w:r>
        <w:rPr>
          <w:rFonts w:ascii="Arial" w:cs="Arial" w:eastAsia="Arial" w:hAnsi="Arial"/>
          <w:sz w:val="16"/>
          <w:szCs w:val="16"/>
          <w:b w:val="1"/>
          <w:bCs w:val="1"/>
          <w:color w:val="auto"/>
        </w:rPr>
        <w:t xml:space="preserve">“Person” </w:t>
      </w:r>
      <w:r>
        <w:rPr>
          <w:rFonts w:ascii="Arial" w:cs="Arial" w:eastAsia="Arial" w:hAnsi="Arial"/>
          <w:sz w:val="16"/>
          <w:szCs w:val="16"/>
          <w:color w:val="auto"/>
        </w:rPr>
        <w:t>has the meaning ascribed to that term in Section 3(a)(9) of the Exchange Act and used in Sections 13(d) and 14(d) thereof, including a “group”</w:t>
      </w:r>
      <w:r>
        <w:rPr>
          <w:rFonts w:ascii="Arial" w:cs="Arial" w:eastAsia="Arial" w:hAnsi="Arial"/>
          <w:sz w:val="16"/>
          <w:szCs w:val="16"/>
          <w:b w:val="1"/>
          <w:bCs w:val="1"/>
          <w:color w:val="auto"/>
        </w:rPr>
        <w:t xml:space="preserve"> </w:t>
      </w:r>
      <w:r>
        <w:rPr>
          <w:rFonts w:ascii="Arial" w:cs="Arial" w:eastAsia="Arial" w:hAnsi="Arial"/>
          <w:sz w:val="16"/>
          <w:szCs w:val="16"/>
          <w:color w:val="auto"/>
        </w:rPr>
        <w:t>as defined in Section 13(d) thereof.</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“Plan” </w:t>
      </w:r>
      <w:r>
        <w:rPr>
          <w:rFonts w:ascii="Arial" w:cs="Arial" w:eastAsia="Arial" w:hAnsi="Arial"/>
          <w:sz w:val="16"/>
          <w:szCs w:val="16"/>
          <w:color w:val="auto"/>
        </w:rPr>
        <w:t>has the meaning given to such term in Section 1.1 hereof.</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“Prior Plan” </w:t>
      </w:r>
      <w:r>
        <w:rPr>
          <w:rFonts w:ascii="Arial" w:cs="Arial" w:eastAsia="Arial" w:hAnsi="Arial"/>
          <w:sz w:val="16"/>
          <w:szCs w:val="16"/>
          <w:color w:val="auto"/>
        </w:rPr>
        <w:t>has the meaning given to such term in Section 1.1 hereof.</w:t>
      </w:r>
    </w:p>
    <w:p>
      <w:pPr>
        <w:spacing w:after="0" w:line="109" w:lineRule="exact"/>
        <w:rPr>
          <w:sz w:val="20"/>
          <w:szCs w:val="20"/>
          <w:color w:val="auto"/>
        </w:rPr>
      </w:pPr>
    </w:p>
    <w:p>
      <w:pPr>
        <w:ind w:left="280"/>
        <w:spacing w:after="0" w:line="255" w:lineRule="auto"/>
        <w:rPr>
          <w:sz w:val="20"/>
          <w:szCs w:val="20"/>
          <w:color w:val="auto"/>
        </w:rPr>
      </w:pPr>
      <w:r>
        <w:rPr>
          <w:rFonts w:ascii="Arial" w:cs="Arial" w:eastAsia="Arial" w:hAnsi="Arial"/>
          <w:sz w:val="16"/>
          <w:szCs w:val="16"/>
          <w:b w:val="1"/>
          <w:bCs w:val="1"/>
          <w:color w:val="auto"/>
        </w:rPr>
        <w:t xml:space="preserve">“Replacement Award” </w:t>
      </w:r>
      <w:r>
        <w:rPr>
          <w:rFonts w:ascii="Arial" w:cs="Arial" w:eastAsia="Arial" w:hAnsi="Arial"/>
          <w:sz w:val="16"/>
          <w:szCs w:val="16"/>
          <w:color w:val="auto"/>
        </w:rPr>
        <w:t>means an Award resulting from the exchange or substitution specified in Section 14.1 upon a Change in Control and meeting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conditions specified in Section 14.1, provided that such Award is issued by a company (foreign or domestic) the majority of the equity of which is listed under and in compliance with the domestic company listing rules of the New York Stock Exchange or with a similarly liquid exchange which has comparable standards to the domestic listing standards of the New York Stock Exchange.</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means a contingent grant of Shares awarded to a Participant pursuant to Article 8.</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“Restricted Stock Unit” </w:t>
      </w:r>
      <w:r>
        <w:rPr>
          <w:rFonts w:ascii="Arial" w:cs="Arial" w:eastAsia="Arial" w:hAnsi="Arial"/>
          <w:sz w:val="16"/>
          <w:szCs w:val="16"/>
          <w:color w:val="auto"/>
        </w:rPr>
        <w:t>means a Restricted Unit granted to a Participant, as described in Article 8, that is payable in Shares.</w:t>
      </w:r>
    </w:p>
    <w:p>
      <w:pPr>
        <w:spacing w:after="0" w:line="109" w:lineRule="exact"/>
        <w:rPr>
          <w:sz w:val="20"/>
          <w:szCs w:val="20"/>
          <w:color w:val="auto"/>
        </w:rPr>
      </w:pPr>
    </w:p>
    <w:p>
      <w:pPr>
        <w:jc w:val="both"/>
        <w:ind w:left="280" w:right="60"/>
        <w:spacing w:after="0" w:line="261" w:lineRule="auto"/>
        <w:rPr>
          <w:sz w:val="20"/>
          <w:szCs w:val="20"/>
          <w:color w:val="auto"/>
        </w:rPr>
      </w:pPr>
      <w:r>
        <w:rPr>
          <w:rFonts w:ascii="Arial" w:cs="Arial" w:eastAsia="Arial" w:hAnsi="Arial"/>
          <w:sz w:val="16"/>
          <w:szCs w:val="16"/>
          <w:b w:val="1"/>
          <w:bCs w:val="1"/>
          <w:color w:val="auto"/>
        </w:rPr>
        <w:t xml:space="preserve">“Restricted Unit” </w:t>
      </w:r>
      <w:r>
        <w:rPr>
          <w:rFonts w:ascii="Arial" w:cs="Arial" w:eastAsia="Arial" w:hAnsi="Arial"/>
          <w:sz w:val="16"/>
          <w:szCs w:val="16"/>
          <w:color w:val="auto"/>
        </w:rPr>
        <w:t>means a notional account established pursuant to an Award granted to a Participant, as described in Article 8, that is (a) credited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equal to Shares or some other unit of measurement specified in the Award Agreement, (b) subject to restrictions, including, without limitation, a Restriction Period, and (c) payable in cash or Shares.</w:t>
      </w:r>
    </w:p>
    <w:p>
      <w:pPr>
        <w:spacing w:after="0" w:line="66" w:lineRule="exact"/>
        <w:rPr>
          <w:sz w:val="20"/>
          <w:szCs w:val="20"/>
          <w:color w:val="auto"/>
        </w:rPr>
      </w:pPr>
    </w:p>
    <w:p>
      <w:pPr>
        <w:ind w:left="280" w:right="20"/>
        <w:spacing w:after="0" w:line="261" w:lineRule="auto"/>
        <w:rPr>
          <w:sz w:val="20"/>
          <w:szCs w:val="20"/>
          <w:color w:val="auto"/>
        </w:rPr>
      </w:pPr>
      <w:r>
        <w:rPr>
          <w:rFonts w:ascii="Arial" w:cs="Arial" w:eastAsia="Arial" w:hAnsi="Arial"/>
          <w:sz w:val="16"/>
          <w:szCs w:val="16"/>
          <w:b w:val="1"/>
          <w:bCs w:val="1"/>
          <w:color w:val="auto"/>
        </w:rPr>
        <w:t xml:space="preserve">“Restriction Period” </w:t>
      </w:r>
      <w:r>
        <w:rPr>
          <w:rFonts w:ascii="Arial" w:cs="Arial" w:eastAsia="Arial" w:hAnsi="Arial"/>
          <w:sz w:val="16"/>
          <w:szCs w:val="16"/>
          <w:color w:val="auto"/>
        </w:rPr>
        <w:t>means the period during which the transfer of shares of Restricted Stock is limited in some way (based on the passage of time, the</w:t>
      </w:r>
      <w:r>
        <w:rPr>
          <w:rFonts w:ascii="Arial" w:cs="Arial" w:eastAsia="Arial" w:hAnsi="Arial"/>
          <w:sz w:val="16"/>
          <w:szCs w:val="16"/>
          <w:b w:val="1"/>
          <w:bCs w:val="1"/>
          <w:color w:val="auto"/>
        </w:rPr>
        <w:t xml:space="preserve"> </w:t>
      </w:r>
      <w:r>
        <w:rPr>
          <w:rFonts w:ascii="Arial" w:cs="Arial" w:eastAsia="Arial" w:hAnsi="Arial"/>
          <w:sz w:val="16"/>
          <w:szCs w:val="16"/>
          <w:color w:val="auto"/>
        </w:rPr>
        <w:t>achievement of performance objectives, or the occurrence of other events as determined by the Committee, at its discretion) or the shares of Restricted Stock, Restricted Stock Units or Restricted Units are not vested.</w:t>
      </w:r>
    </w:p>
    <w:p>
      <w:pPr>
        <w:spacing w:after="0" w:line="66" w:lineRule="exact"/>
        <w:rPr>
          <w:sz w:val="20"/>
          <w:szCs w:val="20"/>
          <w:color w:val="auto"/>
        </w:rPr>
      </w:pPr>
    </w:p>
    <w:p>
      <w:pPr>
        <w:ind w:left="280" w:right="80"/>
        <w:spacing w:after="0" w:line="280" w:lineRule="auto"/>
        <w:rPr>
          <w:sz w:val="20"/>
          <w:szCs w:val="20"/>
          <w:color w:val="auto"/>
        </w:rPr>
      </w:pPr>
      <w:r>
        <w:rPr>
          <w:rFonts w:ascii="Arial" w:cs="Arial" w:eastAsia="Arial" w:hAnsi="Arial"/>
          <w:sz w:val="16"/>
          <w:szCs w:val="16"/>
          <w:b w:val="1"/>
          <w:bCs w:val="1"/>
          <w:color w:val="auto"/>
        </w:rPr>
        <w:t xml:space="preserve">“Retirement” </w:t>
      </w:r>
      <w:r>
        <w:rPr>
          <w:rFonts w:ascii="Arial" w:cs="Arial" w:eastAsia="Arial" w:hAnsi="Arial"/>
          <w:sz w:val="16"/>
          <w:szCs w:val="16"/>
          <w:color w:val="auto"/>
        </w:rPr>
        <w:t>means termination of employment or service on or after (a) reaching the age established by the Company as the normal retirement age in</w:t>
      </w:r>
      <w:r>
        <w:rPr>
          <w:rFonts w:ascii="Arial" w:cs="Arial" w:eastAsia="Arial" w:hAnsi="Arial"/>
          <w:sz w:val="16"/>
          <w:szCs w:val="16"/>
          <w:b w:val="1"/>
          <w:bCs w:val="1"/>
          <w:color w:val="auto"/>
        </w:rPr>
        <w:t xml:space="preserve"> </w:t>
      </w:r>
      <w:r>
        <w:rPr>
          <w:rFonts w:ascii="Arial" w:cs="Arial" w:eastAsia="Arial" w:hAnsi="Arial"/>
          <w:sz w:val="16"/>
          <w:szCs w:val="16"/>
          <w:color w:val="auto"/>
        </w:rPr>
        <w:t>any unexpired employment, severance or similar agreement between the Participant and the Company or</w:t>
      </w:r>
    </w:p>
    <w:p>
      <w:pPr>
        <w:ind w:left="380"/>
        <w:spacing w:after="0"/>
        <w:tabs>
          <w:tab w:leader="none" w:pos="800" w:val="left"/>
        </w:tabs>
        <w:rPr>
          <w:sz w:val="20"/>
          <w:szCs w:val="20"/>
          <w:color w:val="auto"/>
        </w:rPr>
      </w:pPr>
      <w:r>
        <w:rPr>
          <w:rFonts w:ascii="Arial" w:cs="Arial" w:eastAsia="Arial" w:hAnsi="Arial"/>
          <w:sz w:val="35"/>
          <w:szCs w:val="35"/>
          <w:b w:val="1"/>
          <w:bCs w:val="1"/>
          <w:color w:val="000000"/>
          <w:vertAlign w:val="superscript"/>
        </w:rPr>
        <w:t>B-</w:t>
      </w:r>
      <w:r>
        <w:rPr>
          <w:rFonts w:ascii="Arial" w:cs="Arial" w:eastAsia="Arial" w:hAnsi="Arial"/>
          <w:sz w:val="15"/>
          <w:szCs w:val="15"/>
          <w:b w:val="1"/>
          <w:bCs w:val="1"/>
          <w:color w:val="E2231A"/>
        </w:rPr>
        <w:t xml:space="preserve"> </w:t>
      </w:r>
      <w:r>
        <w:rPr>
          <w:rFonts w:ascii="Arial" w:cs="Arial" w:eastAsia="Arial" w:hAnsi="Arial"/>
          <w:sz w:val="35"/>
          <w:szCs w:val="35"/>
          <w:b w:val="1"/>
          <w:bCs w:val="1"/>
          <w:color w:val="E2231A"/>
          <w:vertAlign w:val="superscript"/>
        </w:rPr>
        <w:t>|</w:t>
      </w:r>
      <w:r>
        <w:rPr>
          <w:sz w:val="20"/>
          <w:szCs w:val="20"/>
          <w:color w:val="auto"/>
        </w:rPr>
        <w:tab/>
      </w:r>
      <w:r>
        <w:rPr>
          <w:rFonts w:ascii="Arial" w:cs="Arial" w:eastAsia="Arial" w:hAnsi="Arial"/>
          <w:sz w:val="14"/>
          <w:szCs w:val="14"/>
          <w:b w:val="1"/>
          <w:bCs w:val="1"/>
          <w:color w:val="E2231A"/>
        </w:rPr>
        <w:t>LEAR CORPORATION</w:t>
      </w:r>
    </w:p>
    <w:p>
      <w:pPr>
        <w:ind w:left="320"/>
        <w:spacing w:after="0"/>
        <w:rPr>
          <w:sz w:val="20"/>
          <w:szCs w:val="20"/>
          <w:color w:val="auto"/>
        </w:rPr>
      </w:pPr>
      <w:r>
        <w:rPr>
          <w:rFonts w:ascii="Arial" w:cs="Arial" w:eastAsia="Arial" w:hAnsi="Arial"/>
          <w:sz w:val="18"/>
          <w:szCs w:val="18"/>
          <w:b w:val="1"/>
          <w:bCs w:val="1"/>
          <w:color w:val="auto"/>
        </w:rPr>
        <w:t>4</w:t>
      </w:r>
    </w:p>
    <w:p>
      <w:pPr>
        <w:sectPr>
          <w:pgSz w:w="11900" w:h="16838" w:orient="portrait"/>
          <w:cols w:equalWidth="0" w:num="1">
            <w:col w:w="11100"/>
          </w:cols>
          <w:pgMar w:left="240" w:top="455" w:right="5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0220"/>
        <w:spacing w:after="0"/>
        <w:rPr>
          <w:sz w:val="20"/>
          <w:szCs w:val="20"/>
          <w:color w:val="auto"/>
        </w:rPr>
      </w:pPr>
      <w:r>
        <w:rPr>
          <w:rFonts w:ascii="Arial" w:cs="Arial" w:eastAsia="Arial" w:hAnsi="Arial"/>
          <w:sz w:val="15"/>
          <w:szCs w:val="15"/>
          <w:b w:val="1"/>
          <w:bCs w:val="1"/>
          <w:u w:val="single" w:color="auto"/>
          <w:color w:val="E2231A"/>
        </w:rPr>
        <w:t>APPENDIX B</w:t>
      </w:r>
    </w:p>
    <w:p>
      <w:pPr>
        <w:spacing w:after="0" w:line="157" w:lineRule="exact"/>
        <w:rPr>
          <w:sz w:val="20"/>
          <w:szCs w:val="20"/>
          <w:color w:val="auto"/>
        </w:rPr>
      </w:pPr>
    </w:p>
    <w:p>
      <w:pPr>
        <w:ind w:left="280" w:right="40"/>
        <w:spacing w:after="0" w:line="245" w:lineRule="auto"/>
        <w:rPr>
          <w:sz w:val="20"/>
          <w:szCs w:val="20"/>
          <w:color w:val="auto"/>
        </w:rPr>
      </w:pPr>
      <w:r>
        <w:rPr>
          <w:rFonts w:ascii="Arial" w:cs="Arial" w:eastAsia="Arial" w:hAnsi="Arial"/>
          <w:sz w:val="16"/>
          <w:szCs w:val="16"/>
          <w:color w:val="auto"/>
        </w:rPr>
        <w:t>an Affiliate, or, in the absence of such an agreement, the normal retirement age under the tax-qualified defined benefit retirement plan or, if none, the tax-qualified defined contribution retirement plan, sponsored by the Company or an Affiliate in which the Participant participates, (b) attaining a combination of years of age and service with the Company and its Affiliates (including, to the extent applicable and credited by the Company, service with another company prior to it becoming an Affiliate) of at least 65, with a minimum age of 55 and at least five years of service with the Company and its Affiliates (only if an Affiliate at the time of service) or (c) solely with respect to a Director, the Participant’s cessation of service as a Director as a result of being ineligible to stand for re-election after attaining a certain age.</w:t>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“Shares” </w:t>
      </w:r>
      <w:r>
        <w:rPr>
          <w:rFonts w:ascii="Arial" w:cs="Arial" w:eastAsia="Arial" w:hAnsi="Arial"/>
          <w:sz w:val="16"/>
          <w:szCs w:val="16"/>
          <w:color w:val="auto"/>
        </w:rPr>
        <w:t>means the shares of common stock, $0.01 par value, of the Company, including their associated preferred share purchase rights, if applicable.</w:t>
      </w:r>
    </w:p>
    <w:p>
      <w:pPr>
        <w:spacing w:after="0" w:line="109" w:lineRule="exact"/>
        <w:rPr>
          <w:sz w:val="20"/>
          <w:szCs w:val="20"/>
          <w:color w:val="auto"/>
        </w:rPr>
      </w:pPr>
    </w:p>
    <w:p>
      <w:pPr>
        <w:ind w:left="280" w:right="280"/>
        <w:spacing w:after="0" w:line="280" w:lineRule="auto"/>
        <w:rPr>
          <w:sz w:val="20"/>
          <w:szCs w:val="20"/>
          <w:color w:val="auto"/>
        </w:rPr>
      </w:pPr>
      <w:r>
        <w:rPr>
          <w:rFonts w:ascii="Arial" w:cs="Arial" w:eastAsia="Arial" w:hAnsi="Arial"/>
          <w:sz w:val="16"/>
          <w:szCs w:val="16"/>
          <w:b w:val="1"/>
          <w:bCs w:val="1"/>
          <w:color w:val="auto"/>
        </w:rPr>
        <w:t xml:space="preserve">“Stock Appreciation Right” </w:t>
      </w:r>
      <w:r>
        <w:rPr>
          <w:rFonts w:ascii="Arial" w:cs="Arial" w:eastAsia="Arial" w:hAnsi="Arial"/>
          <w:sz w:val="16"/>
          <w:szCs w:val="16"/>
          <w:color w:val="auto"/>
        </w:rPr>
        <w:t>or</w:t>
      </w:r>
      <w:r>
        <w:rPr>
          <w:rFonts w:ascii="Arial" w:cs="Arial" w:eastAsia="Arial" w:hAnsi="Arial"/>
          <w:sz w:val="16"/>
          <w:szCs w:val="16"/>
          <w:b w:val="1"/>
          <w:bCs w:val="1"/>
          <w:color w:val="auto"/>
        </w:rPr>
        <w:t xml:space="preserve"> “SAR” </w:t>
      </w:r>
      <w:r>
        <w:rPr>
          <w:rFonts w:ascii="Arial" w:cs="Arial" w:eastAsia="Arial" w:hAnsi="Arial"/>
          <w:sz w:val="16"/>
          <w:szCs w:val="16"/>
          <w:color w:val="auto"/>
        </w:rPr>
        <w:t>means an Award, granted alone or in connection with a related Option, designated as an SAR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Article 7.</w:t>
      </w:r>
    </w:p>
    <w:p>
      <w:pPr>
        <w:spacing w:after="0" w:line="50" w:lineRule="exact"/>
        <w:rPr>
          <w:sz w:val="20"/>
          <w:szCs w:val="20"/>
          <w:color w:val="auto"/>
        </w:rPr>
      </w:pPr>
    </w:p>
    <w:p>
      <w:pPr>
        <w:jc w:val="both"/>
        <w:ind w:left="280" w:right="380"/>
        <w:spacing w:after="0" w:line="255" w:lineRule="auto"/>
        <w:rPr>
          <w:sz w:val="20"/>
          <w:szCs w:val="20"/>
          <w:color w:val="auto"/>
        </w:rPr>
      </w:pPr>
      <w:r>
        <w:rPr>
          <w:rFonts w:ascii="Arial" w:cs="Arial" w:eastAsia="Arial" w:hAnsi="Arial"/>
          <w:sz w:val="16"/>
          <w:szCs w:val="16"/>
          <w:b w:val="1"/>
          <w:bCs w:val="1"/>
          <w:color w:val="auto"/>
        </w:rPr>
        <w:t xml:space="preserve">“Substitute Award” </w:t>
      </w:r>
      <w:r>
        <w:rPr>
          <w:rFonts w:ascii="Arial" w:cs="Arial" w:eastAsia="Arial" w:hAnsi="Arial"/>
          <w:sz w:val="16"/>
          <w:szCs w:val="16"/>
          <w:color w:val="auto"/>
        </w:rPr>
        <w:t>means an Award granted under the Plan upon the assumption of, or in substitution for, outstanding equity awards granted by a</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other entity in connection with a corporate transaction, such as a merger, combination, consolidation, or acquisition of property or stock; provided, however, that in no event shall the term “Substitute Award” be construed to refer to an Award made in connection with the cancellation and repricing of an Option or SAR.</w:t>
      </w:r>
    </w:p>
    <w:p>
      <w:pPr>
        <w:spacing w:after="0" w:line="71" w:lineRule="exact"/>
        <w:rPr>
          <w:sz w:val="20"/>
          <w:szCs w:val="20"/>
          <w:color w:val="auto"/>
        </w:rPr>
      </w:pPr>
    </w:p>
    <w:p>
      <w:pPr>
        <w:ind w:left="280" w:right="260"/>
        <w:spacing w:after="0" w:line="315" w:lineRule="auto"/>
        <w:rPr>
          <w:sz w:val="20"/>
          <w:szCs w:val="20"/>
          <w:color w:val="auto"/>
        </w:rPr>
      </w:pPr>
      <w:r>
        <w:rPr>
          <w:rFonts w:ascii="Arial" w:cs="Arial" w:eastAsia="Arial" w:hAnsi="Arial"/>
          <w:sz w:val="15"/>
          <w:szCs w:val="15"/>
          <w:b w:val="1"/>
          <w:bCs w:val="1"/>
          <w:color w:val="auto"/>
        </w:rPr>
        <w:t xml:space="preserve">“Tandem SAR” </w:t>
      </w:r>
      <w:r>
        <w:rPr>
          <w:rFonts w:ascii="Arial" w:cs="Arial" w:eastAsia="Arial" w:hAnsi="Arial"/>
          <w:sz w:val="15"/>
          <w:szCs w:val="15"/>
          <w:color w:val="auto"/>
        </w:rPr>
        <w:t>means an SAR that is granted in connection with a related Option pursuant to Article 7, the exercise of which requires forfeiture of the</w:t>
      </w:r>
      <w:r>
        <w:rPr>
          <w:rFonts w:ascii="Arial" w:cs="Arial" w:eastAsia="Arial" w:hAnsi="Arial"/>
          <w:sz w:val="15"/>
          <w:szCs w:val="15"/>
          <w:b w:val="1"/>
          <w:bCs w:val="1"/>
          <w:color w:val="auto"/>
        </w:rPr>
        <w:t xml:space="preserve"> </w:t>
      </w:r>
      <w:r>
        <w:rPr>
          <w:rFonts w:ascii="Arial" w:cs="Arial" w:eastAsia="Arial" w:hAnsi="Arial"/>
          <w:sz w:val="15"/>
          <w:szCs w:val="15"/>
          <w:color w:val="auto"/>
        </w:rPr>
        <w:t>right to purchase a Share under the related Option (and when a Share is purchased under the Option, the Tandem SAR will similarly be canceled).</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“Vested Options and SARs” </w:t>
      </w:r>
      <w:r>
        <w:rPr>
          <w:rFonts w:ascii="Arial" w:cs="Arial" w:eastAsia="Arial" w:hAnsi="Arial"/>
          <w:sz w:val="16"/>
          <w:szCs w:val="16"/>
          <w:color w:val="auto"/>
        </w:rPr>
        <w:t>has the meaning given to such term in Section 14.1(a)(i) hereof.</w:t>
      </w:r>
    </w:p>
    <w:p>
      <w:pPr>
        <w:spacing w:after="0" w:line="210"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3.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01" w:lineRule="exact"/>
        <w:rPr>
          <w:sz w:val="20"/>
          <w:szCs w:val="20"/>
          <w:color w:val="auto"/>
        </w:rPr>
      </w:pPr>
    </w:p>
    <w:p>
      <w:pPr>
        <w:ind w:left="280"/>
        <w:spacing w:after="0" w:line="250" w:lineRule="auto"/>
        <w:rPr>
          <w:sz w:val="20"/>
          <w:szCs w:val="20"/>
          <w:color w:val="auto"/>
        </w:rPr>
      </w:pPr>
      <w:r>
        <w:rPr>
          <w:rFonts w:ascii="Arial" w:cs="Arial" w:eastAsia="Arial" w:hAnsi="Arial"/>
          <w:sz w:val="16"/>
          <w:szCs w:val="16"/>
          <w:b w:val="1"/>
          <w:bCs w:val="1"/>
          <w:color w:val="auto"/>
        </w:rPr>
        <w:t xml:space="preserve">3.1 The Committee. </w:t>
      </w:r>
      <w:r>
        <w:rPr>
          <w:rFonts w:ascii="Arial" w:cs="Arial" w:eastAsia="Arial" w:hAnsi="Arial"/>
          <w:sz w:val="16"/>
          <w:szCs w:val="16"/>
          <w:color w:val="auto"/>
        </w:rPr>
        <w:t>The Plan will be administered by the Compensation Committee of the Board, or by any other Committee appointed by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which Committee (unless otherwise determined by the Board) will satisfy the “non-employee director” requirements of Rule 16b-3 under the Exchange Act and the regulations of Rule 16b-3 under the Exchange Act, or any successor regulations or provisions, so long as the Company is subject to the registration requirements of the Exchange Act. The members of the Committee will be appointed from time to time by, and serve at the discretion of, the Board of Directors. The Committee will act by a majority of its members at the time in office and eligible to vote on any particular matter, and Committee action may be taken either by a vote at a meeting or in writing without a meeting.</w:t>
      </w:r>
    </w:p>
    <w:p>
      <w:pPr>
        <w:spacing w:after="0" w:line="75" w:lineRule="exact"/>
        <w:rPr>
          <w:sz w:val="20"/>
          <w:szCs w:val="20"/>
          <w:color w:val="auto"/>
        </w:rPr>
      </w:pPr>
    </w:p>
    <w:p>
      <w:pPr>
        <w:ind w:left="280" w:right="60"/>
        <w:spacing w:after="0" w:line="248" w:lineRule="auto"/>
        <w:rPr>
          <w:sz w:val="20"/>
          <w:szCs w:val="20"/>
          <w:color w:val="auto"/>
        </w:rPr>
      </w:pPr>
      <w:r>
        <w:rPr>
          <w:rFonts w:ascii="Arial" w:cs="Arial" w:eastAsia="Arial" w:hAnsi="Arial"/>
          <w:sz w:val="16"/>
          <w:szCs w:val="16"/>
          <w:b w:val="1"/>
          <w:bCs w:val="1"/>
          <w:color w:val="auto"/>
        </w:rPr>
        <w:t xml:space="preserve">3.2 Authority of the Committee. </w:t>
      </w:r>
      <w:r>
        <w:rPr>
          <w:rFonts w:ascii="Arial" w:cs="Arial" w:eastAsia="Arial" w:hAnsi="Arial"/>
          <w:sz w:val="16"/>
          <w:szCs w:val="16"/>
          <w:color w:val="auto"/>
        </w:rPr>
        <w:t>Except as limited by law and subject to the provisions of this Plan, the Committee will have full power to: select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Persons to participate in the Plan; determine the sizes and types of Awards; determine the terms and conditions of Awards in a manner consistent with the Plan; construe and interpret the Plan and any agreement or instrument entered into under the Plan; establish, amend or waive rules and regulations for the Plan’s administration; correct any defect, supply any omission or reconcile any inconsistency in the Plan or in any Award in the manner and to the extent it deems necessary to carry out the intent of the Plan; and (subject to the provisions of Section 4.5 and Article 15) amend the terms and conditions of any outstanding Award to the extent they are within the discretion of the Committee as provided in the Plan. Further, the Committee will make all other determinations that may be necessary or advisable to administer the Plan. As permitted by law and consistent with Section 3.1, the Committee may delegate some or all of its authority under the Plan.</w:t>
      </w:r>
    </w:p>
    <w:p>
      <w:pPr>
        <w:spacing w:after="0" w:line="77" w:lineRule="exact"/>
        <w:rPr>
          <w:sz w:val="20"/>
          <w:szCs w:val="20"/>
          <w:color w:val="auto"/>
        </w:rPr>
      </w:pPr>
    </w:p>
    <w:p>
      <w:pPr>
        <w:ind w:left="280" w:right="120"/>
        <w:spacing w:after="0" w:line="261" w:lineRule="auto"/>
        <w:rPr>
          <w:sz w:val="20"/>
          <w:szCs w:val="20"/>
          <w:color w:val="auto"/>
        </w:rPr>
      </w:pPr>
      <w:r>
        <w:rPr>
          <w:rFonts w:ascii="Arial" w:cs="Arial" w:eastAsia="Arial" w:hAnsi="Arial"/>
          <w:sz w:val="16"/>
          <w:szCs w:val="16"/>
          <w:b w:val="1"/>
          <w:bCs w:val="1"/>
          <w:color w:val="auto"/>
        </w:rPr>
        <w:t xml:space="preserve">3.3 Decisions Binding. </w:t>
      </w:r>
      <w:r>
        <w:rPr>
          <w:rFonts w:ascii="Arial" w:cs="Arial" w:eastAsia="Arial" w:hAnsi="Arial"/>
          <w:sz w:val="16"/>
          <w:szCs w:val="16"/>
          <w:color w:val="auto"/>
        </w:rPr>
        <w:t>All determinations and decisions made by the Committee pursuant to the provisions of the Plan will be final, conclusive and</w:t>
      </w:r>
      <w:r>
        <w:rPr>
          <w:rFonts w:ascii="Arial" w:cs="Arial" w:eastAsia="Arial" w:hAnsi="Arial"/>
          <w:sz w:val="16"/>
          <w:szCs w:val="16"/>
          <w:b w:val="1"/>
          <w:bCs w:val="1"/>
          <w:color w:val="auto"/>
        </w:rPr>
        <w:t xml:space="preserve"> </w:t>
      </w:r>
      <w:r>
        <w:rPr>
          <w:rFonts w:ascii="Arial" w:cs="Arial" w:eastAsia="Arial" w:hAnsi="Arial"/>
          <w:sz w:val="16"/>
          <w:szCs w:val="16"/>
          <w:color w:val="auto"/>
        </w:rPr>
        <w:t>binding on all persons, including, without limitation, the Company, its Board of Directors, its shareholders, all Affiliates, Employees, Participants and their estates and beneficiaries.</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4. Shares Subject to the Plan and Limitations 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187" w:lineRule="exact"/>
        <w:rPr>
          <w:sz w:val="20"/>
          <w:szCs w:val="20"/>
          <w:color w:val="auto"/>
        </w:rPr>
      </w:pPr>
    </w:p>
    <w:p>
      <w:pPr>
        <w:jc w:val="both"/>
        <w:ind w:left="280" w:right="300"/>
        <w:spacing w:after="0" w:line="255" w:lineRule="auto"/>
        <w:rPr>
          <w:sz w:val="20"/>
          <w:szCs w:val="20"/>
          <w:color w:val="auto"/>
        </w:rPr>
      </w:pPr>
      <w:r>
        <w:rPr>
          <w:rFonts w:ascii="Arial" w:cs="Arial" w:eastAsia="Arial" w:hAnsi="Arial"/>
          <w:sz w:val="16"/>
          <w:szCs w:val="16"/>
          <w:b w:val="1"/>
          <w:bCs w:val="1"/>
          <w:color w:val="auto"/>
        </w:rPr>
        <w:t xml:space="preserve">4.1 Number of Shares Available for Grants. </w:t>
      </w:r>
      <w:r>
        <w:rPr>
          <w:rFonts w:ascii="Arial" w:cs="Arial" w:eastAsia="Arial" w:hAnsi="Arial"/>
          <w:sz w:val="16"/>
          <w:szCs w:val="16"/>
          <w:color w:val="auto"/>
        </w:rPr>
        <w:t>Subject to adjustment as provided in Sections 4.2 and 4.3, the number of Shares that may be issued or</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to Participants under the Plan shall not exceed the sum of (i) 2,526,858 Shares and (ii) any Shares under the Prior Plan subject to awards that, after the Effective Date, are forfeited, terminated, lapsed or satisfied thereunder in cash or property other than Shares. Subject to adjustment as provided in Section 4.3, the maximum number of Shares and</w:t>
      </w:r>
    </w:p>
    <w:p>
      <w:pPr>
        <w:ind w:left="9040"/>
        <w:spacing w:after="0"/>
        <w:tabs>
          <w:tab w:leader="none" w:pos="10740" w:val="left"/>
          <w:tab w:leader="none" w:pos="109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36"/>
          <w:szCs w:val="36"/>
          <w:b w:val="1"/>
          <w:bCs w:val="1"/>
          <w:color w:val="E2231A"/>
          <w:vertAlign w:val="superscript"/>
        </w:rPr>
        <w:t>|</w:t>
      </w:r>
      <w:r>
        <w:rPr>
          <w:sz w:val="20"/>
          <w:szCs w:val="20"/>
          <w:color w:val="auto"/>
        </w:rPr>
        <w:tab/>
      </w:r>
      <w:r>
        <w:rPr>
          <w:rFonts w:ascii="Arial" w:cs="Arial" w:eastAsia="Arial" w:hAnsi="Arial"/>
          <w:sz w:val="25"/>
          <w:szCs w:val="25"/>
          <w:b w:val="1"/>
          <w:bCs w:val="1"/>
          <w:color w:val="auto"/>
          <w:vertAlign w:val="superscript"/>
        </w:rPr>
        <w:t>B-</w:t>
      </w:r>
    </w:p>
    <w:p>
      <w:pPr>
        <w:ind w:left="10900"/>
        <w:spacing w:after="0"/>
        <w:rPr>
          <w:sz w:val="20"/>
          <w:szCs w:val="20"/>
          <w:color w:val="auto"/>
        </w:rPr>
      </w:pPr>
      <w:r>
        <w:rPr>
          <w:rFonts w:ascii="Arial" w:cs="Arial" w:eastAsia="Arial" w:hAnsi="Arial"/>
          <w:sz w:val="18"/>
          <w:szCs w:val="18"/>
          <w:b w:val="1"/>
          <w:bCs w:val="1"/>
          <w:color w:val="auto"/>
        </w:rPr>
        <w:t>5</w:t>
      </w:r>
    </w:p>
    <w:p>
      <w:pPr>
        <w:sectPr>
          <w:pgSz w:w="11900" w:h="16838" w:orient="portrait"/>
          <w:cols w:equalWidth="0" w:num="1">
            <w:col w:w="11140"/>
          </w:cols>
          <w:pgMar w:left="240" w:top="455" w:right="5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APPENDIX B</w:t>
      </w:r>
    </w:p>
    <w:p>
      <w:pPr>
        <w:spacing w:after="0" w:line="157" w:lineRule="exact"/>
        <w:rPr>
          <w:sz w:val="20"/>
          <w:szCs w:val="20"/>
          <w:color w:val="auto"/>
        </w:rPr>
      </w:pPr>
    </w:p>
    <w:p>
      <w:pPr>
        <w:ind w:left="280" w:right="80"/>
        <w:spacing w:after="0" w:line="244" w:lineRule="auto"/>
        <w:rPr>
          <w:sz w:val="20"/>
          <w:szCs w:val="20"/>
          <w:color w:val="auto"/>
        </w:rPr>
      </w:pPr>
      <w:r>
        <w:rPr>
          <w:rFonts w:ascii="Arial" w:cs="Arial" w:eastAsia="Arial" w:hAnsi="Arial"/>
          <w:sz w:val="16"/>
          <w:szCs w:val="16"/>
          <w:color w:val="auto"/>
        </w:rPr>
        <w:t>Share equivalent units that may be granted during any calendar year to any one Participant under Options, SARs, Restricted Stock, Restricted Units, Restricted Stock Units, Performance Shares or any other Award is 1,000,000. The maximum number of Shares that may be issued pursuant to Options intended to be ISOs is 1,000,000. The maximum aggregate dollar amount that may be paid to any one Participant during any calendar year under Performance Units or any cash incentive Award granted under Section 9.10 is $20,000,000. The Shares with respect to which Awards may be made will include authorized but unissued Shares, and Shares that are currently held or subsequently acquired by the Company as treasury Shares, including Shares purchased in the open market or in private transactions. For the avoidance of doubt, Shares underlying Awards that are subject to the achievement of performance goals shall be counted against the share reserve and the limits in this Section 4.1 based on the target value of such Awards unless and until such time as such Awards become vested and settled in Shares.</w:t>
      </w:r>
    </w:p>
    <w:p>
      <w:pPr>
        <w:spacing w:after="0" w:line="82" w:lineRule="exact"/>
        <w:rPr>
          <w:sz w:val="20"/>
          <w:szCs w:val="20"/>
          <w:color w:val="auto"/>
        </w:rPr>
      </w:pPr>
    </w:p>
    <w:p>
      <w:pPr>
        <w:ind w:left="280"/>
        <w:spacing w:after="0" w:line="273" w:lineRule="auto"/>
        <w:rPr>
          <w:sz w:val="20"/>
          <w:szCs w:val="20"/>
          <w:color w:val="auto"/>
        </w:rPr>
      </w:pPr>
      <w:r>
        <w:rPr>
          <w:rFonts w:ascii="Arial" w:cs="Arial" w:eastAsia="Arial" w:hAnsi="Arial"/>
          <w:sz w:val="15"/>
          <w:szCs w:val="15"/>
          <w:b w:val="1"/>
          <w:bCs w:val="1"/>
          <w:color w:val="auto"/>
        </w:rPr>
        <w:t xml:space="preserve">4.2 Lapsed Awards. </w:t>
      </w:r>
      <w:r>
        <w:rPr>
          <w:rFonts w:ascii="Arial" w:cs="Arial" w:eastAsia="Arial" w:hAnsi="Arial"/>
          <w:sz w:val="15"/>
          <w:szCs w:val="15"/>
          <w:color w:val="auto"/>
        </w:rPr>
        <w:t>Any Shares subject to an Award under the Plan that, after the Effective Date, are forfeited, canceled, settled or otherwise terminated</w:t>
      </w:r>
      <w:r>
        <w:rPr>
          <w:rFonts w:ascii="Arial" w:cs="Arial" w:eastAsia="Arial" w:hAnsi="Arial"/>
          <w:sz w:val="15"/>
          <w:szCs w:val="15"/>
          <w:b w:val="1"/>
          <w:bCs w:val="1"/>
          <w:color w:val="auto"/>
        </w:rPr>
        <w:t xml:space="preserve"> </w:t>
      </w:r>
      <w:r>
        <w:rPr>
          <w:rFonts w:ascii="Arial" w:cs="Arial" w:eastAsia="Arial" w:hAnsi="Arial"/>
          <w:sz w:val="15"/>
          <w:szCs w:val="15"/>
          <w:color w:val="auto"/>
        </w:rPr>
        <w:t>without a distribution of Shares to a Participant will thereafter be deemed to be available for Awards. In applying the immediately preceding sentence, if</w:t>
      </w:r>
    </w:p>
    <w:p>
      <w:pPr>
        <w:spacing w:after="0" w:line="1" w:lineRule="exact"/>
        <w:rPr>
          <w:sz w:val="20"/>
          <w:szCs w:val="20"/>
          <w:color w:val="auto"/>
        </w:rPr>
      </w:pPr>
    </w:p>
    <w:p>
      <w:pPr>
        <w:ind w:left="280" w:right="160"/>
        <w:spacing w:after="0" w:line="246" w:lineRule="auto"/>
        <w:tabs>
          <w:tab w:leader="none" w:pos="46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Shares otherwise issuable or issued in respect of, or as part of, any Award are withheld to cover taxes or any applicable Exercise Price, such Shares shall be treated as having been issued under the Plan and shall not be available for issuance under the Plan, and (ii) any Share-settled SARs are exercised, the aggregate number of Shares subject to such SARs shall be deemed issued under the Plan and shall not be available for issuance under the Plan. In addition, Shares tendered to exercise outstanding Options or other Awards or to cover applicable taxes on Awards shall not be available for issuance under the Plan.</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4.3 Adjustments in Authorized Shares.</w:t>
      </w:r>
    </w:p>
    <w:p>
      <w:pPr>
        <w:spacing w:after="0" w:line="142" w:lineRule="exact"/>
        <w:rPr>
          <w:sz w:val="20"/>
          <w:szCs w:val="20"/>
          <w:color w:val="auto"/>
        </w:rPr>
      </w:pPr>
    </w:p>
    <w:p>
      <w:pPr>
        <w:ind w:left="600" w:right="180" w:hanging="320"/>
        <w:spacing w:after="0" w:line="245" w:lineRule="auto"/>
        <w:tabs>
          <w:tab w:leader="none" w:pos="6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the Shares, as currently constituted, are changed into or exchanged for a different number or kind of shares of stock or other securities of the Company or of another corporation (whether because of merger, consolidation, recapitalization, reclassification, split, reverse split, combination of shares, or other similar change in the corporate structure of the Company affecting the Shares) or if the number of Shares is increased through the payment of a stock dividend, then the Committee will substitute for or add to each Share previously appropriated, later subject to, or which may become subject to, an Award, the number and kind of shares of stock or other securities into which each outstanding Share was changed for which each such Share was exchanged, or to which each such Share is entitled, as the case may be. Outstanding Awards will also be appropriately adjusted as to price and other terms, to the extent necessary to reflect the events described above.</w:t>
      </w:r>
    </w:p>
    <w:p>
      <w:pPr>
        <w:spacing w:after="0" w:line="110" w:lineRule="exact"/>
        <w:rPr>
          <w:rFonts w:ascii="Arial" w:cs="Arial" w:eastAsia="Arial" w:hAnsi="Arial"/>
          <w:sz w:val="16"/>
          <w:szCs w:val="16"/>
          <w:color w:val="auto"/>
        </w:rPr>
      </w:pPr>
    </w:p>
    <w:p>
      <w:pPr>
        <w:ind w:left="600" w:right="360" w:hanging="320"/>
        <w:spacing w:after="0" w:line="248" w:lineRule="auto"/>
        <w:tabs>
          <w:tab w:leader="none" w:pos="6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Fractional Shares resulting from any adjustment in Awards pursuant to this section may be settled in cash or otherwise as the Committee determines. The Company will give notice of any adjustment to each Participant who holds an Award that has been adjusted and the adjustment (whether or not that notice is given) will be effective and binding for all Plan purposes.</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4.4 Limitation on Non-Employee Director Compensation. </w:t>
      </w:r>
      <w:r>
        <w:rPr>
          <w:rFonts w:ascii="Arial" w:cs="Arial" w:eastAsia="Arial" w:hAnsi="Arial"/>
          <w:sz w:val="16"/>
          <w:szCs w:val="16"/>
          <w:color w:val="auto"/>
        </w:rPr>
        <w:t>Notwithstanding anything herein to the contrary, compensation paid to a Director, including</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cash fees and Awards under the Plan (based on the grant date Fair Market Value of such Awards for financial reporting purposes), shall not exceed</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$900,000 per fiscal year in respect of his or her service as a Director. For the avoidance of doubt, compensation shall be counted towards this limit for the</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Board compensation year in which it is earned (and not when it is paid or settled in the event that it is deferred).</w:t>
      </w:r>
    </w:p>
    <w:p>
      <w:pPr>
        <w:spacing w:after="0" w:line="89" w:lineRule="exact"/>
        <w:rPr>
          <w:sz w:val="20"/>
          <w:szCs w:val="20"/>
          <w:color w:val="auto"/>
        </w:rPr>
      </w:pPr>
    </w:p>
    <w:p>
      <w:pPr>
        <w:ind w:left="280" w:right="280"/>
        <w:spacing w:after="0" w:line="248" w:lineRule="auto"/>
        <w:rPr>
          <w:sz w:val="20"/>
          <w:szCs w:val="20"/>
          <w:color w:val="auto"/>
        </w:rPr>
      </w:pPr>
      <w:r>
        <w:rPr>
          <w:rFonts w:ascii="Arial" w:cs="Arial" w:eastAsia="Arial" w:hAnsi="Arial"/>
          <w:sz w:val="16"/>
          <w:szCs w:val="16"/>
          <w:b w:val="1"/>
          <w:bCs w:val="1"/>
          <w:color w:val="auto"/>
        </w:rPr>
        <w:t xml:space="preserve">4.5 Minimum Vesting Requirements. </w:t>
      </w:r>
      <w:r>
        <w:rPr>
          <w:rFonts w:ascii="Arial" w:cs="Arial" w:eastAsia="Arial" w:hAnsi="Arial"/>
          <w:sz w:val="16"/>
          <w:szCs w:val="16"/>
          <w:color w:val="auto"/>
        </w:rPr>
        <w:t>Except in the case of Substitute Awards granted pursuant to Section 4.6 and subject to the following sentence,</w:t>
      </w:r>
      <w:r>
        <w:rPr>
          <w:rFonts w:ascii="Arial" w:cs="Arial" w:eastAsia="Arial" w:hAnsi="Arial"/>
          <w:sz w:val="16"/>
          <w:szCs w:val="16"/>
          <w:b w:val="1"/>
          <w:bCs w:val="1"/>
          <w:color w:val="auto"/>
        </w:rPr>
        <w:t xml:space="preserve"> </w:t>
      </w:r>
      <w:r>
        <w:rPr>
          <w:rFonts w:ascii="Arial" w:cs="Arial" w:eastAsia="Arial" w:hAnsi="Arial"/>
          <w:sz w:val="16"/>
          <w:szCs w:val="16"/>
          <w:color w:val="auto"/>
        </w:rPr>
        <w:t>Awards granted under the Plan shall be subject to a minimum vesting period of one (1) year. Notwithstanding the foregoing, (a) the Committee may provide that the vesting of an Award shall accelerate in the event of the Participant’s death, Disability, or Retirement, or the occurrence of a Change in Control, and (b) the Committee may grant Awards covering five percent (5%) or fewer of the total number of Shares authorized under the Plan without respect to the above-described minimum vesting requirement. Notwithstanding the foregoing, with respect to Awards to Directors, the vesting of such Awards will be deemed to satisfy the one (1) year minimum vesting requirement to the extent that the Awards vest on the earlier of the one (1) year anniversary of the date of grant and the next annual meeting of the Company’s shareholders that is at least fifty (50) weeks after the immediately preceding year’s annual meeting.</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4.6 Substitute Awards.</w:t>
      </w:r>
    </w:p>
    <w:p>
      <w:pPr>
        <w:spacing w:after="0" w:line="142" w:lineRule="exact"/>
        <w:rPr>
          <w:sz w:val="20"/>
          <w:szCs w:val="20"/>
          <w:color w:val="auto"/>
        </w:rPr>
      </w:pPr>
    </w:p>
    <w:p>
      <w:pPr>
        <w:ind w:left="600" w:right="40" w:hanging="320"/>
        <w:spacing w:after="0" w:line="247" w:lineRule="auto"/>
        <w:tabs>
          <w:tab w:leader="none" w:pos="6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grant under the Plan. In the event that a company acquired by the Company or any Affiliate or with which the Company or any Affiliate combines has shares available under a pre-existing plan approved by stockholders not adopted in contemplation of such acquisition or combination, the shares available for grant pursuant to the terms of such pre-existing plan (as adjusted, to the extent appropriate, using the exchange ratio or other</w:t>
      </w:r>
    </w:p>
    <w:p>
      <w:pPr>
        <w:ind w:left="380"/>
        <w:spacing w:after="0"/>
        <w:tabs>
          <w:tab w:leader="none" w:pos="800" w:val="left"/>
        </w:tabs>
        <w:rPr>
          <w:sz w:val="20"/>
          <w:szCs w:val="20"/>
          <w:color w:val="auto"/>
        </w:rPr>
      </w:pPr>
      <w:r>
        <w:rPr>
          <w:rFonts w:ascii="Arial" w:cs="Arial" w:eastAsia="Arial" w:hAnsi="Arial"/>
          <w:sz w:val="35"/>
          <w:szCs w:val="35"/>
          <w:b w:val="1"/>
          <w:bCs w:val="1"/>
          <w:color w:val="000000"/>
          <w:vertAlign w:val="superscript"/>
        </w:rPr>
        <w:t>B-</w:t>
      </w:r>
      <w:r>
        <w:rPr>
          <w:rFonts w:ascii="Arial" w:cs="Arial" w:eastAsia="Arial" w:hAnsi="Arial"/>
          <w:sz w:val="15"/>
          <w:szCs w:val="15"/>
          <w:b w:val="1"/>
          <w:bCs w:val="1"/>
          <w:color w:val="E2231A"/>
        </w:rPr>
        <w:t xml:space="preserve"> </w:t>
      </w:r>
      <w:r>
        <w:rPr>
          <w:rFonts w:ascii="Arial" w:cs="Arial" w:eastAsia="Arial" w:hAnsi="Arial"/>
          <w:sz w:val="35"/>
          <w:szCs w:val="35"/>
          <w:b w:val="1"/>
          <w:bCs w:val="1"/>
          <w:color w:val="E2231A"/>
          <w:vertAlign w:val="superscript"/>
        </w:rPr>
        <w:t>|</w:t>
      </w:r>
      <w:r>
        <w:rPr>
          <w:sz w:val="20"/>
          <w:szCs w:val="20"/>
          <w:color w:val="auto"/>
        </w:rPr>
        <w:tab/>
      </w:r>
      <w:r>
        <w:rPr>
          <w:rFonts w:ascii="Arial" w:cs="Arial" w:eastAsia="Arial" w:hAnsi="Arial"/>
          <w:sz w:val="14"/>
          <w:szCs w:val="14"/>
          <w:b w:val="1"/>
          <w:bCs w:val="1"/>
          <w:color w:val="E2231A"/>
        </w:rPr>
        <w:t>LEAR CORPORATION</w:t>
      </w:r>
    </w:p>
    <w:p>
      <w:pPr>
        <w:ind w:left="320"/>
        <w:spacing w:after="0"/>
        <w:rPr>
          <w:sz w:val="20"/>
          <w:szCs w:val="20"/>
          <w:color w:val="auto"/>
        </w:rPr>
      </w:pPr>
      <w:r>
        <w:rPr>
          <w:rFonts w:ascii="Arial" w:cs="Arial" w:eastAsia="Arial" w:hAnsi="Arial"/>
          <w:sz w:val="18"/>
          <w:szCs w:val="18"/>
          <w:b w:val="1"/>
          <w:bCs w:val="1"/>
          <w:color w:val="auto"/>
        </w:rPr>
        <w:t>6</w:t>
      </w:r>
    </w:p>
    <w:p>
      <w:pPr>
        <w:sectPr>
          <w:pgSz w:w="11900" w:h="16838" w:orient="portrait"/>
          <w:cols w:equalWidth="0" w:num="1">
            <w:col w:w="11140"/>
          </w:cols>
          <w:pgMar w:left="240" w:top="455"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0220"/>
        <w:spacing w:after="0"/>
        <w:rPr>
          <w:sz w:val="20"/>
          <w:szCs w:val="20"/>
          <w:color w:val="auto"/>
        </w:rPr>
      </w:pPr>
      <w:r>
        <w:rPr>
          <w:rFonts w:ascii="Arial" w:cs="Arial" w:eastAsia="Arial" w:hAnsi="Arial"/>
          <w:sz w:val="15"/>
          <w:szCs w:val="15"/>
          <w:b w:val="1"/>
          <w:bCs w:val="1"/>
          <w:u w:val="single" w:color="auto"/>
          <w:color w:val="E2231A"/>
        </w:rPr>
        <w:t>APPENDIX B</w:t>
      </w:r>
    </w:p>
    <w:p>
      <w:pPr>
        <w:spacing w:after="0" w:line="157" w:lineRule="exact"/>
        <w:rPr>
          <w:sz w:val="20"/>
          <w:szCs w:val="20"/>
          <w:color w:val="auto"/>
        </w:rPr>
      </w:pPr>
    </w:p>
    <w:p>
      <w:pPr>
        <w:ind w:left="600" w:right="100"/>
        <w:spacing w:after="0" w:line="246" w:lineRule="auto"/>
        <w:rPr>
          <w:sz w:val="20"/>
          <w:szCs w:val="20"/>
          <w:color w:val="auto"/>
        </w:rPr>
      </w:pPr>
      <w:r>
        <w:rPr>
          <w:rFonts w:ascii="Arial" w:cs="Arial" w:eastAsia="Arial" w:hAnsi="Arial"/>
          <w:sz w:val="16"/>
          <w:szCs w:val="16"/>
          <w:color w:val="auto"/>
        </w:rPr>
        <w:t>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109" w:lineRule="exact"/>
        <w:rPr>
          <w:sz w:val="20"/>
          <w:szCs w:val="20"/>
          <w:color w:val="auto"/>
        </w:rPr>
      </w:pPr>
    </w:p>
    <w:p>
      <w:pPr>
        <w:ind w:left="600" w:right="120" w:hanging="320"/>
        <w:spacing w:after="0" w:line="246" w:lineRule="auto"/>
        <w:tabs>
          <w:tab w:leader="none" w:pos="6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the event that the Company or an Affiliate consummates a transaction described in Code Section 424(a) (e.g., the acquisition of property or stock from an unrelated corporation), persons who become Employees or Directors on account of such transaction may be granted Substitute Awards in substitution for awards granted by their former employer, and any such substitute Options or SARs may be granted with an Exercise Price less than the Fair Market Value of a Share on the grant date thereof; provided, however, the grant of such substitute Option or SAR shall not constitute a “modification” as defined in Code Section 424(h)(3) and the applicable Treasury regulations.</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5. Eligibility and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5.1 Eligibility. </w:t>
      </w:r>
      <w:r>
        <w:rPr>
          <w:rFonts w:ascii="Arial" w:cs="Arial" w:eastAsia="Arial" w:hAnsi="Arial"/>
          <w:sz w:val="16"/>
          <w:szCs w:val="16"/>
          <w:color w:val="auto"/>
        </w:rPr>
        <w:t>All Eligible Persons, including Eligible Persons who are members of the Board, are eligible to participate in this Plan.</w:t>
      </w:r>
    </w:p>
    <w:p>
      <w:pPr>
        <w:spacing w:after="0" w:line="109" w:lineRule="exact"/>
        <w:rPr>
          <w:sz w:val="20"/>
          <w:szCs w:val="20"/>
          <w:color w:val="auto"/>
        </w:rPr>
      </w:pPr>
    </w:p>
    <w:p>
      <w:pPr>
        <w:ind w:left="280" w:right="160"/>
        <w:spacing w:after="0" w:line="280" w:lineRule="auto"/>
        <w:rPr>
          <w:sz w:val="20"/>
          <w:szCs w:val="20"/>
          <w:color w:val="auto"/>
        </w:rPr>
      </w:pPr>
      <w:r>
        <w:rPr>
          <w:rFonts w:ascii="Arial" w:cs="Arial" w:eastAsia="Arial" w:hAnsi="Arial"/>
          <w:sz w:val="16"/>
          <w:szCs w:val="16"/>
          <w:b w:val="1"/>
          <w:bCs w:val="1"/>
          <w:color w:val="auto"/>
        </w:rPr>
        <w:t xml:space="preserve">5.2 Actual Participation. </w:t>
      </w:r>
      <w:r>
        <w:rPr>
          <w:rFonts w:ascii="Arial" w:cs="Arial" w:eastAsia="Arial" w:hAnsi="Arial"/>
          <w:sz w:val="16"/>
          <w:szCs w:val="16"/>
          <w:color w:val="auto"/>
        </w:rPr>
        <w:t>Subject to the provisions of the Plan, the Committee will, from time to time, select those Eligible Persons to whom Awards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granted, and will determine the nature and amount of each Award.</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6.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187" w:lineRule="exact"/>
        <w:rPr>
          <w:sz w:val="20"/>
          <w:szCs w:val="20"/>
          <w:color w:val="auto"/>
        </w:rPr>
      </w:pPr>
    </w:p>
    <w:p>
      <w:pPr>
        <w:ind w:left="280" w:right="240"/>
        <w:spacing w:after="0" w:line="280" w:lineRule="auto"/>
        <w:rPr>
          <w:sz w:val="20"/>
          <w:szCs w:val="20"/>
          <w:color w:val="auto"/>
        </w:rPr>
      </w:pPr>
      <w:r>
        <w:rPr>
          <w:rFonts w:ascii="Arial" w:cs="Arial" w:eastAsia="Arial" w:hAnsi="Arial"/>
          <w:sz w:val="16"/>
          <w:szCs w:val="16"/>
          <w:b w:val="1"/>
          <w:bCs w:val="1"/>
          <w:color w:val="auto"/>
        </w:rPr>
        <w:t xml:space="preserve">6.1 Grant of Options. </w:t>
      </w:r>
      <w:r>
        <w:rPr>
          <w:rFonts w:ascii="Arial" w:cs="Arial" w:eastAsia="Arial" w:hAnsi="Arial"/>
          <w:sz w:val="16"/>
          <w:szCs w:val="16"/>
          <w:color w:val="auto"/>
        </w:rPr>
        <w:t>Subject to the terms and provisions of the Plan, Options may be granted to Eligible Persons in the number, and upon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at any time and from time to time, as determined by the Committee.</w:t>
      </w:r>
    </w:p>
    <w:p>
      <w:pPr>
        <w:spacing w:after="0" w:line="50" w:lineRule="exact"/>
        <w:rPr>
          <w:sz w:val="20"/>
          <w:szCs w:val="20"/>
          <w:color w:val="auto"/>
        </w:rPr>
      </w:pPr>
    </w:p>
    <w:p>
      <w:pPr>
        <w:ind w:left="280" w:right="320"/>
        <w:spacing w:after="0" w:line="261" w:lineRule="auto"/>
        <w:rPr>
          <w:sz w:val="20"/>
          <w:szCs w:val="20"/>
          <w:color w:val="auto"/>
        </w:rPr>
      </w:pPr>
      <w:r>
        <w:rPr>
          <w:rFonts w:ascii="Arial" w:cs="Arial" w:eastAsia="Arial" w:hAnsi="Arial"/>
          <w:sz w:val="16"/>
          <w:szCs w:val="16"/>
          <w:b w:val="1"/>
          <w:bCs w:val="1"/>
          <w:color w:val="auto"/>
        </w:rPr>
        <w:t xml:space="preserve">6.2 Award Agreement. </w:t>
      </w:r>
      <w:r>
        <w:rPr>
          <w:rFonts w:ascii="Arial" w:cs="Arial" w:eastAsia="Arial" w:hAnsi="Arial"/>
          <w:sz w:val="16"/>
          <w:szCs w:val="16"/>
          <w:color w:val="auto"/>
        </w:rPr>
        <w:t>Each Option grant will be evidenced by an Award Agreement that specifies the Exercise Price, the duration of the Option,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to which the Option pertains, the manner, time and rate of exercise or vesting of the Option, and such other provisions as the Committee determines. The Award Agreement will also specify whether the Option is intended to be an ISO or an NQSO.</w:t>
      </w:r>
    </w:p>
    <w:p>
      <w:pPr>
        <w:spacing w:after="0" w:line="66" w:lineRule="exact"/>
        <w:rPr>
          <w:sz w:val="20"/>
          <w:szCs w:val="20"/>
          <w:color w:val="auto"/>
        </w:rPr>
      </w:pPr>
    </w:p>
    <w:p>
      <w:pPr>
        <w:ind w:left="280" w:right="160"/>
        <w:spacing w:after="0" w:line="280" w:lineRule="auto"/>
        <w:rPr>
          <w:sz w:val="20"/>
          <w:szCs w:val="20"/>
          <w:color w:val="auto"/>
        </w:rPr>
      </w:pPr>
      <w:r>
        <w:rPr>
          <w:rFonts w:ascii="Arial" w:cs="Arial" w:eastAsia="Arial" w:hAnsi="Arial"/>
          <w:sz w:val="16"/>
          <w:szCs w:val="16"/>
          <w:b w:val="1"/>
          <w:bCs w:val="1"/>
          <w:color w:val="auto"/>
        </w:rPr>
        <w:t xml:space="preserve">6.3 Exercise Price. </w:t>
      </w:r>
      <w:r>
        <w:rPr>
          <w:rFonts w:ascii="Arial" w:cs="Arial" w:eastAsia="Arial" w:hAnsi="Arial"/>
          <w:sz w:val="16"/>
          <w:szCs w:val="16"/>
          <w:color w:val="auto"/>
        </w:rPr>
        <w:t>The Exercise Price for each Share subject to an Option will be at least one hundred percent (100%) of the Fair Market Value on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the Option is granted.</w:t>
      </w:r>
    </w:p>
    <w:p>
      <w:pPr>
        <w:spacing w:after="0" w:line="50" w:lineRule="exact"/>
        <w:rPr>
          <w:sz w:val="20"/>
          <w:szCs w:val="20"/>
          <w:color w:val="auto"/>
        </w:rPr>
      </w:pPr>
    </w:p>
    <w:p>
      <w:pPr>
        <w:ind w:left="280" w:right="720"/>
        <w:spacing w:after="0" w:line="193" w:lineRule="auto"/>
        <w:rPr>
          <w:sz w:val="20"/>
          <w:szCs w:val="20"/>
          <w:color w:val="auto"/>
        </w:rPr>
      </w:pPr>
      <w:r>
        <w:rPr>
          <w:rFonts w:ascii="Arial" w:cs="Arial" w:eastAsia="Arial" w:hAnsi="Arial"/>
          <w:sz w:val="16"/>
          <w:szCs w:val="16"/>
          <w:b w:val="1"/>
          <w:bCs w:val="1"/>
          <w:color w:val="auto"/>
        </w:rPr>
        <w:t xml:space="preserve">6.4 Duration of Options. </w:t>
      </w:r>
      <w:r>
        <w:rPr>
          <w:rFonts w:ascii="Arial" w:cs="Arial" w:eastAsia="Arial" w:hAnsi="Arial"/>
          <w:sz w:val="16"/>
          <w:szCs w:val="16"/>
          <w:color w:val="auto"/>
        </w:rPr>
        <w:t>Each Option will expire at the time determined by the Committee at the time of grant, but no later than the tenth (10</w:t>
      </w:r>
      <w:r>
        <w:rPr>
          <w:rFonts w:ascii="Arial" w:cs="Arial" w:eastAsia="Arial" w:hAnsi="Arial"/>
          <w:sz w:val="27"/>
          <w:szCs w:val="27"/>
          <w:color w:val="auto"/>
          <w:vertAlign w:val="superscript"/>
        </w:rPr>
        <w:t>th</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anniversary of the date of its grant.</w:t>
      </w:r>
    </w:p>
    <w:p>
      <w:pPr>
        <w:spacing w:after="0" w:line="82" w:lineRule="exact"/>
        <w:rPr>
          <w:sz w:val="20"/>
          <w:szCs w:val="20"/>
          <w:color w:val="auto"/>
        </w:rPr>
      </w:pPr>
    </w:p>
    <w:p>
      <w:pPr>
        <w:ind w:left="280" w:right="20"/>
        <w:spacing w:after="0" w:line="280" w:lineRule="auto"/>
        <w:rPr>
          <w:sz w:val="20"/>
          <w:szCs w:val="20"/>
          <w:color w:val="auto"/>
        </w:rPr>
      </w:pPr>
      <w:r>
        <w:rPr>
          <w:rFonts w:ascii="Arial" w:cs="Arial" w:eastAsia="Arial" w:hAnsi="Arial"/>
          <w:sz w:val="16"/>
          <w:szCs w:val="16"/>
          <w:b w:val="1"/>
          <w:bCs w:val="1"/>
          <w:color w:val="auto"/>
        </w:rPr>
        <w:t xml:space="preserve">6.5 No Dividend Equivalents. </w:t>
      </w:r>
      <w:r>
        <w:rPr>
          <w:rFonts w:ascii="Arial" w:cs="Arial" w:eastAsia="Arial" w:hAnsi="Arial"/>
          <w:sz w:val="16"/>
          <w:szCs w:val="16"/>
          <w:color w:val="auto"/>
        </w:rPr>
        <w:t>Subject to Section 4.3, the Committee may not grant payments in connection with Options that are equivalent to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declared and paid on the Shares underlying the Options.</w:t>
      </w:r>
    </w:p>
    <w:p>
      <w:pPr>
        <w:spacing w:after="0" w:line="50" w:lineRule="exact"/>
        <w:rPr>
          <w:sz w:val="20"/>
          <w:szCs w:val="20"/>
          <w:color w:val="auto"/>
        </w:rPr>
      </w:pPr>
    </w:p>
    <w:p>
      <w:pPr>
        <w:ind w:left="280" w:right="100"/>
        <w:spacing w:after="0" w:line="280" w:lineRule="auto"/>
        <w:rPr>
          <w:sz w:val="20"/>
          <w:szCs w:val="20"/>
          <w:color w:val="auto"/>
        </w:rPr>
      </w:pPr>
      <w:r>
        <w:rPr>
          <w:rFonts w:ascii="Arial" w:cs="Arial" w:eastAsia="Arial" w:hAnsi="Arial"/>
          <w:sz w:val="16"/>
          <w:szCs w:val="16"/>
          <w:b w:val="1"/>
          <w:bCs w:val="1"/>
          <w:color w:val="auto"/>
        </w:rPr>
        <w:t xml:space="preserve">6.6 Exercise of Options. </w:t>
      </w:r>
      <w:r>
        <w:rPr>
          <w:rFonts w:ascii="Arial" w:cs="Arial" w:eastAsia="Arial" w:hAnsi="Arial"/>
          <w:sz w:val="16"/>
          <w:szCs w:val="16"/>
          <w:color w:val="auto"/>
        </w:rPr>
        <w:t>Options will be exercisable at such times and be subject to such restrictions and conditions as the Committee in each instance</w:t>
      </w:r>
      <w:r>
        <w:rPr>
          <w:rFonts w:ascii="Arial" w:cs="Arial" w:eastAsia="Arial" w:hAnsi="Arial"/>
          <w:sz w:val="16"/>
          <w:szCs w:val="16"/>
          <w:b w:val="1"/>
          <w:bCs w:val="1"/>
          <w:color w:val="auto"/>
        </w:rPr>
        <w:t xml:space="preserve"> </w:t>
      </w:r>
      <w:r>
        <w:rPr>
          <w:rFonts w:ascii="Arial" w:cs="Arial" w:eastAsia="Arial" w:hAnsi="Arial"/>
          <w:sz w:val="16"/>
          <w:szCs w:val="16"/>
          <w:color w:val="auto"/>
        </w:rPr>
        <w:t>approves, which need not be the same for each Award or for each Participant.</w:t>
      </w:r>
    </w:p>
    <w:p>
      <w:pPr>
        <w:spacing w:after="0" w:line="50" w:lineRule="exact"/>
        <w:rPr>
          <w:sz w:val="20"/>
          <w:szCs w:val="20"/>
          <w:color w:val="auto"/>
        </w:rPr>
      </w:pPr>
    </w:p>
    <w:p>
      <w:pPr>
        <w:ind w:left="280" w:right="100"/>
        <w:spacing w:after="0" w:line="261" w:lineRule="auto"/>
        <w:rPr>
          <w:sz w:val="20"/>
          <w:szCs w:val="20"/>
          <w:color w:val="auto"/>
        </w:rPr>
      </w:pPr>
      <w:r>
        <w:rPr>
          <w:rFonts w:ascii="Arial" w:cs="Arial" w:eastAsia="Arial" w:hAnsi="Arial"/>
          <w:sz w:val="16"/>
          <w:szCs w:val="16"/>
          <w:b w:val="1"/>
          <w:bCs w:val="1"/>
          <w:color w:val="auto"/>
        </w:rPr>
        <w:t xml:space="preserve">6.7 Payment. </w:t>
      </w:r>
      <w:r>
        <w:rPr>
          <w:rFonts w:ascii="Arial" w:cs="Arial" w:eastAsia="Arial" w:hAnsi="Arial"/>
          <w:sz w:val="16"/>
          <w:szCs w:val="16"/>
          <w:color w:val="auto"/>
        </w:rPr>
        <w:t>The holder of an Option may exercise the Option only by delivering a written notice of exercise to the Company setting forth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as to which the Option is to be exercised, together with full payment at the Exercise Price for the Shares and any withholding tax relating to the exercise of the Option.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Exercise Price and any related withholding taxes will be payable to the Company in full either: (a) in cash, or its equivalent, in United States dollars;</w:t>
      </w:r>
    </w:p>
    <w:p>
      <w:pPr>
        <w:spacing w:after="0" w:line="2" w:lineRule="exact"/>
        <w:rPr>
          <w:sz w:val="20"/>
          <w:szCs w:val="20"/>
          <w:color w:val="auto"/>
        </w:rPr>
      </w:pPr>
    </w:p>
    <w:p>
      <w:pPr>
        <w:ind w:left="280" w:right="40"/>
        <w:spacing w:after="0" w:line="245" w:lineRule="auto"/>
        <w:tabs>
          <w:tab w:leader="none" w:pos="5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by tendering Shares owned by the Participant and duly endorsed for transfer to the Company, Shares issuable to the Participant upon exercise of the Option, or any combination of cash, certified or cashier’s check and Shares described in this clause (b); or (c) by any other means the Committee determines to be consistent with the Plan’s purposes and applicable law. Cashless exercise must meet the requirements of the Federal Reserve Board’s Regulation T and any applicable securities law restrictions. For this purpose, “cashless” exercise will mean that the Participant notifies the Company it will exercise, and the Company is instructed to deliver the Share issuable on exercise to a broker, who sells the Shares and holds back the Exercise Price (and, often, the federal and state withholdings). Notwithstanding anything herein to the contrary, the Committee may, in its sole discretion, permit a Participant to satisfy such Participant’s tax withholding obligation by tendering Shares having a Fair</w:t>
      </w:r>
    </w:p>
    <w:p>
      <w:pPr>
        <w:ind w:left="9040"/>
        <w:spacing w:after="0"/>
        <w:tabs>
          <w:tab w:leader="none" w:pos="10740" w:val="left"/>
          <w:tab w:leader="none" w:pos="109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36"/>
          <w:szCs w:val="36"/>
          <w:b w:val="1"/>
          <w:bCs w:val="1"/>
          <w:color w:val="E2231A"/>
          <w:vertAlign w:val="superscript"/>
        </w:rPr>
        <w:t>|</w:t>
      </w:r>
      <w:r>
        <w:rPr>
          <w:sz w:val="20"/>
          <w:szCs w:val="20"/>
          <w:color w:val="auto"/>
        </w:rPr>
        <w:tab/>
      </w:r>
      <w:r>
        <w:rPr>
          <w:rFonts w:ascii="Arial" w:cs="Arial" w:eastAsia="Arial" w:hAnsi="Arial"/>
          <w:sz w:val="25"/>
          <w:szCs w:val="25"/>
          <w:b w:val="1"/>
          <w:bCs w:val="1"/>
          <w:color w:val="auto"/>
          <w:vertAlign w:val="superscript"/>
        </w:rPr>
        <w:t>B-</w:t>
      </w:r>
    </w:p>
    <w:p>
      <w:pPr>
        <w:ind w:left="10900"/>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140"/>
          </w:cols>
          <w:pgMar w:left="240" w:top="455" w:right="5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APPENDIX B</w:t>
      </w:r>
    </w:p>
    <w:p>
      <w:pPr>
        <w:spacing w:after="0" w:line="157" w:lineRule="exact"/>
        <w:rPr>
          <w:sz w:val="20"/>
          <w:szCs w:val="20"/>
          <w:color w:val="auto"/>
        </w:rPr>
      </w:pPr>
    </w:p>
    <w:p>
      <w:pPr>
        <w:ind w:left="280" w:right="20"/>
        <w:spacing w:after="0" w:line="248" w:lineRule="auto"/>
        <w:rPr>
          <w:sz w:val="20"/>
          <w:szCs w:val="20"/>
          <w:color w:val="auto"/>
        </w:rPr>
      </w:pPr>
      <w:r>
        <w:rPr>
          <w:rFonts w:ascii="Arial" w:cs="Arial" w:eastAsia="Arial" w:hAnsi="Arial"/>
          <w:sz w:val="16"/>
          <w:szCs w:val="16"/>
          <w:color w:val="auto"/>
        </w:rPr>
        <w:t>Market Value equal to the amount required to be withheld or other greater amount up to the maximum statutory rate under applicable law, as applicable to such Participant, if such other greater amount would not result in adverse financial accounting treatment, as determined by the Committee (including in connection with the effectiveness of FASB Accounting Standards Update 2016-09).</w:t>
      </w:r>
    </w:p>
    <w:p>
      <w:pPr>
        <w:spacing w:after="0" w:line="76" w:lineRule="exact"/>
        <w:rPr>
          <w:sz w:val="20"/>
          <w:szCs w:val="20"/>
          <w:color w:val="auto"/>
        </w:rPr>
      </w:pPr>
    </w:p>
    <w:p>
      <w:pPr>
        <w:jc w:val="both"/>
        <w:ind w:left="280" w:right="320"/>
        <w:spacing w:after="0" w:line="261" w:lineRule="auto"/>
        <w:rPr>
          <w:sz w:val="20"/>
          <w:szCs w:val="20"/>
          <w:color w:val="auto"/>
        </w:rPr>
      </w:pPr>
      <w:r>
        <w:rPr>
          <w:rFonts w:ascii="Arial" w:cs="Arial" w:eastAsia="Arial" w:hAnsi="Arial"/>
          <w:sz w:val="16"/>
          <w:szCs w:val="16"/>
          <w:b w:val="1"/>
          <w:bCs w:val="1"/>
          <w:color w:val="auto"/>
        </w:rPr>
        <w:t xml:space="preserve">6.8 Restrictions on Share Transferability. </w:t>
      </w:r>
      <w:r>
        <w:rPr>
          <w:rFonts w:ascii="Arial" w:cs="Arial" w:eastAsia="Arial" w:hAnsi="Arial"/>
          <w:sz w:val="16"/>
          <w:szCs w:val="16"/>
          <w:color w:val="auto"/>
        </w:rPr>
        <w:t>The Committee may impose such restrictions on any Shares acquired through exercise of an Option as it</w:t>
      </w:r>
      <w:r>
        <w:rPr>
          <w:rFonts w:ascii="Arial" w:cs="Arial" w:eastAsia="Arial" w:hAnsi="Arial"/>
          <w:sz w:val="16"/>
          <w:szCs w:val="16"/>
          <w:b w:val="1"/>
          <w:bCs w:val="1"/>
          <w:color w:val="auto"/>
        </w:rPr>
        <w:t xml:space="preserve"> </w:t>
      </w:r>
      <w:r>
        <w:rPr>
          <w:rFonts w:ascii="Arial" w:cs="Arial" w:eastAsia="Arial" w:hAnsi="Arial"/>
          <w:sz w:val="16"/>
          <w:szCs w:val="16"/>
          <w:color w:val="auto"/>
        </w:rPr>
        <w:t>deems necessary or advisable, including, without limitation, restrictions under applicable federal securities laws, under the requirements of any stock exchange or market upon which the Shares are then listed or traded, and under any blue sky or state securities laws applicable to the Shares.</w:t>
      </w:r>
    </w:p>
    <w:p>
      <w:pPr>
        <w:spacing w:after="0" w:line="66" w:lineRule="exact"/>
        <w:rPr>
          <w:sz w:val="20"/>
          <w:szCs w:val="20"/>
          <w:color w:val="auto"/>
        </w:rPr>
      </w:pPr>
    </w:p>
    <w:p>
      <w:pPr>
        <w:jc w:val="both"/>
        <w:ind w:left="280" w:right="320"/>
        <w:spacing w:after="0" w:line="287" w:lineRule="auto"/>
        <w:rPr>
          <w:sz w:val="20"/>
          <w:szCs w:val="20"/>
          <w:color w:val="auto"/>
        </w:rPr>
      </w:pPr>
      <w:r>
        <w:rPr>
          <w:rFonts w:ascii="Arial" w:cs="Arial" w:eastAsia="Arial" w:hAnsi="Arial"/>
          <w:sz w:val="15"/>
          <w:szCs w:val="15"/>
          <w:b w:val="1"/>
          <w:bCs w:val="1"/>
          <w:color w:val="auto"/>
        </w:rPr>
        <w:t xml:space="preserve">6.9 Termination of Employment. </w:t>
      </w:r>
      <w:r>
        <w:rPr>
          <w:rFonts w:ascii="Arial" w:cs="Arial" w:eastAsia="Arial" w:hAnsi="Arial"/>
          <w:sz w:val="15"/>
          <w:szCs w:val="15"/>
          <w:color w:val="auto"/>
        </w:rPr>
        <w:t>Each Option Award Agreement will set forth the extent to which the Participant has the right to exercise the Option</w:t>
      </w:r>
      <w:r>
        <w:rPr>
          <w:rFonts w:ascii="Arial" w:cs="Arial" w:eastAsia="Arial" w:hAnsi="Arial"/>
          <w:sz w:val="15"/>
          <w:szCs w:val="15"/>
          <w:b w:val="1"/>
          <w:bCs w:val="1"/>
          <w:color w:val="auto"/>
        </w:rPr>
        <w:t xml:space="preserve"> </w:t>
      </w:r>
      <w:r>
        <w:rPr>
          <w:rFonts w:ascii="Arial" w:cs="Arial" w:eastAsia="Arial" w:hAnsi="Arial"/>
          <w:sz w:val="15"/>
          <w:szCs w:val="15"/>
          <w:color w:val="auto"/>
        </w:rPr>
        <w:t>after his or her termination of employment with the Company and all Affiliates. These terms will be determined by the Committee in its sole discretion, need not be uniform among all Options, and may reflect, among other things, distinctions based on the reasons for termination of employment.</w:t>
      </w:r>
    </w:p>
    <w:p>
      <w:pPr>
        <w:spacing w:after="0" w:line="47" w:lineRule="exact"/>
        <w:rPr>
          <w:sz w:val="20"/>
          <w:szCs w:val="20"/>
          <w:color w:val="auto"/>
        </w:rPr>
      </w:pPr>
    </w:p>
    <w:p>
      <w:pPr>
        <w:ind w:left="280" w:right="100"/>
        <w:spacing w:after="0" w:line="250" w:lineRule="auto"/>
        <w:rPr>
          <w:sz w:val="20"/>
          <w:szCs w:val="20"/>
          <w:color w:val="auto"/>
        </w:rPr>
      </w:pPr>
      <w:r>
        <w:rPr>
          <w:rFonts w:ascii="Arial" w:cs="Arial" w:eastAsia="Arial" w:hAnsi="Arial"/>
          <w:sz w:val="16"/>
          <w:szCs w:val="16"/>
          <w:b w:val="1"/>
          <w:bCs w:val="1"/>
          <w:color w:val="auto"/>
        </w:rPr>
        <w:t xml:space="preserve">6.10 Nontransferability of Options. </w:t>
      </w:r>
      <w:r>
        <w:rPr>
          <w:rFonts w:ascii="Arial" w:cs="Arial" w:eastAsia="Arial" w:hAnsi="Arial"/>
          <w:sz w:val="16"/>
          <w:szCs w:val="16"/>
          <w:color w:val="auto"/>
        </w:rPr>
        <w:t>Except as otherwise provided in a Participant’s Award Agreement, no Option granted under the Plan may be sold,</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pledged, assigned, or otherwise alienated or hypothecated, other than by will or by the laws of descent and distribution, or pursuant to a domestic relations order (as defined in Code Section 414(p)). Further, except as otherwise provided in a Participant’s Award Agreement, all Options will be exercisable during the Participant’s lifetime only by the Participant or his or her guardian or legal representative. The Committee may, in its discretion, require a Participant’s guardian or legal representative to supply it with the evidence the Committee deems necessary to establish the authority of the guardian or legal representative to act on behalf of the Participant.</w:t>
      </w:r>
    </w:p>
    <w:p>
      <w:pPr>
        <w:spacing w:after="0" w:line="75" w:lineRule="exact"/>
        <w:rPr>
          <w:sz w:val="20"/>
          <w:szCs w:val="20"/>
          <w:color w:val="auto"/>
        </w:rPr>
      </w:pPr>
    </w:p>
    <w:p>
      <w:pPr>
        <w:ind w:left="280" w:right="460"/>
        <w:spacing w:after="0" w:line="280" w:lineRule="auto"/>
        <w:rPr>
          <w:sz w:val="20"/>
          <w:szCs w:val="20"/>
          <w:color w:val="auto"/>
        </w:rPr>
      </w:pPr>
      <w:r>
        <w:rPr>
          <w:rFonts w:ascii="Arial" w:cs="Arial" w:eastAsia="Arial" w:hAnsi="Arial"/>
          <w:sz w:val="16"/>
          <w:szCs w:val="16"/>
          <w:b w:val="1"/>
          <w:bCs w:val="1"/>
          <w:color w:val="auto"/>
        </w:rPr>
        <w:t xml:space="preserve">6.11 Incentive Stock Options. </w:t>
      </w:r>
      <w:r>
        <w:rPr>
          <w:rFonts w:ascii="Arial" w:cs="Arial" w:eastAsia="Arial" w:hAnsi="Arial"/>
          <w:sz w:val="16"/>
          <w:szCs w:val="16"/>
          <w:color w:val="auto"/>
        </w:rPr>
        <w:t>The grant of ISOs hereunder shall be subject to all of the requirements of Code Section 422, including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limitations:</w:t>
      </w:r>
    </w:p>
    <w:p>
      <w:pPr>
        <w:spacing w:after="0" w:line="84" w:lineRule="exact"/>
        <w:rPr>
          <w:sz w:val="20"/>
          <w:szCs w:val="20"/>
          <w:color w:val="auto"/>
        </w:rPr>
      </w:pPr>
    </w:p>
    <w:p>
      <w:pPr>
        <w:ind w:left="600" w:hanging="320"/>
        <w:spacing w:after="0"/>
        <w:tabs>
          <w:tab w:leader="none" w:pos="6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If an ISO is granted to a Participant who (together with persons whose stock ownership is attributed to the Participant pursuant to Code</w:t>
      </w:r>
    </w:p>
    <w:p>
      <w:pPr>
        <w:spacing w:after="0" w:line="2"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Section 424(d)) owns stock possessing more than ten percent (10%) of the total combined voting power of all classes of stock of the Company or any of its subsidiaries, (i) the Exercise Price for each Share subject to the ISO shall not be less than one-hundred and ten percent (110%) of the Fair Market Value of a Share on the date of grant, and (ii) the ISO will expire upon the earlier of the time specified by the Committee in the Award Agreement and the fifth (5</w:t>
      </w:r>
      <w:r>
        <w:rPr>
          <w:rFonts w:ascii="Arial" w:cs="Arial" w:eastAsia="Arial" w:hAnsi="Arial"/>
          <w:sz w:val="27"/>
          <w:szCs w:val="27"/>
          <w:color w:val="auto"/>
          <w:vertAlign w:val="superscript"/>
        </w:rPr>
        <w:t>th</w:t>
      </w:r>
      <w:r>
        <w:rPr>
          <w:rFonts w:ascii="Arial" w:cs="Arial" w:eastAsia="Arial" w:hAnsi="Arial"/>
          <w:sz w:val="16"/>
          <w:szCs w:val="16"/>
          <w:color w:val="auto"/>
        </w:rPr>
        <w:t>) anniversary of the date of grant.</w:t>
      </w:r>
    </w:p>
    <w:p>
      <w:pPr>
        <w:spacing w:after="0" w:line="3" w:lineRule="exact"/>
        <w:rPr>
          <w:rFonts w:ascii="Arial" w:cs="Arial" w:eastAsia="Arial" w:hAnsi="Arial"/>
          <w:sz w:val="16"/>
          <w:szCs w:val="16"/>
          <w:color w:val="auto"/>
        </w:rPr>
      </w:pPr>
    </w:p>
    <w:p>
      <w:pPr>
        <w:ind w:left="600" w:right="380" w:hanging="320"/>
        <w:spacing w:after="0" w:line="254" w:lineRule="auto"/>
        <w:tabs>
          <w:tab w:leader="none" w:pos="6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ISOs may be granted only to persons who are, as of the date of grant, common-law Employees of the Company or a subsidiary (as such term is defined in Code Sections 424(e) and (f)).</w:t>
      </w:r>
    </w:p>
    <w:p>
      <w:pPr>
        <w:spacing w:after="0" w:line="103" w:lineRule="exact"/>
        <w:rPr>
          <w:rFonts w:ascii="Arial" w:cs="Arial" w:eastAsia="Arial" w:hAnsi="Arial"/>
          <w:sz w:val="16"/>
          <w:szCs w:val="16"/>
          <w:color w:val="auto"/>
        </w:rPr>
      </w:pPr>
    </w:p>
    <w:p>
      <w:pPr>
        <w:ind w:left="600" w:right="60" w:hanging="320"/>
        <w:spacing w:after="0" w:line="247" w:lineRule="auto"/>
        <w:tabs>
          <w:tab w:leader="none" w:pos="6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the extent that the aggregate Fair Market Value of the Shares with respect to which ISOs are exercisable for the first time by any individual during any calendar year (under all plans of the Company) exceeds $100,000, such Options will be treated as NQSOs to the extent required by Code Section 422. For purposes of this Section 6.11(c), ISOs shall be taken into account in the order in which they were granted. The Fair Market Value of the Shares shall be determined as of the time the Option with respect to such Shares is granted.</w:t>
      </w:r>
    </w:p>
    <w:p>
      <w:pPr>
        <w:spacing w:after="0" w:line="108" w:lineRule="exact"/>
        <w:rPr>
          <w:rFonts w:ascii="Arial" w:cs="Arial" w:eastAsia="Arial" w:hAnsi="Arial"/>
          <w:sz w:val="16"/>
          <w:szCs w:val="16"/>
          <w:color w:val="auto"/>
        </w:rPr>
      </w:pPr>
    </w:p>
    <w:p>
      <w:pPr>
        <w:ind w:left="600" w:right="720" w:hanging="320"/>
        <w:spacing w:after="0" w:line="254" w:lineRule="auto"/>
        <w:tabs>
          <w:tab w:leader="none" w:pos="6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No Option that is intended to be an ISO may be granted under the Plan unless the Company’s shareholders approve the Plan within twelve (12) months after the Committee’s adoption of the Plan.</w:t>
      </w:r>
    </w:p>
    <w:p>
      <w:pPr>
        <w:spacing w:after="0" w:line="103" w:lineRule="exact"/>
        <w:rPr>
          <w:rFonts w:ascii="Arial" w:cs="Arial" w:eastAsia="Arial" w:hAnsi="Arial"/>
          <w:sz w:val="16"/>
          <w:szCs w:val="16"/>
          <w:color w:val="auto"/>
        </w:rPr>
      </w:pPr>
    </w:p>
    <w:p>
      <w:pPr>
        <w:ind w:left="600" w:right="300" w:hanging="320"/>
        <w:spacing w:after="0" w:line="254" w:lineRule="auto"/>
        <w:tabs>
          <w:tab w:leader="none" w:pos="6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 the event of a Participant’s change of status from Employee to Director, an ISO held by the Participant shall cease to be treated as an ISO and shall be treated for tax purposes as an NQSO three (3) months and one (1) day following such change of status.</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7.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01" w:lineRule="exact"/>
        <w:rPr>
          <w:sz w:val="20"/>
          <w:szCs w:val="20"/>
          <w:color w:val="auto"/>
        </w:rPr>
      </w:pPr>
    </w:p>
    <w:p>
      <w:pPr>
        <w:ind w:left="280" w:right="760"/>
        <w:spacing w:after="0" w:line="280" w:lineRule="auto"/>
        <w:rPr>
          <w:sz w:val="20"/>
          <w:szCs w:val="20"/>
          <w:color w:val="auto"/>
        </w:rPr>
      </w:pPr>
      <w:r>
        <w:rPr>
          <w:rFonts w:ascii="Arial" w:cs="Arial" w:eastAsia="Arial" w:hAnsi="Arial"/>
          <w:sz w:val="16"/>
          <w:szCs w:val="16"/>
          <w:b w:val="1"/>
          <w:bCs w:val="1"/>
          <w:color w:val="auto"/>
        </w:rPr>
        <w:t xml:space="preserve">7.1 Grant of SARs. </w:t>
      </w:r>
      <w:r>
        <w:rPr>
          <w:rFonts w:ascii="Arial" w:cs="Arial" w:eastAsia="Arial" w:hAnsi="Arial"/>
          <w:sz w:val="16"/>
          <w:szCs w:val="16"/>
          <w:color w:val="auto"/>
        </w:rPr>
        <w:t>Subject to the terms and conditions of the Plan, SARs may be granted to Participants at any time and from time to time,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Committee. The Committee may grant Freestanding SARs, Tandem SARs or any combination of the two.</w:t>
      </w:r>
    </w:p>
    <w:p>
      <w:pPr>
        <w:spacing w:after="0" w:line="70" w:lineRule="exact"/>
        <w:rPr>
          <w:sz w:val="20"/>
          <w:szCs w:val="20"/>
          <w:color w:val="auto"/>
        </w:rPr>
      </w:pPr>
    </w:p>
    <w:p>
      <w:pPr>
        <w:ind w:left="280"/>
        <w:spacing w:after="0" w:line="254" w:lineRule="auto"/>
        <w:rPr>
          <w:sz w:val="20"/>
          <w:szCs w:val="20"/>
          <w:color w:val="auto"/>
        </w:rPr>
      </w:pPr>
      <w:r>
        <w:rPr>
          <w:rFonts w:ascii="Arial" w:cs="Arial" w:eastAsia="Arial" w:hAnsi="Arial"/>
          <w:sz w:val="16"/>
          <w:szCs w:val="16"/>
          <w:color w:val="auto"/>
        </w:rPr>
        <w:t>Within the limits of Article 4, the Committee will have sole discretion to determine the number of SARs granted to each Participant and, consistent with the provisions of the Plan, to determine the terms and conditions pertaining to SARs.</w:t>
      </w:r>
    </w:p>
    <w:p>
      <w:pPr>
        <w:ind w:left="380"/>
        <w:spacing w:after="0"/>
        <w:tabs>
          <w:tab w:leader="none" w:pos="800" w:val="left"/>
        </w:tabs>
        <w:rPr>
          <w:sz w:val="20"/>
          <w:szCs w:val="20"/>
          <w:color w:val="auto"/>
        </w:rPr>
      </w:pPr>
      <w:r>
        <w:rPr>
          <w:rFonts w:ascii="Arial" w:cs="Arial" w:eastAsia="Arial" w:hAnsi="Arial"/>
          <w:sz w:val="35"/>
          <w:szCs w:val="35"/>
          <w:b w:val="1"/>
          <w:bCs w:val="1"/>
          <w:color w:val="000000"/>
          <w:vertAlign w:val="superscript"/>
        </w:rPr>
        <w:t>B-</w:t>
      </w:r>
      <w:r>
        <w:rPr>
          <w:rFonts w:ascii="Arial" w:cs="Arial" w:eastAsia="Arial" w:hAnsi="Arial"/>
          <w:sz w:val="15"/>
          <w:szCs w:val="15"/>
          <w:b w:val="1"/>
          <w:bCs w:val="1"/>
          <w:color w:val="E2231A"/>
        </w:rPr>
        <w:t xml:space="preserve"> </w:t>
      </w:r>
      <w:r>
        <w:rPr>
          <w:rFonts w:ascii="Arial" w:cs="Arial" w:eastAsia="Arial" w:hAnsi="Arial"/>
          <w:sz w:val="35"/>
          <w:szCs w:val="35"/>
          <w:b w:val="1"/>
          <w:bCs w:val="1"/>
          <w:color w:val="E2231A"/>
          <w:vertAlign w:val="superscript"/>
        </w:rPr>
        <w:t>|</w:t>
      </w:r>
      <w:r>
        <w:rPr>
          <w:sz w:val="20"/>
          <w:szCs w:val="20"/>
          <w:color w:val="auto"/>
        </w:rPr>
        <w:tab/>
      </w:r>
      <w:r>
        <w:rPr>
          <w:rFonts w:ascii="Arial" w:cs="Arial" w:eastAsia="Arial" w:hAnsi="Arial"/>
          <w:sz w:val="14"/>
          <w:szCs w:val="14"/>
          <w:b w:val="1"/>
          <w:bCs w:val="1"/>
          <w:color w:val="E2231A"/>
        </w:rPr>
        <w:t>LEAR CORPORATION</w:t>
      </w:r>
    </w:p>
    <w:p>
      <w:pPr>
        <w:ind w:left="320"/>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140"/>
          </w:cols>
          <w:pgMar w:left="240" w:top="455" w:right="5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APPENDIX B</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grant price of a SAR will equal the Fair Market Value on the date of grant of the SAR.</w:t>
      </w:r>
    </w:p>
    <w:p>
      <w:pPr>
        <w:spacing w:after="0" w:line="89" w:lineRule="exact"/>
        <w:rPr>
          <w:sz w:val="20"/>
          <w:szCs w:val="20"/>
          <w:color w:val="auto"/>
        </w:rPr>
      </w:pPr>
    </w:p>
    <w:p>
      <w:pPr>
        <w:ind w:left="280"/>
        <w:spacing w:after="0" w:line="261" w:lineRule="auto"/>
        <w:rPr>
          <w:sz w:val="20"/>
          <w:szCs w:val="20"/>
          <w:color w:val="auto"/>
        </w:rPr>
      </w:pPr>
      <w:r>
        <w:rPr>
          <w:rFonts w:ascii="Arial" w:cs="Arial" w:eastAsia="Arial" w:hAnsi="Arial"/>
          <w:sz w:val="16"/>
          <w:szCs w:val="16"/>
          <w:b w:val="1"/>
          <w:bCs w:val="1"/>
          <w:color w:val="auto"/>
        </w:rPr>
        <w:t xml:space="preserve">7.2 Exercise of Tandem SARs. </w:t>
      </w:r>
      <w:r>
        <w:rPr>
          <w:rFonts w:ascii="Arial" w:cs="Arial" w:eastAsia="Arial" w:hAnsi="Arial"/>
          <w:sz w:val="16"/>
          <w:szCs w:val="16"/>
          <w:color w:val="auto"/>
        </w:rPr>
        <w:t>Tandem SARs may be exercised for all or part of the Shares subject to the related Option, upon the surrender of the right</w:t>
      </w:r>
      <w:r>
        <w:rPr>
          <w:rFonts w:ascii="Arial" w:cs="Arial" w:eastAsia="Arial" w:hAnsi="Arial"/>
          <w:sz w:val="16"/>
          <w:szCs w:val="16"/>
          <w:b w:val="1"/>
          <w:bCs w:val="1"/>
          <w:color w:val="auto"/>
        </w:rPr>
        <w:t xml:space="preserve"> </w:t>
      </w:r>
      <w:r>
        <w:rPr>
          <w:rFonts w:ascii="Arial" w:cs="Arial" w:eastAsia="Arial" w:hAnsi="Arial"/>
          <w:sz w:val="16"/>
          <w:szCs w:val="16"/>
          <w:color w:val="auto"/>
        </w:rPr>
        <w:t>to exercise the equivalent portion of the related Option. A Tandem SAR may be exercised only with respect to the Shares for which its related Option is then exercisable.</w:t>
      </w:r>
    </w:p>
    <w:p>
      <w:pPr>
        <w:spacing w:after="0" w:line="66" w:lineRule="exact"/>
        <w:rPr>
          <w:sz w:val="20"/>
          <w:szCs w:val="20"/>
          <w:color w:val="auto"/>
        </w:rPr>
      </w:pPr>
    </w:p>
    <w:p>
      <w:pPr>
        <w:ind w:left="280" w:right="220"/>
        <w:spacing w:after="0" w:line="280" w:lineRule="auto"/>
        <w:rPr>
          <w:sz w:val="20"/>
          <w:szCs w:val="20"/>
          <w:color w:val="auto"/>
        </w:rPr>
      </w:pPr>
      <w:r>
        <w:rPr>
          <w:rFonts w:ascii="Arial" w:cs="Arial" w:eastAsia="Arial" w:hAnsi="Arial"/>
          <w:sz w:val="16"/>
          <w:szCs w:val="16"/>
          <w:b w:val="1"/>
          <w:bCs w:val="1"/>
          <w:color w:val="auto"/>
        </w:rPr>
        <w:t xml:space="preserve">7.3 Exercise of Freestanding SARs. </w:t>
      </w:r>
      <w:r>
        <w:rPr>
          <w:rFonts w:ascii="Arial" w:cs="Arial" w:eastAsia="Arial" w:hAnsi="Arial"/>
          <w:sz w:val="16"/>
          <w:szCs w:val="16"/>
          <w:color w:val="auto"/>
        </w:rPr>
        <w:t>Freestanding SARs may be exercised upon whatever terms and conditions the Committee, in its sole discretion,</w:t>
      </w:r>
      <w:r>
        <w:rPr>
          <w:rFonts w:ascii="Arial" w:cs="Arial" w:eastAsia="Arial" w:hAnsi="Arial"/>
          <w:sz w:val="16"/>
          <w:szCs w:val="16"/>
          <w:b w:val="1"/>
          <w:bCs w:val="1"/>
          <w:color w:val="auto"/>
        </w:rPr>
        <w:t xml:space="preserve"> </w:t>
      </w:r>
      <w:r>
        <w:rPr>
          <w:rFonts w:ascii="Arial" w:cs="Arial" w:eastAsia="Arial" w:hAnsi="Arial"/>
          <w:sz w:val="16"/>
          <w:szCs w:val="16"/>
          <w:color w:val="auto"/>
        </w:rPr>
        <w:t>imposes.</w:t>
      </w:r>
    </w:p>
    <w:p>
      <w:pPr>
        <w:spacing w:after="0" w:line="50" w:lineRule="exact"/>
        <w:rPr>
          <w:sz w:val="20"/>
          <w:szCs w:val="20"/>
          <w:color w:val="auto"/>
        </w:rPr>
      </w:pPr>
    </w:p>
    <w:p>
      <w:pPr>
        <w:ind w:left="280" w:right="340"/>
        <w:spacing w:after="0" w:line="280" w:lineRule="auto"/>
        <w:rPr>
          <w:sz w:val="20"/>
          <w:szCs w:val="20"/>
          <w:color w:val="auto"/>
        </w:rPr>
      </w:pPr>
      <w:r>
        <w:rPr>
          <w:rFonts w:ascii="Arial" w:cs="Arial" w:eastAsia="Arial" w:hAnsi="Arial"/>
          <w:sz w:val="16"/>
          <w:szCs w:val="16"/>
          <w:b w:val="1"/>
          <w:bCs w:val="1"/>
          <w:color w:val="auto"/>
        </w:rPr>
        <w:t xml:space="preserve">7.4 Award Agreement. </w:t>
      </w:r>
      <w:r>
        <w:rPr>
          <w:rFonts w:ascii="Arial" w:cs="Arial" w:eastAsia="Arial" w:hAnsi="Arial"/>
          <w:sz w:val="16"/>
          <w:szCs w:val="16"/>
          <w:color w:val="auto"/>
        </w:rPr>
        <w:t>Each SAR grant will be evidenced by an Award Agreement that specifies the grant price, the term of the SAR and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as the Committee determines.</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7.5 Term of SARs. </w:t>
      </w:r>
      <w:r>
        <w:rPr>
          <w:rFonts w:ascii="Arial" w:cs="Arial" w:eastAsia="Arial" w:hAnsi="Arial"/>
          <w:sz w:val="16"/>
          <w:szCs w:val="16"/>
          <w:color w:val="auto"/>
        </w:rPr>
        <w:t>The term of an SAR will be determined by the Committee, in its sole discretion, but may not exceed ten (10) years.</w:t>
      </w:r>
    </w:p>
    <w:p>
      <w:pPr>
        <w:spacing w:after="0" w:line="109" w:lineRule="exact"/>
        <w:rPr>
          <w:sz w:val="20"/>
          <w:szCs w:val="20"/>
          <w:color w:val="auto"/>
        </w:rPr>
      </w:pPr>
    </w:p>
    <w:p>
      <w:pPr>
        <w:ind w:left="280" w:right="20"/>
        <w:spacing w:after="0" w:line="280" w:lineRule="auto"/>
        <w:rPr>
          <w:sz w:val="20"/>
          <w:szCs w:val="20"/>
          <w:color w:val="auto"/>
        </w:rPr>
      </w:pPr>
      <w:r>
        <w:rPr>
          <w:rFonts w:ascii="Arial" w:cs="Arial" w:eastAsia="Arial" w:hAnsi="Arial"/>
          <w:sz w:val="16"/>
          <w:szCs w:val="16"/>
          <w:b w:val="1"/>
          <w:bCs w:val="1"/>
          <w:color w:val="auto"/>
        </w:rPr>
        <w:t xml:space="preserve">7.6 Payment of SAR Amount. </w:t>
      </w:r>
      <w:r>
        <w:rPr>
          <w:rFonts w:ascii="Arial" w:cs="Arial" w:eastAsia="Arial" w:hAnsi="Arial"/>
          <w:sz w:val="16"/>
          <w:szCs w:val="16"/>
          <w:color w:val="auto"/>
        </w:rPr>
        <w:t>Upon exercise of an SAR, a Participant will be entitled to receive payment from the Company in an amount determined by</w:t>
      </w:r>
      <w:r>
        <w:rPr>
          <w:rFonts w:ascii="Arial" w:cs="Arial" w:eastAsia="Arial" w:hAnsi="Arial"/>
          <w:sz w:val="16"/>
          <w:szCs w:val="16"/>
          <w:b w:val="1"/>
          <w:bCs w:val="1"/>
          <w:color w:val="auto"/>
        </w:rPr>
        <w:t xml:space="preserve"> </w:t>
      </w:r>
      <w:r>
        <w:rPr>
          <w:rFonts w:ascii="Arial" w:cs="Arial" w:eastAsia="Arial" w:hAnsi="Arial"/>
          <w:sz w:val="16"/>
          <w:szCs w:val="16"/>
          <w:color w:val="auto"/>
        </w:rPr>
        <w:t>multiplying:</w:t>
      </w:r>
    </w:p>
    <w:p>
      <w:pPr>
        <w:spacing w:after="0" w:line="84" w:lineRule="exact"/>
        <w:rPr>
          <w:sz w:val="20"/>
          <w:szCs w:val="20"/>
          <w:color w:val="auto"/>
        </w:rPr>
      </w:pPr>
    </w:p>
    <w:p>
      <w:pPr>
        <w:ind w:left="600" w:right="320" w:hanging="320"/>
        <w:spacing w:after="0" w:line="254" w:lineRule="auto"/>
        <w:tabs>
          <w:tab w:leader="none" w:pos="6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excess (or some portion of the excess as determined at the time of the grant by the Committee) if any, of the Fair Market Value on the date of exercise of the SAR over the grant price specified in the Award Agreement; by</w:t>
      </w:r>
    </w:p>
    <w:p>
      <w:pPr>
        <w:spacing w:after="0" w:line="103" w:lineRule="exact"/>
        <w:rPr>
          <w:rFonts w:ascii="Arial" w:cs="Arial" w:eastAsia="Arial" w:hAnsi="Arial"/>
          <w:sz w:val="16"/>
          <w:szCs w:val="16"/>
          <w:color w:val="auto"/>
        </w:rPr>
      </w:pPr>
    </w:p>
    <w:p>
      <w:pPr>
        <w:ind w:left="600" w:hanging="320"/>
        <w:spacing w:after="0"/>
        <w:tabs>
          <w:tab w:leader="none" w:pos="6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number of Shares as to which the SAR is exercised.</w:t>
      </w:r>
    </w:p>
    <w:p>
      <w:pPr>
        <w:spacing w:after="0" w:line="109" w:lineRule="exact"/>
        <w:rPr>
          <w:sz w:val="20"/>
          <w:szCs w:val="20"/>
          <w:color w:val="auto"/>
        </w:rPr>
      </w:pPr>
    </w:p>
    <w:p>
      <w:pPr>
        <w:ind w:left="280" w:right="140"/>
        <w:spacing w:after="0" w:line="254" w:lineRule="auto"/>
        <w:rPr>
          <w:sz w:val="20"/>
          <w:szCs w:val="20"/>
          <w:color w:val="auto"/>
        </w:rPr>
      </w:pPr>
      <w:r>
        <w:rPr>
          <w:rFonts w:ascii="Arial" w:cs="Arial" w:eastAsia="Arial" w:hAnsi="Arial"/>
          <w:sz w:val="16"/>
          <w:szCs w:val="16"/>
          <w:color w:val="auto"/>
        </w:rPr>
        <w:t>The payment upon SAR exercise may be made in cash, in Shares of equivalent Fair Market Value or in some combination of the two, as specified in the Award Agreement.</w:t>
      </w:r>
    </w:p>
    <w:p>
      <w:pPr>
        <w:spacing w:after="0" w:line="70" w:lineRule="exact"/>
        <w:rPr>
          <w:sz w:val="20"/>
          <w:szCs w:val="20"/>
          <w:color w:val="auto"/>
        </w:rPr>
      </w:pPr>
    </w:p>
    <w:p>
      <w:pPr>
        <w:jc w:val="both"/>
        <w:ind w:left="280" w:right="20"/>
        <w:spacing w:after="0" w:line="287" w:lineRule="auto"/>
        <w:rPr>
          <w:sz w:val="20"/>
          <w:szCs w:val="20"/>
          <w:color w:val="auto"/>
        </w:rPr>
      </w:pPr>
      <w:r>
        <w:rPr>
          <w:rFonts w:ascii="Arial" w:cs="Arial" w:eastAsia="Arial" w:hAnsi="Arial"/>
          <w:sz w:val="15"/>
          <w:szCs w:val="15"/>
          <w:b w:val="1"/>
          <w:bCs w:val="1"/>
          <w:color w:val="auto"/>
        </w:rPr>
        <w:t xml:space="preserve">7.7 Termination of Employment. </w:t>
      </w:r>
      <w:r>
        <w:rPr>
          <w:rFonts w:ascii="Arial" w:cs="Arial" w:eastAsia="Arial" w:hAnsi="Arial"/>
          <w:sz w:val="15"/>
          <w:szCs w:val="15"/>
          <w:color w:val="auto"/>
        </w:rPr>
        <w:t>Each SAR Award Agreement will set forth the extent to which the Participant has the right to exercise the SAR after his</w:t>
      </w:r>
      <w:r>
        <w:rPr>
          <w:rFonts w:ascii="Arial" w:cs="Arial" w:eastAsia="Arial" w:hAnsi="Arial"/>
          <w:sz w:val="15"/>
          <w:szCs w:val="15"/>
          <w:b w:val="1"/>
          <w:bCs w:val="1"/>
          <w:color w:val="auto"/>
        </w:rPr>
        <w:t xml:space="preserve"> </w:t>
      </w:r>
      <w:r>
        <w:rPr>
          <w:rFonts w:ascii="Arial" w:cs="Arial" w:eastAsia="Arial" w:hAnsi="Arial"/>
          <w:sz w:val="15"/>
          <w:szCs w:val="15"/>
          <w:color w:val="auto"/>
        </w:rPr>
        <w:t>or her termination of employment with the Company and all Affiliates. These terms will be determined by the Committee in its sole discretion, need not be uniform among all SARs issued under the Plan, and may reflect, among other things, distinctions based on the reasons for termination of employment.</w:t>
      </w:r>
    </w:p>
    <w:p>
      <w:pPr>
        <w:spacing w:after="0" w:line="47" w:lineRule="exact"/>
        <w:rPr>
          <w:sz w:val="20"/>
          <w:szCs w:val="20"/>
          <w:color w:val="auto"/>
        </w:rPr>
      </w:pPr>
    </w:p>
    <w:p>
      <w:pPr>
        <w:ind w:left="280" w:right="20"/>
        <w:spacing w:after="0" w:line="250" w:lineRule="auto"/>
        <w:rPr>
          <w:sz w:val="20"/>
          <w:szCs w:val="20"/>
          <w:color w:val="auto"/>
        </w:rPr>
      </w:pPr>
      <w:r>
        <w:rPr>
          <w:rFonts w:ascii="Arial" w:cs="Arial" w:eastAsia="Arial" w:hAnsi="Arial"/>
          <w:sz w:val="16"/>
          <w:szCs w:val="16"/>
          <w:b w:val="1"/>
          <w:bCs w:val="1"/>
          <w:color w:val="auto"/>
        </w:rPr>
        <w:t xml:space="preserve">7.8 Nontransferability of SARs. </w:t>
      </w:r>
      <w:r>
        <w:rPr>
          <w:rFonts w:ascii="Arial" w:cs="Arial" w:eastAsia="Arial" w:hAnsi="Arial"/>
          <w:sz w:val="16"/>
          <w:szCs w:val="16"/>
          <w:color w:val="auto"/>
        </w:rPr>
        <w:t>Except as otherwise provided in a Participant’s Award Agreement, no SAR may be sold, transferred, pledged, assigned,</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alienated or hypothecated, other than by will or by the laws of descent and distribution, or pursuant to a domestic relations order (as defined in Code Section 414(p)). Further, except as otherwise provided in a Participant’s Award Agreement, all SARs will be exercisable during the Participant’s lifetime only by the Participant or the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75" w:lineRule="exact"/>
        <w:rPr>
          <w:sz w:val="20"/>
          <w:szCs w:val="20"/>
          <w:color w:val="auto"/>
        </w:rPr>
      </w:pPr>
    </w:p>
    <w:p>
      <w:pPr>
        <w:ind w:left="280" w:right="160"/>
        <w:spacing w:after="0" w:line="280" w:lineRule="auto"/>
        <w:rPr>
          <w:sz w:val="20"/>
          <w:szCs w:val="20"/>
          <w:color w:val="auto"/>
        </w:rPr>
      </w:pPr>
      <w:r>
        <w:rPr>
          <w:rFonts w:ascii="Arial" w:cs="Arial" w:eastAsia="Arial" w:hAnsi="Arial"/>
          <w:sz w:val="16"/>
          <w:szCs w:val="16"/>
          <w:b w:val="1"/>
          <w:bCs w:val="1"/>
          <w:color w:val="auto"/>
        </w:rPr>
        <w:t xml:space="preserve">7.9 No Dividend Equivalents. </w:t>
      </w:r>
      <w:r>
        <w:rPr>
          <w:rFonts w:ascii="Arial" w:cs="Arial" w:eastAsia="Arial" w:hAnsi="Arial"/>
          <w:sz w:val="16"/>
          <w:szCs w:val="16"/>
          <w:color w:val="auto"/>
        </w:rPr>
        <w:t>Subject to Section 4.3, the Committee may not grant payments in connection with SARs that are equivalent to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declared and paid on the Shares underlying the SARs.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8. Restricted Stock, Restricted Stock Units and Restricted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01" w:lineRule="exact"/>
        <w:rPr>
          <w:sz w:val="20"/>
          <w:szCs w:val="20"/>
          <w:color w:val="auto"/>
        </w:rPr>
      </w:pPr>
    </w:p>
    <w:p>
      <w:pPr>
        <w:ind w:left="280" w:right="20"/>
        <w:spacing w:after="0" w:line="280" w:lineRule="auto"/>
        <w:rPr>
          <w:sz w:val="20"/>
          <w:szCs w:val="20"/>
          <w:color w:val="auto"/>
        </w:rPr>
      </w:pPr>
      <w:r>
        <w:rPr>
          <w:rFonts w:ascii="Arial" w:cs="Arial" w:eastAsia="Arial" w:hAnsi="Arial"/>
          <w:sz w:val="16"/>
          <w:szCs w:val="16"/>
          <w:b w:val="1"/>
          <w:bCs w:val="1"/>
          <w:color w:val="auto"/>
        </w:rPr>
        <w:t xml:space="preserve">8.1 Grant of Restricted Stock, Restricted Stock Units or Restricted Units. </w:t>
      </w:r>
      <w:r>
        <w:rPr>
          <w:rFonts w:ascii="Arial" w:cs="Arial" w:eastAsia="Arial" w:hAnsi="Arial"/>
          <w:sz w:val="16"/>
          <w:szCs w:val="16"/>
          <w:color w:val="auto"/>
        </w:rPr>
        <w:t>Subject to the terms and provisions of the Plan, the Committee may,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and from time to time, grant Restricted Stock, Restricted Stock Units or Restricted Units to Participants in such amounts as it determines.</w:t>
      </w:r>
    </w:p>
    <w:p>
      <w:pPr>
        <w:spacing w:after="0" w:line="50" w:lineRule="exact"/>
        <w:rPr>
          <w:sz w:val="20"/>
          <w:szCs w:val="20"/>
          <w:color w:val="auto"/>
        </w:rPr>
      </w:pPr>
    </w:p>
    <w:p>
      <w:pPr>
        <w:ind w:left="280" w:right="480"/>
        <w:spacing w:after="0" w:line="315" w:lineRule="auto"/>
        <w:rPr>
          <w:sz w:val="20"/>
          <w:szCs w:val="20"/>
          <w:color w:val="auto"/>
        </w:rPr>
      </w:pPr>
      <w:r>
        <w:rPr>
          <w:rFonts w:ascii="Arial" w:cs="Arial" w:eastAsia="Arial" w:hAnsi="Arial"/>
          <w:sz w:val="15"/>
          <w:szCs w:val="15"/>
          <w:b w:val="1"/>
          <w:bCs w:val="1"/>
          <w:color w:val="auto"/>
        </w:rPr>
        <w:t xml:space="preserve">8.2 Award Agreement. </w:t>
      </w:r>
      <w:r>
        <w:rPr>
          <w:rFonts w:ascii="Arial" w:cs="Arial" w:eastAsia="Arial" w:hAnsi="Arial"/>
          <w:sz w:val="15"/>
          <w:szCs w:val="15"/>
          <w:color w:val="auto"/>
        </w:rPr>
        <w:t>Each grant of Restricted Stock, Restricted Units or Restricted Stock Units will be evidenced by an Award Agreement that</w:t>
      </w:r>
      <w:r>
        <w:rPr>
          <w:rFonts w:ascii="Arial" w:cs="Arial" w:eastAsia="Arial" w:hAnsi="Arial"/>
          <w:sz w:val="15"/>
          <w:szCs w:val="15"/>
          <w:b w:val="1"/>
          <w:bCs w:val="1"/>
          <w:color w:val="auto"/>
        </w:rPr>
        <w:t xml:space="preserve"> </w:t>
      </w:r>
      <w:r>
        <w:rPr>
          <w:rFonts w:ascii="Arial" w:cs="Arial" w:eastAsia="Arial" w:hAnsi="Arial"/>
          <w:sz w:val="15"/>
          <w:szCs w:val="15"/>
          <w:color w:val="auto"/>
        </w:rPr>
        <w:t>specifies the Restriction Periods, the number of Shares or Share equivalent units granted, and such other provisions as the Committee determines.</w:t>
      </w:r>
    </w:p>
    <w:p>
      <w:pPr>
        <w:spacing w:after="0" w:line="27" w:lineRule="exact"/>
        <w:rPr>
          <w:sz w:val="20"/>
          <w:szCs w:val="20"/>
          <w:color w:val="auto"/>
        </w:rPr>
      </w:pPr>
    </w:p>
    <w:p>
      <w:pPr>
        <w:ind w:left="280" w:right="100"/>
        <w:spacing w:after="0" w:line="250" w:lineRule="auto"/>
        <w:rPr>
          <w:sz w:val="20"/>
          <w:szCs w:val="20"/>
          <w:color w:val="auto"/>
        </w:rPr>
      </w:pPr>
      <w:r>
        <w:rPr>
          <w:rFonts w:ascii="Arial" w:cs="Arial" w:eastAsia="Arial" w:hAnsi="Arial"/>
          <w:sz w:val="16"/>
          <w:szCs w:val="16"/>
          <w:b w:val="1"/>
          <w:bCs w:val="1"/>
          <w:color w:val="auto"/>
        </w:rPr>
        <w:t xml:space="preserve">8.3 Nontransferability. </w:t>
      </w:r>
      <w:r>
        <w:rPr>
          <w:rFonts w:ascii="Arial" w:cs="Arial" w:eastAsia="Arial" w:hAnsi="Arial"/>
          <w:sz w:val="16"/>
          <w:szCs w:val="16"/>
          <w:color w:val="auto"/>
        </w:rPr>
        <w:t>Restricted Stock, Restricted Units and Restricted Stock Units granted herein may not be sold, transferred, pledged, assigned,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alienated or hypothecated, other than by will or by the laws of descent and distribution, or pursuant to a domestic relations order (as defined in Code Section 414(p)), until the end of the applicable Restriction Period as specified in the Award Agreement, or upon earlier satisfaction of any other conditions specified by the Committee in its sole discretion and set forth in the Award Agreement. All rights with respect to Restricted Stock, Restricted Units and Restricted Stock Units will be available during the Participant’s lifetime only to the Participant or the Participant’s guardian or legal representative. The Committee</w:t>
      </w:r>
    </w:p>
    <w:p>
      <w:pPr>
        <w:ind w:left="9040"/>
        <w:spacing w:after="0"/>
        <w:tabs>
          <w:tab w:leader="none" w:pos="10740" w:val="left"/>
          <w:tab w:leader="none" w:pos="109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36"/>
          <w:szCs w:val="36"/>
          <w:b w:val="1"/>
          <w:bCs w:val="1"/>
          <w:color w:val="E2231A"/>
          <w:vertAlign w:val="superscript"/>
        </w:rPr>
        <w:t>|</w:t>
      </w:r>
      <w:r>
        <w:rPr>
          <w:sz w:val="20"/>
          <w:szCs w:val="20"/>
          <w:color w:val="auto"/>
        </w:rPr>
        <w:tab/>
      </w:r>
      <w:r>
        <w:rPr>
          <w:rFonts w:ascii="Arial" w:cs="Arial" w:eastAsia="Arial" w:hAnsi="Arial"/>
          <w:sz w:val="25"/>
          <w:szCs w:val="25"/>
          <w:b w:val="1"/>
          <w:bCs w:val="1"/>
          <w:color w:val="auto"/>
          <w:vertAlign w:val="superscript"/>
        </w:rPr>
        <w:t>B-</w:t>
      </w:r>
    </w:p>
    <w:p>
      <w:pPr>
        <w:ind w:left="10900"/>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140"/>
          </w:cols>
          <w:pgMar w:left="240" w:top="455" w:right="5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APPENDIX B</w:t>
      </w:r>
    </w:p>
    <w:p>
      <w:pPr>
        <w:spacing w:after="0" w:line="157" w:lineRule="exact"/>
        <w:rPr>
          <w:sz w:val="20"/>
          <w:szCs w:val="20"/>
          <w:color w:val="auto"/>
        </w:rPr>
      </w:pPr>
    </w:p>
    <w:p>
      <w:pPr>
        <w:ind w:left="280" w:right="180"/>
        <w:spacing w:after="0" w:line="254" w:lineRule="auto"/>
        <w:rPr>
          <w:sz w:val="20"/>
          <w:szCs w:val="20"/>
          <w:color w:val="auto"/>
        </w:rPr>
      </w:pPr>
      <w:r>
        <w:rPr>
          <w:rFonts w:ascii="Arial" w:cs="Arial" w:eastAsia="Arial" w:hAnsi="Arial"/>
          <w:sz w:val="16"/>
          <w:szCs w:val="16"/>
          <w:color w:val="auto"/>
        </w:rPr>
        <w:t>may, in its discretion, require a Participant’s guardian or legal representative to supply it with evidence the Committee deems necessary to establish the authority of the guardian or legal representative to act on behalf of the Participant.</w:t>
      </w:r>
    </w:p>
    <w:p>
      <w:pPr>
        <w:spacing w:after="0" w:line="70" w:lineRule="exact"/>
        <w:rPr>
          <w:sz w:val="20"/>
          <w:szCs w:val="20"/>
          <w:color w:val="auto"/>
        </w:rPr>
      </w:pPr>
    </w:p>
    <w:p>
      <w:pPr>
        <w:ind w:left="280" w:right="220"/>
        <w:spacing w:after="0" w:line="252" w:lineRule="auto"/>
        <w:rPr>
          <w:sz w:val="20"/>
          <w:szCs w:val="20"/>
          <w:color w:val="auto"/>
        </w:rPr>
      </w:pPr>
      <w:r>
        <w:rPr>
          <w:rFonts w:ascii="Arial" w:cs="Arial" w:eastAsia="Arial" w:hAnsi="Arial"/>
          <w:sz w:val="16"/>
          <w:szCs w:val="16"/>
          <w:b w:val="1"/>
          <w:bCs w:val="1"/>
          <w:color w:val="auto"/>
        </w:rPr>
        <w:t xml:space="preserve">8.4 Other Restrictions. </w:t>
      </w:r>
      <w:r>
        <w:rPr>
          <w:rFonts w:ascii="Arial" w:cs="Arial" w:eastAsia="Arial" w:hAnsi="Arial"/>
          <w:sz w:val="16"/>
          <w:szCs w:val="16"/>
          <w:color w:val="auto"/>
        </w:rPr>
        <w:t>The Committee may impose such other conditions or restrictions on any Restricted Stock, Restricted Units or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Units as it deems advisable including, without limitation, restrictions based upon the achievement of specific performance objectives (Company-wide, business unit, individual, or any combination of them), time-based restrictions on vesting following the attainment of the performance objectives, and restrictions under applicable federal or state securities laws. The Committee may provide that restrictions established under this Section 8.4 as to any given Award will lapse all at once or in installments.</w:t>
      </w:r>
    </w:p>
    <w:p>
      <w:pPr>
        <w:spacing w:after="0" w:line="93" w:lineRule="exact"/>
        <w:rPr>
          <w:sz w:val="20"/>
          <w:szCs w:val="20"/>
          <w:color w:val="auto"/>
        </w:rPr>
      </w:pPr>
    </w:p>
    <w:p>
      <w:pPr>
        <w:ind w:left="280" w:right="340"/>
        <w:spacing w:after="0" w:line="254" w:lineRule="auto"/>
        <w:rPr>
          <w:sz w:val="20"/>
          <w:szCs w:val="20"/>
          <w:color w:val="auto"/>
        </w:rPr>
      </w:pPr>
      <w:r>
        <w:rPr>
          <w:rFonts w:ascii="Arial" w:cs="Arial" w:eastAsia="Arial" w:hAnsi="Arial"/>
          <w:sz w:val="16"/>
          <w:szCs w:val="16"/>
          <w:color w:val="auto"/>
        </w:rPr>
        <w:t>The Company will retain the certificates representing Shares of Restricted Stock in its possession until all conditions and restrictions applicable to the Shares have been satisfied.</w:t>
      </w:r>
    </w:p>
    <w:p>
      <w:pPr>
        <w:spacing w:after="0" w:line="70" w:lineRule="exact"/>
        <w:rPr>
          <w:sz w:val="20"/>
          <w:szCs w:val="20"/>
          <w:color w:val="auto"/>
        </w:rPr>
      </w:pPr>
    </w:p>
    <w:p>
      <w:pPr>
        <w:ind w:left="280"/>
        <w:spacing w:after="0" w:line="255" w:lineRule="auto"/>
        <w:rPr>
          <w:sz w:val="20"/>
          <w:szCs w:val="20"/>
          <w:color w:val="auto"/>
        </w:rPr>
      </w:pPr>
      <w:r>
        <w:rPr>
          <w:rFonts w:ascii="Arial" w:cs="Arial" w:eastAsia="Arial" w:hAnsi="Arial"/>
          <w:sz w:val="16"/>
          <w:szCs w:val="16"/>
          <w:b w:val="1"/>
          <w:bCs w:val="1"/>
          <w:color w:val="auto"/>
        </w:rPr>
        <w:t xml:space="preserve">8.5 Payment of Awards. </w:t>
      </w:r>
      <w:r>
        <w:rPr>
          <w:rFonts w:ascii="Arial" w:cs="Arial" w:eastAsia="Arial" w:hAnsi="Arial"/>
          <w:sz w:val="16"/>
          <w:szCs w:val="16"/>
          <w:color w:val="auto"/>
        </w:rPr>
        <w:t>Except as otherwise provided in this Article 8, Shares covered by each Restricted Stock grant will become freely transferable by</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after the last day of the applicable Restriction Period, and Share equivalent units covered by a Restricted Unit or Restricted Stock Unit will be paid out in cash or Shares to the Participant following the last day of the applicable Restriction Period, or on a later date provided in the Award Agreement.</w:t>
      </w:r>
    </w:p>
    <w:p>
      <w:pPr>
        <w:spacing w:after="0" w:line="71" w:lineRule="exact"/>
        <w:rPr>
          <w:sz w:val="20"/>
          <w:szCs w:val="20"/>
          <w:color w:val="auto"/>
        </w:rPr>
      </w:pPr>
    </w:p>
    <w:p>
      <w:pPr>
        <w:ind w:left="280" w:right="360"/>
        <w:spacing w:after="0" w:line="280" w:lineRule="auto"/>
        <w:rPr>
          <w:sz w:val="20"/>
          <w:szCs w:val="20"/>
          <w:color w:val="auto"/>
        </w:rPr>
      </w:pPr>
      <w:r>
        <w:rPr>
          <w:rFonts w:ascii="Arial" w:cs="Arial" w:eastAsia="Arial" w:hAnsi="Arial"/>
          <w:sz w:val="16"/>
          <w:szCs w:val="16"/>
          <w:b w:val="1"/>
          <w:bCs w:val="1"/>
          <w:color w:val="auto"/>
        </w:rPr>
        <w:t xml:space="preserve">8.6 Voting Rights. </w:t>
      </w:r>
      <w:r>
        <w:rPr>
          <w:rFonts w:ascii="Arial" w:cs="Arial" w:eastAsia="Arial" w:hAnsi="Arial"/>
          <w:sz w:val="16"/>
          <w:szCs w:val="16"/>
          <w:color w:val="auto"/>
        </w:rPr>
        <w:t>During the Restriction Period, Participants holding Shares of Restricted Stock may exercise full voting rights with respect to those</w:t>
      </w:r>
      <w:r>
        <w:rPr>
          <w:rFonts w:ascii="Arial" w:cs="Arial" w:eastAsia="Arial" w:hAnsi="Arial"/>
          <w:sz w:val="16"/>
          <w:szCs w:val="16"/>
          <w:b w:val="1"/>
          <w:bCs w:val="1"/>
          <w:color w:val="auto"/>
        </w:rPr>
        <w:t xml:space="preserve"> </w:t>
      </w:r>
      <w:r>
        <w:rPr>
          <w:rFonts w:ascii="Arial" w:cs="Arial" w:eastAsia="Arial" w:hAnsi="Arial"/>
          <w:sz w:val="16"/>
          <w:szCs w:val="16"/>
          <w:color w:val="auto"/>
        </w:rPr>
        <w:t>Shares.</w:t>
      </w:r>
    </w:p>
    <w:p>
      <w:pPr>
        <w:spacing w:after="0" w:line="50" w:lineRule="exact"/>
        <w:rPr>
          <w:sz w:val="20"/>
          <w:szCs w:val="20"/>
          <w:color w:val="auto"/>
        </w:rPr>
      </w:pPr>
    </w:p>
    <w:p>
      <w:pPr>
        <w:ind w:left="280" w:right="260"/>
        <w:spacing w:after="0" w:line="249" w:lineRule="auto"/>
        <w:rPr>
          <w:sz w:val="20"/>
          <w:szCs w:val="20"/>
          <w:color w:val="auto"/>
        </w:rPr>
      </w:pPr>
      <w:r>
        <w:rPr>
          <w:rFonts w:ascii="Arial" w:cs="Arial" w:eastAsia="Arial" w:hAnsi="Arial"/>
          <w:sz w:val="16"/>
          <w:szCs w:val="16"/>
          <w:b w:val="1"/>
          <w:bCs w:val="1"/>
          <w:color w:val="auto"/>
        </w:rPr>
        <w:t xml:space="preserve">8.7 Dividends and Other Distributions. </w:t>
      </w:r>
      <w:r>
        <w:rPr>
          <w:rFonts w:ascii="Arial" w:cs="Arial" w:eastAsia="Arial" w:hAnsi="Arial"/>
          <w:sz w:val="16"/>
          <w:szCs w:val="16"/>
          <w:color w:val="auto"/>
        </w:rPr>
        <w:t>During the Restriction Period, unless otherwise determined by the Committee and set forth in an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Participants awarded Shares of Restricted Stock, Restricted Units or Restricted Stock Units hereunder will be credited with regular cash dividends or dividend equivalents paid on those Shares or with respect to those Share equivalent units. The Committee may apply any restrictions it deems advisable to the crediting and payment of dividends and other distributions; provided, that no dividends or dividend equivalents will be paid on unvested Awards of Restricted Stock, Restricted Units or Restricted Stock Units during the Restriction Period, but to the extent that any such Awards contain the right to receive dividends or dividend equivalents during the Restriction Period, such dividends or dividend equivalents will be accumulated and paid once (and to the extent that) the underlying Awards vest.</w:t>
      </w:r>
    </w:p>
    <w:p>
      <w:pPr>
        <w:spacing w:after="0" w:line="76" w:lineRule="exact"/>
        <w:rPr>
          <w:sz w:val="20"/>
          <w:szCs w:val="20"/>
          <w:color w:val="auto"/>
        </w:rPr>
      </w:pPr>
    </w:p>
    <w:p>
      <w:pPr>
        <w:ind w:left="280" w:right="380"/>
        <w:spacing w:after="0" w:line="255" w:lineRule="auto"/>
        <w:rPr>
          <w:sz w:val="20"/>
          <w:szCs w:val="20"/>
          <w:color w:val="auto"/>
        </w:rPr>
      </w:pPr>
      <w:r>
        <w:rPr>
          <w:rFonts w:ascii="Arial" w:cs="Arial" w:eastAsia="Arial" w:hAnsi="Arial"/>
          <w:sz w:val="16"/>
          <w:szCs w:val="16"/>
          <w:b w:val="1"/>
          <w:bCs w:val="1"/>
          <w:color w:val="auto"/>
        </w:rPr>
        <w:t xml:space="preserve">8.8 Termination of Employment. </w:t>
      </w:r>
      <w:r>
        <w:rPr>
          <w:rFonts w:ascii="Arial" w:cs="Arial" w:eastAsia="Arial" w:hAnsi="Arial"/>
          <w:sz w:val="16"/>
          <w:szCs w:val="16"/>
          <w:color w:val="auto"/>
        </w:rPr>
        <w:t>Each Award Agreement will set forth the extent to which the Participant has the right to retain unvested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Restricted Stock Units or Restricted Units after his or her termination of employment with the Company or an Affiliate. These terms will be determined by the Committee in its sole discretion, need not be uniform among all Awards of Restricted Stock, and may reflect, among other things, distinctions based on the reasons for termination of employment.</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9. Performance Units, Performance Shares and Other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01" w:lineRule="exact"/>
        <w:rPr>
          <w:sz w:val="20"/>
          <w:szCs w:val="20"/>
          <w:color w:val="auto"/>
        </w:rPr>
      </w:pPr>
    </w:p>
    <w:p>
      <w:pPr>
        <w:ind w:left="280" w:right="120"/>
        <w:spacing w:after="0" w:line="280" w:lineRule="auto"/>
        <w:rPr>
          <w:sz w:val="20"/>
          <w:szCs w:val="20"/>
          <w:color w:val="auto"/>
        </w:rPr>
      </w:pPr>
      <w:r>
        <w:rPr>
          <w:rFonts w:ascii="Arial" w:cs="Arial" w:eastAsia="Arial" w:hAnsi="Arial"/>
          <w:sz w:val="16"/>
          <w:szCs w:val="16"/>
          <w:b w:val="1"/>
          <w:bCs w:val="1"/>
          <w:color w:val="auto"/>
        </w:rPr>
        <w:t xml:space="preserve">9.1 Grant of Performance Units or Performance Shares. </w:t>
      </w:r>
      <w:r>
        <w:rPr>
          <w:rFonts w:ascii="Arial" w:cs="Arial" w:eastAsia="Arial" w:hAnsi="Arial"/>
          <w:sz w:val="16"/>
          <w:szCs w:val="16"/>
          <w:color w:val="auto"/>
        </w:rPr>
        <w:t>Subject to the terms of the Plan, Performance Units or Performance Shares may be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to Participants in such amounts and upon such terms, and at any time and from time to time, as the Committee determines.</w:t>
      </w:r>
    </w:p>
    <w:p>
      <w:pPr>
        <w:spacing w:after="0" w:line="50" w:lineRule="exact"/>
        <w:rPr>
          <w:sz w:val="20"/>
          <w:szCs w:val="20"/>
          <w:color w:val="auto"/>
        </w:rPr>
      </w:pPr>
    </w:p>
    <w:p>
      <w:pPr>
        <w:ind w:left="280" w:right="20"/>
        <w:spacing w:after="0" w:line="255" w:lineRule="auto"/>
        <w:rPr>
          <w:sz w:val="20"/>
          <w:szCs w:val="20"/>
          <w:color w:val="auto"/>
        </w:rPr>
      </w:pPr>
      <w:r>
        <w:rPr>
          <w:rFonts w:ascii="Arial" w:cs="Arial" w:eastAsia="Arial" w:hAnsi="Arial"/>
          <w:sz w:val="16"/>
          <w:szCs w:val="16"/>
          <w:b w:val="1"/>
          <w:bCs w:val="1"/>
          <w:color w:val="auto"/>
        </w:rPr>
        <w:t xml:space="preserve">9.2 Value of Performance Units and Performance Shares. </w:t>
      </w:r>
      <w:r>
        <w:rPr>
          <w:rFonts w:ascii="Arial" w:cs="Arial" w:eastAsia="Arial" w:hAnsi="Arial"/>
          <w:sz w:val="16"/>
          <w:szCs w:val="16"/>
          <w:color w:val="auto"/>
        </w:rPr>
        <w:t>Each Performance Unit will have an initial value established by the Committee at the time of</w:t>
      </w:r>
      <w:r>
        <w:rPr>
          <w:rFonts w:ascii="Arial" w:cs="Arial" w:eastAsia="Arial" w:hAnsi="Arial"/>
          <w:sz w:val="16"/>
          <w:szCs w:val="16"/>
          <w:b w:val="1"/>
          <w:bCs w:val="1"/>
          <w:color w:val="auto"/>
        </w:rPr>
        <w:t xml:space="preserve"> </w:t>
      </w:r>
      <w:r>
        <w:rPr>
          <w:rFonts w:ascii="Arial" w:cs="Arial" w:eastAsia="Arial" w:hAnsi="Arial"/>
          <w:sz w:val="16"/>
          <w:szCs w:val="16"/>
          <w:color w:val="auto"/>
        </w:rPr>
        <w:t>grant. Each Performance Share will have an initial value equal to the Fair Market Value on the date of grant. The Committee will set performance objectives and a Performance Period during which the performance objectives must be met in its discretion which, depending on the extent to which they are met, will determine the number or value (or both) of Performance Units or Performance Shares that will be paid out to the Participant.</w:t>
      </w:r>
    </w:p>
    <w:p>
      <w:pPr>
        <w:spacing w:after="0" w:line="71" w:lineRule="exact"/>
        <w:rPr>
          <w:sz w:val="20"/>
          <w:szCs w:val="20"/>
          <w:color w:val="auto"/>
        </w:rPr>
      </w:pPr>
    </w:p>
    <w:p>
      <w:pPr>
        <w:ind w:left="280" w:right="60"/>
        <w:spacing w:after="0" w:line="255" w:lineRule="auto"/>
        <w:rPr>
          <w:sz w:val="20"/>
          <w:szCs w:val="20"/>
          <w:color w:val="auto"/>
        </w:rPr>
      </w:pPr>
      <w:r>
        <w:rPr>
          <w:rFonts w:ascii="Arial" w:cs="Arial" w:eastAsia="Arial" w:hAnsi="Arial"/>
          <w:sz w:val="16"/>
          <w:szCs w:val="16"/>
          <w:b w:val="1"/>
          <w:bCs w:val="1"/>
          <w:color w:val="auto"/>
        </w:rPr>
        <w:t xml:space="preserve">9.3 Earning of Performance Units and Performance Shares. </w:t>
      </w:r>
      <w:r>
        <w:rPr>
          <w:rFonts w:ascii="Arial" w:cs="Arial" w:eastAsia="Arial" w:hAnsi="Arial"/>
          <w:sz w:val="16"/>
          <w:szCs w:val="16"/>
          <w:color w:val="auto"/>
        </w:rPr>
        <w:t>Subject to the terms of this Plan, after the applicable Performance Period has 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 of Performance Units or Performance Shares will be entitled to receive payout on the number and value of Performance Units or Performance Shares earned by the Participant over the Performance Period, to be determined as a function of the extent to which the corresponding performance objectives have been achieved.</w:t>
      </w:r>
    </w:p>
    <w:p>
      <w:pPr>
        <w:spacing w:after="0" w:line="71" w:lineRule="exact"/>
        <w:rPr>
          <w:sz w:val="20"/>
          <w:szCs w:val="20"/>
          <w:color w:val="auto"/>
        </w:rPr>
      </w:pPr>
    </w:p>
    <w:p>
      <w:pPr>
        <w:ind w:left="280" w:right="20"/>
        <w:spacing w:after="0" w:line="261" w:lineRule="auto"/>
        <w:rPr>
          <w:sz w:val="20"/>
          <w:szCs w:val="20"/>
          <w:color w:val="auto"/>
        </w:rPr>
      </w:pPr>
      <w:r>
        <w:rPr>
          <w:rFonts w:ascii="Arial" w:cs="Arial" w:eastAsia="Arial" w:hAnsi="Arial"/>
          <w:sz w:val="16"/>
          <w:szCs w:val="16"/>
          <w:b w:val="1"/>
          <w:bCs w:val="1"/>
          <w:color w:val="auto"/>
        </w:rPr>
        <w:t xml:space="preserve">9.4 Award Agreement. </w:t>
      </w:r>
      <w:r>
        <w:rPr>
          <w:rFonts w:ascii="Arial" w:cs="Arial" w:eastAsia="Arial" w:hAnsi="Arial"/>
          <w:sz w:val="16"/>
          <w:szCs w:val="16"/>
          <w:color w:val="auto"/>
        </w:rPr>
        <w:t>Each grant of Performance Units or Performance Shares will be evidenced by an Award Agreement specifying the material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of the Award (including the form of payment of earned Performance Units or Performance Shares), and such other provisions as the Committee determines.</w:t>
      </w:r>
    </w:p>
    <w:p>
      <w:pPr>
        <w:spacing w:after="0" w:line="66" w:lineRule="exact"/>
        <w:rPr>
          <w:sz w:val="20"/>
          <w:szCs w:val="20"/>
          <w:color w:val="auto"/>
        </w:rPr>
      </w:pPr>
    </w:p>
    <w:p>
      <w:pPr>
        <w:ind w:left="280" w:right="300"/>
        <w:spacing w:after="0" w:line="280" w:lineRule="auto"/>
        <w:rPr>
          <w:sz w:val="20"/>
          <w:szCs w:val="20"/>
          <w:color w:val="auto"/>
        </w:rPr>
      </w:pPr>
      <w:r>
        <w:rPr>
          <w:rFonts w:ascii="Arial" w:cs="Arial" w:eastAsia="Arial" w:hAnsi="Arial"/>
          <w:sz w:val="16"/>
          <w:szCs w:val="16"/>
          <w:b w:val="1"/>
          <w:bCs w:val="1"/>
          <w:color w:val="auto"/>
        </w:rPr>
        <w:t xml:space="preserve">9.5 Dividend Equivalents. </w:t>
      </w:r>
      <w:r>
        <w:rPr>
          <w:rFonts w:ascii="Arial" w:cs="Arial" w:eastAsia="Arial" w:hAnsi="Arial"/>
          <w:sz w:val="16"/>
          <w:szCs w:val="16"/>
          <w:color w:val="auto"/>
        </w:rPr>
        <w:t>Unless otherwise determined by the Committee and set forth in an Award Agreement, dividend equivalents will be paid on</w:t>
      </w:r>
      <w:r>
        <w:rPr>
          <w:rFonts w:ascii="Arial" w:cs="Arial" w:eastAsia="Arial" w:hAnsi="Arial"/>
          <w:sz w:val="16"/>
          <w:szCs w:val="16"/>
          <w:b w:val="1"/>
          <w:bCs w:val="1"/>
          <w:color w:val="auto"/>
        </w:rPr>
        <w:t xml:space="preserve"> </w:t>
      </w:r>
      <w:r>
        <w:rPr>
          <w:rFonts w:ascii="Arial" w:cs="Arial" w:eastAsia="Arial" w:hAnsi="Arial"/>
          <w:sz w:val="16"/>
          <w:szCs w:val="16"/>
          <w:color w:val="auto"/>
        </w:rPr>
        <w:t>Awards of Performance Shares. Dividend equivalents may be paid on Awards of Performance Units in</w:t>
      </w:r>
    </w:p>
    <w:p>
      <w:pPr>
        <w:ind w:left="380"/>
        <w:spacing w:after="0"/>
        <w:tabs>
          <w:tab w:leader="none" w:pos="800" w:val="left"/>
        </w:tabs>
        <w:rPr>
          <w:sz w:val="20"/>
          <w:szCs w:val="20"/>
          <w:color w:val="auto"/>
        </w:rPr>
      </w:pPr>
      <w:r>
        <w:rPr>
          <w:rFonts w:ascii="Arial" w:cs="Arial" w:eastAsia="Arial" w:hAnsi="Arial"/>
          <w:sz w:val="35"/>
          <w:szCs w:val="35"/>
          <w:b w:val="1"/>
          <w:bCs w:val="1"/>
          <w:color w:val="000000"/>
          <w:vertAlign w:val="superscript"/>
        </w:rPr>
        <w:t>B-</w:t>
      </w:r>
      <w:r>
        <w:rPr>
          <w:rFonts w:ascii="Arial" w:cs="Arial" w:eastAsia="Arial" w:hAnsi="Arial"/>
          <w:sz w:val="15"/>
          <w:szCs w:val="15"/>
          <w:b w:val="1"/>
          <w:bCs w:val="1"/>
          <w:color w:val="E2231A"/>
        </w:rPr>
        <w:t xml:space="preserve"> </w:t>
      </w:r>
      <w:r>
        <w:rPr>
          <w:rFonts w:ascii="Arial" w:cs="Arial" w:eastAsia="Arial" w:hAnsi="Arial"/>
          <w:sz w:val="35"/>
          <w:szCs w:val="35"/>
          <w:b w:val="1"/>
          <w:bCs w:val="1"/>
          <w:color w:val="E2231A"/>
          <w:vertAlign w:val="superscript"/>
        </w:rPr>
        <w:t>|</w:t>
      </w:r>
      <w:r>
        <w:rPr>
          <w:rFonts w:ascii="Arial" w:cs="Arial" w:eastAsia="Arial" w:hAnsi="Arial"/>
          <w:sz w:val="15"/>
          <w:szCs w:val="15"/>
          <w:b w:val="1"/>
          <w:bCs w:val="1"/>
          <w:color w:val="E2231A"/>
        </w:rPr>
        <w:tab/>
        <w:t>LEAR CORPORATION</w:t>
      </w:r>
    </w:p>
    <w:p>
      <w:pPr>
        <w:ind w:left="280"/>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1">
            <w:col w:w="11140"/>
          </w:cols>
          <w:pgMar w:left="240" w:top="455" w:right="5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0220"/>
        <w:spacing w:after="0"/>
        <w:rPr>
          <w:sz w:val="20"/>
          <w:szCs w:val="20"/>
          <w:color w:val="auto"/>
        </w:rPr>
      </w:pPr>
      <w:r>
        <w:rPr>
          <w:rFonts w:ascii="Arial" w:cs="Arial" w:eastAsia="Arial" w:hAnsi="Arial"/>
          <w:sz w:val="15"/>
          <w:szCs w:val="15"/>
          <w:b w:val="1"/>
          <w:bCs w:val="1"/>
          <w:u w:val="single" w:color="auto"/>
          <w:color w:val="E2231A"/>
        </w:rPr>
        <w:t>APPENDIX B</w:t>
      </w:r>
    </w:p>
    <w:p>
      <w:pPr>
        <w:spacing w:after="0" w:line="157" w:lineRule="exact"/>
        <w:rPr>
          <w:sz w:val="20"/>
          <w:szCs w:val="20"/>
          <w:color w:val="auto"/>
        </w:rPr>
      </w:pPr>
    </w:p>
    <w:p>
      <w:pPr>
        <w:ind w:left="280" w:right="40"/>
        <w:spacing w:after="0" w:line="247" w:lineRule="auto"/>
        <w:rPr>
          <w:sz w:val="20"/>
          <w:szCs w:val="20"/>
          <w:color w:val="auto"/>
        </w:rPr>
      </w:pPr>
      <w:r>
        <w:rPr>
          <w:rFonts w:ascii="Arial" w:cs="Arial" w:eastAsia="Arial" w:hAnsi="Arial"/>
          <w:sz w:val="16"/>
          <w:szCs w:val="16"/>
          <w:color w:val="auto"/>
        </w:rPr>
        <w:t>the Committee’s sole discretion. The Committee may apply any restrictions it deems advisable to the crediting and payment of dividend equivalents with respect to Performance Shares and Performance Units; provided, that no dividend equivalents will be paid on unvested Performance Shares or Performance Units, but to the extent that any such Awards contain the right to receive dividend equivalents during the Performance Period, such dividend equivalents will be accumulated and paid once (and to the extent that) the underlying Awards vest.</w:t>
      </w:r>
    </w:p>
    <w:p>
      <w:pPr>
        <w:spacing w:after="0" w:line="75" w:lineRule="exact"/>
        <w:rPr>
          <w:sz w:val="20"/>
          <w:szCs w:val="20"/>
          <w:color w:val="auto"/>
        </w:rPr>
      </w:pPr>
    </w:p>
    <w:p>
      <w:pPr>
        <w:ind w:left="280" w:right="100"/>
        <w:spacing w:after="0" w:line="252" w:lineRule="auto"/>
        <w:rPr>
          <w:sz w:val="20"/>
          <w:szCs w:val="20"/>
          <w:color w:val="auto"/>
        </w:rPr>
      </w:pPr>
      <w:r>
        <w:rPr>
          <w:rFonts w:ascii="Arial" w:cs="Arial" w:eastAsia="Arial" w:hAnsi="Arial"/>
          <w:sz w:val="16"/>
          <w:szCs w:val="16"/>
          <w:b w:val="1"/>
          <w:bCs w:val="1"/>
          <w:color w:val="auto"/>
        </w:rPr>
        <w:t xml:space="preserve">9.6 Form and Timing of Payment of Performance Units and Performance Shares. </w:t>
      </w:r>
      <w:r>
        <w:rPr>
          <w:rFonts w:ascii="Arial" w:cs="Arial" w:eastAsia="Arial" w:hAnsi="Arial"/>
          <w:sz w:val="16"/>
          <w:szCs w:val="16"/>
          <w:color w:val="auto"/>
        </w:rPr>
        <w:t>Except as provided in Article 12, payment of earned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Units and Performance Shares will be made as soon as practicable after the close of the applicable Performance Period, in a manner determined by the Committee in its sole discretion. The Committee will pay earned Performance Units and Performance Shares in the form of cash, in Shares, or in a combination of cash and Shares, as specified in the Award Agreement. Performance Shares may be paid subject to any restrictions deemed appropriate by the Committee.</w:t>
      </w:r>
    </w:p>
    <w:p>
      <w:pPr>
        <w:spacing w:after="0" w:line="73" w:lineRule="exact"/>
        <w:rPr>
          <w:sz w:val="20"/>
          <w:szCs w:val="20"/>
          <w:color w:val="auto"/>
        </w:rPr>
      </w:pPr>
    </w:p>
    <w:p>
      <w:pPr>
        <w:ind w:left="280" w:right="240"/>
        <w:spacing w:after="0" w:line="252" w:lineRule="auto"/>
        <w:rPr>
          <w:sz w:val="20"/>
          <w:szCs w:val="20"/>
          <w:color w:val="auto"/>
        </w:rPr>
      </w:pPr>
      <w:r>
        <w:rPr>
          <w:rFonts w:ascii="Arial" w:cs="Arial" w:eastAsia="Arial" w:hAnsi="Arial"/>
          <w:sz w:val="16"/>
          <w:szCs w:val="16"/>
          <w:b w:val="1"/>
          <w:bCs w:val="1"/>
          <w:color w:val="auto"/>
        </w:rPr>
        <w:t xml:space="preserve">9.7 Termination of Employment Due to Death or Disability. </w:t>
      </w:r>
      <w:r>
        <w:rPr>
          <w:rFonts w:ascii="Arial" w:cs="Arial" w:eastAsia="Arial" w:hAnsi="Arial"/>
          <w:sz w:val="16"/>
          <w:szCs w:val="16"/>
          <w:color w:val="auto"/>
        </w:rPr>
        <w:t>Unless determined otherwise by the Committee and set forth in the Participant’s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if a Participant’s employment is terminated by reason of death or Disability during a Performance Period, the Participant will receive a prorated payout of the Performance Units or Performance Shares, as specified by the Committee in its discretion in the Award Agreement. Payment of earned Performance Units and Performance Shares will be made at a time specified by the Committee in its sole discretion and set forth in the Participant’s Award Agreement.</w:t>
      </w:r>
    </w:p>
    <w:p>
      <w:pPr>
        <w:spacing w:after="0" w:line="73" w:lineRule="exact"/>
        <w:rPr>
          <w:sz w:val="20"/>
          <w:szCs w:val="20"/>
          <w:color w:val="auto"/>
        </w:rPr>
      </w:pPr>
    </w:p>
    <w:p>
      <w:pPr>
        <w:jc w:val="both"/>
        <w:ind w:left="280" w:right="180"/>
        <w:spacing w:after="0" w:line="261" w:lineRule="auto"/>
        <w:rPr>
          <w:sz w:val="20"/>
          <w:szCs w:val="20"/>
          <w:color w:val="auto"/>
        </w:rPr>
      </w:pPr>
      <w:r>
        <w:rPr>
          <w:rFonts w:ascii="Arial" w:cs="Arial" w:eastAsia="Arial" w:hAnsi="Arial"/>
          <w:sz w:val="16"/>
          <w:szCs w:val="16"/>
          <w:b w:val="1"/>
          <w:bCs w:val="1"/>
          <w:color w:val="auto"/>
        </w:rPr>
        <w:t xml:space="preserve">9.8 Termination of Employment for Other Reasons. </w:t>
      </w:r>
      <w:r>
        <w:rPr>
          <w:rFonts w:ascii="Arial" w:cs="Arial" w:eastAsia="Arial" w:hAnsi="Arial"/>
          <w:sz w:val="16"/>
          <w:szCs w:val="16"/>
          <w:color w:val="auto"/>
        </w:rPr>
        <w:t>If a Participant’s employment terminates during a Performance Period for any reason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death or Disability, the Participant will forfeit all Performance Units and Performance Shares to the Company, unless the Participant’s Award Agreement provides otherwise.</w:t>
      </w:r>
    </w:p>
    <w:p>
      <w:pPr>
        <w:spacing w:after="0" w:line="66" w:lineRule="exact"/>
        <w:rPr>
          <w:sz w:val="20"/>
          <w:szCs w:val="20"/>
          <w:color w:val="auto"/>
        </w:rPr>
      </w:pPr>
    </w:p>
    <w:p>
      <w:pPr>
        <w:ind w:left="280" w:right="80"/>
        <w:spacing w:after="0" w:line="250" w:lineRule="auto"/>
        <w:rPr>
          <w:sz w:val="20"/>
          <w:szCs w:val="20"/>
          <w:color w:val="auto"/>
        </w:rPr>
      </w:pPr>
      <w:r>
        <w:rPr>
          <w:rFonts w:ascii="Arial" w:cs="Arial" w:eastAsia="Arial" w:hAnsi="Arial"/>
          <w:sz w:val="16"/>
          <w:szCs w:val="16"/>
          <w:b w:val="1"/>
          <w:bCs w:val="1"/>
          <w:color w:val="auto"/>
        </w:rPr>
        <w:t xml:space="preserve">9.9 Nontransferability. </w:t>
      </w:r>
      <w:r>
        <w:rPr>
          <w:rFonts w:ascii="Arial" w:cs="Arial" w:eastAsia="Arial" w:hAnsi="Arial"/>
          <w:sz w:val="16"/>
          <w:szCs w:val="16"/>
          <w:color w:val="auto"/>
        </w:rPr>
        <w:t>Except as otherwise provided in a Participant’s Award Agreement, Performance Units and Performance Shares may not be sold,</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pledged, assigned or otherwise alienated or hypothecated, other than by will or by the laws of descent and distribution, or pursuant to a domestic relations order (as defined in Code Section 414(p)). Further, except as otherwise provided in a Participant’s Award Agreement, a Participant’s rights under the Plan will be exercisable during the Participant’s lifetime only by the Participant or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75" w:lineRule="exact"/>
        <w:rPr>
          <w:sz w:val="20"/>
          <w:szCs w:val="20"/>
          <w:color w:val="auto"/>
        </w:rPr>
      </w:pPr>
    </w:p>
    <w:p>
      <w:pPr>
        <w:ind w:left="280" w:right="80"/>
        <w:spacing w:after="0" w:line="249" w:lineRule="auto"/>
        <w:rPr>
          <w:sz w:val="20"/>
          <w:szCs w:val="20"/>
          <w:color w:val="auto"/>
        </w:rPr>
      </w:pPr>
      <w:r>
        <w:rPr>
          <w:rFonts w:ascii="Arial" w:cs="Arial" w:eastAsia="Arial" w:hAnsi="Arial"/>
          <w:sz w:val="16"/>
          <w:szCs w:val="16"/>
          <w:b w:val="1"/>
          <w:bCs w:val="1"/>
          <w:color w:val="auto"/>
        </w:rPr>
        <w:t xml:space="preserve">9.10 Other Awards. </w:t>
      </w:r>
      <w:r>
        <w:rPr>
          <w:rFonts w:ascii="Arial" w:cs="Arial" w:eastAsia="Arial" w:hAnsi="Arial"/>
          <w:sz w:val="16"/>
          <w:szCs w:val="16"/>
          <w:color w:val="auto"/>
        </w:rPr>
        <w:t>In addition to the Awards described in Articles 6 through 8 and Sections 9.1 through 9.9 above, and subject to the terms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may grant other incentives payable in cash or Shares under the Plan as it determines to be in the best interests of the Company and subject to such other terms and conditions as it deems appropriate. Dividend equivalents may be paid on such other Awards in the Committee’s sole discretion. The Committee may apply any restrictions it deems advisable to the crediting and payment of dividend equivalents with respect to such other Awards; provided, that no dividend equivalents will be paid on any such unvested Awards, but to the extent that any such Awards contain the right to receive dividend equivalents prior to vesting, such dividend equivalents will be accumulated and paid once (and to the extent that) the underlying Awards vest.</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10.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21" w:lineRule="exact"/>
        <w:rPr>
          <w:sz w:val="20"/>
          <w:szCs w:val="20"/>
          <w:color w:val="auto"/>
        </w:rPr>
      </w:pPr>
    </w:p>
    <w:p>
      <w:pPr>
        <w:ind w:left="280" w:right="300"/>
        <w:spacing w:after="0" w:line="254" w:lineRule="auto"/>
        <w:rPr>
          <w:sz w:val="20"/>
          <w:szCs w:val="20"/>
          <w:color w:val="auto"/>
        </w:rPr>
      </w:pPr>
      <w:r>
        <w:rPr>
          <w:rFonts w:ascii="Arial" w:cs="Arial" w:eastAsia="Arial" w:hAnsi="Arial"/>
          <w:sz w:val="16"/>
          <w:szCs w:val="16"/>
          <w:color w:val="auto"/>
        </w:rPr>
        <w:t>The Committee may establish performance goals for performance-based Awards under the Plan, which may be based on any performance measures selected by the Committee. Such performance measures may include, but are not limited to, any of the following:</w:t>
      </w:r>
    </w:p>
    <w:p>
      <w:pPr>
        <w:spacing w:after="0" w:line="103" w:lineRule="exact"/>
        <w:rPr>
          <w:sz w:val="20"/>
          <w:szCs w:val="20"/>
          <w:color w:val="auto"/>
        </w:rPr>
      </w:pPr>
    </w:p>
    <w:p>
      <w:pPr>
        <w:ind w:left="600" w:hanging="320"/>
        <w:spacing w:after="0"/>
        <w:tabs>
          <w:tab w:leader="none" w:pos="6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Earnings (including, but not limited to, earnings before interest and taxes, earnings before taxes, and net earnings);</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operating earnings or income;</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earnings growth;</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net sales growth;</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net income (absolute or competitive growth rates comparative);</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net income applicable to common stock;</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cash flow, including operating cash flow, free cash flow, discounted cash flow return on investment, and cash flow in excess of cost of capital;</w:t>
      </w:r>
    </w:p>
    <w:p>
      <w:pPr>
        <w:ind w:left="9040"/>
        <w:spacing w:after="0"/>
        <w:tabs>
          <w:tab w:leader="none" w:pos="10720" w:val="left"/>
          <w:tab w:leader="none" w:pos="109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36"/>
          <w:szCs w:val="36"/>
          <w:b w:val="1"/>
          <w:bCs w:val="1"/>
          <w:color w:val="E2231A"/>
          <w:vertAlign w:val="superscript"/>
        </w:rPr>
        <w:t>|</w:t>
      </w:r>
      <w:r>
        <w:rPr>
          <w:sz w:val="20"/>
          <w:szCs w:val="20"/>
          <w:color w:val="auto"/>
        </w:rPr>
        <w:tab/>
      </w:r>
      <w:r>
        <w:rPr>
          <w:rFonts w:ascii="Arial" w:cs="Arial" w:eastAsia="Arial" w:hAnsi="Arial"/>
          <w:sz w:val="25"/>
          <w:szCs w:val="25"/>
          <w:b w:val="1"/>
          <w:bCs w:val="1"/>
          <w:color w:val="auto"/>
          <w:vertAlign w:val="superscript"/>
        </w:rPr>
        <w:t>B-</w:t>
      </w:r>
    </w:p>
    <w:p>
      <w:pPr>
        <w:ind w:left="10840"/>
        <w:spacing w:after="0"/>
        <w:rPr>
          <w:sz w:val="20"/>
          <w:szCs w:val="20"/>
          <w:color w:val="auto"/>
        </w:rPr>
      </w:pPr>
      <w:r>
        <w:rPr>
          <w:rFonts w:ascii="Arial" w:cs="Arial" w:eastAsia="Arial" w:hAnsi="Arial"/>
          <w:sz w:val="18"/>
          <w:szCs w:val="18"/>
          <w:b w:val="1"/>
          <w:bCs w:val="1"/>
          <w:color w:val="auto"/>
        </w:rPr>
        <w:t>11</w:t>
      </w:r>
    </w:p>
    <w:p>
      <w:pPr>
        <w:sectPr>
          <w:pgSz w:w="11900" w:h="16838" w:orient="portrait"/>
          <w:cols w:equalWidth="0" w:num="1">
            <w:col w:w="11140"/>
          </w:cols>
          <w:pgMar w:left="240" w:top="455" w:right="5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APPENDIX B</w:t>
      </w:r>
    </w:p>
    <w:p>
      <w:pPr>
        <w:spacing w:after="0" w:line="277" w:lineRule="exact"/>
        <w:rPr>
          <w:sz w:val="20"/>
          <w:szCs w:val="20"/>
          <w:color w:val="auto"/>
        </w:rPr>
      </w:pPr>
    </w:p>
    <w:p>
      <w:pPr>
        <w:ind w:left="600" w:hanging="320"/>
        <w:spacing w:after="0"/>
        <w:tabs>
          <w:tab w:leader="none" w:pos="6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earnings per Share;</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return on shareholders equity (absolute or peer-group comparative);</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stock price (absolute or peer-group comparative);</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absolute and/or relative return on common shareholders equity;</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absolute and/or relative return on capital;</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absolute and/or relative return on assets;</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economic value added (income in excess of cost of capital);</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customer satisfaction;</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quality metrics;</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expense reduction; and</w:t>
      </w:r>
    </w:p>
    <w:p>
      <w:pPr>
        <w:spacing w:after="0" w:line="122" w:lineRule="exact"/>
        <w:rPr>
          <w:rFonts w:ascii="Arial" w:cs="Arial" w:eastAsia="Arial" w:hAnsi="Arial"/>
          <w:sz w:val="16"/>
          <w:szCs w:val="16"/>
          <w:color w:val="auto"/>
        </w:rPr>
      </w:pPr>
    </w:p>
    <w:p>
      <w:pPr>
        <w:ind w:left="600" w:hanging="320"/>
        <w:spacing w:after="0"/>
        <w:tabs>
          <w:tab w:leader="none" w:pos="6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ratio of operating expenses to operating revenues.</w:t>
      </w:r>
    </w:p>
    <w:p>
      <w:pPr>
        <w:spacing w:after="0" w:line="109"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The Committee may specify any reasonable definition of the performance measures it uses, and the measures may be described in terms of Company-wide objectives, objectives that relate to the performance of an individual Participant, an Affiliate, or a division, region, department, function or segment within the Company or an Affiliate. Such definitions may provide for reasonable adjustments and may include or exclude items, including but not limited to: investment gains and losses; unusual or non-recurring items; gains or losses on the sale of assets; effects of changes in accounting principles or the application thereof; asset impairment charges; effects of currency fluctuations; acquisitions, divestitures, or financing activities; recapitalizations, including stock splits and dividends; expenses for restructuring or productivity initiatives; discontinued operations; changes in applicable law or the application thereof; and other non-operating items.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an amount determined by the Committee.</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11. Beneficiary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21" w:lineRule="exact"/>
        <w:rPr>
          <w:sz w:val="20"/>
          <w:szCs w:val="20"/>
          <w:color w:val="auto"/>
        </w:rPr>
      </w:pPr>
    </w:p>
    <w:p>
      <w:pPr>
        <w:ind w:left="280" w:right="20"/>
        <w:spacing w:after="0" w:line="245" w:lineRule="auto"/>
        <w:rPr>
          <w:sz w:val="20"/>
          <w:szCs w:val="20"/>
          <w:color w:val="auto"/>
        </w:rPr>
      </w:pPr>
      <w:r>
        <w:rPr>
          <w:rFonts w:ascii="Arial" w:cs="Arial" w:eastAsia="Arial" w:hAnsi="Arial"/>
          <w:sz w:val="16"/>
          <w:szCs w:val="16"/>
          <w:color w:val="auto"/>
        </w:rPr>
        <w:t>Each Participant may, from time to time, name any beneficiary or beneficiaries (who may be named contingently or successively) to whom any benefit under the Plan is to be paid in case the Participant should die before receiving any or all of his or her Plan benefits. Each beneficiary designation will revoke all prior designations by the same Participant, must be in a form prescribed by the Committee, and must be made during the Participant’s lifetime. If the Participant’s designated beneficiary predeceases the Participant or no beneficiary has been designated, benefits remaining unpaid at the Participant’s death will be paid to (i) the beneficiary designated by the Participant for purposes of the tax-qualified defined benefit retirement plan or, if none, the tax-qualified defined contribution retirement plan of the Company or an Affiliate in which the Participant participates, (ii) the Participant’s spouse, if living, or (iii) the Participant’s estate or other entity described in the Participant’s Award Agreement.</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12. Deferrals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07" w:lineRule="exact"/>
        <w:rPr>
          <w:sz w:val="20"/>
          <w:szCs w:val="20"/>
          <w:color w:val="auto"/>
        </w:rPr>
      </w:pPr>
    </w:p>
    <w:p>
      <w:pPr>
        <w:ind w:left="280" w:right="40"/>
        <w:spacing w:after="0" w:line="246" w:lineRule="auto"/>
        <w:rPr>
          <w:sz w:val="20"/>
          <w:szCs w:val="20"/>
          <w:color w:val="auto"/>
        </w:rPr>
      </w:pPr>
      <w:r>
        <w:rPr>
          <w:rFonts w:ascii="Arial" w:cs="Arial" w:eastAsia="Arial" w:hAnsi="Arial"/>
          <w:sz w:val="16"/>
          <w:szCs w:val="16"/>
          <w:color w:val="auto"/>
        </w:rPr>
        <w:t>The Committee may, consistent with the requirements of Code Section 409A, permit a Participant to defer receipt of cash or Shares that would otherwise be due to him or her by virtue of an Option or SAR exercise, the lapse or waiver of restrictions on Restricted Stock, Restricted Stock Units, Restricted Units or other Awards, or the satisfaction of any requirements or objectives with respect to Performance Units, Performance Shares or other Awards. If any such deferral election is permitted, the Committee will, in its sole discretion, establish rules and procedures for such deferrals consistent with the requirements of Code Section 409A.</w:t>
      </w:r>
    </w:p>
    <w:p>
      <w:pPr>
        <w:ind w:left="380"/>
        <w:spacing w:after="0"/>
        <w:tabs>
          <w:tab w:leader="none" w:pos="800" w:val="left"/>
        </w:tabs>
        <w:rPr>
          <w:sz w:val="20"/>
          <w:szCs w:val="20"/>
          <w:color w:val="auto"/>
        </w:rPr>
      </w:pPr>
      <w:r>
        <w:rPr>
          <w:rFonts w:ascii="Arial" w:cs="Arial" w:eastAsia="Arial" w:hAnsi="Arial"/>
          <w:sz w:val="35"/>
          <w:szCs w:val="35"/>
          <w:b w:val="1"/>
          <w:bCs w:val="1"/>
          <w:color w:val="000000"/>
          <w:vertAlign w:val="superscript"/>
        </w:rPr>
        <w:t>B-</w:t>
      </w:r>
      <w:r>
        <w:rPr>
          <w:rFonts w:ascii="Arial" w:cs="Arial" w:eastAsia="Arial" w:hAnsi="Arial"/>
          <w:sz w:val="15"/>
          <w:szCs w:val="15"/>
          <w:b w:val="1"/>
          <w:bCs w:val="1"/>
          <w:color w:val="E2231A"/>
        </w:rPr>
        <w:t xml:space="preserve"> </w:t>
      </w:r>
      <w:r>
        <w:rPr>
          <w:rFonts w:ascii="Arial" w:cs="Arial" w:eastAsia="Arial" w:hAnsi="Arial"/>
          <w:sz w:val="35"/>
          <w:szCs w:val="35"/>
          <w:b w:val="1"/>
          <w:bCs w:val="1"/>
          <w:color w:val="E2231A"/>
          <w:vertAlign w:val="superscript"/>
        </w:rPr>
        <w:t>|</w:t>
      </w:r>
      <w:r>
        <w:rPr>
          <w:rFonts w:ascii="Arial" w:cs="Arial" w:eastAsia="Arial" w:hAnsi="Arial"/>
          <w:sz w:val="15"/>
          <w:szCs w:val="15"/>
          <w:b w:val="1"/>
          <w:bCs w:val="1"/>
          <w:color w:val="E2231A"/>
        </w:rPr>
        <w:tab/>
        <w:t>LEAR CORPORATION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12</w:t>
      </w:r>
    </w:p>
    <w:p>
      <w:pPr>
        <w:sectPr>
          <w:pgSz w:w="11900" w:h="16838" w:orient="portrait"/>
          <w:cols w:equalWidth="0" w:num="1">
            <w:col w:w="11100"/>
          </w:cols>
          <w:pgMar w:left="240" w:top="455" w:right="5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APPENDIX B</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13. Rights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01" w:lineRule="exact"/>
        <w:rPr>
          <w:sz w:val="20"/>
          <w:szCs w:val="20"/>
          <w:color w:val="auto"/>
        </w:rPr>
      </w:pPr>
    </w:p>
    <w:p>
      <w:pPr>
        <w:ind w:left="280" w:right="620"/>
        <w:spacing w:after="0" w:line="280" w:lineRule="auto"/>
        <w:rPr>
          <w:sz w:val="20"/>
          <w:szCs w:val="20"/>
          <w:color w:val="auto"/>
        </w:rPr>
      </w:pPr>
      <w:r>
        <w:rPr>
          <w:rFonts w:ascii="Arial" w:cs="Arial" w:eastAsia="Arial" w:hAnsi="Arial"/>
          <w:sz w:val="16"/>
          <w:szCs w:val="16"/>
          <w:b w:val="1"/>
          <w:bCs w:val="1"/>
          <w:color w:val="auto"/>
        </w:rPr>
        <w:t xml:space="preserve">13.1 Employment. </w:t>
      </w:r>
      <w:r>
        <w:rPr>
          <w:rFonts w:ascii="Arial" w:cs="Arial" w:eastAsia="Arial" w:hAnsi="Arial"/>
          <w:sz w:val="16"/>
          <w:szCs w:val="16"/>
          <w:color w:val="auto"/>
        </w:rPr>
        <w:t>Nothing in the Plan will interfere with or limit in any way the right of the Company or any Affiliate to terminate any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at any time, or confer upon any Participant any right to continue in the employ of the Company or any Affiliate.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13.2 Participation. </w:t>
      </w:r>
      <w:r>
        <w:rPr>
          <w:rFonts w:ascii="Arial" w:cs="Arial" w:eastAsia="Arial" w:hAnsi="Arial"/>
          <w:sz w:val="16"/>
          <w:szCs w:val="16"/>
          <w:color w:val="auto"/>
        </w:rPr>
        <w:t>No Eligible Person will have the right to receive an Award under this Plan, or, having received any Award, to receive a future Award.</w:t>
      </w:r>
    </w:p>
    <w:p>
      <w:pPr>
        <w:spacing w:after="0" w:line="210"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14.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187" w:lineRule="exact"/>
        <w:rPr>
          <w:sz w:val="20"/>
          <w:szCs w:val="20"/>
          <w:color w:val="auto"/>
        </w:rPr>
      </w:pPr>
    </w:p>
    <w:p>
      <w:pPr>
        <w:ind w:left="280" w:right="200"/>
        <w:spacing w:after="0" w:line="261" w:lineRule="auto"/>
        <w:rPr>
          <w:sz w:val="20"/>
          <w:szCs w:val="20"/>
          <w:color w:val="auto"/>
        </w:rPr>
      </w:pPr>
      <w:r>
        <w:rPr>
          <w:rFonts w:ascii="Arial" w:cs="Arial" w:eastAsia="Arial" w:hAnsi="Arial"/>
          <w:sz w:val="16"/>
          <w:szCs w:val="16"/>
          <w:b w:val="1"/>
          <w:bCs w:val="1"/>
          <w:color w:val="auto"/>
        </w:rPr>
        <w:t xml:space="preserve">14.1 Treatment of Awards upon a Change in Control. </w:t>
      </w:r>
      <w:r>
        <w:rPr>
          <w:rFonts w:ascii="Arial" w:cs="Arial" w:eastAsia="Arial" w:hAnsi="Arial"/>
          <w:sz w:val="16"/>
          <w:szCs w:val="16"/>
          <w:color w:val="auto"/>
        </w:rPr>
        <w:t>Upon the occurrence of a Change in Control, the following provisions of this Section 14.1 shall</w:t>
      </w:r>
      <w:r>
        <w:rPr>
          <w:rFonts w:ascii="Arial" w:cs="Arial" w:eastAsia="Arial" w:hAnsi="Arial"/>
          <w:sz w:val="16"/>
          <w:szCs w:val="16"/>
          <w:b w:val="1"/>
          <w:bCs w:val="1"/>
          <w:color w:val="auto"/>
        </w:rPr>
        <w:t xml:space="preserve"> </w:t>
      </w:r>
      <w:r>
        <w:rPr>
          <w:rFonts w:ascii="Arial" w:cs="Arial" w:eastAsia="Arial" w:hAnsi="Arial"/>
          <w:sz w:val="16"/>
          <w:szCs w:val="16"/>
          <w:color w:val="auto"/>
        </w:rPr>
        <w:t>apply to all Awards, unless the Committee shall determine otherwise at the time of grant with respect to a particular Award and unless otherwise specifically prohibited under applicable laws, or by the rules and regulations of any governing governmental agencies or national securities exchanges:</w:t>
      </w:r>
    </w:p>
    <w:p>
      <w:pPr>
        <w:spacing w:after="0" w:line="99" w:lineRule="exact"/>
        <w:rPr>
          <w:sz w:val="20"/>
          <w:szCs w:val="20"/>
          <w:color w:val="auto"/>
        </w:rPr>
      </w:pPr>
    </w:p>
    <w:p>
      <w:pPr>
        <w:ind w:left="600" w:hanging="320"/>
        <w:spacing w:after="0"/>
        <w:tabs>
          <w:tab w:leader="none" w:pos="6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Options and SARs.</w:t>
      </w:r>
    </w:p>
    <w:p>
      <w:pPr>
        <w:spacing w:after="0" w:line="109" w:lineRule="exact"/>
        <w:rPr>
          <w:rFonts w:ascii="Arial" w:cs="Arial" w:eastAsia="Arial" w:hAnsi="Arial"/>
          <w:sz w:val="16"/>
          <w:szCs w:val="16"/>
          <w:color w:val="auto"/>
        </w:rPr>
      </w:pPr>
    </w:p>
    <w:p>
      <w:pPr>
        <w:ind w:left="600" w:right="100" w:firstLine="6"/>
        <w:spacing w:after="0" w:line="246" w:lineRule="auto"/>
        <w:tabs>
          <w:tab w:leader="none" w:pos="786"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Any outstanding Options and SARs, unless exchanged by the Company for a Replacement Award, will become immediately exercisable (and will deemed to be exercisable immediately prior to the Change in Control), and will remain exercisable throughout the remainder of their term (the </w:t>
      </w:r>
      <w:r>
        <w:rPr>
          <w:rFonts w:ascii="Arial" w:cs="Arial" w:eastAsia="Arial" w:hAnsi="Arial"/>
          <w:sz w:val="16"/>
          <w:szCs w:val="16"/>
          <w:b w:val="1"/>
          <w:bCs w:val="1"/>
          <w:color w:val="auto"/>
        </w:rPr>
        <w:t>“Vested Options and SARs”</w:t>
      </w:r>
      <w:r>
        <w:rPr>
          <w:rFonts w:ascii="Arial" w:cs="Arial" w:eastAsia="Arial" w:hAnsi="Arial"/>
          <w:sz w:val="16"/>
          <w:szCs w:val="16"/>
          <w:color w:val="auto"/>
        </w:rPr>
        <w:t>); provided, however, that, with respect to Vested Options and SARs that are not exercised upon the Change in</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such Vested Options and SARs will be subject to the provisions of Section 14.1(d) below, as applicable. To the extent that this provision causes ISOs to exceed the dollar limitation set forth in Code Section 422(d), the excess Options shall be deemed to be NQSOs.</w:t>
      </w:r>
    </w:p>
    <w:p>
      <w:pPr>
        <w:spacing w:after="0" w:line="96" w:lineRule="exact"/>
        <w:rPr>
          <w:rFonts w:ascii="Arial" w:cs="Arial" w:eastAsia="Arial" w:hAnsi="Arial"/>
          <w:sz w:val="16"/>
          <w:szCs w:val="16"/>
          <w:color w:val="auto"/>
        </w:rPr>
      </w:pPr>
    </w:p>
    <w:p>
      <w:pPr>
        <w:ind w:left="600" w:right="80" w:firstLine="6"/>
        <w:spacing w:after="0" w:line="245" w:lineRule="auto"/>
        <w:tabs>
          <w:tab w:leader="none" w:pos="822"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Any Option or SAR may be exchanged by the Company upon the Change in Control for a Replacement Award that satisfies the conditions of this Section 14.1(a)(ii). The Replacement Award shall have equivalent value and vest and become exercisable in accordance with the vesting schedule and term for exercisability, in each case that applied to the corresponding Option or SAR for which it is being exchanged,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within twenty-four (24) months of such Change in Control, the Participant’s employment with the Company is terminated by the Company without Cause or by the Participant for Good Reason, such Award, to the extent then outstanding, shall become fully vested and exercisable upon such termination of employment.</w:t>
      </w:r>
    </w:p>
    <w:p>
      <w:pPr>
        <w:spacing w:after="0" w:line="111" w:lineRule="exact"/>
        <w:rPr>
          <w:rFonts w:ascii="Arial" w:cs="Arial" w:eastAsia="Arial" w:hAnsi="Arial"/>
          <w:sz w:val="16"/>
          <w:szCs w:val="16"/>
          <w:color w:val="auto"/>
        </w:rPr>
      </w:pPr>
    </w:p>
    <w:p>
      <w:pPr>
        <w:ind w:left="600" w:hanging="320"/>
        <w:spacing w:after="0"/>
        <w:tabs>
          <w:tab w:leader="none" w:pos="6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Restricted Stock, Restricted Stock Units and Restricted Units.</w:t>
      </w:r>
    </w:p>
    <w:p>
      <w:pPr>
        <w:spacing w:after="0" w:line="109" w:lineRule="exact"/>
        <w:rPr>
          <w:rFonts w:ascii="Arial" w:cs="Arial" w:eastAsia="Arial" w:hAnsi="Arial"/>
          <w:sz w:val="16"/>
          <w:szCs w:val="16"/>
          <w:color w:val="auto"/>
        </w:rPr>
      </w:pPr>
    </w:p>
    <w:p>
      <w:pPr>
        <w:ind w:left="600" w:right="160" w:firstLine="6"/>
        <w:spacing w:after="0" w:line="248" w:lineRule="auto"/>
        <w:tabs>
          <w:tab w:leader="none" w:pos="786"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Any Restriction Periods or other restrictions imposed on Restricted Stock, Restricted Stock Units and Restricted Units that are not exchanged by the Company for a Replacement Award will lapse, except that the degree of vesting associated with those Awards that is conditioned on the achievement of performance conditions will be determined as set forth in Section 14.1(c).</w:t>
      </w:r>
    </w:p>
    <w:p>
      <w:pPr>
        <w:spacing w:after="0" w:line="95" w:lineRule="exact"/>
        <w:rPr>
          <w:rFonts w:ascii="Arial" w:cs="Arial" w:eastAsia="Arial" w:hAnsi="Arial"/>
          <w:sz w:val="16"/>
          <w:szCs w:val="16"/>
          <w:color w:val="auto"/>
        </w:rPr>
      </w:pPr>
    </w:p>
    <w:p>
      <w:pPr>
        <w:ind w:left="600" w:right="140" w:firstLine="6"/>
        <w:spacing w:after="0" w:line="245" w:lineRule="auto"/>
        <w:tabs>
          <w:tab w:leader="none" w:pos="822"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Any Restricted Stock, Restricted Stock Unit, or Restricted Unit may be exchanged by the Company upon the Change in Control for a Replacement Award that satisfies the conditions of this Section 14.1(b)(ii). The Replacement Award shall have equivalent value to the Award for which it is being exchanged and shall vest in accordance with the vesting schedule that applied to the corresponding Award for which it is being exchanged,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within twenty-four (24) months of such Change in Control, the Participant’s employment with the Company is terminated by the Company without Cause or by the Participant for Good Reason, such Award, to the extent then outstanding, shall become free of all contingencies, restrictions and limitations and become vested and transferable (or paid) upon such termination of employment.</w:t>
      </w:r>
    </w:p>
    <w:p>
      <w:pPr>
        <w:spacing w:after="0" w:line="111" w:lineRule="exact"/>
        <w:rPr>
          <w:rFonts w:ascii="Arial" w:cs="Arial" w:eastAsia="Arial" w:hAnsi="Arial"/>
          <w:sz w:val="16"/>
          <w:szCs w:val="16"/>
          <w:color w:val="auto"/>
        </w:rPr>
      </w:pPr>
    </w:p>
    <w:p>
      <w:pPr>
        <w:ind w:left="600" w:hanging="320"/>
        <w:spacing w:after="0"/>
        <w:tabs>
          <w:tab w:leader="none" w:pos="6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Performance Shares and Performance Units.</w:t>
      </w:r>
    </w:p>
    <w:p>
      <w:pPr>
        <w:spacing w:after="0" w:line="109" w:lineRule="exact"/>
        <w:rPr>
          <w:rFonts w:ascii="Arial" w:cs="Arial" w:eastAsia="Arial" w:hAnsi="Arial"/>
          <w:sz w:val="16"/>
          <w:szCs w:val="16"/>
          <w:color w:val="auto"/>
        </w:rPr>
      </w:pPr>
    </w:p>
    <w:p>
      <w:pPr>
        <w:ind w:left="800" w:hanging="194"/>
        <w:spacing w:after="0"/>
        <w:tabs>
          <w:tab w:leader="none" w:pos="80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Except as otherwise provided in the Award Agreement, the vesting of all Performance Units and Performance Shares that are not exchanged by</w:t>
      </w:r>
    </w:p>
    <w:p>
      <w:pPr>
        <w:spacing w:after="0" w:line="2" w:lineRule="exact"/>
        <w:rPr>
          <w:rFonts w:ascii="Arial" w:cs="Arial" w:eastAsia="Arial" w:hAnsi="Arial"/>
          <w:sz w:val="16"/>
          <w:szCs w:val="16"/>
          <w:color w:val="auto"/>
        </w:rPr>
      </w:pPr>
    </w:p>
    <w:p>
      <w:pPr>
        <w:ind w:left="600"/>
        <w:spacing w:after="0" w:line="248" w:lineRule="auto"/>
        <w:rPr>
          <w:rFonts w:ascii="Arial" w:cs="Arial" w:eastAsia="Arial" w:hAnsi="Arial"/>
          <w:sz w:val="16"/>
          <w:szCs w:val="16"/>
          <w:color w:val="auto"/>
        </w:rPr>
      </w:pPr>
      <w:r>
        <w:rPr>
          <w:rFonts w:ascii="Arial" w:cs="Arial" w:eastAsia="Arial" w:hAnsi="Arial"/>
          <w:sz w:val="16"/>
          <w:szCs w:val="16"/>
          <w:color w:val="auto"/>
        </w:rPr>
        <w:t>the Company for a Replacement Award will be accelerated as of the effective date of the Change in Control, and Participants will be paid, within thirty (30) days after the effective date of the Change in Control, an amount in cash based on an assumed achievement of all relevant performance objectives at target levels.</w:t>
      </w:r>
    </w:p>
    <w:p>
      <w:pPr>
        <w:spacing w:after="0" w:line="95" w:lineRule="exact"/>
        <w:rPr>
          <w:rFonts w:ascii="Arial" w:cs="Arial" w:eastAsia="Arial" w:hAnsi="Arial"/>
          <w:sz w:val="16"/>
          <w:szCs w:val="16"/>
          <w:color w:val="auto"/>
        </w:rPr>
      </w:pPr>
    </w:p>
    <w:p>
      <w:pPr>
        <w:ind w:left="600" w:right="500" w:firstLine="6"/>
        <w:spacing w:after="0" w:line="254" w:lineRule="auto"/>
        <w:tabs>
          <w:tab w:leader="none" w:pos="822"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Any Performance Share or Performance Unit may be exchanged by the Company upon a Change in Control for a Replacement Award that satisfies the conditions of this Section 14.1(c)(ii). The Replacement Award shall not be subject to any</w:t>
      </w:r>
    </w:p>
    <w:p>
      <w:pPr>
        <w:ind w:left="9040"/>
        <w:spacing w:after="0"/>
        <w:tabs>
          <w:tab w:leader="none" w:pos="10720" w:val="left"/>
          <w:tab w:leader="none" w:pos="109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36"/>
          <w:szCs w:val="36"/>
          <w:b w:val="1"/>
          <w:bCs w:val="1"/>
          <w:color w:val="E2231A"/>
          <w:vertAlign w:val="superscript"/>
        </w:rPr>
        <w:t>|</w:t>
      </w:r>
      <w:r>
        <w:rPr>
          <w:sz w:val="20"/>
          <w:szCs w:val="20"/>
          <w:color w:val="auto"/>
        </w:rPr>
        <w:tab/>
      </w:r>
      <w:r>
        <w:rPr>
          <w:rFonts w:ascii="Arial" w:cs="Arial" w:eastAsia="Arial" w:hAnsi="Arial"/>
          <w:sz w:val="25"/>
          <w:szCs w:val="25"/>
          <w:b w:val="1"/>
          <w:bCs w:val="1"/>
          <w:color w:val="auto"/>
          <w:vertAlign w:val="superscript"/>
        </w:rPr>
        <w:t>B-</w:t>
      </w:r>
    </w:p>
    <w:p>
      <w:pPr>
        <w:ind w:left="10840"/>
        <w:spacing w:after="0"/>
        <w:rPr>
          <w:sz w:val="20"/>
          <w:szCs w:val="20"/>
          <w:color w:val="auto"/>
        </w:rPr>
      </w:pPr>
      <w:r>
        <w:rPr>
          <w:rFonts w:ascii="Arial" w:cs="Arial" w:eastAsia="Arial" w:hAnsi="Arial"/>
          <w:sz w:val="18"/>
          <w:szCs w:val="18"/>
          <w:b w:val="1"/>
          <w:bCs w:val="1"/>
          <w:color w:val="auto"/>
        </w:rPr>
        <w:t>13</w:t>
      </w:r>
    </w:p>
    <w:p>
      <w:pPr>
        <w:sectPr>
          <w:pgSz w:w="11900" w:h="16838" w:orient="portrait"/>
          <w:cols w:equalWidth="0" w:num="1">
            <w:col w:w="11140"/>
          </w:cols>
          <w:pgMar w:left="240" w:top="455"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APPENDIX B</w:t>
      </w:r>
    </w:p>
    <w:p>
      <w:pPr>
        <w:spacing w:after="0" w:line="157" w:lineRule="exact"/>
        <w:rPr>
          <w:sz w:val="20"/>
          <w:szCs w:val="20"/>
          <w:color w:val="auto"/>
        </w:rPr>
      </w:pPr>
    </w:p>
    <w:p>
      <w:pPr>
        <w:ind w:left="600"/>
        <w:spacing w:after="0" w:line="245" w:lineRule="auto"/>
        <w:rPr>
          <w:sz w:val="20"/>
          <w:szCs w:val="20"/>
          <w:color w:val="auto"/>
        </w:rPr>
      </w:pPr>
      <w:r>
        <w:rPr>
          <w:rFonts w:ascii="Arial" w:cs="Arial" w:eastAsia="Arial" w:hAnsi="Arial"/>
          <w:sz w:val="16"/>
          <w:szCs w:val="16"/>
          <w:color w:val="auto"/>
        </w:rPr>
        <w:t>performance condition referred to in Article 10 above or otherwise, but instead shall be subject solely to the restrictions, if any, of the Award for which it is being exchanged that are based on the passage of time through the expiration date of the Performance Period utilized in the Award for which it is being exchanged. The number or value of such Replacement Award shall be determined based on the assumed achievement of all of the relevant performance objectives of the Award for which it is being exchanged at their target levels. Notwithstanding the foregoing in this Section 14.1(c)(ii), if within twenty-four (24) months of such Change in Control, the Participant’s employment with the Company is terminated by the Company without Cause or by the Participant for Good Reason, such Replacement Award, to the extent then outstanding, shall become free of all contingencies, restrictions and limitations and become vested and transferable (or paid) upon such termination of employment.</w:t>
      </w:r>
    </w:p>
    <w:p>
      <w:pPr>
        <w:spacing w:after="0" w:line="110" w:lineRule="exact"/>
        <w:rPr>
          <w:sz w:val="20"/>
          <w:szCs w:val="20"/>
          <w:color w:val="auto"/>
        </w:rPr>
      </w:pPr>
    </w:p>
    <w:p>
      <w:pPr>
        <w:ind w:left="600" w:right="80" w:hanging="320"/>
        <w:spacing w:after="0" w:line="247" w:lineRule="auto"/>
        <w:tabs>
          <w:tab w:leader="none" w:pos="6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 If the Company is a party to an agreement that is reasonably likely to result in a Change in Control, such agreement may provide for settlement of the Vested Options and SARs for the Change in Control Price (less, to the extent applicable, the per Share Exercise Price or grant price), or, if the per Share Exercise Price or grant price equals or exceeds the Change in Control Price, such Vested Options and SARs shall terminate and be canceled.</w:t>
      </w:r>
    </w:p>
    <w:p>
      <w:pPr>
        <w:spacing w:after="0" w:line="95" w:lineRule="exact"/>
        <w:rPr>
          <w:sz w:val="20"/>
          <w:szCs w:val="20"/>
          <w:color w:val="auto"/>
        </w:rPr>
      </w:pPr>
    </w:p>
    <w:p>
      <w:pPr>
        <w:ind w:left="600" w:right="120" w:firstLine="6"/>
        <w:spacing w:after="0" w:line="248" w:lineRule="auto"/>
        <w:tabs>
          <w:tab w:leader="none" w:pos="82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To the extent that Restricted Stock, Restricted Units and Restricted Stock Units settle in Shares in accordance with their terms upon a Change in Control, such Shares shall be entitled to receive as a result of the Change in Control transaction the same consideration as the Shares held by shareholders of the Company as a result of the Change in Control transaction.</w:t>
      </w:r>
    </w:p>
    <w:p>
      <w:pPr>
        <w:spacing w:after="0" w:line="76" w:lineRule="exact"/>
        <w:rPr>
          <w:sz w:val="20"/>
          <w:szCs w:val="20"/>
          <w:color w:val="auto"/>
        </w:rPr>
      </w:pPr>
    </w:p>
    <w:p>
      <w:pPr>
        <w:ind w:left="280" w:right="80"/>
        <w:spacing w:after="0" w:line="255" w:lineRule="auto"/>
        <w:rPr>
          <w:sz w:val="20"/>
          <w:szCs w:val="20"/>
          <w:color w:val="auto"/>
        </w:rPr>
      </w:pPr>
      <w:r>
        <w:rPr>
          <w:rFonts w:ascii="Arial" w:cs="Arial" w:eastAsia="Arial" w:hAnsi="Arial"/>
          <w:sz w:val="16"/>
          <w:szCs w:val="16"/>
          <w:b w:val="1"/>
          <w:bCs w:val="1"/>
          <w:color w:val="auto"/>
        </w:rPr>
        <w:t xml:space="preserve">14.2 Termination, Amendment and Modifications of Change in Control Provisions. </w:t>
      </w:r>
      <w:r>
        <w:rPr>
          <w:rFonts w:ascii="Arial" w:cs="Arial" w:eastAsia="Arial" w:hAnsi="Arial"/>
          <w:sz w:val="16"/>
          <w:szCs w:val="16"/>
          <w:color w:val="auto"/>
        </w:rPr>
        <w:t>Notwithstanding any other provision of this Plan or any provision</w:t>
      </w:r>
      <w:r>
        <w:rPr>
          <w:rFonts w:ascii="Arial" w:cs="Arial" w:eastAsia="Arial" w:hAnsi="Arial"/>
          <w:sz w:val="16"/>
          <w:szCs w:val="16"/>
          <w:b w:val="1"/>
          <w:bCs w:val="1"/>
          <w:color w:val="auto"/>
        </w:rPr>
        <w:t xml:space="preserve"> </w:t>
      </w:r>
      <w:r>
        <w:rPr>
          <w:rFonts w:ascii="Arial" w:cs="Arial" w:eastAsia="Arial" w:hAnsi="Arial"/>
          <w:sz w:val="16"/>
          <w:szCs w:val="16"/>
          <w:color w:val="auto"/>
        </w:rPr>
        <w:t>in an Award Agreement, this Article 14 may not be terminated, amended or modified on or after the effective date of a Change in Control in a way that would adversely affect any Award in any material way theretofore granted to a Participant, unless the Participant gives his or her prior written consent to the termination, amendment or modification.</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15. Amendment, Modification and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01" w:lineRule="exact"/>
        <w:rPr>
          <w:sz w:val="20"/>
          <w:szCs w:val="20"/>
          <w:color w:val="auto"/>
        </w:rPr>
      </w:pPr>
    </w:p>
    <w:p>
      <w:pPr>
        <w:ind w:left="280" w:right="20"/>
        <w:spacing w:after="0" w:line="255" w:lineRule="auto"/>
        <w:rPr>
          <w:sz w:val="20"/>
          <w:szCs w:val="20"/>
          <w:color w:val="auto"/>
        </w:rPr>
      </w:pPr>
      <w:r>
        <w:rPr>
          <w:rFonts w:ascii="Arial" w:cs="Arial" w:eastAsia="Arial" w:hAnsi="Arial"/>
          <w:sz w:val="16"/>
          <w:szCs w:val="16"/>
          <w:b w:val="1"/>
          <w:bCs w:val="1"/>
          <w:color w:val="auto"/>
        </w:rPr>
        <w:t xml:space="preserve">15.1 Amendment, Modification and Termination. </w:t>
      </w:r>
      <w:r>
        <w:rPr>
          <w:rFonts w:ascii="Arial" w:cs="Arial" w:eastAsia="Arial" w:hAnsi="Arial"/>
          <w:sz w:val="16"/>
          <w:szCs w:val="16"/>
          <w:color w:val="auto"/>
        </w:rPr>
        <w:t>Subject to Section 14.2, the Committee or Board may at any time and from time to time, alter, amend,</w:t>
      </w:r>
      <w:r>
        <w:rPr>
          <w:rFonts w:ascii="Arial" w:cs="Arial" w:eastAsia="Arial" w:hAnsi="Arial"/>
          <w:sz w:val="16"/>
          <w:szCs w:val="16"/>
          <w:b w:val="1"/>
          <w:bCs w:val="1"/>
          <w:color w:val="auto"/>
        </w:rPr>
        <w:t xml:space="preserve"> </w:t>
      </w:r>
      <w:r>
        <w:rPr>
          <w:rFonts w:ascii="Arial" w:cs="Arial" w:eastAsia="Arial" w:hAnsi="Arial"/>
          <w:sz w:val="16"/>
          <w:szCs w:val="16"/>
          <w:color w:val="auto"/>
        </w:rPr>
        <w:t>modify or terminate the Plan in whole or in part. The Committee or Board will not, however, increase the number of Shares that may be issued or transferred to Participants under the Plan, as described in the first sentence of Section 4.1 (and subject to adjustment as provided in Sections 4.2 and 4.3).</w:t>
      </w:r>
    </w:p>
    <w:p>
      <w:pPr>
        <w:spacing w:after="0" w:line="91" w:lineRule="exact"/>
        <w:rPr>
          <w:sz w:val="20"/>
          <w:szCs w:val="20"/>
          <w:color w:val="auto"/>
        </w:rPr>
      </w:pPr>
    </w:p>
    <w:p>
      <w:pPr>
        <w:ind w:left="280" w:right="20"/>
        <w:spacing w:after="0" w:line="244" w:lineRule="auto"/>
        <w:rPr>
          <w:sz w:val="20"/>
          <w:szCs w:val="20"/>
          <w:color w:val="auto"/>
        </w:rPr>
      </w:pPr>
      <w:r>
        <w:rPr>
          <w:rFonts w:ascii="Arial" w:cs="Arial" w:eastAsia="Arial" w:hAnsi="Arial"/>
          <w:sz w:val="16"/>
          <w:szCs w:val="16"/>
          <w:color w:val="auto"/>
        </w:rPr>
        <w:t>Subject to the terms and conditions of the Plan, the Committee may modify, extend or renew outstanding Awards under the Plan, or accept the surrender of outstanding Awards (to the extent not already exercised) and grant new Awards in substitution of them (to the extent not already exercised). Except as provided in Sections 4.3 and 15.2, the Committee will not, however, modify any outstanding Option or SAR so as to specify a lower Exercise Price or grant price (and will not cancel an Option or SAR and substitute for it an Option or SAR with a lower Exercise Price or grant price), without the approval of the Company’s shareholders. In addition, except as provided in Sections 4.3 and 15.2, the Committee may not cancel an outstanding Option or SAR whose Exercise Price or grant price is equal to or greater than the current Fair Market Value of a Share and substitute for it another Award or cash payment without the prior approval of the Company’s shareholders. Notwithstanding the foregoing, no alteration, modification or termination of an Award will, without the prior written consent of the Participant, adversely alter or impair any rights or obligations under any Award already granted under the Plan.</w:t>
      </w:r>
    </w:p>
    <w:p>
      <w:pPr>
        <w:spacing w:after="0" w:line="81" w:lineRule="exact"/>
        <w:rPr>
          <w:sz w:val="20"/>
          <w:szCs w:val="20"/>
          <w:color w:val="auto"/>
        </w:rPr>
      </w:pPr>
    </w:p>
    <w:p>
      <w:pPr>
        <w:ind w:left="280" w:right="200"/>
        <w:spacing w:after="0" w:line="252" w:lineRule="auto"/>
        <w:rPr>
          <w:sz w:val="20"/>
          <w:szCs w:val="20"/>
          <w:color w:val="auto"/>
        </w:rPr>
      </w:pPr>
      <w:r>
        <w:rPr>
          <w:rFonts w:ascii="Arial" w:cs="Arial" w:eastAsia="Arial" w:hAnsi="Arial"/>
          <w:sz w:val="16"/>
          <w:szCs w:val="16"/>
          <w:b w:val="1"/>
          <w:bCs w:val="1"/>
          <w:color w:val="auto"/>
        </w:rPr>
        <w:t xml:space="preserve">15.2 Adjustment of Awards Upon the Occurrence of Certain Unusual or Nonrecurring Events. </w:t>
      </w:r>
      <w:r>
        <w:rPr>
          <w:rFonts w:ascii="Arial" w:cs="Arial" w:eastAsia="Arial" w:hAnsi="Arial"/>
          <w:sz w:val="16"/>
          <w:szCs w:val="16"/>
          <w:color w:val="auto"/>
        </w:rPr>
        <w:t>The Committee may, using reasonable care, make</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adjustments in the terms and conditions of, and the criteria included in, Awards in order to prevent dilution or enlargement of the benefits or potential benefits intended to be made available under the Plan (i) in recognition of unusual or nonrecurring events (including, without limitation, the events described in Section 4.3) affecting the Company or its financial statements, (ii) in recognition of changes in applicable laws, regulations, or accounting principles, or (iii) whenever the Committee determines that such adjustments are necessary, equitable and/or appropriate.</w:t>
      </w:r>
    </w:p>
    <w:p>
      <w:pPr>
        <w:spacing w:after="0" w:line="73" w:lineRule="exact"/>
        <w:rPr>
          <w:sz w:val="20"/>
          <w:szCs w:val="20"/>
          <w:color w:val="auto"/>
        </w:rPr>
      </w:pPr>
    </w:p>
    <w:p>
      <w:pPr>
        <w:ind w:left="280" w:right="260"/>
        <w:spacing w:after="0" w:line="280" w:lineRule="auto"/>
        <w:rPr>
          <w:sz w:val="20"/>
          <w:szCs w:val="20"/>
          <w:color w:val="auto"/>
        </w:rPr>
      </w:pPr>
      <w:r>
        <w:rPr>
          <w:rFonts w:ascii="Arial" w:cs="Arial" w:eastAsia="Arial" w:hAnsi="Arial"/>
          <w:sz w:val="16"/>
          <w:szCs w:val="16"/>
          <w:b w:val="1"/>
          <w:bCs w:val="1"/>
          <w:color w:val="auto"/>
        </w:rPr>
        <w:t xml:space="preserve">15.3 Awards Previously Granted. </w:t>
      </w:r>
      <w:r>
        <w:rPr>
          <w:rFonts w:ascii="Arial" w:cs="Arial" w:eastAsia="Arial" w:hAnsi="Arial"/>
          <w:sz w:val="16"/>
          <w:szCs w:val="16"/>
          <w:color w:val="auto"/>
        </w:rPr>
        <w:t>No termination, amendment or modification of the Plan will adversely affect in any material way any Award already</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without the written consent of the Participant who holds the Award.</w:t>
      </w:r>
    </w:p>
    <w:p>
      <w:pPr>
        <w:spacing w:after="0" w:line="157" w:lineRule="exact"/>
        <w:rPr>
          <w:sz w:val="20"/>
          <w:szCs w:val="20"/>
          <w:color w:val="auto"/>
        </w:rPr>
      </w:pPr>
    </w:p>
    <w:p>
      <w:pPr>
        <w:ind w:left="280" w:right="80"/>
        <w:spacing w:after="0" w:line="255" w:lineRule="auto"/>
        <w:rPr>
          <w:sz w:val="20"/>
          <w:szCs w:val="20"/>
          <w:color w:val="auto"/>
        </w:rPr>
      </w:pPr>
      <w:r>
        <w:rPr>
          <w:rFonts w:ascii="Arial" w:cs="Arial" w:eastAsia="Arial" w:hAnsi="Arial"/>
          <w:sz w:val="16"/>
          <w:szCs w:val="16"/>
          <w:b w:val="1"/>
          <w:bCs w:val="1"/>
          <w:color w:val="auto"/>
        </w:rPr>
        <w:t xml:space="preserve">15.4 Compliance with Code Section 409A. </w:t>
      </w:r>
      <w:r>
        <w:rPr>
          <w:rFonts w:ascii="Arial" w:cs="Arial" w:eastAsia="Arial" w:hAnsi="Arial"/>
          <w:sz w:val="16"/>
          <w:szCs w:val="16"/>
          <w:color w:val="auto"/>
        </w:rPr>
        <w:t>The Plan and Awards, and all amounts payable with respect to Awards, are intended to comply with, or be</w:t>
      </w:r>
      <w:r>
        <w:rPr>
          <w:rFonts w:ascii="Arial" w:cs="Arial" w:eastAsia="Arial" w:hAnsi="Arial"/>
          <w:sz w:val="16"/>
          <w:szCs w:val="16"/>
          <w:b w:val="1"/>
          <w:bCs w:val="1"/>
          <w:color w:val="auto"/>
        </w:rPr>
        <w:t xml:space="preserve"> </w:t>
      </w:r>
      <w:r>
        <w:rPr>
          <w:rFonts w:ascii="Arial" w:cs="Arial" w:eastAsia="Arial" w:hAnsi="Arial"/>
          <w:sz w:val="16"/>
          <w:szCs w:val="16"/>
          <w:color w:val="auto"/>
        </w:rPr>
        <w:t>exempt from, Code Section 409A and the interpretative guidance thereunder and shall be construed, interpreted and administered accordingly. If an unintentional operational failure occurs with respect to Code Section 409A, any affected Participant or beneficiary shall fully cooperate with the Company to correct the failure to the extent possible in accordance</w:t>
      </w:r>
    </w:p>
    <w:p>
      <w:pPr>
        <w:ind w:left="380"/>
        <w:spacing w:after="0"/>
        <w:tabs>
          <w:tab w:leader="none" w:pos="800" w:val="left"/>
        </w:tabs>
        <w:rPr>
          <w:sz w:val="20"/>
          <w:szCs w:val="20"/>
          <w:color w:val="auto"/>
        </w:rPr>
      </w:pPr>
      <w:r>
        <w:rPr>
          <w:rFonts w:ascii="Arial" w:cs="Arial" w:eastAsia="Arial" w:hAnsi="Arial"/>
          <w:sz w:val="35"/>
          <w:szCs w:val="35"/>
          <w:b w:val="1"/>
          <w:bCs w:val="1"/>
          <w:color w:val="000000"/>
          <w:vertAlign w:val="superscript"/>
        </w:rPr>
        <w:t>B-</w:t>
      </w:r>
      <w:r>
        <w:rPr>
          <w:rFonts w:ascii="Arial" w:cs="Arial" w:eastAsia="Arial" w:hAnsi="Arial"/>
          <w:sz w:val="15"/>
          <w:szCs w:val="15"/>
          <w:b w:val="1"/>
          <w:bCs w:val="1"/>
          <w:color w:val="E2231A"/>
        </w:rPr>
        <w:t xml:space="preserve"> </w:t>
      </w:r>
      <w:r>
        <w:rPr>
          <w:rFonts w:ascii="Arial" w:cs="Arial" w:eastAsia="Arial" w:hAnsi="Arial"/>
          <w:sz w:val="35"/>
          <w:szCs w:val="35"/>
          <w:b w:val="1"/>
          <w:bCs w:val="1"/>
          <w:color w:val="E2231A"/>
          <w:vertAlign w:val="superscript"/>
        </w:rPr>
        <w:t>|</w:t>
      </w:r>
      <w:r>
        <w:rPr>
          <w:rFonts w:ascii="Arial" w:cs="Arial" w:eastAsia="Arial" w:hAnsi="Arial"/>
          <w:sz w:val="15"/>
          <w:szCs w:val="15"/>
          <w:b w:val="1"/>
          <w:bCs w:val="1"/>
          <w:color w:val="E2231A"/>
        </w:rPr>
        <w:tab/>
        <w:t>LEAR CORPORATION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14</w:t>
      </w:r>
    </w:p>
    <w:p>
      <w:pPr>
        <w:sectPr>
          <w:pgSz w:w="11900" w:h="16838" w:orient="portrait"/>
          <w:cols w:equalWidth="0" w:num="1">
            <w:col w:w="11140"/>
          </w:cols>
          <w:pgMar w:left="240" w:top="455" w:right="5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0220"/>
        <w:spacing w:after="0"/>
        <w:rPr>
          <w:sz w:val="20"/>
          <w:szCs w:val="20"/>
          <w:color w:val="auto"/>
        </w:rPr>
      </w:pPr>
      <w:r>
        <w:rPr>
          <w:rFonts w:ascii="Arial" w:cs="Arial" w:eastAsia="Arial" w:hAnsi="Arial"/>
          <w:sz w:val="15"/>
          <w:szCs w:val="15"/>
          <w:b w:val="1"/>
          <w:bCs w:val="1"/>
          <w:u w:val="single" w:color="auto"/>
          <w:color w:val="E2231A"/>
        </w:rPr>
        <w:t>APPENDIX B</w:t>
      </w:r>
    </w:p>
    <w:p>
      <w:pPr>
        <w:spacing w:after="0" w:line="157"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with any correction procedure established by the U.S. Department of the Treasury. If a Participant is a “specified employee” (as such term is defined for purposes of Code Section 409A) at the time of his or her termination of employment, no amount that is subject to Code Section 409A and that becomes payable by reason of such termination of employment shall be paid to the Participant before the earlier of (i) the expiration of the six (6) month period measured from the date of the Participant’s termination of employment, and (ii) the date of the Participant’s death. A termination of employment shall be deemed to occur only if it is a “separation from service” within the meaning of Code Section 409A, and references in the Plan and any Award Agreement to “termination,” “termination of employment,” or like terms shall mean a “separation from service.” A separation from service shall be deemed to occur if it is anticipated that the level of services the Participant will perform after a certain date (whether as an employee or as an independent contractor) will permanently decrease to no more than twenty percent (20%) of the average level of services provided by the Participant in the immediately preceding thirty-six (36) months.</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16.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01" w:lineRule="exact"/>
        <w:rPr>
          <w:sz w:val="20"/>
          <w:szCs w:val="20"/>
          <w:color w:val="auto"/>
        </w:rPr>
      </w:pPr>
    </w:p>
    <w:p>
      <w:pPr>
        <w:ind w:left="280" w:right="40"/>
        <w:spacing w:after="0" w:line="255" w:lineRule="auto"/>
        <w:rPr>
          <w:sz w:val="20"/>
          <w:szCs w:val="20"/>
          <w:color w:val="auto"/>
        </w:rPr>
      </w:pPr>
      <w:r>
        <w:rPr>
          <w:rFonts w:ascii="Arial" w:cs="Arial" w:eastAsia="Arial" w:hAnsi="Arial"/>
          <w:sz w:val="16"/>
          <w:szCs w:val="16"/>
          <w:b w:val="1"/>
          <w:bCs w:val="1"/>
          <w:color w:val="auto"/>
        </w:rPr>
        <w:t xml:space="preserve">16.1 Tax Withholding. </w:t>
      </w:r>
      <w:r>
        <w:rPr>
          <w:rFonts w:ascii="Arial" w:cs="Arial" w:eastAsia="Arial" w:hAnsi="Arial"/>
          <w:sz w:val="16"/>
          <w:szCs w:val="16"/>
          <w:color w:val="auto"/>
        </w:rPr>
        <w:t>The Company will have the power and the right to deduct or withhold, or require a Participant to remit to the Company, an amount</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to satisfy federal, state, and local taxes, domestic or foreign, required by law or regulation to be withheld with respect to any taxable event arising under this Plan. No Award Agreement will permit reload Options to be granted in connection with any Shares used to pay a tax withholding obligation.</w:t>
      </w:r>
    </w:p>
    <w:p>
      <w:pPr>
        <w:spacing w:after="0" w:line="71" w:lineRule="exact"/>
        <w:rPr>
          <w:sz w:val="20"/>
          <w:szCs w:val="20"/>
          <w:color w:val="auto"/>
        </w:rPr>
      </w:pPr>
    </w:p>
    <w:p>
      <w:pPr>
        <w:ind w:left="280" w:right="60"/>
        <w:spacing w:after="0" w:line="248" w:lineRule="auto"/>
        <w:rPr>
          <w:sz w:val="20"/>
          <w:szCs w:val="20"/>
          <w:color w:val="auto"/>
        </w:rPr>
      </w:pPr>
      <w:r>
        <w:rPr>
          <w:rFonts w:ascii="Arial" w:cs="Arial" w:eastAsia="Arial" w:hAnsi="Arial"/>
          <w:sz w:val="16"/>
          <w:szCs w:val="16"/>
          <w:b w:val="1"/>
          <w:bCs w:val="1"/>
          <w:color w:val="auto"/>
        </w:rPr>
        <w:t xml:space="preserve">16.2 Share Withholding. </w:t>
      </w:r>
      <w:r>
        <w:rPr>
          <w:rFonts w:ascii="Arial" w:cs="Arial" w:eastAsia="Arial" w:hAnsi="Arial"/>
          <w:sz w:val="16"/>
          <w:szCs w:val="16"/>
          <w:color w:val="auto"/>
        </w:rPr>
        <w:t>With respect to withholding required upon the exercise of Options or SARs, upon the lapse of restrictions on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or upon any other taxable event arising as a result of Awards granted hereunder, the Company may satisfy the withholding requirement for supplemental wages, in whole or in part, by withholding Shares having a Fair Market Value (determined on the date the Participant recognizes taxable income on the Award) equal to the amount required to be withheld or other greater amount up to the maximum statutory rate required to be collected on the transaction under applicable law, as applicable to the Participant, if such other greater amount would not result in adverse financial accounting treatment, as determined by the Committee (including in connection with the effectiveness of FASB Accounting Standards Update 2016-09). The Participant may elect, subject to the approval of the Committee, to deliver the necessary funds to satisfy the withholding obligation to the Company, in which case there will be no reduction in the Shares otherwise distributable to the Participant.</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17.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07" w:lineRule="exact"/>
        <w:rPr>
          <w:sz w:val="20"/>
          <w:szCs w:val="20"/>
          <w:color w:val="auto"/>
        </w:rPr>
      </w:pPr>
    </w:p>
    <w:p>
      <w:pPr>
        <w:ind w:left="280"/>
        <w:spacing w:after="0" w:line="244" w:lineRule="auto"/>
        <w:rPr>
          <w:sz w:val="20"/>
          <w:szCs w:val="20"/>
          <w:color w:val="auto"/>
        </w:rPr>
      </w:pPr>
      <w:r>
        <w:rPr>
          <w:rFonts w:ascii="Arial" w:cs="Arial" w:eastAsia="Arial" w:hAnsi="Arial"/>
          <w:sz w:val="16"/>
          <w:szCs w:val="16"/>
          <w:color w:val="auto"/>
        </w:rPr>
        <w:t>Each person who is or has been a member of the Committee or the Board will be indemnified and held harmless by the Company from and against any loss, cost, liability, or expense that may be imposed upon or reasonably incurred by him or her in connection with or as a result of any claim, action, suit or proceeding to which he or she may be a party or in which he or she may be involved by reason of any action taken, or failure to act, under the Plan. Each such person will also be indemnified and held harmless by the Company from and against any and all amounts paid by him or her in a settlement approved by the Company, or paid by him or her in satisfaction of any judgment, of or in a claim, action, suit or proceeding against him or her and described in the previous sentence, so long as he or she gives the Company an opportunity, at its own expense, to handle and defend the claim, action, suit or proceeding before he or she undertakes to handle and defend it. The foregoing right of indemnification will not be exclusive of any other rights of indemnification to which a person who is or has been a member of the Committee or the Board may be entitled under the Company’s Certificate of Incorporation or By-Laws, as a matter of law, or otherwise, or any power that the Company may have to indemnify him or her or hold him or her harmless.</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18. Successors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67310</wp:posOffset>
            </wp:positionV>
            <wp:extent cx="69018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07" w:lineRule="exact"/>
        <w:rPr>
          <w:sz w:val="20"/>
          <w:szCs w:val="20"/>
          <w:color w:val="auto"/>
        </w:rPr>
      </w:pPr>
    </w:p>
    <w:p>
      <w:pPr>
        <w:ind w:left="280" w:right="40"/>
        <w:spacing w:after="0" w:line="248" w:lineRule="auto"/>
        <w:rPr>
          <w:sz w:val="20"/>
          <w:szCs w:val="20"/>
          <w:color w:val="auto"/>
        </w:rPr>
      </w:pPr>
      <w:r>
        <w:rPr>
          <w:rFonts w:ascii="Arial" w:cs="Arial" w:eastAsia="Arial" w:hAnsi="Arial"/>
          <w:sz w:val="16"/>
          <w:szCs w:val="16"/>
          <w:color w:val="auto"/>
        </w:rPr>
        <w:t>All obligations of the Company under the Plan or any Award Agreement will be binding on any successor to the Company, whether the existence of the successor results from a direct or indirect purchase of all or substantially all of the business or assets of the Company or both, or a merger, consolidation, or otherwise.</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19. Legal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01" w:lineRule="exact"/>
        <w:rPr>
          <w:sz w:val="20"/>
          <w:szCs w:val="20"/>
          <w:color w:val="auto"/>
        </w:rPr>
      </w:pPr>
    </w:p>
    <w:p>
      <w:pPr>
        <w:ind w:left="280" w:right="220"/>
        <w:spacing w:after="0" w:line="280" w:lineRule="auto"/>
        <w:rPr>
          <w:sz w:val="20"/>
          <w:szCs w:val="20"/>
          <w:color w:val="auto"/>
        </w:rPr>
      </w:pPr>
      <w:r>
        <w:rPr>
          <w:rFonts w:ascii="Arial" w:cs="Arial" w:eastAsia="Arial" w:hAnsi="Arial"/>
          <w:sz w:val="16"/>
          <w:szCs w:val="16"/>
          <w:b w:val="1"/>
          <w:bCs w:val="1"/>
          <w:color w:val="auto"/>
        </w:rPr>
        <w:t xml:space="preserve">19.1 Number. </w:t>
      </w:r>
      <w:r>
        <w:rPr>
          <w:rFonts w:ascii="Arial" w:cs="Arial" w:eastAsia="Arial" w:hAnsi="Arial"/>
          <w:sz w:val="16"/>
          <w:szCs w:val="16"/>
          <w:color w:val="auto"/>
        </w:rPr>
        <w:t>Except where otherwise indicated by the context, any plural term used in this Plan includes the singular and a singular term includes the</w:t>
      </w:r>
      <w:r>
        <w:rPr>
          <w:rFonts w:ascii="Arial" w:cs="Arial" w:eastAsia="Arial" w:hAnsi="Arial"/>
          <w:sz w:val="16"/>
          <w:szCs w:val="16"/>
          <w:b w:val="1"/>
          <w:bCs w:val="1"/>
          <w:color w:val="auto"/>
        </w:rPr>
        <w:t xml:space="preserve"> </w:t>
      </w:r>
      <w:r>
        <w:rPr>
          <w:rFonts w:ascii="Arial" w:cs="Arial" w:eastAsia="Arial" w:hAnsi="Arial"/>
          <w:sz w:val="16"/>
          <w:szCs w:val="16"/>
          <w:color w:val="auto"/>
        </w:rPr>
        <w:t>plural.</w:t>
      </w:r>
    </w:p>
    <w:p>
      <w:pPr>
        <w:ind w:left="9040"/>
        <w:spacing w:after="0"/>
        <w:tabs>
          <w:tab w:leader="none" w:pos="10720" w:val="left"/>
          <w:tab w:leader="none" w:pos="10940" w:val="left"/>
        </w:tabs>
        <w:rPr>
          <w:sz w:val="20"/>
          <w:szCs w:val="20"/>
          <w:color w:val="auto"/>
        </w:rPr>
      </w:pPr>
      <w:r>
        <w:rPr>
          <w:rFonts w:ascii="Arial" w:cs="Arial" w:eastAsia="Arial" w:hAnsi="Arial"/>
          <w:sz w:val="15"/>
          <w:szCs w:val="15"/>
          <w:b w:val="1"/>
          <w:bCs w:val="1"/>
          <w:color w:val="E2231A"/>
        </w:rPr>
        <w:t>2019 Proxy Statement</w:t>
      </w:r>
      <w:r>
        <w:rPr>
          <w:sz w:val="20"/>
          <w:szCs w:val="20"/>
          <w:color w:val="auto"/>
        </w:rPr>
        <w:tab/>
      </w:r>
      <w:r>
        <w:rPr>
          <w:rFonts w:ascii="Arial" w:cs="Arial" w:eastAsia="Arial" w:hAnsi="Arial"/>
          <w:sz w:val="34"/>
          <w:szCs w:val="34"/>
          <w:b w:val="1"/>
          <w:bCs w:val="1"/>
          <w:color w:val="E2231A"/>
          <w:vertAlign w:val="superscript"/>
        </w:rPr>
        <w:t>|</w:t>
      </w:r>
      <w:r>
        <w:rPr>
          <w:sz w:val="20"/>
          <w:szCs w:val="20"/>
          <w:color w:val="auto"/>
        </w:rPr>
        <w:tab/>
      </w:r>
      <w:r>
        <w:rPr>
          <w:rFonts w:ascii="Arial" w:cs="Arial" w:eastAsia="Arial" w:hAnsi="Arial"/>
          <w:sz w:val="25"/>
          <w:szCs w:val="25"/>
          <w:b w:val="1"/>
          <w:bCs w:val="1"/>
          <w:color w:val="auto"/>
          <w:vertAlign w:val="superscript"/>
        </w:rPr>
        <w:t>B-</w:t>
      </w:r>
    </w:p>
    <w:p>
      <w:pPr>
        <w:ind w:left="10840"/>
        <w:spacing w:after="0"/>
        <w:rPr>
          <w:sz w:val="20"/>
          <w:szCs w:val="20"/>
          <w:color w:val="auto"/>
        </w:rPr>
      </w:pPr>
      <w:r>
        <w:rPr>
          <w:rFonts w:ascii="Arial" w:cs="Arial" w:eastAsia="Arial" w:hAnsi="Arial"/>
          <w:sz w:val="18"/>
          <w:szCs w:val="18"/>
          <w:b w:val="1"/>
          <w:bCs w:val="1"/>
          <w:color w:val="auto"/>
        </w:rPr>
        <w:t>15</w:t>
      </w:r>
    </w:p>
    <w:p>
      <w:pPr>
        <w:sectPr>
          <w:pgSz w:w="11900" w:h="16838" w:orient="portrait"/>
          <w:cols w:equalWidth="0" w:num="1">
            <w:col w:w="11140"/>
          </w:cols>
          <w:pgMar w:left="240" w:top="455" w:right="5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E2231A"/>
        </w:rPr>
        <w:t>APPENDIX B</w:t>
      </w:r>
    </w:p>
    <w:p>
      <w:pPr>
        <w:spacing w:after="0" w:line="137" w:lineRule="exact"/>
        <w:rPr>
          <w:sz w:val="20"/>
          <w:szCs w:val="20"/>
          <w:color w:val="auto"/>
        </w:rPr>
      </w:pPr>
    </w:p>
    <w:p>
      <w:pPr>
        <w:ind w:left="280" w:right="320"/>
        <w:spacing w:after="0" w:line="280" w:lineRule="auto"/>
        <w:rPr>
          <w:sz w:val="20"/>
          <w:szCs w:val="20"/>
          <w:color w:val="auto"/>
        </w:rPr>
      </w:pPr>
      <w:r>
        <w:rPr>
          <w:rFonts w:ascii="Arial" w:cs="Arial" w:eastAsia="Arial" w:hAnsi="Arial"/>
          <w:sz w:val="16"/>
          <w:szCs w:val="16"/>
          <w:b w:val="1"/>
          <w:bCs w:val="1"/>
          <w:color w:val="auto"/>
        </w:rPr>
        <w:t xml:space="preserve">19.2 Severability. </w:t>
      </w:r>
      <w:r>
        <w:rPr>
          <w:rFonts w:ascii="Arial" w:cs="Arial" w:eastAsia="Arial" w:hAnsi="Arial"/>
          <w:sz w:val="16"/>
          <w:szCs w:val="16"/>
          <w:color w:val="auto"/>
        </w:rPr>
        <w:t>If any provision of the Plan is held illegal or invalid for any reason, the illegality or invalidity will not affect the remaining parts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and the Plan will be construed and enforced as if the illegal or invalid provision had not been included.</w:t>
      </w:r>
    </w:p>
    <w:p>
      <w:pPr>
        <w:spacing w:after="0" w:line="50" w:lineRule="exact"/>
        <w:rPr>
          <w:sz w:val="20"/>
          <w:szCs w:val="20"/>
          <w:color w:val="auto"/>
        </w:rPr>
      </w:pPr>
    </w:p>
    <w:p>
      <w:pPr>
        <w:ind w:left="280" w:right="380"/>
        <w:spacing w:after="0" w:line="280" w:lineRule="auto"/>
        <w:rPr>
          <w:sz w:val="20"/>
          <w:szCs w:val="20"/>
          <w:color w:val="auto"/>
        </w:rPr>
      </w:pPr>
      <w:r>
        <w:rPr>
          <w:rFonts w:ascii="Arial" w:cs="Arial" w:eastAsia="Arial" w:hAnsi="Arial"/>
          <w:sz w:val="16"/>
          <w:szCs w:val="16"/>
          <w:b w:val="1"/>
          <w:bCs w:val="1"/>
          <w:color w:val="auto"/>
        </w:rPr>
        <w:t xml:space="preserve">19.3 Requirements of Law. </w:t>
      </w:r>
      <w:r>
        <w:rPr>
          <w:rFonts w:ascii="Arial" w:cs="Arial" w:eastAsia="Arial" w:hAnsi="Arial"/>
          <w:sz w:val="16"/>
          <w:szCs w:val="16"/>
          <w:color w:val="auto"/>
        </w:rPr>
        <w:t>The granting of Awards and the issuance of Share or cash payouts under the Plan will be subject to all applicable laws,</w:t>
      </w:r>
      <w:r>
        <w:rPr>
          <w:rFonts w:ascii="Arial" w:cs="Arial" w:eastAsia="Arial" w:hAnsi="Arial"/>
          <w:sz w:val="16"/>
          <w:szCs w:val="16"/>
          <w:b w:val="1"/>
          <w:bCs w:val="1"/>
          <w:color w:val="auto"/>
        </w:rPr>
        <w:t xml:space="preserve"> </w:t>
      </w:r>
      <w:r>
        <w:rPr>
          <w:rFonts w:ascii="Arial" w:cs="Arial" w:eastAsia="Arial" w:hAnsi="Arial"/>
          <w:sz w:val="16"/>
          <w:szCs w:val="16"/>
          <w:color w:val="auto"/>
        </w:rPr>
        <w:t>rules, and regulations, and to any approvals by governmental agencies or national securities exchanges as may be required.</w:t>
      </w:r>
    </w:p>
    <w:p>
      <w:pPr>
        <w:spacing w:after="0" w:line="50" w:lineRule="exact"/>
        <w:rPr>
          <w:sz w:val="20"/>
          <w:szCs w:val="20"/>
          <w:color w:val="auto"/>
        </w:rPr>
      </w:pPr>
    </w:p>
    <w:p>
      <w:pPr>
        <w:ind w:left="280"/>
        <w:spacing w:after="0" w:line="252" w:lineRule="auto"/>
        <w:rPr>
          <w:sz w:val="20"/>
          <w:szCs w:val="20"/>
          <w:color w:val="auto"/>
        </w:rPr>
      </w:pPr>
      <w:r>
        <w:rPr>
          <w:rFonts w:ascii="Arial" w:cs="Arial" w:eastAsia="Arial" w:hAnsi="Arial"/>
          <w:sz w:val="16"/>
          <w:szCs w:val="16"/>
          <w:b w:val="1"/>
          <w:bCs w:val="1"/>
          <w:color w:val="auto"/>
        </w:rPr>
        <w:t xml:space="preserve">19.4 Securities Law Compliance. </w:t>
      </w:r>
      <w:r>
        <w:rPr>
          <w:rFonts w:ascii="Arial" w:cs="Arial" w:eastAsia="Arial" w:hAnsi="Arial"/>
          <w:sz w:val="16"/>
          <w:szCs w:val="16"/>
          <w:color w:val="auto"/>
        </w:rPr>
        <w:t>As to any individual who is, on the relevant date, an officer, director or ten percent (10%) beneficial owner of any class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Company’s equity securities that is registered pursuant to Section 12 of the Exchange Act, all as defined under Section 16 of the Exchange Act, transactions under this Plan are intended to comply with all applicable conditions of Rule 16b-3 under the Exchange Act, or any successor rule. To the extent any provision of the Plan or action by the Committee fails to so comply, it will be deemed null and void, to the extent permitted by law and deemed advisable by the Committee.</w:t>
      </w:r>
    </w:p>
    <w:p>
      <w:pPr>
        <w:spacing w:after="0" w:line="73" w:lineRule="exact"/>
        <w:rPr>
          <w:sz w:val="20"/>
          <w:szCs w:val="20"/>
          <w:color w:val="auto"/>
        </w:rPr>
      </w:pPr>
    </w:p>
    <w:p>
      <w:pPr>
        <w:ind w:left="280" w:right="60"/>
        <w:spacing w:after="0" w:line="255" w:lineRule="auto"/>
        <w:rPr>
          <w:sz w:val="20"/>
          <w:szCs w:val="20"/>
          <w:color w:val="auto"/>
        </w:rPr>
      </w:pPr>
      <w:r>
        <w:rPr>
          <w:rFonts w:ascii="Arial" w:cs="Arial" w:eastAsia="Arial" w:hAnsi="Arial"/>
          <w:sz w:val="16"/>
          <w:szCs w:val="16"/>
          <w:b w:val="1"/>
          <w:bCs w:val="1"/>
          <w:color w:val="auto"/>
        </w:rPr>
        <w:t xml:space="preserve">19.5 Awards to Foreign Nationals and Employees Outside the United States. </w:t>
      </w:r>
      <w:r>
        <w:rPr>
          <w:rFonts w:ascii="Arial" w:cs="Arial" w:eastAsia="Arial" w:hAnsi="Arial"/>
          <w:sz w:val="16"/>
          <w:szCs w:val="16"/>
          <w:color w:val="auto"/>
        </w:rPr>
        <w:t>To the extent the Committee deems it necessary, appropriate or</w:t>
      </w:r>
      <w:r>
        <w:rPr>
          <w:rFonts w:ascii="Arial" w:cs="Arial" w:eastAsia="Arial" w:hAnsi="Arial"/>
          <w:sz w:val="16"/>
          <w:szCs w:val="16"/>
          <w:b w:val="1"/>
          <w:bCs w:val="1"/>
          <w:color w:val="auto"/>
        </w:rPr>
        <w:t xml:space="preserve"> </w:t>
      </w:r>
      <w:r>
        <w:rPr>
          <w:rFonts w:ascii="Arial" w:cs="Arial" w:eastAsia="Arial" w:hAnsi="Arial"/>
          <w:sz w:val="16"/>
          <w:szCs w:val="16"/>
          <w:color w:val="auto"/>
        </w:rPr>
        <w:t>desirable to comply with foreign law or practice and to further the purposes of this Plan, the Committee may, without amending the Plan, (i) establish a sub-plan hereunder and/or rules applicable to Awards granted to Participants who are foreign nationals, are employed outside the United States, or both, including rules that differ from those set forth in this Plan, and (ii) grant Awards to such Participants in accordance with those rules.</w:t>
      </w:r>
    </w:p>
    <w:p>
      <w:pPr>
        <w:spacing w:after="0" w:line="71" w:lineRule="exact"/>
        <w:rPr>
          <w:sz w:val="20"/>
          <w:szCs w:val="20"/>
          <w:color w:val="auto"/>
        </w:rPr>
      </w:pPr>
    </w:p>
    <w:p>
      <w:pPr>
        <w:ind w:left="280"/>
        <w:spacing w:after="0" w:line="255" w:lineRule="auto"/>
        <w:rPr>
          <w:sz w:val="20"/>
          <w:szCs w:val="20"/>
          <w:color w:val="auto"/>
        </w:rPr>
      </w:pPr>
      <w:r>
        <w:rPr>
          <w:rFonts w:ascii="Arial" w:cs="Arial" w:eastAsia="Arial" w:hAnsi="Arial"/>
          <w:sz w:val="16"/>
          <w:szCs w:val="16"/>
          <w:b w:val="1"/>
          <w:bCs w:val="1"/>
          <w:color w:val="auto"/>
        </w:rPr>
        <w:t xml:space="preserve">19.6 Unfunded Status of the Plan. </w:t>
      </w:r>
      <w:r>
        <w:rPr>
          <w:rFonts w:ascii="Arial" w:cs="Arial" w:eastAsia="Arial" w:hAnsi="Arial"/>
          <w:sz w:val="16"/>
          <w:szCs w:val="16"/>
          <w:color w:val="auto"/>
        </w:rPr>
        <w:t>The Plan is intended to constitute an “unfunded” plan for incentive and deferred compensation.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or deliveries of Shares not yet made to a Participant by the Company, the Participant’s rights are no greater than those of a general creditor of the Company. The Committee may authorize the establishment of trusts or other arrangements to meet the obligations created under the Plan, so long as the arrangement does not cause the Plan to lose its legal status as an unfunded plan.</w:t>
      </w:r>
    </w:p>
    <w:p>
      <w:pPr>
        <w:spacing w:after="0" w:line="71" w:lineRule="exact"/>
        <w:rPr>
          <w:sz w:val="20"/>
          <w:szCs w:val="20"/>
          <w:color w:val="auto"/>
        </w:rPr>
      </w:pPr>
    </w:p>
    <w:p>
      <w:pPr>
        <w:ind w:left="280" w:right="460"/>
        <w:spacing w:after="0" w:line="280" w:lineRule="auto"/>
        <w:rPr>
          <w:sz w:val="20"/>
          <w:szCs w:val="20"/>
          <w:color w:val="auto"/>
        </w:rPr>
      </w:pPr>
      <w:r>
        <w:rPr>
          <w:rFonts w:ascii="Arial" w:cs="Arial" w:eastAsia="Arial" w:hAnsi="Arial"/>
          <w:sz w:val="16"/>
          <w:szCs w:val="16"/>
          <w:b w:val="1"/>
          <w:bCs w:val="1"/>
          <w:color w:val="auto"/>
        </w:rPr>
        <w:t xml:space="preserve">19.7 Governing Law. </w:t>
      </w:r>
      <w:r>
        <w:rPr>
          <w:rFonts w:ascii="Arial" w:cs="Arial" w:eastAsia="Arial" w:hAnsi="Arial"/>
          <w:sz w:val="16"/>
          <w:szCs w:val="16"/>
          <w:color w:val="auto"/>
        </w:rPr>
        <w:t>To the extent not preempted by federal law, the Plan and all agreements hereunder will be construed in accordance with and</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by the laws of the State of Michigan without giving effect to principles of conflicts of law.</w:t>
      </w:r>
    </w:p>
    <w:p>
      <w:pPr>
        <w:spacing w:after="0" w:line="50" w:lineRule="exact"/>
        <w:rPr>
          <w:sz w:val="20"/>
          <w:szCs w:val="20"/>
          <w:color w:val="auto"/>
        </w:rPr>
      </w:pPr>
    </w:p>
    <w:p>
      <w:pPr>
        <w:ind w:left="280" w:right="60"/>
        <w:spacing w:after="0" w:line="315" w:lineRule="auto"/>
        <w:rPr>
          <w:sz w:val="20"/>
          <w:szCs w:val="20"/>
          <w:color w:val="auto"/>
        </w:rPr>
      </w:pPr>
      <w:r>
        <w:rPr>
          <w:rFonts w:ascii="Arial" w:cs="Arial" w:eastAsia="Arial" w:hAnsi="Arial"/>
          <w:sz w:val="15"/>
          <w:szCs w:val="15"/>
          <w:b w:val="1"/>
          <w:bCs w:val="1"/>
          <w:color w:val="auto"/>
        </w:rPr>
        <w:t>19.8 Offsets</w:t>
      </w:r>
      <w:r>
        <w:rPr>
          <w:rFonts w:ascii="Arial" w:cs="Arial" w:eastAsia="Arial" w:hAnsi="Arial"/>
          <w:sz w:val="15"/>
          <w:szCs w:val="15"/>
          <w:color w:val="auto"/>
        </w:rPr>
        <w:t>. To the extent permitted by applicable law, the Company shall have the right to offset from any Award payable hereunder any amount that a</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owes to the Company or any Affiliate without the consent of the Participant (or his or her beneficiary, in the event of the Participant’s death).</w:t>
      </w:r>
    </w:p>
    <w:p>
      <w:pPr>
        <w:spacing w:after="0" w:line="27" w:lineRule="exact"/>
        <w:rPr>
          <w:sz w:val="20"/>
          <w:szCs w:val="20"/>
          <w:color w:val="auto"/>
        </w:rPr>
      </w:pPr>
    </w:p>
    <w:p>
      <w:pPr>
        <w:ind w:left="280" w:right="220"/>
        <w:spacing w:after="0" w:line="315" w:lineRule="auto"/>
        <w:rPr>
          <w:sz w:val="20"/>
          <w:szCs w:val="20"/>
          <w:color w:val="auto"/>
        </w:rPr>
      </w:pPr>
      <w:r>
        <w:rPr>
          <w:rFonts w:ascii="Arial" w:cs="Arial" w:eastAsia="Arial" w:hAnsi="Arial"/>
          <w:sz w:val="15"/>
          <w:szCs w:val="15"/>
          <w:b w:val="1"/>
          <w:bCs w:val="1"/>
          <w:color w:val="auto"/>
        </w:rPr>
        <w:t xml:space="preserve">19.9 Plan Document Controls. </w:t>
      </w:r>
      <w:r>
        <w:rPr>
          <w:rFonts w:ascii="Arial" w:cs="Arial" w:eastAsia="Arial" w:hAnsi="Arial"/>
          <w:sz w:val="15"/>
          <w:szCs w:val="15"/>
          <w:color w:val="auto"/>
        </w:rPr>
        <w:t>The Plan and each Award Agreement constitute the entire agreement with respect to the subject matter hereof and</w:t>
      </w:r>
      <w:r>
        <w:rPr>
          <w:rFonts w:ascii="Arial" w:cs="Arial" w:eastAsia="Arial" w:hAnsi="Arial"/>
          <w:sz w:val="15"/>
          <w:szCs w:val="15"/>
          <w:b w:val="1"/>
          <w:bCs w:val="1"/>
          <w:color w:val="auto"/>
        </w:rPr>
        <w:t xml:space="preserve"> </w:t>
      </w:r>
      <w:r>
        <w:rPr>
          <w:rFonts w:ascii="Arial" w:cs="Arial" w:eastAsia="Arial" w:hAnsi="Arial"/>
          <w:sz w:val="15"/>
          <w:szCs w:val="15"/>
          <w:color w:val="auto"/>
        </w:rPr>
        <w:t>thereof; provided, that in the event of any inconsistency between the Plan and an Award Agreement, the terms and conditions of the Plan shall control.</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Article 20. Incentive Compensation Recoupment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75565</wp:posOffset>
            </wp:positionV>
            <wp:extent cx="69018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221" w:lineRule="exact"/>
        <w:rPr>
          <w:sz w:val="20"/>
          <w:szCs w:val="20"/>
          <w:color w:val="auto"/>
        </w:rPr>
      </w:pPr>
    </w:p>
    <w:p>
      <w:pPr>
        <w:ind w:left="280" w:right="80"/>
        <w:spacing w:after="0" w:line="254" w:lineRule="auto"/>
        <w:rPr>
          <w:sz w:val="20"/>
          <w:szCs w:val="20"/>
          <w:color w:val="auto"/>
        </w:rPr>
      </w:pPr>
      <w:r>
        <w:rPr>
          <w:rFonts w:ascii="Arial" w:cs="Arial" w:eastAsia="Arial" w:hAnsi="Arial"/>
          <w:sz w:val="16"/>
          <w:szCs w:val="16"/>
          <w:color w:val="auto"/>
        </w:rPr>
        <w:t>Notwithstanding any provision in the Plan or in any Award Agreement to the contrary, all Awards are subject to the Incentive Compensation Recoupment Policy established by the Company, as amended from time to time.</w:t>
      </w:r>
    </w:p>
    <w:p>
      <w:pPr>
        <w:spacing w:after="0" w:line="197" w:lineRule="exact"/>
        <w:rPr>
          <w:sz w:val="20"/>
          <w:szCs w:val="20"/>
          <w:color w:val="auto"/>
        </w:rPr>
      </w:pPr>
    </w:p>
    <w:p>
      <w:pPr>
        <w:ind w:left="4820"/>
        <w:spacing w:after="0"/>
        <w:tabs>
          <w:tab w:leader="none" w:pos="5220" w:val="left"/>
          <w:tab w:leader="none" w:pos="5640" w:val="left"/>
          <w:tab w:leader="none" w:pos="6060" w:val="left"/>
          <w:tab w:leader="none" w:pos="65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w:t>
      </w:r>
    </w:p>
    <w:p>
      <w:pPr>
        <w:ind w:left="380"/>
        <w:spacing w:after="0"/>
        <w:tabs>
          <w:tab w:leader="none" w:pos="800" w:val="left"/>
        </w:tabs>
        <w:rPr>
          <w:sz w:val="20"/>
          <w:szCs w:val="20"/>
          <w:color w:val="auto"/>
        </w:rPr>
      </w:pPr>
      <w:r>
        <w:rPr>
          <w:rFonts w:ascii="Arial" w:cs="Arial" w:eastAsia="Arial" w:hAnsi="Arial"/>
          <w:sz w:val="35"/>
          <w:szCs w:val="35"/>
          <w:b w:val="1"/>
          <w:bCs w:val="1"/>
          <w:color w:val="000000"/>
          <w:vertAlign w:val="superscript"/>
        </w:rPr>
        <w:t>B-</w:t>
      </w:r>
      <w:r>
        <w:rPr>
          <w:rFonts w:ascii="Arial" w:cs="Arial" w:eastAsia="Arial" w:hAnsi="Arial"/>
          <w:sz w:val="15"/>
          <w:szCs w:val="15"/>
          <w:b w:val="1"/>
          <w:bCs w:val="1"/>
          <w:color w:val="E2231A"/>
        </w:rPr>
        <w:t xml:space="preserve"> </w:t>
      </w:r>
      <w:r>
        <w:rPr>
          <w:rFonts w:ascii="Arial" w:cs="Arial" w:eastAsia="Arial" w:hAnsi="Arial"/>
          <w:sz w:val="35"/>
          <w:szCs w:val="35"/>
          <w:b w:val="1"/>
          <w:bCs w:val="1"/>
          <w:color w:val="E2231A"/>
          <w:vertAlign w:val="superscript"/>
        </w:rPr>
        <w:t>|</w:t>
      </w:r>
      <w:r>
        <w:rPr>
          <w:rFonts w:ascii="Arial" w:cs="Arial" w:eastAsia="Arial" w:hAnsi="Arial"/>
          <w:sz w:val="15"/>
          <w:szCs w:val="15"/>
          <w:b w:val="1"/>
          <w:bCs w:val="1"/>
          <w:color w:val="E2231A"/>
        </w:rPr>
        <w:tab/>
        <w:t>LEAR CORPORATION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16</w:t>
      </w:r>
    </w:p>
    <w:p>
      <w:pPr>
        <w:sectPr>
          <w:pgSz w:w="11900" w:h="16838" w:orient="portrait"/>
          <w:cols w:equalWidth="0" w:num="1">
            <w:col w:w="11120"/>
          </w:cols>
          <w:pgMar w:left="240" w:top="455" w:right="53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11"/>
          <w:szCs w:val="11"/>
          <w:b w:val="1"/>
          <w:bCs w:val="1"/>
          <w:i w:val="1"/>
          <w:iCs w:val="1"/>
          <w:color w:val="auto"/>
        </w:rPr>
        <w:t>LEAR CORPORATION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0"/>
          <w:szCs w:val="10"/>
          <w:b w:val="1"/>
          <w:bCs w:val="1"/>
          <w:i w:val="1"/>
          <w:iCs w:val="1"/>
          <w:color w:val="auto"/>
        </w:rPr>
        <w:t>ATTN: INVESTOR RELATIONS</w:t>
      </w:r>
    </w:p>
    <w:p>
      <w:pPr>
        <w:ind w:left="660"/>
        <w:spacing w:after="0" w:line="236" w:lineRule="auto"/>
        <w:rPr>
          <w:sz w:val="20"/>
          <w:szCs w:val="20"/>
          <w:color w:val="auto"/>
        </w:rPr>
      </w:pPr>
      <w:r>
        <w:rPr>
          <w:rFonts w:ascii="Arial" w:cs="Arial" w:eastAsia="Arial" w:hAnsi="Arial"/>
          <w:sz w:val="11"/>
          <w:szCs w:val="11"/>
          <w:b w:val="1"/>
          <w:bCs w:val="1"/>
          <w:i w:val="1"/>
          <w:iCs w:val="1"/>
          <w:color w:val="auto"/>
        </w:rPr>
        <w:t>21557 TELEGRAPH ROAD</w:t>
      </w:r>
    </w:p>
    <w:p>
      <w:pPr>
        <w:ind w:left="660"/>
        <w:spacing w:after="0"/>
        <w:rPr>
          <w:sz w:val="20"/>
          <w:szCs w:val="20"/>
          <w:color w:val="auto"/>
        </w:rPr>
      </w:pPr>
      <w:r>
        <w:rPr>
          <w:rFonts w:ascii="Arial" w:cs="Arial" w:eastAsia="Arial" w:hAnsi="Arial"/>
          <w:sz w:val="11"/>
          <w:szCs w:val="11"/>
          <w:b w:val="1"/>
          <w:bCs w:val="1"/>
          <w:i w:val="1"/>
          <w:iCs w:val="1"/>
          <w:color w:val="auto"/>
        </w:rPr>
        <w:t>SOUTHFIELD, MI 48033</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p>
    <w:p>
      <w:pPr>
        <w:spacing w:after="0" w:line="7" w:lineRule="exact"/>
        <w:rPr>
          <w:sz w:val="20"/>
          <w:szCs w:val="20"/>
          <w:color w:val="auto"/>
        </w:rPr>
      </w:pPr>
    </w:p>
    <w:p>
      <w:pPr>
        <w:ind w:right="960"/>
        <w:spacing w:after="0" w:line="233"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If you would like to reduce the costs incurred by our company in mailing proxy materials, you can</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consent to receiving all future proxy statements, proxy cards and annual reports electronically via e-</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mail or the Internet. To sign up for electronic delivery, please follow the instructions above to vote</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using the Internet and, when prompted, indicate that you agree to receive or access proxy materials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electronically in future years.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11" w:lineRule="exact"/>
        <w:rPr>
          <w:sz w:val="20"/>
          <w:szCs w:val="20"/>
          <w:color w:val="auto"/>
        </w:rPr>
      </w:pPr>
    </w:p>
    <w:p>
      <w:pPr>
        <w:ind w:right="940"/>
        <w:spacing w:after="0" w:line="239" w:lineRule="auto"/>
        <w:rPr>
          <w:sz w:val="20"/>
          <w:szCs w:val="20"/>
          <w:color w:val="auto"/>
        </w:rPr>
      </w:pPr>
      <w:r>
        <w:rPr>
          <w:rFonts w:ascii="Arial" w:cs="Arial" w:eastAsia="Arial" w:hAnsi="Arial"/>
          <w:sz w:val="12"/>
          <w:szCs w:val="12"/>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Mark, sign and date your proxy card and return it in the postage-paid envelope we have provided or</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return it to Vote Processing, c/o Broadridge, 51 Mercedes Way, Edgewood, NY 11717.</w:t>
      </w:r>
    </w:p>
    <w:p>
      <w:pPr>
        <w:spacing w:after="0" w:line="200" w:lineRule="exact"/>
        <w:rPr>
          <w:sz w:val="20"/>
          <w:szCs w:val="20"/>
          <w:color w:val="auto"/>
        </w:rPr>
      </w:pPr>
    </w:p>
    <w:p>
      <w:pPr>
        <w:sectPr>
          <w:pgSz w:w="11900" w:h="16838" w:orient="portrait"/>
          <w:cols w:equalWidth="0" w:num="2">
            <w:col w:w="5000" w:space="720"/>
            <w:col w:w="5700"/>
          </w:cols>
          <w:pgMar w:left="240" w:top="45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88" w:lineRule="exact"/>
        <w:rPr>
          <w:sz w:val="20"/>
          <w:szCs w:val="20"/>
          <w:color w:val="auto"/>
        </w:rPr>
      </w:pPr>
    </w:p>
    <w:p>
      <w:pPr>
        <w:ind w:left="6880"/>
        <w:spacing w:after="0"/>
        <w:tabs>
          <w:tab w:leader="none" w:pos="8680" w:val="left"/>
        </w:tabs>
        <w:rPr>
          <w:sz w:val="20"/>
          <w:szCs w:val="20"/>
          <w:color w:val="auto"/>
        </w:rPr>
      </w:pPr>
      <w:r>
        <w:rPr>
          <w:rFonts w:ascii="Arial" w:cs="Arial" w:eastAsia="Arial" w:hAnsi="Arial"/>
          <w:sz w:val="12"/>
          <w:szCs w:val="12"/>
          <w:color w:val="auto"/>
        </w:rPr>
        <w:t>E69709-P20176</w:t>
      </w:r>
      <w:r>
        <w:rPr>
          <w:sz w:val="20"/>
          <w:szCs w:val="20"/>
          <w:color w:val="auto"/>
        </w:rPr>
        <w:tab/>
      </w:r>
      <w:r>
        <w:rPr>
          <w:rFonts w:ascii="Arial" w:cs="Arial" w:eastAsia="Arial" w:hAnsi="Arial"/>
          <w:sz w:val="11"/>
          <w:szCs w:val="11"/>
          <w:color w:val="auto"/>
        </w:rPr>
        <w:t>KEEP THIS PORTION FOR YOUR RECORDS</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 — — — — — — — — — — — — — — — — — — — — — — — — — — — — — — — — — — — — — — — — — — — — — — —— — — — — — — —</w:t>
      </w:r>
    </w:p>
    <w:p>
      <w:pPr>
        <w:spacing w:after="0" w:line="46" w:lineRule="exact"/>
        <w:rPr>
          <w:sz w:val="20"/>
          <w:szCs w:val="20"/>
          <w:color w:val="auto"/>
        </w:rPr>
      </w:pPr>
    </w:p>
    <w:p>
      <w:pPr>
        <w:ind w:left="3100"/>
        <w:spacing w:after="0"/>
        <w:tabs>
          <w:tab w:leader="none" w:pos="858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7"/>
          <w:szCs w:val="17"/>
          <w:color w:val="auto"/>
          <w:vertAlign w:val="superscript"/>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13970</wp:posOffset>
            </wp:positionV>
            <wp:extent cx="6918325" cy="4076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18325" cy="4076700"/>
                    </a:xfrm>
                    <a:prstGeom prst="rect">
                      <a:avLst/>
                    </a:prstGeom>
                    <a:noFill/>
                  </pic:spPr>
                </pic:pic>
              </a:graphicData>
            </a:graphic>
          </wp:anchor>
        </w:drawing>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auto"/>
        </w:rPr>
        <w:t>LEAR CORPORATION</w:t>
      </w:r>
    </w:p>
    <w:p>
      <w:pPr>
        <w:sectPr>
          <w:pgSz w:w="11900" w:h="16838" w:orient="portrait"/>
          <w:cols w:equalWidth="0" w:num="1">
            <w:col w:w="11420"/>
          </w:cols>
          <w:pgMar w:left="240" w:top="455" w:right="239" w:bottom="1440" w:gutter="0" w:footer="0" w:header="0"/>
          <w:type w:val="continuous"/>
        </w:sectPr>
      </w:pPr>
    </w:p>
    <w:p>
      <w:pPr>
        <w:spacing w:after="0" w:line="224" w:lineRule="exact"/>
        <w:rPr>
          <w:sz w:val="20"/>
          <w:szCs w:val="20"/>
          <w:color w:val="auto"/>
        </w:rPr>
      </w:pPr>
    </w:p>
    <w:p>
      <w:pPr>
        <w:ind w:left="580"/>
        <w:spacing w:after="0"/>
        <w:rPr>
          <w:sz w:val="20"/>
          <w:szCs w:val="20"/>
          <w:color w:val="auto"/>
        </w:rPr>
      </w:pPr>
      <w:r>
        <w:rPr>
          <w:rFonts w:ascii="Arial" w:cs="Arial" w:eastAsia="Arial" w:hAnsi="Arial"/>
          <w:sz w:val="12"/>
          <w:szCs w:val="12"/>
          <w:b w:val="1"/>
          <w:bCs w:val="1"/>
          <w:color w:val="auto"/>
        </w:rPr>
        <w:t>The Board of Directors recommends you vote FOR the following:</w:t>
      </w:r>
    </w:p>
    <w:p>
      <w:pPr>
        <w:spacing w:after="0" w:line="176" w:lineRule="exact"/>
        <w:rPr>
          <w:sz w:val="20"/>
          <w:szCs w:val="20"/>
          <w:color w:val="auto"/>
        </w:rPr>
      </w:pPr>
    </w:p>
    <w:p>
      <w:pPr>
        <w:ind w:left="940" w:hanging="367"/>
        <w:spacing w:after="0"/>
        <w:tabs>
          <w:tab w:leader="none" w:pos="94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Election of Directors</w:t>
      </w:r>
    </w:p>
    <w:p>
      <w:pPr>
        <w:spacing w:after="0" w:line="1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3160" w:type="dxa"/>
            <w:vAlign w:val="bottom"/>
          </w:tcPr>
          <w:p>
            <w:pPr>
              <w:ind w:left="120"/>
              <w:spacing w:after="0"/>
              <w:rPr>
                <w:sz w:val="20"/>
                <w:szCs w:val="20"/>
                <w:color w:val="auto"/>
              </w:rPr>
            </w:pPr>
            <w:r>
              <w:rPr>
                <w:rFonts w:ascii="Arial" w:cs="Arial" w:eastAsia="Arial" w:hAnsi="Arial"/>
                <w:sz w:val="12"/>
                <w:szCs w:val="12"/>
                <w:b w:val="1"/>
                <w:bCs w:val="1"/>
                <w:color w:val="auto"/>
              </w:rPr>
              <w:t>Nominees:</w:t>
            </w:r>
          </w:p>
        </w:tc>
        <w:tc>
          <w:tcPr>
            <w:tcW w:w="480" w:type="dxa"/>
            <w:vAlign w:val="bottom"/>
          </w:tcPr>
          <w:p>
            <w:pPr>
              <w:jc w:val="right"/>
              <w:ind w:right="30"/>
              <w:spacing w:after="0"/>
              <w:rPr>
                <w:sz w:val="20"/>
                <w:szCs w:val="20"/>
                <w:color w:val="auto"/>
              </w:rPr>
            </w:pPr>
            <w:r>
              <w:rPr>
                <w:rFonts w:ascii="Arial" w:cs="Arial" w:eastAsia="Arial" w:hAnsi="Arial"/>
                <w:sz w:val="12"/>
                <w:szCs w:val="12"/>
                <w:b w:val="1"/>
                <w:bCs w:val="1"/>
                <w:color w:val="auto"/>
              </w:rPr>
              <w:t>For</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Against</w:t>
            </w:r>
          </w:p>
        </w:tc>
        <w:tc>
          <w:tcPr>
            <w:tcW w:w="640" w:type="dxa"/>
            <w:vAlign w:val="bottom"/>
          </w:tcPr>
          <w:p>
            <w:pPr>
              <w:jc w:val="center"/>
              <w:ind w:left="50"/>
              <w:spacing w:after="0"/>
              <w:rPr>
                <w:sz w:val="20"/>
                <w:szCs w:val="20"/>
                <w:color w:val="auto"/>
              </w:rPr>
            </w:pPr>
            <w:r>
              <w:rPr>
                <w:rFonts w:ascii="Arial" w:cs="Arial" w:eastAsia="Arial" w:hAnsi="Arial"/>
                <w:sz w:val="12"/>
                <w:szCs w:val="12"/>
                <w:b w:val="1"/>
                <w:bCs w:val="1"/>
                <w:color w:val="auto"/>
                <w:w w:val="90"/>
              </w:rPr>
              <w:t>Abstain</w:t>
            </w:r>
          </w:p>
        </w:tc>
        <w:tc>
          <w:tcPr>
            <w:tcW w:w="3720" w:type="dxa"/>
            <w:vAlign w:val="bottom"/>
          </w:tcPr>
          <w:p>
            <w:pPr>
              <w:spacing w:after="0"/>
              <w:rPr>
                <w:sz w:val="13"/>
                <w:szCs w:val="13"/>
                <w:color w:val="auto"/>
              </w:rPr>
            </w:pPr>
          </w:p>
        </w:tc>
      </w:tr>
      <w:tr>
        <w:trPr>
          <w:trHeight w:val="354"/>
        </w:trPr>
        <w:tc>
          <w:tcPr>
            <w:tcW w:w="240" w:type="dxa"/>
            <w:vAlign w:val="bottom"/>
          </w:tcPr>
          <w:p>
            <w:pPr>
              <w:spacing w:after="0"/>
              <w:rPr>
                <w:sz w:val="20"/>
                <w:szCs w:val="20"/>
                <w:color w:val="auto"/>
              </w:rPr>
            </w:pPr>
            <w:r>
              <w:rPr>
                <w:rFonts w:ascii="Arial" w:cs="Arial" w:eastAsia="Arial" w:hAnsi="Arial"/>
                <w:sz w:val="12"/>
                <w:szCs w:val="12"/>
                <w:color w:val="auto"/>
              </w:rPr>
              <w:t>1a.</w:t>
            </w:r>
          </w:p>
        </w:tc>
        <w:tc>
          <w:tcPr>
            <w:tcW w:w="3160" w:type="dxa"/>
            <w:vAlign w:val="bottom"/>
          </w:tcPr>
          <w:p>
            <w:pPr>
              <w:ind w:left="80"/>
              <w:spacing w:after="0"/>
              <w:rPr>
                <w:sz w:val="20"/>
                <w:szCs w:val="20"/>
                <w:color w:val="auto"/>
              </w:rPr>
            </w:pPr>
            <w:r>
              <w:rPr>
                <w:rFonts w:ascii="Arial" w:cs="Arial" w:eastAsia="Arial" w:hAnsi="Arial"/>
                <w:sz w:val="12"/>
                <w:szCs w:val="12"/>
                <w:color w:val="auto"/>
              </w:rPr>
              <w:t>Thomas P. Capo</w:t>
            </w:r>
          </w:p>
        </w:tc>
        <w:tc>
          <w:tcPr>
            <w:tcW w:w="480" w:type="dxa"/>
            <w:vAlign w:val="bottom"/>
          </w:tcPr>
          <w:p>
            <w:pPr>
              <w:jc w:val="right"/>
              <w:ind w:right="3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jc w:val="center"/>
              <w:ind w:left="50"/>
              <w:spacing w:after="0" w:line="141" w:lineRule="exact"/>
              <w:rPr>
                <w:sz w:val="20"/>
                <w:szCs w:val="20"/>
                <w:color w:val="auto"/>
              </w:rPr>
            </w:pPr>
            <w:r>
              <w:rPr>
                <w:rFonts w:ascii="MS PGothic" w:cs="MS PGothic" w:eastAsia="MS PGothic" w:hAnsi="MS PGothic"/>
                <w:sz w:val="14"/>
                <w:szCs w:val="14"/>
                <w:color w:val="auto"/>
                <w:w w:val="85"/>
              </w:rPr>
              <w:t>☐</w:t>
            </w:r>
          </w:p>
        </w:tc>
        <w:tc>
          <w:tcPr>
            <w:tcW w:w="3720" w:type="dxa"/>
            <w:vAlign w:val="bottom"/>
          </w:tcPr>
          <w:p>
            <w:pPr>
              <w:spacing w:after="0"/>
              <w:rPr>
                <w:sz w:val="24"/>
                <w:szCs w:val="24"/>
                <w:color w:val="auto"/>
              </w:rPr>
            </w:pPr>
          </w:p>
        </w:tc>
      </w:tr>
      <w:tr>
        <w:trPr>
          <w:trHeight w:val="346"/>
        </w:trPr>
        <w:tc>
          <w:tcPr>
            <w:tcW w:w="240" w:type="dxa"/>
            <w:vAlign w:val="bottom"/>
          </w:tcPr>
          <w:p>
            <w:pPr>
              <w:spacing w:after="0"/>
              <w:rPr>
                <w:sz w:val="20"/>
                <w:szCs w:val="20"/>
                <w:color w:val="auto"/>
              </w:rPr>
            </w:pPr>
            <w:r>
              <w:rPr>
                <w:rFonts w:ascii="Arial" w:cs="Arial" w:eastAsia="Arial" w:hAnsi="Arial"/>
                <w:sz w:val="12"/>
                <w:szCs w:val="12"/>
                <w:color w:val="auto"/>
              </w:rPr>
              <w:t>1b.</w:t>
            </w:r>
          </w:p>
        </w:tc>
        <w:tc>
          <w:tcPr>
            <w:tcW w:w="3160" w:type="dxa"/>
            <w:vAlign w:val="bottom"/>
          </w:tcPr>
          <w:p>
            <w:pPr>
              <w:ind w:left="80"/>
              <w:spacing w:after="0"/>
              <w:rPr>
                <w:sz w:val="20"/>
                <w:szCs w:val="20"/>
                <w:color w:val="auto"/>
              </w:rPr>
            </w:pPr>
            <w:r>
              <w:rPr>
                <w:rFonts w:ascii="Arial" w:cs="Arial" w:eastAsia="Arial" w:hAnsi="Arial"/>
                <w:sz w:val="12"/>
                <w:szCs w:val="12"/>
                <w:color w:val="auto"/>
              </w:rPr>
              <w:t>Mei-Wei Cheng</w:t>
            </w:r>
          </w:p>
        </w:tc>
        <w:tc>
          <w:tcPr>
            <w:tcW w:w="480" w:type="dxa"/>
            <w:vAlign w:val="bottom"/>
          </w:tcPr>
          <w:p>
            <w:pPr>
              <w:jc w:val="right"/>
              <w:ind w:right="3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jc w:val="center"/>
              <w:ind w:left="50"/>
              <w:spacing w:after="0" w:line="141" w:lineRule="exact"/>
              <w:rPr>
                <w:sz w:val="20"/>
                <w:szCs w:val="20"/>
                <w:color w:val="auto"/>
              </w:rPr>
            </w:pPr>
            <w:r>
              <w:rPr>
                <w:rFonts w:ascii="MS PGothic" w:cs="MS PGothic" w:eastAsia="MS PGothic" w:hAnsi="MS PGothic"/>
                <w:sz w:val="14"/>
                <w:szCs w:val="14"/>
                <w:color w:val="auto"/>
                <w:w w:val="85"/>
              </w:rPr>
              <w:t>☐</w:t>
            </w:r>
          </w:p>
        </w:tc>
        <w:tc>
          <w:tcPr>
            <w:tcW w:w="3720" w:type="dxa"/>
            <w:vAlign w:val="bottom"/>
          </w:tcPr>
          <w:p>
            <w:pPr>
              <w:spacing w:after="0"/>
              <w:rPr>
                <w:sz w:val="24"/>
                <w:szCs w:val="24"/>
                <w:color w:val="auto"/>
              </w:rPr>
            </w:pPr>
          </w:p>
        </w:tc>
      </w:tr>
      <w:tr>
        <w:trPr>
          <w:trHeight w:val="288"/>
        </w:trPr>
        <w:tc>
          <w:tcPr>
            <w:tcW w:w="240" w:type="dxa"/>
            <w:vAlign w:val="bottom"/>
          </w:tcPr>
          <w:p>
            <w:pPr>
              <w:spacing w:after="0"/>
              <w:rPr>
                <w:sz w:val="20"/>
                <w:szCs w:val="20"/>
                <w:color w:val="auto"/>
              </w:rPr>
            </w:pPr>
            <w:r>
              <w:rPr>
                <w:rFonts w:ascii="Arial" w:cs="Arial" w:eastAsia="Arial" w:hAnsi="Arial"/>
                <w:sz w:val="12"/>
                <w:szCs w:val="12"/>
                <w:color w:val="auto"/>
              </w:rPr>
              <w:t>1c.</w:t>
            </w:r>
          </w:p>
        </w:tc>
        <w:tc>
          <w:tcPr>
            <w:tcW w:w="3160" w:type="dxa"/>
            <w:vAlign w:val="bottom"/>
          </w:tcPr>
          <w:p>
            <w:pPr>
              <w:ind w:left="80"/>
              <w:spacing w:after="0"/>
              <w:rPr>
                <w:sz w:val="20"/>
                <w:szCs w:val="20"/>
                <w:color w:val="auto"/>
              </w:rPr>
            </w:pPr>
            <w:r>
              <w:rPr>
                <w:rFonts w:ascii="Arial" w:cs="Arial" w:eastAsia="Arial" w:hAnsi="Arial"/>
                <w:sz w:val="12"/>
                <w:szCs w:val="12"/>
                <w:color w:val="auto"/>
              </w:rPr>
              <w:t>Jonathan F. Foster</w:t>
            </w:r>
          </w:p>
        </w:tc>
        <w:tc>
          <w:tcPr>
            <w:tcW w:w="480" w:type="dxa"/>
            <w:vAlign w:val="bottom"/>
          </w:tcPr>
          <w:p>
            <w:pPr>
              <w:jc w:val="right"/>
              <w:ind w:right="3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jc w:val="center"/>
              <w:ind w:left="50"/>
              <w:spacing w:after="0" w:line="141" w:lineRule="exact"/>
              <w:rPr>
                <w:sz w:val="20"/>
                <w:szCs w:val="20"/>
                <w:color w:val="auto"/>
              </w:rPr>
            </w:pPr>
            <w:r>
              <w:rPr>
                <w:rFonts w:ascii="MS PGothic" w:cs="MS PGothic" w:eastAsia="MS PGothic" w:hAnsi="MS PGothic"/>
                <w:sz w:val="14"/>
                <w:szCs w:val="14"/>
                <w:color w:val="auto"/>
                <w:w w:val="85"/>
              </w:rPr>
              <w:t>☐</w:t>
            </w:r>
          </w:p>
        </w:tc>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The Board of Directors recommends you vote FOR</w:t>
            </w:r>
          </w:p>
        </w:tc>
      </w:tr>
      <w:tr>
        <w:trPr>
          <w:trHeight w:val="185"/>
        </w:trPr>
        <w:tc>
          <w:tcPr>
            <w:tcW w:w="2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proposals 2, 3 and 4.</w:t>
            </w:r>
          </w:p>
        </w:tc>
      </w:tr>
      <w:tr>
        <w:trPr>
          <w:trHeight w:val="282"/>
        </w:trPr>
        <w:tc>
          <w:tcPr>
            <w:tcW w:w="240" w:type="dxa"/>
            <w:vAlign w:val="bottom"/>
          </w:tcPr>
          <w:p>
            <w:pPr>
              <w:spacing w:after="0"/>
              <w:rPr>
                <w:sz w:val="20"/>
                <w:szCs w:val="20"/>
                <w:color w:val="auto"/>
              </w:rPr>
            </w:pPr>
            <w:r>
              <w:rPr>
                <w:rFonts w:ascii="Arial" w:cs="Arial" w:eastAsia="Arial" w:hAnsi="Arial"/>
                <w:sz w:val="12"/>
                <w:szCs w:val="12"/>
                <w:color w:val="auto"/>
              </w:rPr>
              <w:t>1d.</w:t>
            </w:r>
          </w:p>
        </w:tc>
        <w:tc>
          <w:tcPr>
            <w:tcW w:w="3160" w:type="dxa"/>
            <w:vAlign w:val="bottom"/>
          </w:tcPr>
          <w:p>
            <w:pPr>
              <w:ind w:left="120"/>
              <w:spacing w:after="0"/>
              <w:rPr>
                <w:sz w:val="20"/>
                <w:szCs w:val="20"/>
                <w:color w:val="auto"/>
              </w:rPr>
            </w:pPr>
            <w:r>
              <w:rPr>
                <w:rFonts w:ascii="Arial" w:cs="Arial" w:eastAsia="Arial" w:hAnsi="Arial"/>
                <w:sz w:val="12"/>
                <w:szCs w:val="12"/>
                <w:color w:val="auto"/>
              </w:rPr>
              <w:t>Mary Lou Jepsen</w:t>
            </w:r>
          </w:p>
        </w:tc>
        <w:tc>
          <w:tcPr>
            <w:tcW w:w="480" w:type="dxa"/>
            <w:vAlign w:val="bottom"/>
          </w:tcPr>
          <w:p>
            <w:pPr>
              <w:jc w:val="right"/>
              <w:ind w:right="3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jc w:val="center"/>
              <w:ind w:left="50"/>
              <w:spacing w:after="0" w:line="141" w:lineRule="exact"/>
              <w:rPr>
                <w:sz w:val="20"/>
                <w:szCs w:val="20"/>
                <w:color w:val="auto"/>
              </w:rPr>
            </w:pPr>
            <w:r>
              <w:rPr>
                <w:rFonts w:ascii="MS PGothic" w:cs="MS PGothic" w:eastAsia="MS PGothic" w:hAnsi="MS PGothic"/>
                <w:sz w:val="14"/>
                <w:szCs w:val="14"/>
                <w:color w:val="auto"/>
                <w:w w:val="85"/>
              </w:rPr>
              <w:t>☐</w:t>
            </w:r>
          </w:p>
        </w:tc>
        <w:tc>
          <w:tcPr>
            <w:tcW w:w="3720" w:type="dxa"/>
            <w:vAlign w:val="bottom"/>
          </w:tcPr>
          <w:p>
            <w:pPr>
              <w:ind w:left="60"/>
              <w:spacing w:after="0"/>
              <w:rPr>
                <w:sz w:val="20"/>
                <w:szCs w:val="20"/>
                <w:color w:val="auto"/>
              </w:rPr>
            </w:pPr>
            <w:r>
              <w:rPr>
                <w:rFonts w:ascii="Arial" w:cs="Arial" w:eastAsia="Arial" w:hAnsi="Arial"/>
                <w:sz w:val="14"/>
                <w:szCs w:val="14"/>
                <w:color w:val="auto"/>
              </w:rPr>
              <w:t xml:space="preserve">2.  </w:t>
            </w:r>
            <w:r>
              <w:rPr>
                <w:rFonts w:ascii="Arial" w:cs="Arial" w:eastAsia="Arial" w:hAnsi="Arial"/>
                <w:sz w:val="11"/>
                <w:szCs w:val="11"/>
                <w:color w:val="auto"/>
              </w:rPr>
              <w:t>Ratification of the retention of Ernst &amp; Young LLP as our independent</w:t>
            </w:r>
          </w:p>
        </w:tc>
      </w:tr>
      <w:tr>
        <w:trPr>
          <w:trHeight w:val="147"/>
        </w:trPr>
        <w:tc>
          <w:tcPr>
            <w:tcW w:w="2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720" w:type="dxa"/>
            <w:vAlign w:val="bottom"/>
          </w:tcPr>
          <w:p>
            <w:pPr>
              <w:ind w:left="280"/>
              <w:spacing w:after="0"/>
              <w:rPr>
                <w:sz w:val="20"/>
                <w:szCs w:val="20"/>
                <w:color w:val="auto"/>
              </w:rPr>
            </w:pPr>
            <w:r>
              <w:rPr>
                <w:rFonts w:ascii="Arial" w:cs="Arial" w:eastAsia="Arial" w:hAnsi="Arial"/>
                <w:sz w:val="12"/>
                <w:szCs w:val="12"/>
                <w:color w:val="auto"/>
              </w:rPr>
              <w:t>registered public accounting firm for 2019.</w:t>
            </w:r>
          </w:p>
        </w:tc>
      </w:tr>
      <w:tr>
        <w:trPr>
          <w:trHeight w:val="351"/>
        </w:trPr>
        <w:tc>
          <w:tcPr>
            <w:tcW w:w="240" w:type="dxa"/>
            <w:vAlign w:val="bottom"/>
          </w:tcPr>
          <w:p>
            <w:pPr>
              <w:spacing w:after="0"/>
              <w:rPr>
                <w:sz w:val="20"/>
                <w:szCs w:val="20"/>
                <w:color w:val="auto"/>
              </w:rPr>
            </w:pPr>
            <w:r>
              <w:rPr>
                <w:rFonts w:ascii="Arial" w:cs="Arial" w:eastAsia="Arial" w:hAnsi="Arial"/>
                <w:sz w:val="12"/>
                <w:szCs w:val="12"/>
                <w:color w:val="auto"/>
              </w:rPr>
              <w:t>1e.</w:t>
            </w:r>
          </w:p>
        </w:tc>
        <w:tc>
          <w:tcPr>
            <w:tcW w:w="3160" w:type="dxa"/>
            <w:vAlign w:val="bottom"/>
          </w:tcPr>
          <w:p>
            <w:pPr>
              <w:ind w:left="120"/>
              <w:spacing w:after="0"/>
              <w:rPr>
                <w:sz w:val="20"/>
                <w:szCs w:val="20"/>
                <w:color w:val="auto"/>
              </w:rPr>
            </w:pPr>
            <w:r>
              <w:rPr>
                <w:rFonts w:ascii="Arial" w:cs="Arial" w:eastAsia="Arial" w:hAnsi="Arial"/>
                <w:sz w:val="12"/>
                <w:szCs w:val="12"/>
                <w:color w:val="auto"/>
              </w:rPr>
              <w:t>Kathleen A. Ligocki</w:t>
            </w:r>
          </w:p>
        </w:tc>
        <w:tc>
          <w:tcPr>
            <w:tcW w:w="480" w:type="dxa"/>
            <w:vAlign w:val="bottom"/>
          </w:tcPr>
          <w:p>
            <w:pPr>
              <w:jc w:val="right"/>
              <w:ind w:right="3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jc w:val="center"/>
              <w:ind w:left="50"/>
              <w:spacing w:after="0" w:line="141" w:lineRule="exact"/>
              <w:rPr>
                <w:sz w:val="20"/>
                <w:szCs w:val="20"/>
                <w:color w:val="auto"/>
              </w:rPr>
            </w:pPr>
            <w:r>
              <w:rPr>
                <w:rFonts w:ascii="MS PGothic" w:cs="MS PGothic" w:eastAsia="MS PGothic" w:hAnsi="MS PGothic"/>
                <w:sz w:val="14"/>
                <w:szCs w:val="14"/>
                <w:color w:val="auto"/>
                <w:w w:val="85"/>
              </w:rPr>
              <w:t>☐</w:t>
            </w:r>
          </w:p>
        </w:tc>
        <w:tc>
          <w:tcPr>
            <w:tcW w:w="3720" w:type="dxa"/>
            <w:vAlign w:val="bottom"/>
          </w:tcPr>
          <w:p>
            <w:pPr>
              <w:ind w:left="6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1"/>
                <w:szCs w:val="11"/>
                <w:color w:val="auto"/>
              </w:rPr>
              <w:t>Advisory vote to approve Lear Corporation's executive compensation.</w:t>
            </w:r>
          </w:p>
        </w:tc>
      </w:tr>
      <w:tr>
        <w:trPr>
          <w:trHeight w:val="346"/>
        </w:trPr>
        <w:tc>
          <w:tcPr>
            <w:tcW w:w="240" w:type="dxa"/>
            <w:vAlign w:val="bottom"/>
          </w:tcPr>
          <w:p>
            <w:pPr>
              <w:spacing w:after="0"/>
              <w:rPr>
                <w:sz w:val="20"/>
                <w:szCs w:val="20"/>
                <w:color w:val="auto"/>
              </w:rPr>
            </w:pPr>
            <w:r>
              <w:rPr>
                <w:rFonts w:ascii="Arial" w:cs="Arial" w:eastAsia="Arial" w:hAnsi="Arial"/>
                <w:sz w:val="12"/>
                <w:szCs w:val="12"/>
                <w:color w:val="auto"/>
              </w:rPr>
              <w:t>1f.</w:t>
            </w:r>
          </w:p>
        </w:tc>
        <w:tc>
          <w:tcPr>
            <w:tcW w:w="3160" w:type="dxa"/>
            <w:vAlign w:val="bottom"/>
          </w:tcPr>
          <w:p>
            <w:pPr>
              <w:ind w:left="80"/>
              <w:spacing w:after="0"/>
              <w:rPr>
                <w:sz w:val="20"/>
                <w:szCs w:val="20"/>
                <w:color w:val="auto"/>
              </w:rPr>
            </w:pPr>
            <w:r>
              <w:rPr>
                <w:rFonts w:ascii="Arial" w:cs="Arial" w:eastAsia="Arial" w:hAnsi="Arial"/>
                <w:sz w:val="12"/>
                <w:szCs w:val="12"/>
                <w:color w:val="auto"/>
              </w:rPr>
              <w:t>Conrad L. Mallett, Jr.</w:t>
            </w:r>
          </w:p>
        </w:tc>
        <w:tc>
          <w:tcPr>
            <w:tcW w:w="480" w:type="dxa"/>
            <w:vAlign w:val="bottom"/>
          </w:tcPr>
          <w:p>
            <w:pPr>
              <w:jc w:val="right"/>
              <w:ind w:right="3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jc w:val="center"/>
              <w:ind w:left="50"/>
              <w:spacing w:after="0" w:line="141" w:lineRule="exact"/>
              <w:rPr>
                <w:sz w:val="20"/>
                <w:szCs w:val="20"/>
                <w:color w:val="auto"/>
              </w:rPr>
            </w:pPr>
            <w:r>
              <w:rPr>
                <w:rFonts w:ascii="MS PGothic" w:cs="MS PGothic" w:eastAsia="MS PGothic" w:hAnsi="MS PGothic"/>
                <w:sz w:val="14"/>
                <w:szCs w:val="14"/>
                <w:color w:val="auto"/>
                <w:w w:val="85"/>
              </w:rPr>
              <w:t>☐</w:t>
            </w:r>
          </w:p>
        </w:tc>
        <w:tc>
          <w:tcPr>
            <w:tcW w:w="3720" w:type="dxa"/>
            <w:vAlign w:val="bottom"/>
          </w:tcPr>
          <w:p>
            <w:pPr>
              <w:ind w:left="60"/>
              <w:spacing w:after="0"/>
              <w:rPr>
                <w:sz w:val="20"/>
                <w:szCs w:val="20"/>
                <w:color w:val="auto"/>
              </w:rPr>
            </w:pPr>
            <w:r>
              <w:rPr>
                <w:rFonts w:ascii="Arial" w:cs="Arial" w:eastAsia="Arial" w:hAnsi="Arial"/>
                <w:sz w:val="14"/>
                <w:szCs w:val="14"/>
                <w:color w:val="auto"/>
                <w:w w:val="95"/>
              </w:rPr>
              <w:t xml:space="preserve">4.  </w:t>
            </w:r>
            <w:r>
              <w:rPr>
                <w:rFonts w:ascii="Arial" w:cs="Arial" w:eastAsia="Arial" w:hAnsi="Arial"/>
                <w:sz w:val="11"/>
                <w:szCs w:val="11"/>
                <w:color w:val="auto"/>
                <w:w w:val="95"/>
              </w:rPr>
              <w:t>Vote to approve Lear Corporation's 2019 Long-Term Stock Incentive Plan.</w:t>
            </w:r>
          </w:p>
        </w:tc>
      </w:tr>
      <w:tr>
        <w:trPr>
          <w:trHeight w:val="284"/>
        </w:trPr>
        <w:tc>
          <w:tcPr>
            <w:tcW w:w="240" w:type="dxa"/>
            <w:vAlign w:val="bottom"/>
          </w:tcPr>
          <w:p>
            <w:pPr>
              <w:spacing w:after="0"/>
              <w:rPr>
                <w:sz w:val="20"/>
                <w:szCs w:val="20"/>
                <w:color w:val="auto"/>
              </w:rPr>
            </w:pPr>
            <w:r>
              <w:rPr>
                <w:rFonts w:ascii="Arial" w:cs="Arial" w:eastAsia="Arial" w:hAnsi="Arial"/>
                <w:sz w:val="12"/>
                <w:szCs w:val="12"/>
                <w:color w:val="auto"/>
              </w:rPr>
              <w:t>1g.</w:t>
            </w:r>
          </w:p>
        </w:tc>
        <w:tc>
          <w:tcPr>
            <w:tcW w:w="3160" w:type="dxa"/>
            <w:vAlign w:val="bottom"/>
          </w:tcPr>
          <w:p>
            <w:pPr>
              <w:ind w:left="80"/>
              <w:spacing w:after="0"/>
              <w:rPr>
                <w:sz w:val="20"/>
                <w:szCs w:val="20"/>
                <w:color w:val="auto"/>
              </w:rPr>
            </w:pPr>
            <w:r>
              <w:rPr>
                <w:rFonts w:ascii="Arial" w:cs="Arial" w:eastAsia="Arial" w:hAnsi="Arial"/>
                <w:sz w:val="12"/>
                <w:szCs w:val="12"/>
                <w:color w:val="auto"/>
              </w:rPr>
              <w:t>Raymond E. Scott</w:t>
            </w:r>
          </w:p>
        </w:tc>
        <w:tc>
          <w:tcPr>
            <w:tcW w:w="480" w:type="dxa"/>
            <w:vAlign w:val="bottom"/>
          </w:tcPr>
          <w:p>
            <w:pPr>
              <w:jc w:val="right"/>
              <w:ind w:right="3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jc w:val="center"/>
              <w:ind w:left="50"/>
              <w:spacing w:after="0" w:line="141" w:lineRule="exact"/>
              <w:rPr>
                <w:sz w:val="20"/>
                <w:szCs w:val="20"/>
                <w:color w:val="auto"/>
              </w:rPr>
            </w:pPr>
            <w:r>
              <w:rPr>
                <w:rFonts w:ascii="MS PGothic" w:cs="MS PGothic" w:eastAsia="MS PGothic" w:hAnsi="MS PGothic"/>
                <w:sz w:val="14"/>
                <w:szCs w:val="14"/>
                <w:color w:val="auto"/>
                <w:w w:val="85"/>
              </w:rPr>
              <w:t>☐</w:t>
            </w:r>
          </w:p>
        </w:tc>
        <w:tc>
          <w:tcPr>
            <w:tcW w:w="3720" w:type="dxa"/>
            <w:vAlign w:val="bottom"/>
          </w:tcPr>
          <w:p>
            <w:pPr>
              <w:ind w:left="60"/>
              <w:spacing w:after="0"/>
              <w:rPr>
                <w:sz w:val="20"/>
                <w:szCs w:val="20"/>
                <w:color w:val="auto"/>
              </w:rPr>
            </w:pPr>
            <w:r>
              <w:rPr>
                <w:rFonts w:ascii="Arial" w:cs="Arial" w:eastAsia="Arial" w:hAnsi="Arial"/>
                <w:sz w:val="12"/>
                <w:szCs w:val="12"/>
                <w:b w:val="1"/>
                <w:bCs w:val="1"/>
                <w:color w:val="auto"/>
                <w:w w:val="93"/>
              </w:rPr>
              <w:t xml:space="preserve">NOTE: </w:t>
            </w:r>
            <w:r>
              <w:rPr>
                <w:rFonts w:ascii="Arial" w:cs="Arial" w:eastAsia="Arial" w:hAnsi="Arial"/>
                <w:sz w:val="12"/>
                <w:szCs w:val="12"/>
                <w:color w:val="auto"/>
                <w:w w:val="93"/>
              </w:rPr>
              <w:t>Such other business as may properly come before the meeting or</w:t>
            </w:r>
          </w:p>
        </w:tc>
      </w:tr>
      <w:tr>
        <w:trPr>
          <w:trHeight w:val="157"/>
        </w:trPr>
        <w:tc>
          <w:tcPr>
            <w:tcW w:w="2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720" w:type="dxa"/>
            <w:vAlign w:val="bottom"/>
          </w:tcPr>
          <w:p>
            <w:pPr>
              <w:ind w:left="60"/>
              <w:spacing w:after="0"/>
              <w:rPr>
                <w:sz w:val="20"/>
                <w:szCs w:val="20"/>
                <w:color w:val="auto"/>
              </w:rPr>
            </w:pPr>
            <w:r>
              <w:rPr>
                <w:rFonts w:ascii="Arial" w:cs="Arial" w:eastAsia="Arial" w:hAnsi="Arial"/>
                <w:sz w:val="12"/>
                <w:szCs w:val="12"/>
                <w:color w:val="auto"/>
              </w:rPr>
              <w:t>any adjournment thereof.</w:t>
            </w:r>
          </w:p>
        </w:tc>
      </w:tr>
      <w:tr>
        <w:trPr>
          <w:trHeight w:val="345"/>
        </w:trPr>
        <w:tc>
          <w:tcPr>
            <w:tcW w:w="240" w:type="dxa"/>
            <w:vAlign w:val="bottom"/>
          </w:tcPr>
          <w:p>
            <w:pPr>
              <w:spacing w:after="0"/>
              <w:rPr>
                <w:sz w:val="20"/>
                <w:szCs w:val="20"/>
                <w:color w:val="auto"/>
              </w:rPr>
            </w:pPr>
            <w:r>
              <w:rPr>
                <w:rFonts w:ascii="Arial" w:cs="Arial" w:eastAsia="Arial" w:hAnsi="Arial"/>
                <w:sz w:val="12"/>
                <w:szCs w:val="12"/>
                <w:color w:val="auto"/>
              </w:rPr>
              <w:t>1h.</w:t>
            </w:r>
          </w:p>
        </w:tc>
        <w:tc>
          <w:tcPr>
            <w:tcW w:w="3160" w:type="dxa"/>
            <w:vAlign w:val="bottom"/>
          </w:tcPr>
          <w:p>
            <w:pPr>
              <w:ind w:left="80"/>
              <w:spacing w:after="0"/>
              <w:rPr>
                <w:sz w:val="20"/>
                <w:szCs w:val="20"/>
                <w:color w:val="auto"/>
              </w:rPr>
            </w:pPr>
            <w:r>
              <w:rPr>
                <w:rFonts w:ascii="Arial" w:cs="Arial" w:eastAsia="Arial" w:hAnsi="Arial"/>
                <w:sz w:val="12"/>
                <w:szCs w:val="12"/>
                <w:color w:val="auto"/>
              </w:rPr>
              <w:t>Gregory C. Smith</w:t>
            </w:r>
          </w:p>
        </w:tc>
        <w:tc>
          <w:tcPr>
            <w:tcW w:w="480" w:type="dxa"/>
            <w:vAlign w:val="bottom"/>
          </w:tcPr>
          <w:p>
            <w:pPr>
              <w:jc w:val="right"/>
              <w:ind w:right="3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jc w:val="center"/>
              <w:ind w:left="50"/>
              <w:spacing w:after="0" w:line="141" w:lineRule="exact"/>
              <w:rPr>
                <w:sz w:val="20"/>
                <w:szCs w:val="20"/>
                <w:color w:val="auto"/>
              </w:rPr>
            </w:pPr>
            <w:r>
              <w:rPr>
                <w:rFonts w:ascii="MS PGothic" w:cs="MS PGothic" w:eastAsia="MS PGothic" w:hAnsi="MS PGothic"/>
                <w:sz w:val="14"/>
                <w:szCs w:val="14"/>
                <w:color w:val="auto"/>
                <w:w w:val="85"/>
              </w:rPr>
              <w:t>☐</w:t>
            </w:r>
          </w:p>
        </w:tc>
        <w:tc>
          <w:tcPr>
            <w:tcW w:w="3720" w:type="dxa"/>
            <w:vAlign w:val="bottom"/>
          </w:tcPr>
          <w:p>
            <w:pPr>
              <w:spacing w:after="0"/>
              <w:rPr>
                <w:sz w:val="24"/>
                <w:szCs w:val="24"/>
                <w:color w:val="auto"/>
              </w:rPr>
            </w:pPr>
          </w:p>
        </w:tc>
      </w:tr>
      <w:tr>
        <w:trPr>
          <w:trHeight w:val="346"/>
        </w:trPr>
        <w:tc>
          <w:tcPr>
            <w:tcW w:w="240" w:type="dxa"/>
            <w:vAlign w:val="bottom"/>
          </w:tcPr>
          <w:p>
            <w:pPr>
              <w:spacing w:after="0"/>
              <w:rPr>
                <w:sz w:val="20"/>
                <w:szCs w:val="20"/>
                <w:color w:val="auto"/>
              </w:rPr>
            </w:pPr>
            <w:r>
              <w:rPr>
                <w:rFonts w:ascii="Arial" w:cs="Arial" w:eastAsia="Arial" w:hAnsi="Arial"/>
                <w:sz w:val="14"/>
                <w:szCs w:val="14"/>
                <w:color w:val="auto"/>
              </w:rPr>
              <w:t>1i.</w:t>
            </w:r>
          </w:p>
        </w:tc>
        <w:tc>
          <w:tcPr>
            <w:tcW w:w="3160" w:type="dxa"/>
            <w:vAlign w:val="bottom"/>
          </w:tcPr>
          <w:p>
            <w:pPr>
              <w:ind w:left="80"/>
              <w:spacing w:after="0"/>
              <w:rPr>
                <w:sz w:val="20"/>
                <w:szCs w:val="20"/>
                <w:color w:val="auto"/>
              </w:rPr>
            </w:pPr>
            <w:r>
              <w:rPr>
                <w:rFonts w:ascii="Arial" w:cs="Arial" w:eastAsia="Arial" w:hAnsi="Arial"/>
                <w:sz w:val="12"/>
                <w:szCs w:val="12"/>
                <w:color w:val="auto"/>
              </w:rPr>
              <w:t>Henry D.G. Wallace</w:t>
            </w:r>
          </w:p>
        </w:tc>
        <w:tc>
          <w:tcPr>
            <w:tcW w:w="480" w:type="dxa"/>
            <w:vAlign w:val="bottom"/>
          </w:tcPr>
          <w:p>
            <w:pPr>
              <w:jc w:val="right"/>
              <w:ind w:right="3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jc w:val="center"/>
              <w:ind w:left="50"/>
              <w:spacing w:after="0" w:line="141" w:lineRule="exact"/>
              <w:rPr>
                <w:sz w:val="20"/>
                <w:szCs w:val="20"/>
                <w:color w:val="auto"/>
              </w:rPr>
            </w:pPr>
            <w:r>
              <w:rPr>
                <w:rFonts w:ascii="MS PGothic" w:cs="MS PGothic" w:eastAsia="MS PGothic" w:hAnsi="MS PGothic"/>
                <w:sz w:val="14"/>
                <w:szCs w:val="14"/>
                <w:color w:val="auto"/>
                <w:w w:val="85"/>
              </w:rPr>
              <w:t>☐</w:t>
            </w:r>
          </w:p>
        </w:tc>
        <w:tc>
          <w:tcPr>
            <w:tcW w:w="3720" w:type="dxa"/>
            <w:vAlign w:val="bottom"/>
          </w:tcPr>
          <w:p>
            <w:pPr>
              <w:spacing w:after="0"/>
              <w:rPr>
                <w:sz w:val="24"/>
                <w:szCs w:val="24"/>
                <w:color w:val="auto"/>
              </w:rPr>
            </w:pPr>
          </w:p>
        </w:tc>
      </w:tr>
      <w:tr>
        <w:trPr>
          <w:trHeight w:val="284"/>
        </w:trPr>
        <w:tc>
          <w:tcPr>
            <w:tcW w:w="3400" w:type="dxa"/>
            <w:vAlign w:val="bottom"/>
            <w:gridSpan w:val="2"/>
          </w:tcPr>
          <w:p>
            <w:pPr>
              <w:spacing w:after="0"/>
              <w:rPr>
                <w:sz w:val="20"/>
                <w:szCs w:val="20"/>
                <w:color w:val="auto"/>
              </w:rPr>
            </w:pPr>
            <w:r>
              <w:rPr>
                <w:rFonts w:ascii="Arial" w:cs="Arial" w:eastAsia="Arial" w:hAnsi="Arial"/>
                <w:sz w:val="12"/>
                <w:szCs w:val="12"/>
                <w:color w:val="auto"/>
                <w:w w:val="95"/>
              </w:rPr>
              <w:t>For address changes and/or comments, please check this box and</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jc w:val="center"/>
              <w:ind w:left="50"/>
              <w:spacing w:after="0" w:line="141" w:lineRule="exact"/>
              <w:rPr>
                <w:sz w:val="20"/>
                <w:szCs w:val="20"/>
                <w:color w:val="auto"/>
              </w:rPr>
            </w:pPr>
            <w:r>
              <w:rPr>
                <w:rFonts w:ascii="MS PGothic" w:cs="MS PGothic" w:eastAsia="MS PGothic" w:hAnsi="MS PGothic"/>
                <w:sz w:val="14"/>
                <w:szCs w:val="14"/>
                <w:color w:val="auto"/>
                <w:w w:val="85"/>
              </w:rPr>
              <w:t>☐</w:t>
            </w:r>
          </w:p>
        </w:tc>
        <w:tc>
          <w:tcPr>
            <w:tcW w:w="3720" w:type="dxa"/>
            <w:vAlign w:val="bottom"/>
          </w:tcPr>
          <w:p>
            <w:pPr>
              <w:spacing w:after="0"/>
              <w:rPr>
                <w:sz w:val="24"/>
                <w:szCs w:val="24"/>
                <w:color w:val="auto"/>
              </w:rPr>
            </w:pPr>
          </w:p>
        </w:tc>
      </w:tr>
      <w:tr>
        <w:trPr>
          <w:trHeight w:val="157"/>
        </w:trPr>
        <w:tc>
          <w:tcPr>
            <w:tcW w:w="3400" w:type="dxa"/>
            <w:vAlign w:val="bottom"/>
            <w:gridSpan w:val="2"/>
          </w:tcPr>
          <w:p>
            <w:pPr>
              <w:spacing w:after="0"/>
              <w:rPr>
                <w:sz w:val="20"/>
                <w:szCs w:val="20"/>
                <w:color w:val="auto"/>
              </w:rPr>
            </w:pPr>
            <w:r>
              <w:rPr>
                <w:rFonts w:ascii="Arial" w:cs="Arial" w:eastAsia="Arial" w:hAnsi="Arial"/>
                <w:sz w:val="12"/>
                <w:szCs w:val="12"/>
                <w:color w:val="auto"/>
              </w:rPr>
              <w:t>write them on the back where indicated.</w:t>
            </w: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38"/>
        </w:trPr>
        <w:tc>
          <w:tcPr>
            <w:tcW w:w="3400" w:type="dxa"/>
            <w:vAlign w:val="bottom"/>
            <w:gridSpan w:val="2"/>
          </w:tcPr>
          <w:p>
            <w:pPr>
              <w:spacing w:after="0"/>
              <w:rPr>
                <w:sz w:val="20"/>
                <w:szCs w:val="20"/>
                <w:color w:val="auto"/>
              </w:rPr>
            </w:pPr>
            <w:r>
              <w:rPr>
                <w:rFonts w:ascii="Arial" w:cs="Arial" w:eastAsia="Arial" w:hAnsi="Arial"/>
                <w:sz w:val="12"/>
                <w:szCs w:val="12"/>
                <w:color w:val="auto"/>
              </w:rPr>
              <w:t>Please indicate if you plan to attend this meeting.</w:t>
            </w:r>
          </w:p>
        </w:tc>
        <w:tc>
          <w:tcPr>
            <w:tcW w:w="480" w:type="dxa"/>
            <w:vAlign w:val="bottom"/>
          </w:tcPr>
          <w:p>
            <w:pPr>
              <w:jc w:val="right"/>
              <w:ind w:right="3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191"/>
        </w:trPr>
        <w:tc>
          <w:tcPr>
            <w:tcW w:w="2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80" w:type="dxa"/>
            <w:vAlign w:val="bottom"/>
          </w:tcPr>
          <w:p>
            <w:pPr>
              <w:jc w:val="right"/>
              <w:ind w:right="10"/>
              <w:spacing w:after="0"/>
              <w:rPr>
                <w:sz w:val="20"/>
                <w:szCs w:val="20"/>
                <w:color w:val="auto"/>
              </w:rPr>
            </w:pPr>
            <w:r>
              <w:rPr>
                <w:rFonts w:ascii="Arial" w:cs="Arial" w:eastAsia="Arial" w:hAnsi="Arial"/>
                <w:sz w:val="12"/>
                <w:szCs w:val="12"/>
                <w:b w:val="1"/>
                <w:bCs w:val="1"/>
                <w:color w:val="auto"/>
              </w:rPr>
              <w:t>Yes</w:t>
            </w:r>
          </w:p>
        </w:tc>
        <w:tc>
          <w:tcPr>
            <w:tcW w:w="640" w:type="dxa"/>
            <w:vAlign w:val="bottom"/>
          </w:tcPr>
          <w:p>
            <w:pPr>
              <w:ind w:left="320"/>
              <w:spacing w:after="0"/>
              <w:rPr>
                <w:sz w:val="20"/>
                <w:szCs w:val="20"/>
                <w:color w:val="auto"/>
              </w:rPr>
            </w:pPr>
            <w:r>
              <w:rPr>
                <w:rFonts w:ascii="Arial" w:cs="Arial" w:eastAsia="Arial" w:hAnsi="Arial"/>
                <w:sz w:val="12"/>
                <w:szCs w:val="12"/>
                <w:b w:val="1"/>
                <w:bCs w:val="1"/>
                <w:color w:val="auto"/>
              </w:rPr>
              <w:t>No</w:t>
            </w:r>
          </w:p>
        </w:tc>
        <w:tc>
          <w:tcPr>
            <w:tcW w:w="640" w:type="dxa"/>
            <w:vAlign w:val="bottom"/>
          </w:tcPr>
          <w:p>
            <w:pPr>
              <w:spacing w:after="0"/>
              <w:rPr>
                <w:sz w:val="16"/>
                <w:szCs w:val="16"/>
                <w:color w:val="auto"/>
              </w:rPr>
            </w:pPr>
          </w:p>
        </w:tc>
        <w:tc>
          <w:tcPr>
            <w:tcW w:w="3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340" w:val="left"/>
          <w:tab w:leader="none" w:pos="880" w:val="left"/>
        </w:tabs>
        <w:rPr>
          <w:sz w:val="20"/>
          <w:szCs w:val="20"/>
          <w:color w:val="auto"/>
        </w:rPr>
      </w:pPr>
      <w:r>
        <w:rPr>
          <w:rFonts w:ascii="Arial" w:cs="Arial" w:eastAsia="Arial" w:hAnsi="Arial"/>
          <w:sz w:val="12"/>
          <w:szCs w:val="12"/>
          <w:b w:val="1"/>
          <w:bCs w:val="1"/>
          <w:color w:val="auto"/>
        </w:rPr>
        <w:t>For</w:t>
        <w:tab/>
        <w:t>Against</w:t>
      </w:r>
      <w:r>
        <w:rPr>
          <w:sz w:val="20"/>
          <w:szCs w:val="20"/>
          <w:color w:val="auto"/>
        </w:rPr>
        <w:tab/>
      </w:r>
      <w:r>
        <w:rPr>
          <w:rFonts w:ascii="Arial" w:cs="Arial" w:eastAsia="Arial" w:hAnsi="Arial"/>
          <w:sz w:val="10"/>
          <w:szCs w:val="10"/>
          <w:b w:val="1"/>
          <w:bCs w:val="1"/>
          <w:color w:val="auto"/>
        </w:rPr>
        <w:t>Abstain</w:t>
      </w:r>
    </w:p>
    <w:p>
      <w:pPr>
        <w:spacing w:after="0" w:line="156" w:lineRule="exact"/>
        <w:rPr>
          <w:sz w:val="20"/>
          <w:szCs w:val="20"/>
          <w:color w:val="auto"/>
        </w:rPr>
      </w:pPr>
    </w:p>
    <w:p>
      <w:pPr>
        <w:ind w:left="40"/>
        <w:spacing w:after="0" w:line="141" w:lineRule="exact"/>
        <w:tabs>
          <w:tab w:leader="none" w:pos="480" w:val="left"/>
          <w:tab w:leader="none" w:pos="10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300" w:lineRule="exact"/>
        <w:rPr>
          <w:sz w:val="20"/>
          <w:szCs w:val="20"/>
          <w:color w:val="auto"/>
        </w:rPr>
      </w:pPr>
    </w:p>
    <w:p>
      <w:pPr>
        <w:ind w:left="40"/>
        <w:spacing w:after="0" w:line="141" w:lineRule="exact"/>
        <w:tabs>
          <w:tab w:leader="none" w:pos="480" w:val="left"/>
          <w:tab w:leader="none" w:pos="10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06" w:lineRule="exact"/>
        <w:rPr>
          <w:sz w:val="20"/>
          <w:szCs w:val="20"/>
          <w:color w:val="auto"/>
        </w:rPr>
      </w:pPr>
    </w:p>
    <w:p>
      <w:pPr>
        <w:ind w:left="40"/>
        <w:spacing w:after="0" w:line="141" w:lineRule="exact"/>
        <w:tabs>
          <w:tab w:leader="none" w:pos="480" w:val="left"/>
          <w:tab w:leader="none" w:pos="10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247" w:lineRule="exact"/>
        <w:rPr>
          <w:sz w:val="20"/>
          <w:szCs w:val="20"/>
          <w:color w:val="auto"/>
        </w:rPr>
      </w:pPr>
    </w:p>
    <w:p>
      <w:pPr>
        <w:sectPr>
          <w:pgSz w:w="11900" w:h="16838" w:orient="portrait"/>
          <w:cols w:equalWidth="0" w:num="2">
            <w:col w:w="9460" w:space="160"/>
            <w:col w:w="1800"/>
          </w:cols>
          <w:pgMar w:left="240" w:top="455" w:right="239" w:bottom="1440" w:gutter="0" w:footer="0" w:header="0"/>
          <w:type w:val="continuous"/>
        </w:sectPr>
      </w:pPr>
    </w:p>
    <w:p>
      <w:pPr>
        <w:ind w:left="580" w:right="2020"/>
        <w:spacing w:after="0" w:line="264"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p>
    <w:p>
      <w:pPr>
        <w:spacing w:after="0" w:line="18" w:lineRule="exact"/>
        <w:rPr>
          <w:sz w:val="20"/>
          <w:szCs w:val="20"/>
          <w:color w:val="auto"/>
        </w:rPr>
      </w:pPr>
    </w:p>
    <w:p>
      <w:pPr>
        <w:ind w:left="580"/>
        <w:spacing w:after="0"/>
        <w:tabs>
          <w:tab w:leader="none" w:pos="4160" w:val="left"/>
          <w:tab w:leader="none" w:pos="6000" w:val="left"/>
          <w:tab w:leader="none" w:pos="962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1"/>
          <w:szCs w:val="11"/>
          <w:color w:val="auto"/>
        </w:rPr>
        <w:t>Date</w:t>
      </w:r>
    </w:p>
    <w:p>
      <w:pPr>
        <w:sectPr>
          <w:pgSz w:w="11900" w:h="16838" w:orient="portrait"/>
          <w:cols w:equalWidth="0" w:num="1">
            <w:col w:w="11420"/>
          </w:cols>
          <w:pgMar w:left="240" w:top="455" w:right="23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24"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The Notice and Proxy Statement and Annual Report are available at www.proxyvote.com.</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 — — — — — — — — — — — — — — — — — — — — — — — — — — — — — — — — — — — — — — — — — — — — — — — ——</w:t>
      </w:r>
    </w:p>
    <w:p>
      <w:pPr>
        <w:spacing w:after="0" w:line="6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 —— — — — — — — — — — — — —</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E69710-P20176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65405</wp:posOffset>
            </wp:positionV>
            <wp:extent cx="6918325" cy="32988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18325" cy="3298825"/>
                    </a:xfrm>
                    <a:prstGeom prst="rect">
                      <a:avLst/>
                    </a:prstGeom>
                    <a:noFill/>
                  </pic:spPr>
                </pic:pic>
              </a:graphicData>
            </a:graphic>
          </wp:anchor>
        </w:drawing>
      </w:r>
    </w:p>
    <w:p>
      <w:pPr>
        <w:spacing w:after="0" w:line="175" w:lineRule="exact"/>
        <w:rPr>
          <w:sz w:val="20"/>
          <w:szCs w:val="20"/>
          <w:color w:val="auto"/>
        </w:rPr>
      </w:pPr>
    </w:p>
    <w:p>
      <w:pPr>
        <w:jc w:val="center"/>
        <w:ind w:left="420"/>
        <w:spacing w:after="0"/>
        <w:rPr>
          <w:sz w:val="20"/>
          <w:szCs w:val="20"/>
          <w:color w:val="auto"/>
        </w:rPr>
      </w:pPr>
      <w:r>
        <w:rPr>
          <w:rFonts w:ascii="Arial" w:cs="Arial" w:eastAsia="Arial" w:hAnsi="Arial"/>
          <w:sz w:val="11"/>
          <w:szCs w:val="11"/>
          <w:b w:val="1"/>
          <w:bCs w:val="1"/>
          <w:color w:val="auto"/>
        </w:rPr>
        <w:t>LEAR CORPORATION</w:t>
      </w:r>
    </w:p>
    <w:p>
      <w:pPr>
        <w:jc w:val="center"/>
        <w:ind w:left="420"/>
        <w:spacing w:after="0" w:line="237" w:lineRule="auto"/>
        <w:rPr>
          <w:sz w:val="20"/>
          <w:szCs w:val="20"/>
          <w:color w:val="auto"/>
        </w:rPr>
      </w:pPr>
      <w:r>
        <w:rPr>
          <w:rFonts w:ascii="Arial" w:cs="Arial" w:eastAsia="Arial" w:hAnsi="Arial"/>
          <w:sz w:val="11"/>
          <w:szCs w:val="11"/>
          <w:b w:val="1"/>
          <w:bCs w:val="1"/>
          <w:color w:val="auto"/>
        </w:rPr>
        <w:t>This proxy is solicited on behalf of the Board of Directors of Lear Corporation for the</w:t>
      </w:r>
    </w:p>
    <w:p>
      <w:pPr>
        <w:jc w:val="center"/>
        <w:ind w:left="420"/>
        <w:spacing w:after="0" w:line="228" w:lineRule="auto"/>
        <w:rPr>
          <w:sz w:val="20"/>
          <w:szCs w:val="20"/>
          <w:color w:val="auto"/>
        </w:rPr>
      </w:pPr>
      <w:r>
        <w:rPr>
          <w:rFonts w:ascii="Arial" w:cs="Arial" w:eastAsia="Arial" w:hAnsi="Arial"/>
          <w:sz w:val="11"/>
          <w:szCs w:val="11"/>
          <w:b w:val="1"/>
          <w:bCs w:val="1"/>
          <w:color w:val="auto"/>
        </w:rPr>
        <w:t>Annual Meeting of Stockholders on</w:t>
      </w:r>
    </w:p>
    <w:p>
      <w:pPr>
        <w:jc w:val="center"/>
        <w:ind w:left="420"/>
        <w:spacing w:after="0"/>
        <w:rPr>
          <w:sz w:val="20"/>
          <w:szCs w:val="20"/>
          <w:color w:val="auto"/>
        </w:rPr>
      </w:pPr>
      <w:r>
        <w:rPr>
          <w:rFonts w:ascii="Arial" w:cs="Arial" w:eastAsia="Arial" w:hAnsi="Arial"/>
          <w:sz w:val="11"/>
          <w:szCs w:val="11"/>
          <w:b w:val="1"/>
          <w:bCs w:val="1"/>
          <w:color w:val="auto"/>
        </w:rPr>
        <w:t>May 16, 2019, at 9:00 a.m. (Eastern Daylight Time).</w:t>
      </w:r>
    </w:p>
    <w:p>
      <w:pPr>
        <w:spacing w:after="0" w:line="200" w:lineRule="exact"/>
        <w:rPr>
          <w:sz w:val="20"/>
          <w:szCs w:val="20"/>
          <w:color w:val="auto"/>
        </w:rPr>
      </w:pPr>
    </w:p>
    <w:p>
      <w:pPr>
        <w:spacing w:after="0" w:line="398" w:lineRule="exact"/>
        <w:rPr>
          <w:sz w:val="20"/>
          <w:szCs w:val="20"/>
          <w:color w:val="auto"/>
        </w:rPr>
      </w:pPr>
    </w:p>
    <w:p>
      <w:pPr>
        <w:ind w:left="1180" w:right="240"/>
        <w:spacing w:after="0" w:line="234" w:lineRule="auto"/>
        <w:rPr>
          <w:sz w:val="20"/>
          <w:szCs w:val="20"/>
          <w:color w:val="auto"/>
        </w:rPr>
      </w:pPr>
      <w:r>
        <w:rPr>
          <w:rFonts w:ascii="Arial" w:cs="Arial" w:eastAsia="Arial" w:hAnsi="Arial"/>
          <w:sz w:val="11"/>
          <w:szCs w:val="11"/>
          <w:color w:val="auto"/>
        </w:rPr>
        <w:t>This proxy is solicited on behalf of the Board of Directors of Lear Corporation for the Annual Meeting of Stockholders on May 16, 2019 or any adjournment or postponement thereof (the "Meeting"). The undersigned appoints Raymond E. Scott and Terrence B. Larkin, and each of them, with full power of substitution in each of them, the proxies of the undersigned, and authorizes them to vote for and on behalf of the undersigned all shares of Lear Corporation common stock which the undersigned may be entitled to vote on all matters properly coming before the Meeting, as set forth in the related Notice of Annual Meeting and Proxy Statement, both of which have been received by the undersigned.</w:t>
      </w:r>
    </w:p>
    <w:p>
      <w:pPr>
        <w:spacing w:after="0" w:line="222" w:lineRule="exact"/>
        <w:rPr>
          <w:sz w:val="20"/>
          <w:szCs w:val="20"/>
          <w:color w:val="auto"/>
        </w:rPr>
      </w:pPr>
    </w:p>
    <w:p>
      <w:pPr>
        <w:ind w:left="1180" w:right="620"/>
        <w:spacing w:after="0" w:line="251" w:lineRule="auto"/>
        <w:rPr>
          <w:sz w:val="20"/>
          <w:szCs w:val="20"/>
          <w:color w:val="auto"/>
        </w:rPr>
      </w:pPr>
      <w:r>
        <w:rPr>
          <w:rFonts w:ascii="Arial" w:cs="Arial" w:eastAsia="Arial" w:hAnsi="Arial"/>
          <w:sz w:val="11"/>
          <w:szCs w:val="11"/>
          <w:b w:val="1"/>
          <w:bCs w:val="1"/>
          <w:color w:val="auto"/>
        </w:rPr>
        <w:t>This proxy, when properly executed, will be voted in the manner directed herein by the undersigned stockholder. If no direction is given, this proxy will be voted FOR all nominees for director and FOR proposals 2, 3 and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260"/>
        <w:spacing w:after="0"/>
        <w:rPr>
          <w:sz w:val="20"/>
          <w:szCs w:val="20"/>
          <w:color w:val="auto"/>
        </w:rPr>
      </w:pPr>
      <w:r>
        <w:rPr>
          <w:rFonts w:ascii="Arial" w:cs="Arial" w:eastAsia="Arial" w:hAnsi="Arial"/>
          <w:sz w:val="12"/>
          <w:szCs w:val="12"/>
          <w:color w:val="auto"/>
        </w:rPr>
        <w:t>(If you noted any Address Changes/Comments above, please mark corresponding box on the reverse side.)</w:t>
      </w:r>
    </w:p>
    <w:p>
      <w:pPr>
        <w:spacing w:after="0" w:line="23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900"/>
      </w:cols>
      <w:pgMar w:left="240" w:top="455"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lvl w:ilvl="1">
      <w:lvlJc w:val="left"/>
      <w:lvlText w:val="(%2)"/>
      <w:numFmt w:val="decimal"/>
      <w:start w:val="1"/>
    </w:lvl>
  </w:abstractNum>
  <w:abstractNum w:abstractNumId="5">
    <w:nsid w:val="7FFFCA11"/>
    <w:multiLevelType w:val="hybridMultilevel"/>
    <w:lvl w:ilvl="0">
      <w:lvlJc w:val="left"/>
      <w:lvlText w:val="(%1)"/>
      <w:numFmt w:val="decimal"/>
      <w:start w:val="3"/>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1)"/>
      <w:numFmt w:val="decimal"/>
      <w:start w:val="1"/>
    </w:lvl>
  </w:abstractNum>
  <w:abstractNum w:abstractNumId="8">
    <w:nsid w:val="100F59DC"/>
    <w:multiLevelType w:val="hybridMultilevel"/>
    <w:lvl w:ilvl="0">
      <w:lvlJc w:val="left"/>
      <w:lvlText w:val="2"/>
      <w:numFmt w:val="bullet"/>
      <w:start w:val="1"/>
    </w:lvl>
  </w:abstractNum>
  <w:abstractNum w:abstractNumId="9">
    <w:nsid w:val="7FB7E0AA"/>
    <w:multiLevelType w:val="hybridMultilevel"/>
    <w:lvl w:ilvl="0">
      <w:lvlJc w:val="left"/>
      <w:lvlText w:val="(%1)"/>
      <w:numFmt w:val="decimal"/>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4"/>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6"/>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8"/>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1"/>
      <w:numFmt w:val="decimal"/>
      <w:start w:val="10"/>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1"/>
      <w:numFmt w:val="decimal"/>
      <w:start w:val="12"/>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
      <w:numFmt w:val="bullet"/>
      <w:start w:val="1"/>
    </w:lvl>
  </w:abstractNum>
  <w:abstractNum w:abstractNumId="35">
    <w:nsid w:val="488AC1A"/>
    <w:multiLevelType w:val="hybridMultilevel"/>
    <w:lvl w:ilvl="0">
      <w:lvlJc w:val="left"/>
      <w:lvlText w:val="•"/>
      <w:numFmt w:val="bullet"/>
      <w:start w:val="1"/>
    </w:lvl>
  </w:abstractNum>
  <w:abstractNum w:abstractNumId="36">
    <w:nsid w:val="5FB8011C"/>
    <w:multiLevelType w:val="hybridMultilevel"/>
    <w:lvl w:ilvl="0">
      <w:lvlJc w:val="left"/>
      <w:lvlText w:val="%1"/>
      <w:numFmt w:val="decimal"/>
      <w:start w:val="14"/>
    </w:lvl>
  </w:abstractNum>
  <w:abstractNum w:abstractNumId="37">
    <w:nsid w:val="6AA78F7F"/>
    <w:multiLevelType w:val="hybridMultilevel"/>
    <w:lvl w:ilvl="0">
      <w:lvlJc w:val="left"/>
      <w:lvlText w:val="•"/>
      <w:numFmt w:val="bullet"/>
      <w:start w:val="1"/>
    </w:lvl>
  </w:abstractNum>
  <w:abstractNum w:abstractNumId="38">
    <w:nsid w:val="7672BD23"/>
    <w:multiLevelType w:val="hybridMultilevel"/>
    <w:lvl w:ilvl="0">
      <w:lvlJc w:val="left"/>
      <w:lvlText w:val="%1"/>
      <w:numFmt w:val="decimal"/>
      <w:start w:val="16"/>
    </w:lvl>
  </w:abstractNum>
  <w:abstractNum w:abstractNumId="39">
    <w:nsid w:val="6FC75AF8"/>
    <w:multiLevelType w:val="hybridMultilevel"/>
    <w:lvl w:ilvl="0">
      <w:lvlJc w:val="left"/>
      <w:lvlText w:val="(%1)"/>
      <w:numFmt w:val="lowerRoman"/>
      <w:start w:val="2"/>
    </w:lvl>
  </w:abstractNum>
  <w:abstractNum w:abstractNumId="40">
    <w:nsid w:val="6A5F7029"/>
    <w:multiLevelType w:val="hybridMultilevel"/>
    <w:lvl w:ilvl="0">
      <w:lvlJc w:val="left"/>
      <w:lvlText w:val="%1"/>
      <w:numFmt w:val="decimal"/>
      <w:start w:val="18"/>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
      <w:numFmt w:val="bullet"/>
      <w:start w:val="1"/>
    </w:lvl>
  </w:abstractNum>
  <w:abstractNum w:abstractNumId="43">
    <w:nsid w:val="73A1821B"/>
    <w:multiLevelType w:val="hybridMultilevel"/>
    <w:lvl w:ilvl="0">
      <w:lvlJc w:val="left"/>
      <w:lvlText w:val="%1"/>
      <w:numFmt w:val="decimal"/>
      <w:start w:val="20"/>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1)"/>
      <w:numFmt w:val="lowerRoman"/>
      <w:start w:val="1"/>
    </w:lvl>
  </w:abstractNum>
  <w:abstractNum w:abstractNumId="46">
    <w:nsid w:val="3FA62ACA"/>
    <w:multiLevelType w:val="hybridMultilevel"/>
    <w:lvl w:ilvl="0">
      <w:lvlJc w:val="left"/>
      <w:lvlText w:val="(%1)"/>
      <w:numFmt w:val="lowerRoman"/>
      <w:start w:val="4"/>
    </w:lvl>
  </w:abstractNum>
  <w:abstractNum w:abstractNumId="47">
    <w:nsid w:val="14FCE74E"/>
    <w:multiLevelType w:val="hybridMultilevel"/>
    <w:lvl w:ilvl="0">
      <w:lvlJc w:val="left"/>
      <w:lvlText w:val="%1"/>
      <w:numFmt w:val="decimal"/>
      <w:start w:val="22"/>
    </w:lvl>
  </w:abstractNum>
  <w:abstractNum w:abstractNumId="48">
    <w:nsid w:val="6A3DD3E8"/>
    <w:multiLevelType w:val="hybridMultilevel"/>
    <w:lvl w:ilvl="0">
      <w:lvlJc w:val="left"/>
      <w:lvlText w:val="(%1)"/>
      <w:numFmt w:val="decimal"/>
      <w:start w:val="1"/>
    </w:lvl>
  </w:abstractNum>
  <w:abstractNum w:abstractNumId="49">
    <w:nsid w:val="71C91298"/>
    <w:multiLevelType w:val="hybridMultilevel"/>
    <w:lvl w:ilvl="0">
      <w:lvlJc w:val="left"/>
      <w:lvlText w:val="\emdash "/>
      <w:numFmt w:val="bullet"/>
      <w:start w:val="1"/>
    </w:lvl>
  </w:abstractNum>
  <w:abstractNum w:abstractNumId="50">
    <w:nsid w:val="9DAF632"/>
    <w:multiLevelType w:val="hybridMultilevel"/>
    <w:lvl w:ilvl="0">
      <w:lvlJc w:val="left"/>
      <w:lvlText w:val="•"/>
      <w:numFmt w:val="bullet"/>
      <w:start w:val="1"/>
    </w:lvl>
  </w:abstractNum>
  <w:abstractNum w:abstractNumId="51">
    <w:nsid w:val="53299938"/>
    <w:multiLevelType w:val="hybridMultilevel"/>
    <w:lvl w:ilvl="0">
      <w:lvlJc w:val="left"/>
      <w:lvlText w:val="%1"/>
      <w:numFmt w:val="decimal"/>
      <w:start w:val="24"/>
    </w:lvl>
  </w:abstractNum>
  <w:abstractNum w:abstractNumId="52">
    <w:nsid w:val="1FBFE8E0"/>
    <w:multiLevelType w:val="hybridMultilevel"/>
    <w:lvl w:ilvl="0">
      <w:lvlJc w:val="left"/>
      <w:lvlText w:val="*"/>
      <w:numFmt w:val="bullet"/>
      <w:start w:val="1"/>
    </w:lvl>
  </w:abstractNum>
  <w:abstractNum w:abstractNumId="53">
    <w:nsid w:val="5092CA79"/>
    <w:multiLevelType w:val="hybridMultilevel"/>
    <w:lvl w:ilvl="0">
      <w:lvlJc w:val="left"/>
      <w:lvlText w:val="(%1)"/>
      <w:numFmt w:val="decimal"/>
      <w:start w:val="1"/>
    </w:lvl>
  </w:abstractNum>
  <w:abstractNum w:abstractNumId="54">
    <w:nsid w:val="1D545C4D"/>
    <w:multiLevelType w:val="hybridMultilevel"/>
    <w:lvl w:ilvl="0">
      <w:lvlJc w:val="left"/>
      <w:lvlText w:val="(%1)"/>
      <w:numFmt w:val="decimal"/>
      <w:start w:val="4"/>
    </w:lvl>
  </w:abstractNum>
  <w:abstractNum w:abstractNumId="55">
    <w:nsid w:val="59ADEA3D"/>
    <w:multiLevelType w:val="hybridMultilevel"/>
    <w:lvl w:ilvl="0">
      <w:lvlJc w:val="left"/>
      <w:lvlText w:val="%1"/>
      <w:numFmt w:val="decimal"/>
      <w:start w:val="26"/>
    </w:lvl>
  </w:abstractNum>
  <w:abstractNum w:abstractNumId="56">
    <w:nsid w:val="288F1A34"/>
    <w:multiLevelType w:val="hybridMultilevel"/>
    <w:lvl w:ilvl="0">
      <w:lvlJc w:val="left"/>
      <w:lvlText w:val="•"/>
      <w:numFmt w:val="bullet"/>
      <w:start w:val="1"/>
    </w:lvl>
  </w:abstractNum>
  <w:abstractNum w:abstractNumId="57">
    <w:nsid w:val="2A155DBC"/>
    <w:multiLevelType w:val="hybridMultilevel"/>
    <w:lvl w:ilvl="0">
      <w:lvlJc w:val="left"/>
      <w:lvlText w:val="*"/>
      <w:numFmt w:val="bullet"/>
      <w:start w:val="1"/>
    </w:lvl>
  </w:abstractNum>
  <w:abstractNum w:abstractNumId="58">
    <w:nsid w:val="1D9F6E5F"/>
    <w:multiLevelType w:val="hybridMultilevel"/>
    <w:lvl w:ilvl="0">
      <w:lvlJc w:val="left"/>
      <w:lvlText w:val="•"/>
      <w:numFmt w:val="bullet"/>
      <w:start w:val="1"/>
    </w:lvl>
  </w:abstractNum>
  <w:abstractNum w:abstractNumId="59">
    <w:nsid w:val="97E1B4E"/>
    <w:multiLevelType w:val="hybridMultilevel"/>
    <w:lvl w:ilvl="0">
      <w:lvlJc w:val="left"/>
      <w:lvlText w:val="•"/>
      <w:numFmt w:val="bullet"/>
      <w:start w:val="1"/>
    </w:lvl>
  </w:abstractNum>
  <w:abstractNum w:abstractNumId="60">
    <w:nsid w:val="51088277"/>
    <w:multiLevelType w:val="hybridMultilevel"/>
    <w:lvl w:ilvl="0">
      <w:lvlJc w:val="left"/>
      <w:lvlText w:val="•"/>
      <w:numFmt w:val="bullet"/>
      <w:start w:val="1"/>
    </w:lvl>
  </w:abstractNum>
  <w:abstractNum w:abstractNumId="61">
    <w:nsid w:val="1CA0C5FA"/>
    <w:multiLevelType w:val="hybridMultilevel"/>
    <w:lvl w:ilvl="0">
      <w:lvlJc w:val="left"/>
      <w:lvlText w:val="(%1)"/>
      <w:numFmt w:val="decimal"/>
      <w:start w:val="1"/>
    </w:lvl>
  </w:abstractNum>
  <w:abstractNum w:abstractNumId="62">
    <w:nsid w:val="53584BCB"/>
    <w:multiLevelType w:val="hybridMultilevel"/>
    <w:lvl w:ilvl="0">
      <w:lvlJc w:val="left"/>
      <w:lvlText w:val="%1"/>
      <w:numFmt w:val="decimal"/>
      <w:start w:val="28"/>
    </w:lvl>
  </w:abstractNum>
  <w:abstractNum w:abstractNumId="63">
    <w:nsid w:val="415E286C"/>
    <w:multiLevelType w:val="hybridMultilevel"/>
    <w:lvl w:ilvl="0">
      <w:lvlJc w:val="left"/>
      <w:lvlText w:val="•"/>
      <w:numFmt w:val="bullet"/>
      <w:start w:val="1"/>
    </w:lvl>
  </w:abstractNum>
  <w:abstractNum w:abstractNumId="64">
    <w:nsid w:val="7C58FD05"/>
    <w:multiLevelType w:val="hybridMultilevel"/>
    <w:lvl w:ilvl="0">
      <w:lvlJc w:val="left"/>
      <w:lvlText w:val="%1."/>
      <w:numFmt w:val="decimal"/>
      <w:start w:val="1"/>
    </w:lvl>
  </w:abstractNum>
  <w:abstractNum w:abstractNumId="65">
    <w:nsid w:val="23D86AAC"/>
    <w:multiLevelType w:val="hybridMultilevel"/>
    <w:lvl w:ilvl="0">
      <w:lvlJc w:val="left"/>
      <w:lvlText w:val="%1."/>
      <w:numFmt w:val="decimal"/>
      <w:start w:val="3"/>
    </w:lvl>
  </w:abstractNum>
  <w:abstractNum w:abstractNumId="66">
    <w:nsid w:val="45E6D486"/>
    <w:multiLevelType w:val="hybridMultilevel"/>
    <w:lvl w:ilvl="0">
      <w:lvlJc w:val="left"/>
      <w:lvlText w:val="%1"/>
      <w:numFmt w:val="decimal"/>
      <w:start w:val="30"/>
    </w:lvl>
  </w:abstractNum>
  <w:abstractNum w:abstractNumId="67">
    <w:nsid w:val="5C10FE21"/>
    <w:multiLevelType w:val="hybridMultilevel"/>
    <w:lvl w:ilvl="0">
      <w:lvlJc w:val="left"/>
      <w:lvlText w:val="•"/>
      <w:numFmt w:val="bullet"/>
      <w:start w:val="1"/>
    </w:lvl>
  </w:abstractNum>
  <w:abstractNum w:abstractNumId="68">
    <w:nsid w:val="E7FFA2B"/>
    <w:multiLevelType w:val="hybridMultilevel"/>
    <w:lvl w:ilvl="0">
      <w:lvlJc w:val="left"/>
      <w:lvlText w:val="•"/>
      <w:numFmt w:val="bullet"/>
      <w:start w:val="1"/>
    </w:lvl>
  </w:abstractNum>
  <w:abstractNum w:abstractNumId="69">
    <w:nsid w:val="3C5991AA"/>
    <w:multiLevelType w:val="hybridMultilevel"/>
    <w:lvl w:ilvl="0">
      <w:lvlJc w:val="left"/>
      <w:lvlText w:val="(%1)"/>
      <w:numFmt w:val="lowerRoman"/>
      <w:start w:val="3"/>
    </w:lvl>
  </w:abstractNum>
  <w:abstractNum w:abstractNumId="70">
    <w:nsid w:val="4BD8591A"/>
    <w:multiLevelType w:val="hybridMultilevel"/>
    <w:lvl w:ilvl="0">
      <w:lvlJc w:val="left"/>
      <w:lvlText w:val="%1"/>
      <w:numFmt w:val="decimal"/>
      <w:start w:val="32"/>
    </w:lvl>
  </w:abstractNum>
  <w:abstractNum w:abstractNumId="71">
    <w:nsid w:val="78DF6A55"/>
    <w:multiLevelType w:val="hybridMultilevel"/>
    <w:lvl w:ilvl="0">
      <w:lvlJc w:val="left"/>
      <w:lvlText w:val="(%1)"/>
      <w:numFmt w:val="decimal"/>
      <w:start w:val="1"/>
    </w:lvl>
  </w:abstractNum>
  <w:abstractNum w:abstractNumId="72">
    <w:nsid w:val="39B7AAA2"/>
    <w:multiLevelType w:val="hybridMultilevel"/>
    <w:lvl w:ilvl="0">
      <w:lvlJc w:val="left"/>
      <w:lvlText w:val="%1"/>
      <w:numFmt w:val="decimal"/>
      <w:start w:val="34"/>
    </w:lvl>
  </w:abstractNum>
  <w:abstractNum w:abstractNumId="73">
    <w:nsid w:val="2B0D8DBE"/>
    <w:multiLevelType w:val="hybridMultilevel"/>
    <w:lvl w:ilvl="0">
      <w:lvlJc w:val="left"/>
      <w:lvlText w:val="(%1)"/>
      <w:numFmt w:val="decimal"/>
      <w:start w:val="1"/>
    </w:lvl>
  </w:abstractNum>
  <w:abstractNum w:abstractNumId="74">
    <w:nsid w:val="6C80EC70"/>
    <w:multiLevelType w:val="hybridMultilevel"/>
    <w:lvl w:ilvl="0">
      <w:lvlJc w:val="left"/>
      <w:lvlText w:val="%1"/>
      <w:numFmt w:val="decimal"/>
      <w:start w:val="36"/>
    </w:lvl>
  </w:abstractNum>
  <w:abstractNum w:abstractNumId="75">
    <w:nsid w:val="379E21B5"/>
    <w:multiLevelType w:val="hybridMultilevel"/>
    <w:lvl w:ilvl="0">
      <w:lvlJc w:val="left"/>
      <w:lvlText w:val="(%1)"/>
      <w:numFmt w:val="decimal"/>
      <w:start w:val="2"/>
    </w:lvl>
  </w:abstractNum>
  <w:abstractNum w:abstractNumId="76">
    <w:nsid w:val="69E373"/>
    <w:multiLevelType w:val="hybridMultilevel"/>
    <w:lvl w:ilvl="0">
      <w:lvlJc w:val="left"/>
      <w:lvlText w:val="\emdash "/>
      <w:numFmt w:val="bullet"/>
      <w:start w:val="1"/>
    </w:lvl>
  </w:abstractNum>
  <w:abstractNum w:abstractNumId="77">
    <w:nsid w:val="2C27173B"/>
    <w:multiLevelType w:val="hybridMultilevel"/>
    <w:lvl w:ilvl="0">
      <w:lvlJc w:val="left"/>
      <w:lvlText w:val="%1"/>
      <w:numFmt w:val="decimal"/>
      <w:start w:val="38"/>
    </w:lvl>
  </w:abstractNum>
  <w:abstractNum w:abstractNumId="78">
    <w:nsid w:val="4C9B0904"/>
    <w:multiLevelType w:val="hybridMultilevel"/>
    <w:lvl w:ilvl="0">
      <w:lvlJc w:val="left"/>
      <w:lvlText w:val="%1"/>
      <w:numFmt w:val="decimal"/>
      <w:start w:val="40"/>
    </w:lvl>
  </w:abstractNum>
  <w:abstractNum w:abstractNumId="79">
    <w:nsid w:val="6AA7B75C"/>
    <w:multiLevelType w:val="hybridMultilevel"/>
    <w:lvl w:ilvl="0">
      <w:lvlJc w:val="left"/>
      <w:lvlText w:val="%1"/>
      <w:numFmt w:val="decimal"/>
      <w:start w:val="42"/>
    </w:lvl>
  </w:abstractNum>
  <w:abstractNum w:abstractNumId="80">
    <w:nsid w:val="1DF029D3"/>
    <w:multiLevelType w:val="hybridMultilevel"/>
    <w:lvl w:ilvl="0">
      <w:lvlJc w:val="left"/>
      <w:lvlText w:val="(%1)"/>
      <w:numFmt w:val="decimal"/>
      <w:start w:val="1"/>
    </w:lvl>
  </w:abstractNum>
  <w:abstractNum w:abstractNumId="81">
    <w:nsid w:val="5675FF36"/>
    <w:multiLevelType w:val="hybridMultilevel"/>
    <w:lvl w:ilvl="0">
      <w:lvlJc w:val="left"/>
      <w:lvlText w:val="(%1)"/>
      <w:numFmt w:val="decimal"/>
      <w:start w:val="2"/>
    </w:lvl>
    <w:lvl w:ilvl="1">
      <w:lvlJc w:val="left"/>
      <w:lvlText w:val="•"/>
      <w:numFmt w:val="bullet"/>
      <w:start w:val="1"/>
    </w:lvl>
  </w:abstractNum>
  <w:abstractNum w:abstractNumId="82">
    <w:nsid w:val="3DD15094"/>
    <w:multiLevelType w:val="hybridMultilevel"/>
    <w:lvl w:ilvl="0">
      <w:lvlJc w:val="left"/>
      <w:lvlText w:val="(%1)"/>
      <w:numFmt w:val="decimal"/>
      <w:start w:val="4"/>
    </w:lvl>
    <w:lvl w:ilvl="1">
      <w:lvlJc w:val="left"/>
      <w:lvlText w:val="•"/>
      <w:numFmt w:val="bullet"/>
      <w:start w:val="1"/>
    </w:lvl>
  </w:abstractNum>
  <w:abstractNum w:abstractNumId="83">
    <w:nsid w:val="3DB012B3"/>
    <w:multiLevelType w:val="hybridMultilevel"/>
    <w:lvl w:ilvl="0">
      <w:lvlJc w:val="left"/>
      <w:lvlText w:val="%1"/>
      <w:numFmt w:val="decimal"/>
      <w:start w:val="44"/>
    </w:lvl>
  </w:abstractNum>
  <w:abstractNum w:abstractNumId="84">
    <w:nsid w:val="2708C9AF"/>
    <w:multiLevelType w:val="hybridMultilevel"/>
    <w:lvl w:ilvl="0">
      <w:lvlJc w:val="left"/>
      <w:lvlText w:val="(%1)"/>
      <w:numFmt w:val="decimal"/>
      <w:start w:val="1"/>
    </w:lvl>
  </w:abstractNum>
  <w:abstractNum w:abstractNumId="85">
    <w:nsid w:val="5B25ACE2"/>
    <w:multiLevelType w:val="hybridMultilevel"/>
    <w:lvl w:ilvl="0">
      <w:lvlJc w:val="left"/>
      <w:lvlText w:val="%1"/>
      <w:numFmt w:val="decimal"/>
      <w:start w:val="46"/>
    </w:lvl>
  </w:abstractNum>
  <w:abstractNum w:abstractNumId="86">
    <w:nsid w:val="175DFCF0"/>
    <w:multiLevelType w:val="hybridMultilevel"/>
    <w:lvl w:ilvl="0">
      <w:lvlJc w:val="left"/>
      <w:lvlText w:val="(%1)"/>
      <w:numFmt w:val="decimal"/>
      <w:start w:val="2"/>
    </w:lvl>
  </w:abstractNum>
  <w:abstractNum w:abstractNumId="87">
    <w:nsid w:val="4F97E3E4"/>
    <w:multiLevelType w:val="hybridMultilevel"/>
    <w:lvl w:ilvl="0">
      <w:lvlJc w:val="left"/>
      <w:lvlText w:val="\emdash "/>
      <w:numFmt w:val="bullet"/>
      <w:start w:val="1"/>
    </w:lvl>
  </w:abstractNum>
  <w:abstractNum w:abstractNumId="88">
    <w:nsid w:val="53B0A9E"/>
    <w:multiLevelType w:val="hybridMultilevel"/>
    <w:lvl w:ilvl="0">
      <w:lvlJc w:val="left"/>
      <w:lvlText w:val="(%1)"/>
      <w:numFmt w:val="decimal"/>
      <w:start w:val="1"/>
    </w:lvl>
  </w:abstractNum>
  <w:abstractNum w:abstractNumId="89">
    <w:nsid w:val="34FD6B4F"/>
    <w:multiLevelType w:val="hybridMultilevel"/>
    <w:lvl w:ilvl="0">
      <w:lvlJc w:val="left"/>
      <w:lvlText w:val="%1"/>
      <w:numFmt w:val="decimal"/>
      <w:start w:val="48"/>
    </w:lvl>
  </w:abstractNum>
  <w:abstractNum w:abstractNumId="90">
    <w:nsid w:val="5915FF32"/>
    <w:multiLevelType w:val="hybridMultilevel"/>
    <w:lvl w:ilvl="0">
      <w:lvlJc w:val="left"/>
      <w:lvlText w:val="(%1)"/>
      <w:numFmt w:val="decimal"/>
      <w:start w:val="2"/>
    </w:lvl>
  </w:abstractNum>
  <w:abstractNum w:abstractNumId="91">
    <w:nsid w:val="56438D15"/>
    <w:multiLevelType w:val="hybridMultilevel"/>
    <w:lvl w:ilvl="0">
      <w:lvlJc w:val="left"/>
      <w:lvlText w:val="(%1)"/>
      <w:numFmt w:val="decimal"/>
      <w:start w:val="3"/>
    </w:lvl>
  </w:abstractNum>
  <w:abstractNum w:abstractNumId="92">
    <w:nsid w:val="519E3149"/>
    <w:multiLevelType w:val="hybridMultilevel"/>
    <w:lvl w:ilvl="0">
      <w:lvlJc w:val="left"/>
      <w:lvlText w:val="(%1)"/>
      <w:numFmt w:val="decimal"/>
      <w:start w:val="4"/>
    </w:lvl>
  </w:abstractNum>
  <w:abstractNum w:abstractNumId="93">
    <w:nsid w:val="2C6E4AFD"/>
    <w:multiLevelType w:val="hybridMultilevel"/>
    <w:lvl w:ilvl="0">
      <w:lvlJc w:val="left"/>
      <w:lvlText w:val="(%1)"/>
      <w:numFmt w:val="decimal"/>
      <w:start w:val="1"/>
    </w:lvl>
  </w:abstractNum>
  <w:abstractNum w:abstractNumId="94">
    <w:nsid w:val="17A1B582"/>
    <w:multiLevelType w:val="hybridMultilevel"/>
    <w:lvl w:ilvl="0">
      <w:lvlJc w:val="left"/>
      <w:lvlText w:val="(%1)"/>
      <w:numFmt w:val="decimal"/>
      <w:start w:val="2"/>
    </w:lvl>
  </w:abstractNum>
  <w:abstractNum w:abstractNumId="95">
    <w:nsid w:val="4DF72E4E"/>
    <w:multiLevelType w:val="hybridMultilevel"/>
    <w:lvl w:ilvl="0">
      <w:lvlJc w:val="left"/>
      <w:lvlText w:val="%1"/>
      <w:numFmt w:val="decimal"/>
      <w:start w:val="50"/>
    </w:lvl>
  </w:abstractNum>
  <w:abstractNum w:abstractNumId="96">
    <w:nsid w:val="5046B5A9"/>
    <w:multiLevelType w:val="hybridMultilevel"/>
    <w:lvl w:ilvl="0">
      <w:lvlJc w:val="left"/>
      <w:lvlText w:val="(%1)"/>
      <w:numFmt w:val="decimal"/>
      <w:start w:val="1"/>
    </w:lvl>
  </w:abstractNum>
  <w:abstractNum w:abstractNumId="97">
    <w:nsid w:val="5D888A08"/>
    <w:multiLevelType w:val="hybridMultilevel"/>
    <w:lvl w:ilvl="0">
      <w:lvlJc w:val="left"/>
      <w:lvlText w:val="•"/>
      <w:numFmt w:val="bullet"/>
      <w:start w:val="1"/>
    </w:lvl>
  </w:abstractNum>
  <w:abstractNum w:abstractNumId="98">
    <w:nsid w:val="2A082C70"/>
    <w:multiLevelType w:val="hybridMultilevel"/>
    <w:lvl w:ilvl="0">
      <w:lvlJc w:val="left"/>
      <w:lvlText w:val="%1"/>
      <w:numFmt w:val="decimal"/>
      <w:start w:val="52"/>
    </w:lvl>
  </w:abstractNum>
  <w:abstractNum w:abstractNumId="99">
    <w:nsid w:val="5EC6AFD4"/>
    <w:multiLevelType w:val="hybridMultilevel"/>
    <w:lvl w:ilvl="0">
      <w:lvlJc w:val="left"/>
      <w:lvlText w:val="(%1)"/>
      <w:numFmt w:val="lowerRoman"/>
      <w:start w:val="1"/>
    </w:lvl>
  </w:abstractNum>
  <w:abstractNum w:abstractNumId="100">
    <w:nsid w:val="19E21BB2"/>
    <w:multiLevelType w:val="hybridMultilevel"/>
    <w:lvl w:ilvl="0">
      <w:lvlJc w:val="left"/>
      <w:lvlText w:val="(%1)"/>
      <w:numFmt w:val="decimal"/>
      <w:start w:val="1"/>
    </w:lvl>
  </w:abstractNum>
  <w:abstractNum w:abstractNumId="101">
    <w:nsid w:val="75E0858A"/>
    <w:multiLevelType w:val="hybridMultilevel"/>
    <w:lvl w:ilvl="0">
      <w:lvlJc w:val="left"/>
      <w:lvlText w:val="%1"/>
      <w:numFmt w:val="decimal"/>
      <w:start w:val="54"/>
    </w:lvl>
  </w:abstractNum>
  <w:abstractNum w:abstractNumId="102">
    <w:nsid w:val="57A61A29"/>
    <w:multiLevelType w:val="hybridMultilevel"/>
    <w:lvl w:ilvl="0">
      <w:lvlJc w:val="left"/>
      <w:lvlText w:val="(%1)"/>
      <w:numFmt w:val="decimal"/>
      <w:start w:val="1"/>
    </w:lvl>
  </w:abstractNum>
  <w:abstractNum w:abstractNumId="103">
    <w:nsid w:val="5399C654"/>
    <w:multiLevelType w:val="hybridMultilevel"/>
    <w:lvl w:ilvl="0">
      <w:lvlJc w:val="left"/>
      <w:lvlText w:val="%1"/>
      <w:numFmt w:val="decimal"/>
      <w:start w:val="56"/>
    </w:lvl>
  </w:abstractNum>
  <w:abstractNum w:abstractNumId="104">
    <w:nsid w:val="20EE1348"/>
    <w:multiLevelType w:val="hybridMultilevel"/>
    <w:lvl w:ilvl="0">
      <w:lvlJc w:val="left"/>
      <w:lvlText w:val="(%1)"/>
      <w:numFmt w:val="lowerRoman"/>
      <w:start w:val="2"/>
    </w:lvl>
  </w:abstractNum>
  <w:abstractNum w:abstractNumId="105">
    <w:nsid w:val="4427069A"/>
    <w:multiLevelType w:val="hybridMultilevel"/>
    <w:lvl w:ilvl="0">
      <w:lvlJc w:val="left"/>
      <w:lvlText w:val="•"/>
      <w:numFmt w:val="bullet"/>
      <w:start w:val="1"/>
    </w:lvl>
  </w:abstractNum>
  <w:abstractNum w:abstractNumId="106">
    <w:nsid w:val="B37E80A"/>
    <w:multiLevelType w:val="hybridMultilevel"/>
    <w:lvl w:ilvl="0">
      <w:lvlJc w:val="left"/>
      <w:lvlText w:val="•"/>
      <w:numFmt w:val="bullet"/>
      <w:start w:val="1"/>
    </w:lvl>
  </w:abstractNum>
  <w:abstractNum w:abstractNumId="107">
    <w:nsid w:val="2157F6BC"/>
    <w:multiLevelType w:val="hybridMultilevel"/>
    <w:lvl w:ilvl="0">
      <w:lvlJc w:val="left"/>
      <w:lvlText w:val="•"/>
      <w:numFmt w:val="bullet"/>
      <w:start w:val="1"/>
    </w:lvl>
  </w:abstractNum>
  <w:abstractNum w:abstractNumId="108">
    <w:nsid w:val="704E1DD5"/>
    <w:multiLevelType w:val="hybridMultilevel"/>
    <w:lvl w:ilvl="0">
      <w:lvlJc w:val="left"/>
      <w:lvlText w:val="%1"/>
      <w:numFmt w:val="decimal"/>
      <w:start w:val="58"/>
    </w:lvl>
  </w:abstractNum>
  <w:abstractNum w:abstractNumId="109">
    <w:nsid w:val="57D2F10E"/>
    <w:multiLevelType w:val="hybridMultilevel"/>
    <w:lvl w:ilvl="0">
      <w:lvlJc w:val="left"/>
      <w:lvlText w:val="•"/>
      <w:numFmt w:val="bullet"/>
      <w:start w:val="1"/>
    </w:lvl>
  </w:abstractNum>
  <w:abstractNum w:abstractNumId="110">
    <w:nsid w:val="BFFAE18"/>
    <w:multiLevelType w:val="hybridMultilevel"/>
    <w:lvl w:ilvl="0">
      <w:lvlJc w:val="left"/>
      <w:lvlText w:val="•"/>
      <w:numFmt w:val="bullet"/>
      <w:start w:val="1"/>
    </w:lvl>
  </w:abstractNum>
  <w:abstractNum w:abstractNumId="111">
    <w:nsid w:val="E3E47A8"/>
    <w:multiLevelType w:val="hybridMultilevel"/>
    <w:lvl w:ilvl="0">
      <w:lvlJc w:val="left"/>
      <w:lvlText w:val="%1."/>
      <w:numFmt w:val="decimal"/>
      <w:start w:val="1"/>
    </w:lvl>
  </w:abstractNum>
  <w:abstractNum w:abstractNumId="112">
    <w:nsid w:val="2E48F044"/>
    <w:multiLevelType w:val="hybridMultilevel"/>
    <w:lvl w:ilvl="0">
      <w:lvlJc w:val="left"/>
      <w:lvlText w:val="%1"/>
      <w:numFmt w:val="decimal"/>
      <w:start w:val="1"/>
    </w:lvl>
    <w:lvl w:ilvl="1">
      <w:lvlJc w:val="left"/>
      <w:lvlText w:val="(%2)"/>
      <w:numFmt w:val="lowerLetter"/>
      <w:start w:val="1"/>
    </w:lvl>
  </w:abstractNum>
  <w:abstractNum w:abstractNumId="113">
    <w:nsid w:val="49D0FEAC"/>
    <w:multiLevelType w:val="hybridMultilevel"/>
    <w:lvl w:ilvl="0">
      <w:lvlJc w:val="left"/>
      <w:lvlText w:val="%1."/>
      <w:numFmt w:val="decimal"/>
      <w:start w:val="2"/>
    </w:lvl>
    <w:lvl w:ilvl="1">
      <w:lvlJc w:val="left"/>
      <w:lvlText w:val="%2"/>
      <w:numFmt w:val="lowerLetter"/>
      <w:start w:val="1"/>
    </w:lvl>
  </w:abstractNum>
  <w:abstractNum w:abstractNumId="114">
    <w:nsid w:val="4BEE5A5B"/>
    <w:multiLevelType w:val="hybridMultilevel"/>
    <w:lvl w:ilvl="0">
      <w:lvlJc w:val="left"/>
      <w:lvlText w:val="•"/>
      <w:numFmt w:val="bullet"/>
      <w:start w:val="1"/>
    </w:lvl>
  </w:abstractNum>
  <w:abstractNum w:abstractNumId="115">
    <w:nsid w:val="5551B9F3"/>
    <w:multiLevelType w:val="hybridMultilevel"/>
    <w:lvl w:ilvl="0">
      <w:lvlJc w:val="left"/>
      <w:lvlText w:val="%1"/>
      <w:numFmt w:val="decimal"/>
      <w:start w:val="60"/>
    </w:lvl>
  </w:abstractNum>
  <w:abstractNum w:abstractNumId="116">
    <w:nsid w:val="24F6AB8E"/>
    <w:multiLevelType w:val="hybridMultilevel"/>
    <w:lvl w:ilvl="0">
      <w:lvlJc w:val="left"/>
      <w:lvlText w:val="%1"/>
      <w:numFmt w:val="decimal"/>
      <w:start w:val="62"/>
    </w:lvl>
  </w:abstractNum>
  <w:abstractNum w:abstractNumId="117">
    <w:nsid w:val="634C574C"/>
    <w:multiLevelType w:val="hybridMultilevel"/>
    <w:lvl w:ilvl="0">
      <w:lvlJc w:val="left"/>
      <w:lvlText w:val="(%1)"/>
      <w:numFmt w:val="decimal"/>
      <w:start w:val="1"/>
    </w:lvl>
  </w:abstractNum>
  <w:abstractNum w:abstractNumId="118">
    <w:nsid w:val="24E99DD7"/>
    <w:multiLevelType w:val="hybridMultilevel"/>
    <w:lvl w:ilvl="0">
      <w:lvlJc w:val="left"/>
      <w:lvlText w:val="%1"/>
      <w:numFmt w:val="decimal"/>
      <w:start w:val="64"/>
    </w:lvl>
  </w:abstractNum>
  <w:abstractNum w:abstractNumId="119">
    <w:nsid w:val="2A31B62D"/>
    <w:multiLevelType w:val="hybridMultilevel"/>
    <w:lvl w:ilvl="0">
      <w:lvlJc w:val="left"/>
      <w:lvlText w:val="(%1)"/>
      <w:numFmt w:val="lowerRoman"/>
      <w:start w:val="2"/>
    </w:lvl>
  </w:abstractNum>
  <w:abstractNum w:abstractNumId="120">
    <w:nsid w:val="1849C29B"/>
    <w:multiLevelType w:val="hybridMultilevel"/>
    <w:lvl w:ilvl="0">
      <w:lvlJc w:val="left"/>
      <w:lvlText w:val="%1"/>
      <w:numFmt w:val="decimal"/>
      <w:start w:val="66"/>
    </w:lvl>
  </w:abstractNum>
  <w:abstractNum w:abstractNumId="121">
    <w:nsid w:val="7DFF9D09"/>
    <w:multiLevelType w:val="hybridMultilevel"/>
    <w:lvl w:ilvl="0">
      <w:lvlJc w:val="left"/>
      <w:lvlText w:val="%1"/>
      <w:numFmt w:val="decimal"/>
      <w:start w:val="68"/>
    </w:lvl>
  </w:abstractNum>
  <w:abstractNum w:abstractNumId="122">
    <w:nsid w:val="754342"/>
    <w:multiLevelType w:val="hybridMultilevel"/>
    <w:lvl w:ilvl="0">
      <w:lvlJc w:val="left"/>
      <w:lvlText w:val="%1"/>
      <w:numFmt w:val="decimal"/>
      <w:start w:val="70"/>
    </w:lvl>
  </w:abstractNum>
  <w:abstractNum w:abstractNumId="123">
    <w:nsid w:val="69E7F3E5"/>
    <w:multiLevelType w:val="hybridMultilevel"/>
    <w:lvl w:ilvl="0">
      <w:lvlJc w:val="left"/>
      <w:lvlText w:val="(%1)"/>
      <w:numFmt w:val="decimal"/>
      <w:start w:val="1"/>
    </w:lvl>
  </w:abstractNum>
  <w:abstractNum w:abstractNumId="124">
    <w:nsid w:val="2A6DE806"/>
    <w:multiLevelType w:val="hybridMultilevel"/>
    <w:lvl w:ilvl="0">
      <w:lvlJc w:val="left"/>
      <w:lvlText w:val="(%1)"/>
      <w:numFmt w:val="decimal"/>
      <w:start w:val="1"/>
    </w:lvl>
  </w:abstractNum>
  <w:abstractNum w:abstractNumId="125">
    <w:nsid w:val="1816F8C4"/>
    <w:multiLevelType w:val="hybridMultilevel"/>
    <w:lvl w:ilvl="0">
      <w:lvlJc w:val="left"/>
      <w:lvlText w:val="%1"/>
      <w:numFmt w:val="decimal"/>
      <w:start w:val="72"/>
    </w:lvl>
  </w:abstractNum>
  <w:abstractNum w:abstractNumId="126">
    <w:nsid w:val="37DF2233"/>
    <w:multiLevelType w:val="hybridMultilevel"/>
    <w:lvl w:ilvl="0">
      <w:lvlJc w:val="left"/>
      <w:lvlText w:val="%1"/>
      <w:numFmt w:val="decimal"/>
      <w:start w:val="74"/>
    </w:lvl>
  </w:abstractNum>
  <w:abstractNum w:abstractNumId="127">
    <w:nsid w:val="7AB49DAF"/>
    <w:multiLevelType w:val="hybridMultilevel"/>
    <w:lvl w:ilvl="0">
      <w:lvlJc w:val="left"/>
      <w:lvlText w:val="(%1)"/>
      <w:numFmt w:val="decimal"/>
      <w:start w:val="1"/>
    </w:lvl>
  </w:abstractNum>
  <w:abstractNum w:abstractNumId="128">
    <w:nsid w:val="759F82CD"/>
    <w:multiLevelType w:val="hybridMultilevel"/>
    <w:lvl w:ilvl="0">
      <w:lvlJc w:val="left"/>
      <w:lvlText w:val="%1"/>
      <w:numFmt w:val="decimal"/>
      <w:start w:val="76"/>
    </w:lvl>
  </w:abstractNum>
  <w:abstractNum w:abstractNumId="129">
    <w:nsid w:val="61E74EA3"/>
    <w:multiLevelType w:val="hybridMultilevel"/>
    <w:lvl w:ilvl="0">
      <w:lvlJc w:val="left"/>
      <w:lvlText w:val="(%1)"/>
      <w:numFmt w:val="decimal"/>
      <w:start w:val="1"/>
    </w:lvl>
  </w:abstractNum>
  <w:abstractNum w:abstractNumId="130">
    <w:nsid w:val="597B4D84"/>
    <w:multiLevelType w:val="hybridMultilevel"/>
    <w:lvl w:ilvl="0">
      <w:lvlJc w:val="left"/>
      <w:lvlText w:val="(%1)"/>
      <w:numFmt w:val="decimal"/>
      <w:start w:val="1"/>
    </w:lvl>
  </w:abstractNum>
  <w:abstractNum w:abstractNumId="131">
    <w:nsid w:val="F819E7F"/>
    <w:multiLevelType w:val="hybridMultilevel"/>
    <w:lvl w:ilvl="0">
      <w:lvlJc w:val="left"/>
      <w:lvlText w:val="%1."/>
      <w:numFmt w:val="decimal"/>
      <w:start w:val="1"/>
    </w:lvl>
  </w:abstractNum>
  <w:abstractNum w:abstractNumId="132">
    <w:nsid w:val="57C7D42D"/>
    <w:multiLevelType w:val="hybridMultilevel"/>
    <w:lvl w:ilvl="0">
      <w:lvlJc w:val="left"/>
      <w:lvlText w:val="%1."/>
      <w:numFmt w:val="decimal"/>
      <w:start w:val="5"/>
    </w:lvl>
  </w:abstractNum>
  <w:abstractNum w:abstractNumId="133">
    <w:nsid w:val="312167AD"/>
    <w:multiLevelType w:val="hybridMultilevel"/>
    <w:lvl w:ilvl="0">
      <w:lvlJc w:val="left"/>
      <w:lvlText w:val="%1"/>
      <w:numFmt w:val="decimal"/>
      <w:start w:val="78"/>
    </w:lvl>
  </w:abstractNum>
  <w:abstractNum w:abstractNumId="134">
    <w:nsid w:val="631B64D4"/>
    <w:multiLevelType w:val="hybridMultilevel"/>
    <w:lvl w:ilvl="0">
      <w:lvlJc w:val="left"/>
      <w:lvlText w:val="•"/>
      <w:numFmt w:val="bullet"/>
      <w:start w:val="1"/>
    </w:lvl>
  </w:abstractNum>
  <w:abstractNum w:abstractNumId="135">
    <w:nsid w:val="78B5E776"/>
    <w:multiLevelType w:val="hybridMultilevel"/>
    <w:lvl w:ilvl="0">
      <w:lvlJc w:val="left"/>
      <w:lvlText w:val="•"/>
      <w:numFmt w:val="bullet"/>
      <w:start w:val="1"/>
    </w:lvl>
  </w:abstractNum>
  <w:abstractNum w:abstractNumId="136">
    <w:nsid w:val="75486E47"/>
    <w:multiLevelType w:val="hybridMultilevel"/>
    <w:lvl w:ilvl="0">
      <w:lvlJc w:val="left"/>
      <w:lvlText w:val="%1"/>
      <w:numFmt w:val="decimal"/>
      <w:start w:val="80"/>
    </w:lvl>
  </w:abstractNum>
  <w:abstractNum w:abstractNumId="137">
    <w:nsid w:val="6E534CDE"/>
    <w:multiLevelType w:val="hybridMultilevel"/>
    <w:lvl w:ilvl="0">
      <w:lvlJc w:val="left"/>
      <w:lvlText w:val="%1"/>
      <w:numFmt w:val="decimal"/>
      <w:start w:val="82"/>
    </w:lvl>
  </w:abstractNum>
  <w:abstractNum w:abstractNumId="138">
    <w:nsid w:val="1A0DDE32"/>
    <w:multiLevelType w:val="hybridMultilevel"/>
    <w:lvl w:ilvl="0">
      <w:lvlJc w:val="left"/>
      <w:lvlText w:val="%1"/>
      <w:numFmt w:val="decimal"/>
      <w:start w:val="84"/>
    </w:lvl>
  </w:abstractNum>
  <w:abstractNum w:abstractNumId="139">
    <w:nsid w:val="65968C1C"/>
    <w:multiLevelType w:val="hybridMultilevel"/>
    <w:lvl w:ilvl="0">
      <w:lvlJc w:val="left"/>
      <w:lvlText w:val="(%1)"/>
      <w:numFmt w:val="decimal"/>
      <w:start w:val="1"/>
    </w:lvl>
  </w:abstractNum>
  <w:abstractNum w:abstractNumId="140">
    <w:nsid w:val="46263DEC"/>
    <w:multiLevelType w:val="hybridMultilevel"/>
    <w:lvl w:ilvl="0">
      <w:lvlJc w:val="left"/>
      <w:lvlText w:val="(%1)"/>
      <w:numFmt w:val="decimal"/>
      <w:start w:val="2"/>
    </w:lvl>
  </w:abstractNum>
  <w:abstractNum w:abstractNumId="141">
    <w:nsid w:val="260D8C4A"/>
    <w:multiLevelType w:val="hybridMultilevel"/>
    <w:lvl w:ilvl="0">
      <w:lvlJc w:val="left"/>
      <w:lvlText w:val="(%1)"/>
      <w:numFmt w:val="lowerLetter"/>
      <w:start w:val="1"/>
    </w:lvl>
  </w:abstractNum>
  <w:abstractNum w:abstractNumId="142">
    <w:nsid w:val="73D4D3C4"/>
    <w:multiLevelType w:val="hybridMultilevel"/>
    <w:lvl w:ilvl="0">
      <w:lvlJc w:val="left"/>
      <w:lvlText w:val="(%1)"/>
      <w:numFmt w:val="lowerLetter"/>
      <w:start w:val="1"/>
    </w:lvl>
  </w:abstractNum>
  <w:abstractNum w:abstractNumId="143">
    <w:nsid w:val="746F2E30"/>
    <w:multiLevelType w:val="hybridMultilevel"/>
    <w:lvl w:ilvl="0">
      <w:lvlJc w:val="left"/>
      <w:lvlText w:val="(%1)"/>
      <w:numFmt w:val="lowerLetter"/>
      <w:start w:val="1"/>
    </w:lvl>
  </w:abstractNum>
  <w:abstractNum w:abstractNumId="144">
    <w:nsid w:val="6FDE8AF6"/>
    <w:multiLevelType w:val="hybridMultilevel"/>
    <w:lvl w:ilvl="0">
      <w:lvlJc w:val="left"/>
      <w:lvlText w:val="(%1)"/>
      <w:numFmt w:val="lowerLetter"/>
      <w:start w:val="2"/>
    </w:lvl>
  </w:abstractNum>
  <w:abstractNum w:abstractNumId="145">
    <w:nsid w:val="3FC32E20"/>
    <w:multiLevelType w:val="hybridMultilevel"/>
    <w:lvl w:ilvl="0">
      <w:lvlJc w:val="left"/>
      <w:lvlText w:val="(%1)"/>
      <w:numFmt w:val="lowerRoman"/>
      <w:start w:val="1"/>
    </w:lvl>
  </w:abstractNum>
  <w:abstractNum w:abstractNumId="146">
    <w:nsid w:val="49C0E823"/>
    <w:multiLevelType w:val="hybridMultilevel"/>
    <w:lvl w:ilvl="0">
      <w:lvlJc w:val="left"/>
      <w:lvlText w:val="(%1)"/>
      <w:numFmt w:val="lowerLetter"/>
      <w:start w:val="1"/>
    </w:lvl>
  </w:abstractNum>
  <w:abstractNum w:abstractNumId="147">
    <w:nsid w:val="14D53685"/>
    <w:multiLevelType w:val="hybridMultilevel"/>
    <w:lvl w:ilvl="0">
      <w:lvlJc w:val="left"/>
      <w:lvlText w:val="(%1)"/>
      <w:numFmt w:val="lowerLetter"/>
      <w:start w:val="1"/>
    </w:lvl>
  </w:abstractNum>
  <w:abstractNum w:abstractNumId="148">
    <w:nsid w:val="230F856C"/>
    <w:multiLevelType w:val="hybridMultilevel"/>
    <w:lvl w:ilvl="0">
      <w:lvlJc w:val="left"/>
      <w:lvlText w:val="(%1)"/>
      <w:numFmt w:val="lowerLetter"/>
      <w:start w:val="2"/>
    </w:lvl>
  </w:abstractNum>
  <w:abstractNum w:abstractNumId="149">
    <w:nsid w:val="6EAA85FB"/>
    <w:multiLevelType w:val="hybridMultilevel"/>
    <w:lvl w:ilvl="0">
      <w:lvlJc w:val="left"/>
      <w:lvlText w:val="(%1)"/>
      <w:numFmt w:val="lowerLetter"/>
      <w:start w:val="2"/>
    </w:lvl>
  </w:abstractNum>
  <w:abstractNum w:abstractNumId="150">
    <w:nsid w:val="3F06ECB2"/>
    <w:multiLevelType w:val="hybridMultilevel"/>
    <w:lvl w:ilvl="0">
      <w:lvlJc w:val="left"/>
      <w:lvlText w:val="(%1)"/>
      <w:numFmt w:val="lowerLetter"/>
      <w:start w:val="1"/>
    </w:lvl>
  </w:abstractNum>
  <w:abstractNum w:abstractNumId="151">
    <w:nsid w:val="3B594807"/>
    <w:multiLevelType w:val="hybridMultilevel"/>
    <w:lvl w:ilvl="0">
      <w:lvlJc w:val="left"/>
      <w:lvlText w:val="(%1)"/>
      <w:numFmt w:val="lowerLetter"/>
      <w:start w:val="1"/>
    </w:lvl>
  </w:abstractNum>
  <w:abstractNum w:abstractNumId="152">
    <w:nsid w:val="6CAA2304"/>
    <w:multiLevelType w:val="hybridMultilevel"/>
    <w:lvl w:ilvl="0">
      <w:lvlJc w:val="left"/>
      <w:lvlText w:val="(%1)"/>
      <w:numFmt w:val="lowerLetter"/>
      <w:start w:val="1"/>
    </w:lvl>
  </w:abstractNum>
  <w:abstractNum w:abstractNumId="153">
    <w:nsid w:val="3F7C2FF4"/>
    <w:multiLevelType w:val="hybridMultilevel"/>
    <w:lvl w:ilvl="0">
      <w:lvlJc w:val="left"/>
      <w:lvlText w:val="(%1)"/>
      <w:numFmt w:val="lowerLetter"/>
      <w:start w:val="8"/>
    </w:lvl>
  </w:abstractNum>
  <w:abstractNum w:abstractNumId="154">
    <w:nsid w:val="25413BEC"/>
    <w:multiLevelType w:val="hybridMultilevel"/>
    <w:lvl w:ilvl="0">
      <w:lvlJc w:val="left"/>
      <w:lvlText w:val="(%1)"/>
      <w:numFmt w:val="lowerLetter"/>
      <w:start w:val="1"/>
    </w:lvl>
    <w:lvl w:ilvl="1">
      <w:lvlJc w:val="left"/>
      <w:lvlText w:val="(%2)"/>
      <w:numFmt w:val="lowerRoman"/>
      <w:start w:val="1"/>
    </w:lvl>
  </w:abstractNum>
  <w:abstractNum w:abstractNumId="155">
    <w:nsid w:val="17180B0B"/>
    <w:multiLevelType w:val="hybridMultilevel"/>
    <w:lvl w:ilvl="0">
      <w:lvlJc w:val="left"/>
      <w:lvlText w:val="(%1)"/>
      <w:numFmt w:val="lowerLetter"/>
      <w:start w:val="4"/>
    </w:lvl>
  </w:abstractNum>
  <w:abstractNum w:abstractNumId="156">
    <w:nsid w:val="579328B9"/>
    <w:multiLevelType w:val="hybridMultilevel"/>
    <w:lvl w:ilvl="0">
      <w:lvlJc w:val="left"/>
      <w:lvlText w:val="(%1)"/>
      <w:numFmt w:val="lowerRoman"/>
      <w:start w:val="2"/>
    </w:lvl>
  </w:abstractNum>
  <w:abstractNum w:abstractNumId="157">
    <w:nsid w:val="5D205E20"/>
    <w:multiLevelType w:val="hybridMultilevel"/>
    <w:lvl w:ilvl="0">
      <w:lvlJc w:val="left"/>
      <w:lvlText w:val="%1."/>
      <w:numFmt w:val="decimal"/>
      <w:start w:val="1"/>
    </w:lvl>
  </w:abstractNum>
  <w:abstractNum w:abstractNumId="158">
    <w:nsid w:val="11CCA8BA"/>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2019-12-03T20:01:38Z</dcterms:created>
  <dcterms:modified xsi:type="dcterms:W3CDTF">2019-12-03T20:01:38Z</dcterms:modified>
</cp:coreProperties>
</file>