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6532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903605</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________________________</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1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________________________</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9" w:lineRule="exact"/>
        <w:rPr>
          <w:sz w:val="24"/>
          <w:szCs w:val="24"/>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83" w:lineRule="exact"/>
        <w:rPr>
          <w:sz w:val="24"/>
          <w:szCs w:val="24"/>
          <w:color w:val="auto"/>
        </w:rPr>
      </w:pPr>
    </w:p>
    <w:p>
      <w:pPr>
        <w:ind w:left="380" w:hanging="354"/>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79" w:lineRule="exact"/>
        <w:rPr>
          <w:sz w:val="24"/>
          <w:szCs w:val="24"/>
          <w:color w:val="auto"/>
        </w:rPr>
      </w:pPr>
    </w:p>
    <w:p>
      <w:pPr>
        <w:ind w:left="380" w:hanging="354"/>
        <w:spacing w:after="0"/>
        <w:tabs>
          <w:tab w:leader="none" w:pos="3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79"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Lear Corporation</w:t>
      </w:r>
    </w:p>
    <w:p>
      <w:pPr>
        <w:spacing w:after="0" w:line="1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5"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9" w:lineRule="exact"/>
        <w:rPr>
          <w:sz w:val="24"/>
          <w:szCs w:val="24"/>
          <w:color w:val="auto"/>
        </w:rPr>
      </w:pPr>
    </w:p>
    <w:p>
      <w:pPr>
        <w:ind w:left="380" w:hanging="354"/>
        <w:spacing w:after="0"/>
        <w:tabs>
          <w:tab w:leader="none" w:pos="3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380" w:hanging="354"/>
        <w:spacing w:after="0"/>
        <w:tabs>
          <w:tab w:leader="none" w:pos="3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532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532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210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997585</wp:posOffset>
            </wp:positionV>
            <wp:extent cx="1645920" cy="591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21557 Telegraph Road</w:t>
      </w:r>
    </w:p>
    <w:p>
      <w:pPr>
        <w:spacing w:after="0" w:line="10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Southfield, Michigan 48033</w:t>
      </w:r>
    </w:p>
    <w:p>
      <w:pPr>
        <w:spacing w:after="0" w:line="204" w:lineRule="exact"/>
        <w:rPr>
          <w:sz w:val="20"/>
          <w:szCs w:val="20"/>
          <w:color w:val="auto"/>
        </w:rPr>
      </w:pPr>
    </w:p>
    <w:p>
      <w:pPr>
        <w:jc w:val="right"/>
        <w:spacing w:after="0"/>
        <w:rPr>
          <w:sz w:val="20"/>
          <w:szCs w:val="20"/>
          <w:color w:val="auto"/>
        </w:rPr>
      </w:pPr>
      <w:r>
        <w:rPr>
          <w:rFonts w:ascii="Verdana" w:cs="Verdana" w:eastAsia="Verdana" w:hAnsi="Verdana"/>
          <w:sz w:val="16"/>
          <w:szCs w:val="16"/>
          <w:color w:val="auto"/>
        </w:rPr>
        <w:t>April 3, 2025</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Dear Shareholder:</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On behalf of the Board of Directors of Lear Corporation, you are cordially invited to attend the 2025 Annual Meeting of Shareholders (the</w:t>
      </w:r>
    </w:p>
    <w:p>
      <w:pPr>
        <w:spacing w:after="0" w:line="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“Annual Meeting”) to be held through a virtual web conference at www.virtualshareholdermeeting.com/LEA2025 on May 16, 2025, at 9:00 a.m. (Eastern Time). You will be able to attend the Annual Meeting online, vote your shares electronically, and submit questions in</w:t>
      </w:r>
    </w:p>
    <w:p>
      <w:pPr>
        <w:spacing w:after="0" w:line="1" w:lineRule="exact"/>
        <w:rPr>
          <w:sz w:val="20"/>
          <w:szCs w:val="20"/>
          <w:color w:val="auto"/>
        </w:rPr>
      </w:pPr>
    </w:p>
    <w:p>
      <w:pPr>
        <w:jc w:val="both"/>
        <w:ind w:right="80"/>
        <w:spacing w:after="0" w:line="243" w:lineRule="auto"/>
        <w:rPr>
          <w:sz w:val="20"/>
          <w:szCs w:val="20"/>
          <w:color w:val="auto"/>
        </w:rPr>
      </w:pPr>
      <w:r>
        <w:rPr>
          <w:rFonts w:ascii="Verdana" w:cs="Verdana" w:eastAsia="Verdana" w:hAnsi="Verdana"/>
          <w:sz w:val="16"/>
          <w:szCs w:val="16"/>
          <w:color w:val="auto"/>
        </w:rPr>
        <w:t>advance of and during the meeting by logging in to the website listed above using the 16-digit control number included in your Notice of Internet Availability of Proxy Materials, on your proxy card, or in any additional voting instructions accompanying these proxy materials. We recommend that you log in a few minutes before the meeting to ensure you are admitted when the meeting starts.</w:t>
      </w:r>
    </w:p>
    <w:p>
      <w:pPr>
        <w:spacing w:after="0" w:line="98" w:lineRule="exact"/>
        <w:rPr>
          <w:sz w:val="20"/>
          <w:szCs w:val="20"/>
          <w:color w:val="auto"/>
        </w:rPr>
      </w:pPr>
    </w:p>
    <w:p>
      <w:pPr>
        <w:ind w:right="580"/>
        <w:spacing w:after="0" w:line="241" w:lineRule="auto"/>
        <w:rPr>
          <w:sz w:val="20"/>
          <w:szCs w:val="20"/>
          <w:color w:val="auto"/>
        </w:rPr>
      </w:pPr>
      <w:r>
        <w:rPr>
          <w:rFonts w:ascii="Verdana" w:cs="Verdana" w:eastAsia="Verdana" w:hAnsi="Verdana"/>
          <w:sz w:val="16"/>
          <w:szCs w:val="16"/>
          <w:color w:val="auto"/>
        </w:rPr>
        <w:t>To facilitate broad shareholder attendance and participation and provide a consistent experience to all shareholders, regardless of location, the Annual Meeting will once again be virtual. We have included with this letter a proxy statement that provides you with</w:t>
      </w:r>
    </w:p>
    <w:p>
      <w:pPr>
        <w:spacing w:after="0" w:line="1" w:lineRule="exact"/>
        <w:rPr>
          <w:sz w:val="20"/>
          <w:szCs w:val="20"/>
          <w:color w:val="auto"/>
        </w:rPr>
      </w:pPr>
    </w:p>
    <w:p>
      <w:pPr>
        <w:jc w:val="both"/>
        <w:ind w:right="440"/>
        <w:spacing w:after="0" w:line="253" w:lineRule="auto"/>
        <w:rPr>
          <w:sz w:val="20"/>
          <w:szCs w:val="20"/>
          <w:color w:val="auto"/>
        </w:rPr>
      </w:pPr>
      <w:r>
        <w:rPr>
          <w:rFonts w:ascii="Verdana" w:cs="Verdana" w:eastAsia="Verdana" w:hAnsi="Verdana"/>
          <w:sz w:val="16"/>
          <w:szCs w:val="16"/>
          <w:color w:val="auto"/>
        </w:rPr>
        <w:t>detailed information about the Annual Meeting. We encourage you to read the entire proxy statement carefully. You may also obtain more information about Lear Corporation from documents we have filed with the Securities and Exchange Commission (the “SEC”).</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We are delivering our proxy statement and annual report on Form 10-K pursuant to the SEC rules that allow companies to furnish proxy</w:t>
      </w:r>
    </w:p>
    <w:p>
      <w:pPr>
        <w:spacing w:after="0" w:line="8"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materials to their shareholders over the Internet. We believe that this delivery method expedites shareholders’ receipt of proxy materials and lowers the cost and environmental impact of our Annual Meeting. On or about April 3, 2025, we will mail to our shareholders a</w:t>
      </w:r>
    </w:p>
    <w:p>
      <w:pPr>
        <w:spacing w:after="0" w:line="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notice containing instructions on how to access our proxy materials. In addition, the notice includes instructions on how you can receive a paper copy of our proxy materials.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You are being asked at the Annual Meeting to elect directors named in the accompanying proxy statement, to ratify the retention of</w:t>
      </w:r>
    </w:p>
    <w:p>
      <w:pPr>
        <w:spacing w:after="0" w:line="8" w:lineRule="exact"/>
        <w:rPr>
          <w:sz w:val="20"/>
          <w:szCs w:val="20"/>
          <w:color w:val="auto"/>
        </w:rPr>
      </w:pPr>
    </w:p>
    <w:p>
      <w:pPr>
        <w:ind w:right="940"/>
        <w:spacing w:after="0" w:line="253" w:lineRule="auto"/>
        <w:rPr>
          <w:sz w:val="20"/>
          <w:szCs w:val="20"/>
          <w:color w:val="auto"/>
        </w:rPr>
      </w:pPr>
      <w:r>
        <w:rPr>
          <w:rFonts w:ascii="Verdana" w:cs="Verdana" w:eastAsia="Verdana" w:hAnsi="Verdana"/>
          <w:sz w:val="16"/>
          <w:szCs w:val="16"/>
          <w:color w:val="auto"/>
        </w:rPr>
        <w:t>Ernst &amp; Young LLP as our independent registered public accounting firm, to provide an advisory vote to approve our executive compensation and to transact any other business properly brought before the Annual Meeting.</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As always, we encourage you to vote your shares prior to the Annual Meeting. You may vote your shares through one of</w:t>
      </w:r>
    </w:p>
    <w:p>
      <w:pPr>
        <w:spacing w:after="0" w:line="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b w:val="1"/>
          <w:bCs w:val="1"/>
          <w:color w:val="auto"/>
        </w:rPr>
        <w:t>the methods described in the enclosed proxy statement. We strongly urge you to read the accompanying proxy statement carefully and to vote FOR the nominees proposed by the Board of Directors and in accordance with the recommendations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of the Board of Directors on the other proposals by following the voting instructions contained in the proxy statement.</w:t>
      </w:r>
    </w:p>
    <w:p>
      <w:pPr>
        <w:spacing w:after="0" w:line="265" w:lineRule="exact"/>
        <w:rPr>
          <w:sz w:val="20"/>
          <w:szCs w:val="20"/>
          <w:color w:val="auto"/>
        </w:rPr>
      </w:pPr>
    </w:p>
    <w:p>
      <w:pPr>
        <w:ind w:left="1220"/>
        <w:spacing w:after="0"/>
        <w:rPr>
          <w:sz w:val="20"/>
          <w:szCs w:val="20"/>
          <w:color w:val="auto"/>
        </w:rPr>
      </w:pPr>
      <w:r>
        <w:rPr>
          <w:rFonts w:ascii="Verdana" w:cs="Verdana" w:eastAsia="Verdana" w:hAnsi="Verdana"/>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40005</wp:posOffset>
            </wp:positionV>
            <wp:extent cx="387477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4770" cy="4368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20"/>
        <w:spacing w:after="0"/>
        <w:rPr>
          <w:sz w:val="20"/>
          <w:szCs w:val="20"/>
          <w:color w:val="auto"/>
        </w:rPr>
      </w:pPr>
      <w:r>
        <w:rPr>
          <w:rFonts w:ascii="Verdana" w:cs="Verdana" w:eastAsia="Verdana" w:hAnsi="Verdana"/>
          <w:sz w:val="16"/>
          <w:szCs w:val="16"/>
          <w:color w:val="auto"/>
        </w:rPr>
        <w:t>Greg C. Smith</w:t>
      </w:r>
    </w:p>
    <w:p>
      <w:pPr>
        <w:spacing w:after="0" w:line="49" w:lineRule="exact"/>
        <w:rPr>
          <w:sz w:val="20"/>
          <w:szCs w:val="20"/>
          <w:color w:val="auto"/>
        </w:rPr>
      </w:pPr>
    </w:p>
    <w:p>
      <w:pPr>
        <w:ind w:left="1220"/>
        <w:spacing w:after="0"/>
        <w:rPr>
          <w:sz w:val="20"/>
          <w:szCs w:val="20"/>
          <w:color w:val="auto"/>
        </w:rPr>
      </w:pPr>
      <w:r>
        <w:rPr>
          <w:rFonts w:ascii="Verdana" w:cs="Verdana" w:eastAsia="Verdana" w:hAnsi="Verdana"/>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Verdana" w:cs="Verdana" w:eastAsia="Verdana" w:hAnsi="Verdana"/>
          <w:sz w:val="16"/>
          <w:szCs w:val="16"/>
          <w:color w:val="auto"/>
        </w:rPr>
        <w:t>Raymond E. Scott</w:t>
      </w:r>
    </w:p>
    <w:p>
      <w:pPr>
        <w:spacing w:after="0" w:line="49"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President, Chief Executive Officer and Director</w:t>
      </w:r>
    </w:p>
    <w:p>
      <w:pPr>
        <w:spacing w:after="0" w:line="200" w:lineRule="exact"/>
        <w:rPr>
          <w:sz w:val="20"/>
          <w:szCs w:val="20"/>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Verdana" w:cs="Verdana" w:eastAsia="Verdana" w:hAnsi="Verdana"/>
          <w:sz w:val="16"/>
          <w:szCs w:val="16"/>
          <w:color w:val="auto"/>
        </w:rPr>
        <w:t>This proxy statement is dated April 3, 2025, and is first being made available to shareholders via the Internet on or about April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774700</wp:posOffset>
            </wp:positionV>
            <wp:extent cx="131127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7180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40" w:type="dxa"/>
            <w:vAlign w:val="bottom"/>
            <w:gridSpan w:val="2"/>
          </w:tcPr>
          <w:p>
            <w:pPr>
              <w:jc w:val="center"/>
              <w:ind w:right="3700"/>
              <w:spacing w:after="0"/>
              <w:rPr>
                <w:sz w:val="20"/>
                <w:szCs w:val="20"/>
                <w:color w:val="auto"/>
              </w:rPr>
            </w:pPr>
            <w:r>
              <w:rPr>
                <w:rFonts w:ascii="Arial" w:cs="Arial" w:eastAsia="Arial" w:hAnsi="Arial"/>
                <w:sz w:val="16"/>
                <w:szCs w:val="16"/>
                <w:color w:val="auto"/>
              </w:rPr>
              <w:t>21557 Telegraph Road</w:t>
            </w:r>
          </w:p>
        </w:tc>
      </w:tr>
      <w:tr>
        <w:trPr>
          <w:trHeight w:val="297"/>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40" w:type="dxa"/>
            <w:vAlign w:val="bottom"/>
            <w:gridSpan w:val="2"/>
          </w:tcPr>
          <w:p>
            <w:pPr>
              <w:jc w:val="center"/>
              <w:ind w:right="3700"/>
              <w:spacing w:after="0"/>
              <w:rPr>
                <w:sz w:val="20"/>
                <w:szCs w:val="20"/>
                <w:color w:val="auto"/>
              </w:rPr>
            </w:pPr>
            <w:r>
              <w:rPr>
                <w:rFonts w:ascii="Arial" w:cs="Arial" w:eastAsia="Arial" w:hAnsi="Arial"/>
                <w:sz w:val="16"/>
                <w:szCs w:val="16"/>
                <w:color w:val="auto"/>
              </w:rPr>
              <w:t>Southfield, Michigan 48033</w:t>
            </w:r>
          </w:p>
        </w:tc>
      </w:tr>
      <w:tr>
        <w:trPr>
          <w:trHeight w:val="405"/>
        </w:trPr>
        <w:tc>
          <w:tcPr>
            <w:tcW w:w="2040" w:type="dxa"/>
            <w:vAlign w:val="bottom"/>
          </w:tcPr>
          <w:p>
            <w:pPr>
              <w:spacing w:after="0"/>
              <w:rPr>
                <w:sz w:val="24"/>
                <w:szCs w:val="24"/>
                <w:color w:val="auto"/>
              </w:rPr>
            </w:pPr>
          </w:p>
        </w:tc>
        <w:tc>
          <w:tcPr>
            <w:tcW w:w="8180" w:type="dxa"/>
            <w:vAlign w:val="bottom"/>
            <w:gridSpan w:val="4"/>
          </w:tcPr>
          <w:p>
            <w:pPr>
              <w:jc w:val="center"/>
              <w:ind w:right="2960"/>
              <w:spacing w:after="0"/>
              <w:rPr>
                <w:sz w:val="20"/>
                <w:szCs w:val="20"/>
                <w:color w:val="auto"/>
              </w:rPr>
            </w:pPr>
            <w:r>
              <w:rPr>
                <w:rFonts w:ascii="Verdana" w:cs="Verdana" w:eastAsia="Verdana" w:hAnsi="Verdana"/>
                <w:sz w:val="16"/>
                <w:szCs w:val="16"/>
                <w:b w:val="1"/>
                <w:bCs w:val="1"/>
                <w:color w:val="auto"/>
              </w:rPr>
              <w:t>NOTICE OF ANNUAL MEETING OF SHAREHOLDERS</w:t>
            </w:r>
          </w:p>
        </w:tc>
      </w:tr>
      <w:tr>
        <w:trPr>
          <w:trHeight w:val="364"/>
        </w:trPr>
        <w:tc>
          <w:tcPr>
            <w:tcW w:w="2040" w:type="dxa"/>
            <w:vAlign w:val="bottom"/>
          </w:tcPr>
          <w:p>
            <w:pPr>
              <w:spacing w:after="0"/>
              <w:rPr>
                <w:sz w:val="20"/>
                <w:szCs w:val="20"/>
                <w:color w:val="auto"/>
              </w:rPr>
            </w:pPr>
            <w:r>
              <w:rPr>
                <w:rFonts w:ascii="Verdana" w:cs="Verdana" w:eastAsia="Verdana" w:hAnsi="Verdana"/>
                <w:sz w:val="16"/>
                <w:szCs w:val="16"/>
                <w:b w:val="1"/>
                <w:bCs w:val="1"/>
                <w:i w:val="1"/>
                <w:iCs w:val="1"/>
                <w:color w:val="auto"/>
              </w:rPr>
              <w:t>Time and Date:</w:t>
            </w:r>
          </w:p>
        </w:tc>
        <w:tc>
          <w:tcPr>
            <w:tcW w:w="46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Friday, May 16, 2025, at 9:00 a.m. (Eastern Time)</w:t>
            </w:r>
          </w:p>
        </w:tc>
      </w:tr>
      <w:tr>
        <w:trPr>
          <w:trHeight w:val="397"/>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Online check-in will be available beginning at 8:30 a.m. (Eastern Time). Please allow ample</w:t>
            </w:r>
          </w:p>
        </w:tc>
      </w:tr>
      <w:tr>
        <w:trPr>
          <w:trHeight w:val="211"/>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time for the online check-in process.</w:t>
            </w:r>
          </w:p>
        </w:tc>
      </w:tr>
      <w:tr>
        <w:trPr>
          <w:trHeight w:val="275"/>
        </w:trPr>
        <w:tc>
          <w:tcPr>
            <w:tcW w:w="2040" w:type="dxa"/>
            <w:vAlign w:val="bottom"/>
          </w:tcPr>
          <w:p>
            <w:pPr>
              <w:spacing w:after="0"/>
              <w:rPr>
                <w:sz w:val="20"/>
                <w:szCs w:val="20"/>
                <w:color w:val="auto"/>
              </w:rPr>
            </w:pPr>
            <w:r>
              <w:rPr>
                <w:rFonts w:ascii="Verdana" w:cs="Verdana" w:eastAsia="Verdana" w:hAnsi="Verdana"/>
                <w:sz w:val="16"/>
                <w:szCs w:val="16"/>
                <w:b w:val="1"/>
                <w:bCs w:val="1"/>
                <w:i w:val="1"/>
                <w:iCs w:val="1"/>
                <w:color w:val="auto"/>
              </w:rPr>
              <w:t>Place:</w:t>
            </w:r>
          </w:p>
        </w:tc>
        <w:tc>
          <w:tcPr>
            <w:tcW w:w="460" w:type="dxa"/>
            <w:vAlign w:val="bottom"/>
          </w:tcPr>
          <w:p>
            <w:pPr>
              <w:spacing w:after="0"/>
              <w:rPr>
                <w:sz w:val="23"/>
                <w:szCs w:val="23"/>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The Annual Meeting will be held through a virtual web conference at</w:t>
            </w:r>
          </w:p>
        </w:tc>
      </w:tr>
      <w:tr>
        <w:trPr>
          <w:trHeight w:val="176"/>
        </w:trPr>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720" w:type="dxa"/>
            <w:vAlign w:val="bottom"/>
            <w:gridSpan w:val="3"/>
          </w:tcPr>
          <w:p>
            <w:pPr>
              <w:spacing w:after="0" w:line="176" w:lineRule="exact"/>
              <w:rPr>
                <w:sz w:val="20"/>
                <w:szCs w:val="20"/>
                <w:color w:val="auto"/>
              </w:rPr>
            </w:pPr>
            <w:r>
              <w:rPr>
                <w:rFonts w:ascii="Arial" w:cs="Arial" w:eastAsia="Arial" w:hAnsi="Arial"/>
                <w:sz w:val="16"/>
                <w:szCs w:val="16"/>
                <w:color w:val="auto"/>
              </w:rPr>
              <w:t>www.virtualshareholdermeeting.com/LEA2025. To participate in the Annual Meeting, you will</w:t>
            </w:r>
          </w:p>
        </w:tc>
      </w:tr>
      <w:tr>
        <w:trPr>
          <w:trHeight w:val="20"/>
        </w:trPr>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5"/>
        </w:trPr>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need your 16-digit control number included in your Notice of Internet Availability of the Proxy</w:t>
            </w:r>
          </w:p>
        </w:tc>
      </w:tr>
      <w:tr>
        <w:trPr>
          <w:trHeight w:val="189"/>
        </w:trPr>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Materials, on your proxy card, or in any additional voting instructions accompanying these</w:t>
            </w:r>
          </w:p>
        </w:tc>
      </w:tr>
      <w:tr>
        <w:trPr>
          <w:trHeight w:val="211"/>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Proxy Materials.</w:t>
            </w:r>
          </w:p>
        </w:tc>
      </w:tr>
      <w:tr>
        <w:trPr>
          <w:trHeight w:val="310"/>
        </w:trPr>
        <w:tc>
          <w:tcPr>
            <w:tcW w:w="2040" w:type="dxa"/>
            <w:vAlign w:val="bottom"/>
          </w:tcPr>
          <w:p>
            <w:pPr>
              <w:spacing w:after="0"/>
              <w:rPr>
                <w:sz w:val="20"/>
                <w:szCs w:val="20"/>
                <w:color w:val="auto"/>
              </w:rPr>
            </w:pPr>
            <w:r>
              <w:rPr>
                <w:rFonts w:ascii="Verdana" w:cs="Verdana" w:eastAsia="Verdana" w:hAnsi="Verdana"/>
                <w:sz w:val="16"/>
                <w:szCs w:val="16"/>
                <w:b w:val="1"/>
                <w:bCs w:val="1"/>
                <w:i w:val="1"/>
                <w:iCs w:val="1"/>
                <w:color w:val="auto"/>
              </w:rPr>
              <w:t>Record Date:</w:t>
            </w:r>
          </w:p>
        </w:tc>
        <w:tc>
          <w:tcPr>
            <w:tcW w:w="46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March 18, 2025</w:t>
            </w:r>
          </w:p>
        </w:tc>
      </w:tr>
      <w:tr>
        <w:trPr>
          <w:trHeight w:val="275"/>
        </w:trPr>
        <w:tc>
          <w:tcPr>
            <w:tcW w:w="2040" w:type="dxa"/>
            <w:vAlign w:val="bottom"/>
          </w:tcPr>
          <w:p>
            <w:pPr>
              <w:spacing w:after="0"/>
              <w:rPr>
                <w:sz w:val="20"/>
                <w:szCs w:val="20"/>
                <w:color w:val="auto"/>
              </w:rPr>
            </w:pPr>
            <w:r>
              <w:rPr>
                <w:rFonts w:ascii="Verdana" w:cs="Verdana" w:eastAsia="Verdana" w:hAnsi="Verdana"/>
                <w:sz w:val="16"/>
                <w:szCs w:val="16"/>
                <w:b w:val="1"/>
                <w:bCs w:val="1"/>
                <w:i w:val="1"/>
                <w:iCs w:val="1"/>
                <w:color w:val="auto"/>
              </w:rPr>
              <w:t>Items of Business:</w:t>
            </w:r>
          </w:p>
        </w:tc>
        <w:tc>
          <w:tcPr>
            <w:tcW w:w="46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8"/>
              </w:rPr>
              <w:t>1. </w:t>
            </w: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 To elect the following eleven nominees to the Board of Directors (the “Board”): Julian G.</w:t>
            </w:r>
          </w:p>
        </w:tc>
      </w:tr>
      <w:tr>
        <w:trPr>
          <w:trHeight w:val="203"/>
        </w:trPr>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Blissett, Jonathan F. Foster, Bradley M. Halverson, Mary Lou Jepsen, Roger A. Krone, Rod</w:t>
            </w:r>
          </w:p>
        </w:tc>
      </w:tr>
      <w:tr>
        <w:trPr>
          <w:trHeight w:val="189"/>
        </w:trPr>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A. Lache, Patricia L. Lewis, Kathleen A. Ligocki, Conrad L. Mallett, Jr., Raymond E. Scott</w:t>
            </w:r>
          </w:p>
        </w:tc>
      </w:tr>
      <w:tr>
        <w:trPr>
          <w:trHeight w:val="189"/>
        </w:trPr>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and Greg C. Smith;</w:t>
            </w:r>
          </w:p>
        </w:tc>
      </w:tr>
      <w:tr>
        <w:trPr>
          <w:trHeight w:val="203"/>
        </w:trPr>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8"/>
              </w:rPr>
              <w:t>2. </w:t>
            </w: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 To ratify the retention of Ernst &amp; Young LLP as the Company’s registered public accounting</w:t>
            </w:r>
          </w:p>
        </w:tc>
      </w:tr>
      <w:tr>
        <w:trPr>
          <w:trHeight w:val="189"/>
        </w:trPr>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firm for 2025;</w:t>
            </w:r>
          </w:p>
        </w:tc>
      </w:tr>
      <w:tr>
        <w:trPr>
          <w:trHeight w:val="203"/>
        </w:trPr>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8"/>
              </w:rPr>
              <w:t>3. </w:t>
            </w: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 To approve, in a non-binding advisory vote, the Company’s executive compensation; and</w:t>
            </w:r>
          </w:p>
        </w:tc>
      </w:tr>
      <w:tr>
        <w:trPr>
          <w:trHeight w:val="189"/>
        </w:trPr>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color w:val="auto"/>
                <w:w w:val="88"/>
              </w:rPr>
              <w:t>4. </w:t>
            </w: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To conduct any other business properly brought before the Annual Meeting or any</w:t>
            </w:r>
          </w:p>
        </w:tc>
      </w:tr>
      <w:tr>
        <w:trPr>
          <w:trHeight w:val="211"/>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40" w:type="dxa"/>
            <w:vAlign w:val="bottom"/>
            <w:gridSpan w:val="2"/>
          </w:tcPr>
          <w:p>
            <w:pPr>
              <w:ind w:left="40"/>
              <w:spacing w:after="0"/>
              <w:rPr>
                <w:sz w:val="20"/>
                <w:szCs w:val="20"/>
                <w:color w:val="auto"/>
              </w:rPr>
            </w:pPr>
            <w:r>
              <w:rPr>
                <w:rFonts w:ascii="Arial" w:cs="Arial" w:eastAsia="Arial" w:hAnsi="Arial"/>
                <w:sz w:val="16"/>
                <w:szCs w:val="16"/>
                <w:color w:val="auto"/>
              </w:rPr>
              <w:t>postponement thereof.</w:t>
            </w:r>
          </w:p>
        </w:tc>
      </w:tr>
      <w:tr>
        <w:trPr>
          <w:trHeight w:val="302"/>
        </w:trPr>
        <w:tc>
          <w:tcPr>
            <w:tcW w:w="2040" w:type="dxa"/>
            <w:vAlign w:val="bottom"/>
          </w:tcPr>
          <w:p>
            <w:pPr>
              <w:spacing w:after="0"/>
              <w:rPr>
                <w:sz w:val="20"/>
                <w:szCs w:val="20"/>
                <w:color w:val="auto"/>
              </w:rPr>
            </w:pPr>
            <w:r>
              <w:rPr>
                <w:rFonts w:ascii="Verdana" w:cs="Verdana" w:eastAsia="Verdana" w:hAnsi="Verdana"/>
                <w:sz w:val="16"/>
                <w:szCs w:val="16"/>
                <w:b w:val="1"/>
                <w:bCs w:val="1"/>
                <w:i w:val="1"/>
                <w:iCs w:val="1"/>
                <w:color w:val="auto"/>
              </w:rPr>
              <w:t>Proxy Voting:</w:t>
            </w:r>
          </w:p>
        </w:tc>
        <w:tc>
          <w:tcPr>
            <w:tcW w:w="46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YOUR VOTE IS IMPORTANT. WHETHER OR NOT YOU PLAN TO ATTEND THE ANNUAL MEETING,</w:t>
            </w:r>
          </w:p>
        </w:tc>
      </w:tr>
      <w:tr>
        <w:trPr>
          <w:trHeight w:val="203"/>
        </w:trPr>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PLEASE VOTE YOUR SHARES OVER THE TELEPHONE, VIA THE INTERNET OR BY COMPLETING,</w:t>
            </w:r>
          </w:p>
        </w:tc>
      </w:tr>
    </w:tbl>
    <w:p>
      <w:pPr>
        <w:ind w:left="2500" w:right="880"/>
        <w:spacing w:after="0" w:line="281" w:lineRule="auto"/>
        <w:rPr>
          <w:sz w:val="20"/>
          <w:szCs w:val="20"/>
          <w:color w:val="auto"/>
        </w:rPr>
      </w:pPr>
      <w:r>
        <w:rPr>
          <w:rFonts w:ascii="Arial" w:cs="Arial" w:eastAsia="Arial" w:hAnsi="Arial"/>
          <w:sz w:val="16"/>
          <w:szCs w:val="16"/>
          <w:color w:val="auto"/>
        </w:rPr>
        <w:t>DATING, SIGNING AND RETURNING A PROXY CARD, AS DESCRIBED IN THE PROXY STATEMENT. YOUR PROMPT COOPERATION IS GREATLY APPRECIATED.</w:t>
      </w:r>
    </w:p>
    <w:p>
      <w:pPr>
        <w:spacing w:after="0" w:line="123"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114935</wp:posOffset>
            </wp:positionV>
            <wp:extent cx="172275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27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Amanda J. Pontes</w:t>
      </w:r>
    </w:p>
    <w:p>
      <w:pPr>
        <w:spacing w:after="0" w:line="59" w:lineRule="exact"/>
        <w:rPr>
          <w:sz w:val="20"/>
          <w:szCs w:val="20"/>
          <w:color w:val="auto"/>
        </w:rPr>
      </w:pPr>
    </w:p>
    <w:p>
      <w:pPr>
        <w:ind w:left="4780"/>
        <w:spacing w:after="0"/>
        <w:rPr>
          <w:sz w:val="20"/>
          <w:szCs w:val="20"/>
          <w:color w:val="auto"/>
        </w:rPr>
      </w:pPr>
      <w:r>
        <w:rPr>
          <w:rFonts w:ascii="Verdana" w:cs="Verdana" w:eastAsia="Verdana" w:hAnsi="Verdana"/>
          <w:sz w:val="16"/>
          <w:szCs w:val="16"/>
          <w:i w:val="1"/>
          <w:iCs w:val="1"/>
          <w:color w:val="auto"/>
        </w:rPr>
        <w:t>Vice President, General Counsel</w:t>
      </w:r>
    </w:p>
    <w:p>
      <w:pPr>
        <w:spacing w:after="0" w:line="3" w:lineRule="exact"/>
        <w:rPr>
          <w:sz w:val="20"/>
          <w:szCs w:val="20"/>
          <w:color w:val="auto"/>
        </w:rPr>
      </w:pPr>
    </w:p>
    <w:p>
      <w:pPr>
        <w:ind w:left="4780"/>
        <w:spacing w:after="0"/>
        <w:rPr>
          <w:sz w:val="20"/>
          <w:szCs w:val="20"/>
          <w:color w:val="auto"/>
        </w:rPr>
      </w:pPr>
      <w:r>
        <w:rPr>
          <w:rFonts w:ascii="Verdana" w:cs="Verdana" w:eastAsia="Verdana" w:hAnsi="Verdana"/>
          <w:sz w:val="16"/>
          <w:szCs w:val="16"/>
          <w:i w:val="1"/>
          <w:iCs w:val="1"/>
          <w:color w:val="auto"/>
        </w:rPr>
        <w:t>and Corporate Secretary</w:t>
      </w:r>
    </w:p>
    <w:p>
      <w:pPr>
        <w:ind w:left="4780"/>
        <w:spacing w:after="0"/>
        <w:rPr>
          <w:sz w:val="20"/>
          <w:szCs w:val="20"/>
          <w:color w:val="auto"/>
        </w:rPr>
      </w:pPr>
      <w:r>
        <w:rPr>
          <w:rFonts w:ascii="Verdana" w:cs="Verdana" w:eastAsia="Verdana" w:hAnsi="Verdana"/>
          <w:sz w:val="16"/>
          <w:szCs w:val="16"/>
          <w:b w:val="1"/>
          <w:bCs w:val="1"/>
          <w:color w:val="auto"/>
        </w:rPr>
        <w:t>April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254000</wp:posOffset>
            </wp:positionV>
            <wp:extent cx="6540500" cy="1054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00" cy="1054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Verdana" w:cs="Verdana" w:eastAsia="Verdana" w:hAnsi="Verdana"/>
          <w:sz w:val="16"/>
          <w:szCs w:val="16"/>
          <w:b w:val="1"/>
          <w:bCs w:val="1"/>
          <w:color w:val="auto"/>
        </w:rPr>
        <w:t>Notice of Internet Availability of Proxy Materials</w:t>
      </w:r>
    </w:p>
    <w:p>
      <w:pPr>
        <w:spacing w:after="0" w:line="157" w:lineRule="exact"/>
        <w:rPr>
          <w:sz w:val="20"/>
          <w:szCs w:val="20"/>
          <w:color w:val="auto"/>
        </w:rPr>
      </w:pPr>
    </w:p>
    <w:p>
      <w:pPr>
        <w:ind w:left="100" w:right="160"/>
        <w:spacing w:after="0" w:line="252" w:lineRule="auto"/>
        <w:rPr>
          <w:sz w:val="20"/>
          <w:szCs w:val="20"/>
          <w:color w:val="auto"/>
        </w:rPr>
      </w:pPr>
      <w:r>
        <w:rPr>
          <w:rFonts w:ascii="Arial" w:cs="Arial" w:eastAsia="Arial" w:hAnsi="Arial"/>
          <w:sz w:val="16"/>
          <w:szCs w:val="16"/>
          <w:color w:val="auto"/>
        </w:rPr>
        <w:t>We are making the accompanying proxy statement and our annual report on Form 10-K available to shareholders electronically via the Internet. On or about April 3, 2025, we will mail to most of our shareholders a notice containing instructions on how to access this proxy statement and our annual report on Form 10-K and to vote via the Internet or by</w:t>
      </w:r>
    </w:p>
    <w:p>
      <w:pPr>
        <w:spacing w:after="0" w:line="1" w:lineRule="exact"/>
        <w:rPr>
          <w:sz w:val="20"/>
          <w:szCs w:val="20"/>
          <w:color w:val="auto"/>
        </w:rPr>
      </w:pPr>
    </w:p>
    <w:p>
      <w:pPr>
        <w:jc w:val="both"/>
        <w:ind w:left="100" w:right="40"/>
        <w:spacing w:after="0" w:line="272" w:lineRule="auto"/>
        <w:rPr>
          <w:sz w:val="20"/>
          <w:szCs w:val="20"/>
          <w:color w:val="auto"/>
        </w:rPr>
      </w:pPr>
      <w:r>
        <w:rPr>
          <w:rFonts w:ascii="Arial" w:cs="Arial" w:eastAsia="Arial" w:hAnsi="Arial"/>
          <w:sz w:val="16"/>
          <w:szCs w:val="16"/>
          <w:color w:val="auto"/>
        </w:rPr>
        <w:t>telephone. Other shareholders, in accordance with their prior requests, will receive e-mail notification of how to access our proxy materials and vote via the Internet or by telephone or will be mailed paper copies of our proxy materials and a proxy card on or about April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1231900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00" w:top="1440" w:right="379" w:bottom="1440" w:gutter="0" w:footer="0" w:header="0"/>
        </w:sectPr>
      </w:pPr>
    </w:p>
    <w:bookmarkStart w:id="4" w:name="page5"/>
    <w:bookmarkEnd w:id="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Verdana" w:cs="Verdana" w:eastAsia="Verdana" w:hAnsi="Verdana"/>
          <w:sz w:val="32"/>
          <w:szCs w:val="32"/>
          <w:b w:val="1"/>
          <w:bCs w:val="1"/>
          <w:color w:val="EE312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2025 PROXY STATEMENT SUMMARY</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rPr>
              <w:t>1</w:t>
            </w:r>
          </w:p>
        </w:tc>
      </w:tr>
      <w:tr>
        <w:trPr>
          <w:trHeight w:val="238"/>
        </w:trPr>
        <w:tc>
          <w:tcPr>
            <w:tcW w:w="3260" w:type="dxa"/>
            <w:vAlign w:val="bottom"/>
            <w:tcBorders>
              <w:top w:val="single" w:sz="8" w:color="1D428A"/>
            </w:tcBorders>
            <w:gridSpan w:val="6"/>
          </w:tcPr>
          <w:p>
            <w:pPr>
              <w:ind w:left="220"/>
              <w:spacing w:after="0"/>
              <w:rPr>
                <w:sz w:val="20"/>
                <w:szCs w:val="20"/>
                <w:color w:val="auto"/>
              </w:rPr>
            </w:pPr>
            <w:r>
              <w:rPr>
                <w:rFonts w:ascii="Verdana" w:cs="Verdana" w:eastAsia="Verdana" w:hAnsi="Verdana"/>
                <w:sz w:val="14"/>
                <w:szCs w:val="14"/>
                <w:color w:val="auto"/>
              </w:rPr>
              <w:t>Annual Meeting of Shareholders</w:t>
            </w:r>
          </w:p>
        </w:tc>
        <w:tc>
          <w:tcPr>
            <w:tcW w:w="7720" w:type="dxa"/>
            <w:vAlign w:val="bottom"/>
            <w:gridSpan w:val="13"/>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1D428A"/>
            </w:tcBorders>
          </w:tcPr>
          <w:p>
            <w:pPr>
              <w:jc w:val="right"/>
              <w:spacing w:after="0"/>
              <w:rPr>
                <w:sz w:val="20"/>
                <w:szCs w:val="20"/>
                <w:color w:val="auto"/>
              </w:rPr>
            </w:pPr>
            <w:r>
              <w:rPr>
                <w:rFonts w:ascii="Verdana" w:cs="Verdana" w:eastAsia="Verdana" w:hAnsi="Verdana"/>
                <w:sz w:val="14"/>
                <w:szCs w:val="14"/>
                <w:color w:val="auto"/>
              </w:rPr>
              <w:t>1</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Proxy Voting Roadmap</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1</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Lear at a Glance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2024 Financial Performance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2024 Compensation Highlights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4</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Corporate Governance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6</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2025 Annual Meeting of Shareholders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7</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Items to be Voted 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8</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Director Nominees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8</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Sustainability Highlights for 2024</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9</w:t>
            </w:r>
          </w:p>
        </w:tc>
      </w:tr>
      <w:tr>
        <w:trPr>
          <w:trHeight w:val="214"/>
        </w:trPr>
        <w:tc>
          <w:tcPr>
            <w:tcW w:w="4120" w:type="dxa"/>
            <w:vAlign w:val="bottom"/>
            <w:tcBorders>
              <w:bottom w:val="single" w:sz="8" w:color="1D428A"/>
            </w:tcBorders>
            <w:gridSpan w:val="10"/>
          </w:tcPr>
          <w:p>
            <w:pPr>
              <w:spacing w:after="0"/>
              <w:rPr>
                <w:sz w:val="20"/>
                <w:szCs w:val="20"/>
                <w:color w:val="auto"/>
              </w:rPr>
            </w:pPr>
            <w:r>
              <w:rPr>
                <w:rFonts w:ascii="Verdana" w:cs="Verdana" w:eastAsia="Verdana" w:hAnsi="Verdana"/>
                <w:sz w:val="16"/>
                <w:szCs w:val="16"/>
                <w:b w:val="1"/>
                <w:bCs w:val="1"/>
                <w:color w:val="1D428A"/>
              </w:rPr>
              <w:t>ELECTION OF DIRECTORS (PROPOSAL NO. 1)</w:t>
            </w:r>
          </w:p>
        </w:tc>
        <w:tc>
          <w:tcPr>
            <w:tcW w:w="6860" w:type="dxa"/>
            <w:vAlign w:val="bottom"/>
            <w:gridSpan w:val="9"/>
          </w:tcPr>
          <w:p>
            <w:pPr>
              <w:spacing w:after="0"/>
              <w:rPr>
                <w:sz w:val="18"/>
                <w:szCs w:val="18"/>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10</w:t>
            </w:r>
          </w:p>
        </w:tc>
      </w:tr>
      <w:tr>
        <w:trPr>
          <w:trHeight w:val="223"/>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DIRECTORS AND CORPORATE GOVERNANCE</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11</w:t>
            </w:r>
          </w:p>
        </w:tc>
      </w:tr>
      <w:tr>
        <w:trPr>
          <w:trHeight w:val="238"/>
        </w:trPr>
        <w:tc>
          <w:tcPr>
            <w:tcW w:w="4000" w:type="dxa"/>
            <w:vAlign w:val="bottom"/>
            <w:tcBorders>
              <w:top w:val="single" w:sz="8" w:color="1D428A"/>
            </w:tcBorders>
            <w:gridSpan w:val="9"/>
          </w:tcPr>
          <w:p>
            <w:pPr>
              <w:ind w:left="220"/>
              <w:spacing w:after="0"/>
              <w:rPr>
                <w:sz w:val="20"/>
                <w:szCs w:val="20"/>
                <w:color w:val="auto"/>
              </w:rPr>
            </w:pPr>
            <w:r>
              <w:rPr>
                <w:rFonts w:ascii="Verdana" w:cs="Verdana" w:eastAsia="Verdana" w:hAnsi="Verdana"/>
                <w:sz w:val="14"/>
                <w:szCs w:val="14"/>
                <w:color w:val="auto"/>
              </w:rPr>
              <w:t>Director Biographical Information and Qualifications</w:t>
            </w:r>
          </w:p>
        </w:tc>
        <w:tc>
          <w:tcPr>
            <w:tcW w:w="6980" w:type="dxa"/>
            <w:vAlign w:val="bottom"/>
            <w:gridSpan w:val="10"/>
          </w:tcPr>
          <w:p>
            <w:pPr>
              <w:spacing w:after="0"/>
              <w:rPr>
                <w:sz w:val="20"/>
                <w:szCs w:val="20"/>
                <w:color w:val="auto"/>
              </w:rPr>
            </w:pPr>
          </w:p>
        </w:tc>
        <w:tc>
          <w:tcPr>
            <w:tcW w:w="220" w:type="dxa"/>
            <w:vAlign w:val="bottom"/>
            <w:tcBorders>
              <w:top w:val="single" w:sz="8" w:color="1D428A"/>
            </w:tcBorders>
            <w:gridSpan w:val="2"/>
          </w:tcPr>
          <w:p>
            <w:pPr>
              <w:jc w:val="right"/>
              <w:spacing w:after="0"/>
              <w:rPr>
                <w:sz w:val="20"/>
                <w:szCs w:val="20"/>
                <w:color w:val="auto"/>
              </w:rPr>
            </w:pPr>
            <w:r>
              <w:rPr>
                <w:rFonts w:ascii="Verdana" w:cs="Verdana" w:eastAsia="Verdana" w:hAnsi="Verdana"/>
                <w:sz w:val="14"/>
                <w:szCs w:val="14"/>
                <w:color w:val="auto"/>
              </w:rPr>
              <w:t>11</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Criteria for Selection of Directors and Director Recruitment Process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17</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Board Composition and Tenure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19</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Recommendation of Directors by Shareholders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20</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Independence of Directors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20</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Board’s Role in Risk Oversight</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21</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Sustainability</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22</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Other Board Information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26</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Director Compensation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29</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Security Ownership of Certain Beneficial Owners, Directors and Management</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31</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Delinquent Section 16(a) Reports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32</w:t>
            </w:r>
          </w:p>
        </w:tc>
      </w:tr>
      <w:tr>
        <w:trPr>
          <w:trHeight w:val="215"/>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COMPENSATION DISCUSSION AND ANALYSIS ("CD&amp;A")</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33</w:t>
            </w:r>
          </w:p>
        </w:tc>
      </w:tr>
      <w:tr>
        <w:trPr>
          <w:trHeight w:val="238"/>
        </w:trPr>
        <w:tc>
          <w:tcPr>
            <w:tcW w:w="5100" w:type="dxa"/>
            <w:vAlign w:val="bottom"/>
            <w:tcBorders>
              <w:top w:val="single" w:sz="8" w:color="1D428A"/>
            </w:tcBorders>
            <w:gridSpan w:val="11"/>
          </w:tcPr>
          <w:p>
            <w:pPr>
              <w:ind w:left="220"/>
              <w:spacing w:after="0"/>
              <w:rPr>
                <w:sz w:val="20"/>
                <w:szCs w:val="20"/>
                <w:color w:val="auto"/>
              </w:rPr>
            </w:pPr>
            <w:r>
              <w:rPr>
                <w:rFonts w:ascii="Verdana" w:cs="Verdana" w:eastAsia="Verdana" w:hAnsi="Verdana"/>
                <w:sz w:val="14"/>
                <w:szCs w:val="14"/>
                <w:color w:val="auto"/>
              </w:rPr>
              <w:t>CD&amp;A Executive Summary</w:t>
            </w:r>
          </w:p>
        </w:tc>
        <w:tc>
          <w:tcPr>
            <w:tcW w:w="5880" w:type="dxa"/>
            <w:vAlign w:val="bottom"/>
            <w:gridSpan w:val="8"/>
          </w:tcPr>
          <w:p>
            <w:pPr>
              <w:spacing w:after="0"/>
              <w:rPr>
                <w:sz w:val="20"/>
                <w:szCs w:val="20"/>
                <w:color w:val="auto"/>
              </w:rPr>
            </w:pPr>
          </w:p>
        </w:tc>
        <w:tc>
          <w:tcPr>
            <w:tcW w:w="220" w:type="dxa"/>
            <w:vAlign w:val="bottom"/>
            <w:tcBorders>
              <w:top w:val="single" w:sz="8" w:color="1D428A"/>
            </w:tcBorders>
            <w:gridSpan w:val="2"/>
          </w:tcPr>
          <w:p>
            <w:pPr>
              <w:jc w:val="right"/>
              <w:spacing w:after="0"/>
              <w:rPr>
                <w:sz w:val="20"/>
                <w:szCs w:val="20"/>
                <w:color w:val="auto"/>
              </w:rPr>
            </w:pPr>
            <w:r>
              <w:rPr>
                <w:rFonts w:ascii="Verdana" w:cs="Verdana" w:eastAsia="Verdana" w:hAnsi="Verdana"/>
                <w:sz w:val="14"/>
                <w:szCs w:val="14"/>
                <w:color w:val="auto"/>
              </w:rPr>
              <w:t>34</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Summary of NEO Pay Results for 2024</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36</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Decision-Making Framework</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36</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What We Pay and Why: Elements of Executive Compensation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41</w:t>
            </w:r>
          </w:p>
        </w:tc>
      </w:tr>
      <w:tr>
        <w:trPr>
          <w:trHeight w:val="229"/>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2024 Performance Results and Compensation Decisions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44</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Other Pay Elements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51</w:t>
            </w:r>
          </w:p>
        </w:tc>
      </w:tr>
      <w:tr>
        <w:trPr>
          <w:trHeight w:val="230"/>
        </w:trPr>
        <w:tc>
          <w:tcPr>
            <w:tcW w:w="10980" w:type="dxa"/>
            <w:vAlign w:val="bottom"/>
            <w:gridSpan w:val="19"/>
          </w:tcPr>
          <w:p>
            <w:pPr>
              <w:ind w:left="220"/>
              <w:spacing w:after="0"/>
              <w:rPr>
                <w:sz w:val="20"/>
                <w:szCs w:val="20"/>
                <w:color w:val="auto"/>
              </w:rPr>
            </w:pPr>
            <w:r>
              <w:rPr>
                <w:rFonts w:ascii="Verdana" w:cs="Verdana" w:eastAsia="Verdana" w:hAnsi="Verdana"/>
                <w:sz w:val="14"/>
                <w:szCs w:val="14"/>
                <w:color w:val="auto"/>
              </w:rPr>
              <w:t>Governance Policies and Practices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52</w:t>
            </w:r>
          </w:p>
        </w:tc>
      </w:tr>
      <w:tr>
        <w:trPr>
          <w:trHeight w:val="214"/>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EXECUTIVE COMPENSATION TABLES</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56</w:t>
            </w:r>
          </w:p>
        </w:tc>
      </w:tr>
      <w:tr>
        <w:trPr>
          <w:trHeight w:val="20"/>
        </w:trPr>
        <w:tc>
          <w:tcPr>
            <w:tcW w:w="1540" w:type="dxa"/>
            <w:vAlign w:val="bottom"/>
            <w:shd w:val="clear" w:color="auto" w:fill="1D428A"/>
          </w:tcPr>
          <w:p>
            <w:pPr>
              <w:spacing w:after="0" w:line="20" w:lineRule="exact"/>
              <w:rPr>
                <w:sz w:val="1"/>
                <w:szCs w:val="1"/>
                <w:color w:val="auto"/>
              </w:rPr>
            </w:pPr>
          </w:p>
        </w:tc>
        <w:tc>
          <w:tcPr>
            <w:tcW w:w="180" w:type="dxa"/>
            <w:vAlign w:val="bottom"/>
            <w:shd w:val="clear" w:color="auto" w:fill="1D428A"/>
          </w:tcPr>
          <w:p>
            <w:pPr>
              <w:spacing w:after="0" w:line="20" w:lineRule="exact"/>
              <w:rPr>
                <w:sz w:val="1"/>
                <w:szCs w:val="1"/>
                <w:color w:val="auto"/>
              </w:rPr>
            </w:pPr>
          </w:p>
        </w:tc>
        <w:tc>
          <w:tcPr>
            <w:tcW w:w="600" w:type="dxa"/>
            <w:vAlign w:val="bottom"/>
            <w:shd w:val="clear" w:color="auto" w:fill="1D428A"/>
          </w:tcPr>
          <w:p>
            <w:pPr>
              <w:spacing w:after="0" w:line="20" w:lineRule="exact"/>
              <w:rPr>
                <w:sz w:val="1"/>
                <w:szCs w:val="1"/>
                <w:color w:val="auto"/>
              </w:rPr>
            </w:pPr>
          </w:p>
        </w:tc>
        <w:tc>
          <w:tcPr>
            <w:tcW w:w="220" w:type="dxa"/>
            <w:vAlign w:val="bottom"/>
            <w:shd w:val="clear" w:color="auto" w:fill="1D428A"/>
          </w:tcPr>
          <w:p>
            <w:pPr>
              <w:spacing w:after="0" w:line="20" w:lineRule="exact"/>
              <w:rPr>
                <w:sz w:val="1"/>
                <w:szCs w:val="1"/>
                <w:color w:val="auto"/>
              </w:rPr>
            </w:pPr>
          </w:p>
        </w:tc>
        <w:tc>
          <w:tcPr>
            <w:tcW w:w="320" w:type="dxa"/>
            <w:vAlign w:val="bottom"/>
            <w:shd w:val="clear" w:color="auto" w:fill="1D428A"/>
          </w:tcPr>
          <w:p>
            <w:pPr>
              <w:spacing w:after="0" w:line="20" w:lineRule="exact"/>
              <w:rPr>
                <w:sz w:val="1"/>
                <w:szCs w:val="1"/>
                <w:color w:val="auto"/>
              </w:rPr>
            </w:pPr>
          </w:p>
        </w:tc>
        <w:tc>
          <w:tcPr>
            <w:tcW w:w="460" w:type="dxa"/>
            <w:vAlign w:val="bottom"/>
            <w:gridSpan w:val="2"/>
            <w:shd w:val="clear" w:color="auto" w:fill="1D428A"/>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gridSpan w:val="2"/>
            <w:shd w:val="clear" w:color="auto" w:fill="1D428A"/>
          </w:tcPr>
          <w:p>
            <w:pPr>
              <w:spacing w:after="0" w:line="20" w:lineRule="exact"/>
              <w:rPr>
                <w:sz w:val="1"/>
                <w:szCs w:val="1"/>
                <w:color w:val="auto"/>
              </w:rPr>
            </w:pPr>
          </w:p>
        </w:tc>
      </w:tr>
      <w:tr>
        <w:trPr>
          <w:trHeight w:val="223"/>
        </w:trPr>
        <w:tc>
          <w:tcPr>
            <w:tcW w:w="5620" w:type="dxa"/>
            <w:vAlign w:val="bottom"/>
            <w:tcBorders>
              <w:bottom w:val="single" w:sz="8" w:color="1D428A"/>
            </w:tcBorders>
            <w:gridSpan w:val="13"/>
          </w:tcPr>
          <w:p>
            <w:pPr>
              <w:spacing w:after="0"/>
              <w:rPr>
                <w:sz w:val="20"/>
                <w:szCs w:val="20"/>
                <w:color w:val="auto"/>
              </w:rPr>
            </w:pPr>
            <w:r>
              <w:rPr>
                <w:rFonts w:ascii="Verdana" w:cs="Verdana" w:eastAsia="Verdana" w:hAnsi="Verdana"/>
                <w:sz w:val="16"/>
                <w:szCs w:val="16"/>
                <w:b w:val="1"/>
                <w:bCs w:val="1"/>
                <w:color w:val="1D428A"/>
              </w:rPr>
              <w:t>P&amp;C COMMITTEE INTERLOCKS AND INSIDER PARTICIPATION</w:t>
            </w:r>
          </w:p>
        </w:tc>
        <w:tc>
          <w:tcPr>
            <w:tcW w:w="5360" w:type="dxa"/>
            <w:vAlign w:val="bottom"/>
            <w:gridSpan w:val="6"/>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76</w:t>
            </w:r>
          </w:p>
        </w:tc>
      </w:tr>
      <w:tr>
        <w:trPr>
          <w:trHeight w:val="223"/>
        </w:trPr>
        <w:tc>
          <w:tcPr>
            <w:tcW w:w="2320" w:type="dxa"/>
            <w:vAlign w:val="bottom"/>
            <w:tcBorders>
              <w:bottom w:val="single" w:sz="8" w:color="1D428A"/>
            </w:tcBorders>
            <w:gridSpan w:val="3"/>
          </w:tcPr>
          <w:p>
            <w:pPr>
              <w:spacing w:after="0"/>
              <w:rPr>
                <w:sz w:val="20"/>
                <w:szCs w:val="20"/>
                <w:color w:val="auto"/>
              </w:rPr>
            </w:pPr>
            <w:r>
              <w:rPr>
                <w:rFonts w:ascii="Verdana" w:cs="Verdana" w:eastAsia="Verdana" w:hAnsi="Verdana"/>
                <w:sz w:val="16"/>
                <w:szCs w:val="16"/>
                <w:b w:val="1"/>
                <w:bCs w:val="1"/>
                <w:color w:val="1D428A"/>
              </w:rPr>
              <w:t>P&amp;C COMMITTEE REPORT</w:t>
            </w:r>
          </w:p>
        </w:tc>
        <w:tc>
          <w:tcPr>
            <w:tcW w:w="8660" w:type="dxa"/>
            <w:vAlign w:val="bottom"/>
            <w:gridSpan w:val="16"/>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77</w:t>
            </w:r>
          </w:p>
        </w:tc>
      </w:tr>
      <w:tr>
        <w:trPr>
          <w:trHeight w:val="223"/>
        </w:trPr>
        <w:tc>
          <w:tcPr>
            <w:tcW w:w="2540" w:type="dxa"/>
            <w:vAlign w:val="bottom"/>
            <w:tcBorders>
              <w:bottom w:val="single" w:sz="8" w:color="1D428A"/>
            </w:tcBorders>
            <w:gridSpan w:val="4"/>
          </w:tcPr>
          <w:p>
            <w:pPr>
              <w:spacing w:after="0"/>
              <w:rPr>
                <w:sz w:val="20"/>
                <w:szCs w:val="20"/>
                <w:color w:val="auto"/>
              </w:rPr>
            </w:pPr>
            <w:r>
              <w:rPr>
                <w:rFonts w:ascii="Verdana" w:cs="Verdana" w:eastAsia="Verdana" w:hAnsi="Verdana"/>
                <w:sz w:val="16"/>
                <w:szCs w:val="16"/>
                <w:b w:val="1"/>
                <w:bCs w:val="1"/>
                <w:color w:val="1D428A"/>
              </w:rPr>
              <w:t>AUDIT COMMITTEE REPORT</w:t>
            </w:r>
          </w:p>
        </w:tc>
        <w:tc>
          <w:tcPr>
            <w:tcW w:w="8440" w:type="dxa"/>
            <w:vAlign w:val="bottom"/>
            <w:gridSpan w:val="15"/>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78</w:t>
            </w:r>
          </w:p>
        </w:tc>
      </w:tr>
      <w:tr>
        <w:trPr>
          <w:trHeight w:val="223"/>
        </w:trPr>
        <w:tc>
          <w:tcPr>
            <w:tcW w:w="3560" w:type="dxa"/>
            <w:vAlign w:val="bottom"/>
            <w:tcBorders>
              <w:bottom w:val="single" w:sz="8" w:color="1D428A"/>
            </w:tcBorders>
            <w:gridSpan w:val="8"/>
          </w:tcPr>
          <w:p>
            <w:pPr>
              <w:spacing w:after="0"/>
              <w:rPr>
                <w:sz w:val="20"/>
                <w:szCs w:val="20"/>
                <w:color w:val="auto"/>
              </w:rPr>
            </w:pPr>
            <w:r>
              <w:rPr>
                <w:rFonts w:ascii="Verdana" w:cs="Verdana" w:eastAsia="Verdana" w:hAnsi="Verdana"/>
                <w:sz w:val="16"/>
                <w:szCs w:val="16"/>
                <w:b w:val="1"/>
                <w:bCs w:val="1"/>
                <w:color w:val="1D428A"/>
              </w:rPr>
              <w:t>FEES OF INDEPENDENT ACCOUNTANTS</w:t>
            </w:r>
          </w:p>
        </w:tc>
        <w:tc>
          <w:tcPr>
            <w:tcW w:w="7420" w:type="dxa"/>
            <w:vAlign w:val="bottom"/>
            <w:gridSpan w:val="11"/>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80</w:t>
            </w:r>
          </w:p>
        </w:tc>
      </w:tr>
      <w:tr>
        <w:trPr>
          <w:trHeight w:val="223"/>
        </w:trPr>
        <w:tc>
          <w:tcPr>
            <w:tcW w:w="5880" w:type="dxa"/>
            <w:vAlign w:val="bottom"/>
            <w:tcBorders>
              <w:bottom w:val="single" w:sz="8" w:color="1D428A"/>
            </w:tcBorders>
            <w:gridSpan w:val="14"/>
          </w:tcPr>
          <w:p>
            <w:pPr>
              <w:spacing w:after="0"/>
              <w:rPr>
                <w:sz w:val="20"/>
                <w:szCs w:val="20"/>
                <w:color w:val="auto"/>
              </w:rPr>
            </w:pPr>
            <w:r>
              <w:rPr>
                <w:rFonts w:ascii="Verdana" w:cs="Verdana" w:eastAsia="Verdana" w:hAnsi="Verdana"/>
                <w:sz w:val="16"/>
                <w:szCs w:val="16"/>
                <w:b w:val="1"/>
                <w:bCs w:val="1"/>
                <w:color w:val="1D428A"/>
              </w:rPr>
              <w:t>CERTAIN RELATIONSHIPS AND RELATED PARTY TRANSACTIONS</w:t>
            </w:r>
          </w:p>
        </w:tc>
        <w:tc>
          <w:tcPr>
            <w:tcW w:w="5100" w:type="dxa"/>
            <w:vAlign w:val="bottom"/>
            <w:gridSpan w:val="5"/>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81</w:t>
            </w:r>
          </w:p>
        </w:tc>
      </w:tr>
      <w:tr>
        <w:trPr>
          <w:trHeight w:val="223"/>
        </w:trPr>
        <w:tc>
          <w:tcPr>
            <w:tcW w:w="9200" w:type="dxa"/>
            <w:vAlign w:val="bottom"/>
            <w:tcBorders>
              <w:bottom w:val="single" w:sz="8" w:color="1D428A"/>
            </w:tcBorders>
            <w:gridSpan w:val="17"/>
          </w:tcPr>
          <w:p>
            <w:pPr>
              <w:spacing w:after="0"/>
              <w:rPr>
                <w:sz w:val="20"/>
                <w:szCs w:val="20"/>
                <w:color w:val="auto"/>
              </w:rPr>
            </w:pPr>
            <w:r>
              <w:rPr>
                <w:rFonts w:ascii="Verdana" w:cs="Verdana" w:eastAsia="Verdana" w:hAnsi="Verdana"/>
                <w:sz w:val="16"/>
                <w:szCs w:val="16"/>
                <w:b w:val="1"/>
                <w:bCs w:val="1"/>
                <w:color w:val="1D428A"/>
              </w:rPr>
              <w:t>RATIFICATION OF RETENTION OF INDEPENDENT REGISTERED PUBLIC ACCOUNTING FIRM FOR 2025</w:t>
            </w:r>
          </w:p>
        </w:tc>
        <w:tc>
          <w:tcPr>
            <w:tcW w:w="1780" w:type="dxa"/>
            <w:vAlign w:val="bottom"/>
            <w:gridSpan w:val="2"/>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82</w:t>
            </w:r>
          </w:p>
        </w:tc>
      </w:tr>
      <w:tr>
        <w:trPr>
          <w:trHeight w:val="183"/>
        </w:trPr>
        <w:tc>
          <w:tcPr>
            <w:tcW w:w="10980" w:type="dxa"/>
            <w:vAlign w:val="bottom"/>
            <w:gridSpan w:val="19"/>
          </w:tcPr>
          <w:p>
            <w:pPr>
              <w:spacing w:after="0" w:line="183" w:lineRule="exact"/>
              <w:rPr>
                <w:sz w:val="20"/>
                <w:szCs w:val="20"/>
                <w:color w:val="auto"/>
              </w:rPr>
            </w:pPr>
            <w:r>
              <w:rPr>
                <w:rFonts w:ascii="Verdana" w:cs="Verdana" w:eastAsia="Verdana" w:hAnsi="Verdana"/>
                <w:sz w:val="16"/>
                <w:szCs w:val="16"/>
                <w:b w:val="1"/>
                <w:bCs w:val="1"/>
                <w:color w:val="1D428A"/>
              </w:rPr>
              <w:t>(PROPOSAL NO. 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540" w:type="dxa"/>
            <w:vAlign w:val="bottom"/>
            <w:shd w:val="clear" w:color="auto" w:fill="1D428A"/>
          </w:tcPr>
          <w:p>
            <w:pPr>
              <w:spacing w:after="0" w:line="20" w:lineRule="exact"/>
              <w:rPr>
                <w:sz w:val="1"/>
                <w:szCs w:val="1"/>
                <w:color w:val="auto"/>
              </w:rPr>
            </w:pPr>
          </w:p>
        </w:tc>
        <w:tc>
          <w:tcPr>
            <w:tcW w:w="180" w:type="dxa"/>
            <w:vAlign w:val="bottom"/>
            <w:shd w:val="clear" w:color="auto" w:fill="1D428A"/>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3"/>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ADVISORY VOTE TO APPROVE THE COMPANY’S EXECUTIVE COMPENSATION SET FORTH IN THIS PROXY</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83</w:t>
            </w:r>
          </w:p>
        </w:tc>
      </w:tr>
      <w:tr>
        <w:trPr>
          <w:trHeight w:val="183"/>
        </w:trPr>
        <w:tc>
          <w:tcPr>
            <w:tcW w:w="9440" w:type="dxa"/>
            <w:vAlign w:val="bottom"/>
            <w:tcBorders>
              <w:top w:val="single" w:sz="8" w:color="1D428A"/>
            </w:tcBorders>
            <w:gridSpan w:val="18"/>
          </w:tcPr>
          <w:p>
            <w:pPr>
              <w:spacing w:after="0" w:line="183" w:lineRule="exact"/>
              <w:rPr>
                <w:sz w:val="20"/>
                <w:szCs w:val="20"/>
                <w:color w:val="auto"/>
              </w:rPr>
            </w:pPr>
            <w:r>
              <w:rPr>
                <w:rFonts w:ascii="Verdana" w:cs="Verdana" w:eastAsia="Verdana" w:hAnsi="Verdana"/>
                <w:sz w:val="16"/>
                <w:szCs w:val="16"/>
                <w:b w:val="1"/>
                <w:bCs w:val="1"/>
                <w:color w:val="1D428A"/>
              </w:rPr>
              <w:t>STATEMENT (PROPOSAL NO. 3)</w:t>
            </w:r>
          </w:p>
        </w:tc>
        <w:tc>
          <w:tcPr>
            <w:tcW w:w="1540" w:type="dxa"/>
            <w:vAlign w:val="bottom"/>
          </w:tcPr>
          <w:p>
            <w:pPr>
              <w:spacing w:after="0"/>
              <w:rPr>
                <w:sz w:val="15"/>
                <w:szCs w:val="15"/>
                <w:color w:val="auto"/>
              </w:rPr>
            </w:pPr>
          </w:p>
        </w:tc>
        <w:tc>
          <w:tcPr>
            <w:tcW w:w="100" w:type="dxa"/>
            <w:vAlign w:val="bottom"/>
            <w:tcBorders>
              <w:top w:val="single" w:sz="8" w:color="1D428A"/>
            </w:tcBorders>
          </w:tcPr>
          <w:p>
            <w:pPr>
              <w:spacing w:after="0"/>
              <w:rPr>
                <w:sz w:val="15"/>
                <w:szCs w:val="15"/>
                <w:color w:val="auto"/>
              </w:rPr>
            </w:pPr>
          </w:p>
        </w:tc>
        <w:tc>
          <w:tcPr>
            <w:tcW w:w="120" w:type="dxa"/>
            <w:vAlign w:val="bottom"/>
            <w:tcBorders>
              <w:top w:val="single" w:sz="8" w:color="1D428A"/>
            </w:tcBorders>
          </w:tcPr>
          <w:p>
            <w:pPr>
              <w:spacing w:after="0"/>
              <w:rPr>
                <w:sz w:val="15"/>
                <w:szCs w:val="15"/>
                <w:color w:val="auto"/>
              </w:rPr>
            </w:pPr>
          </w:p>
        </w:tc>
      </w:tr>
      <w:tr>
        <w:trPr>
          <w:trHeight w:val="20"/>
        </w:trPr>
        <w:tc>
          <w:tcPr>
            <w:tcW w:w="1540" w:type="dxa"/>
            <w:vAlign w:val="bottom"/>
            <w:shd w:val="clear" w:color="auto" w:fill="1D428A"/>
          </w:tcPr>
          <w:p>
            <w:pPr>
              <w:spacing w:after="0" w:line="20" w:lineRule="exact"/>
              <w:rPr>
                <w:sz w:val="1"/>
                <w:szCs w:val="1"/>
                <w:color w:val="auto"/>
              </w:rPr>
            </w:pPr>
          </w:p>
        </w:tc>
        <w:tc>
          <w:tcPr>
            <w:tcW w:w="1320" w:type="dxa"/>
            <w:vAlign w:val="bottom"/>
            <w:gridSpan w:val="4"/>
            <w:shd w:val="clear" w:color="auto" w:fill="1D428A"/>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3"/>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QUESTIONS AND ANSWERS ABOUT THE ANNUAL MEETING</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84</w:t>
            </w:r>
          </w:p>
        </w:tc>
      </w:tr>
      <w:tr>
        <w:trPr>
          <w:trHeight w:val="20"/>
        </w:trPr>
        <w:tc>
          <w:tcPr>
            <w:tcW w:w="1540" w:type="dxa"/>
            <w:vAlign w:val="bottom"/>
            <w:shd w:val="clear" w:color="auto" w:fill="1D428A"/>
          </w:tcPr>
          <w:p>
            <w:pPr>
              <w:spacing w:after="0" w:line="20" w:lineRule="exact"/>
              <w:rPr>
                <w:sz w:val="1"/>
                <w:szCs w:val="1"/>
                <w:color w:val="auto"/>
              </w:rPr>
            </w:pPr>
          </w:p>
        </w:tc>
        <w:tc>
          <w:tcPr>
            <w:tcW w:w="3780" w:type="dxa"/>
            <w:vAlign w:val="bottom"/>
            <w:gridSpan w:val="11"/>
            <w:shd w:val="clear" w:color="auto" w:fill="1D428A"/>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20" w:type="dxa"/>
            <w:vAlign w:val="bottom"/>
            <w:gridSpan w:val="2"/>
            <w:shd w:val="clear" w:color="auto" w:fill="1D428A"/>
          </w:tcPr>
          <w:p>
            <w:pPr>
              <w:spacing w:after="0" w:line="20" w:lineRule="exact"/>
              <w:rPr>
                <w:sz w:val="1"/>
                <w:szCs w:val="1"/>
                <w:color w:val="auto"/>
              </w:rPr>
            </w:pPr>
          </w:p>
        </w:tc>
      </w:tr>
      <w:tr>
        <w:trPr>
          <w:trHeight w:val="223"/>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SHAREHOLDER PROPOSALS FOR 2026 ANNUAL MEETING OF SHAREHOLDERS</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88</w:t>
            </w:r>
          </w:p>
        </w:tc>
      </w:tr>
      <w:tr>
        <w:trPr>
          <w:trHeight w:val="223"/>
        </w:trPr>
        <w:tc>
          <w:tcPr>
            <w:tcW w:w="1540" w:type="dxa"/>
            <w:vAlign w:val="bottom"/>
            <w:tcBorders>
              <w:top w:val="single" w:sz="8" w:color="1D428A"/>
              <w:bottom w:val="single" w:sz="8" w:color="1D428A"/>
            </w:tcBorders>
          </w:tcPr>
          <w:p>
            <w:pPr>
              <w:spacing w:after="0"/>
              <w:rPr>
                <w:sz w:val="20"/>
                <w:szCs w:val="20"/>
                <w:color w:val="auto"/>
              </w:rPr>
            </w:pPr>
            <w:r>
              <w:rPr>
                <w:rFonts w:ascii="Verdana" w:cs="Verdana" w:eastAsia="Verdana" w:hAnsi="Verdana"/>
                <w:sz w:val="16"/>
                <w:szCs w:val="16"/>
                <w:b w:val="1"/>
                <w:bCs w:val="1"/>
                <w:color w:val="1D428A"/>
              </w:rPr>
              <w:t>OTHER MATTERS</w:t>
            </w:r>
          </w:p>
        </w:tc>
        <w:tc>
          <w:tcPr>
            <w:tcW w:w="5460" w:type="dxa"/>
            <w:vAlign w:val="bottom"/>
            <w:tcBorders>
              <w:top w:val="single" w:sz="8" w:color="1D428A"/>
            </w:tcBorders>
            <w:gridSpan w:val="15"/>
          </w:tcPr>
          <w:p>
            <w:pPr>
              <w:spacing w:after="0"/>
              <w:rPr>
                <w:sz w:val="19"/>
                <w:szCs w:val="19"/>
                <w:color w:val="auto"/>
              </w:rPr>
            </w:pPr>
          </w:p>
        </w:tc>
        <w:tc>
          <w:tcPr>
            <w:tcW w:w="3980" w:type="dxa"/>
            <w:vAlign w:val="bottom"/>
            <w:gridSpan w:val="3"/>
          </w:tcPr>
          <w:p>
            <w:pPr>
              <w:spacing w:after="0"/>
              <w:rPr>
                <w:sz w:val="19"/>
                <w:szCs w:val="19"/>
                <w:color w:val="auto"/>
              </w:rPr>
            </w:pPr>
          </w:p>
        </w:tc>
        <w:tc>
          <w:tcPr>
            <w:tcW w:w="220" w:type="dxa"/>
            <w:vAlign w:val="bottom"/>
            <w:tcBorders>
              <w:top w:val="single" w:sz="8" w:color="1D428A"/>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89</w:t>
            </w:r>
          </w:p>
        </w:tc>
      </w:tr>
      <w:tr>
        <w:trPr>
          <w:trHeight w:val="223"/>
        </w:trPr>
        <w:tc>
          <w:tcPr>
            <w:tcW w:w="10980" w:type="dxa"/>
            <w:vAlign w:val="bottom"/>
            <w:gridSpan w:val="19"/>
          </w:tcPr>
          <w:p>
            <w:pPr>
              <w:spacing w:after="0"/>
              <w:rPr>
                <w:sz w:val="20"/>
                <w:szCs w:val="20"/>
                <w:color w:val="auto"/>
              </w:rPr>
            </w:pPr>
            <w:r>
              <w:rPr>
                <w:rFonts w:ascii="Verdana" w:cs="Verdana" w:eastAsia="Verdana" w:hAnsi="Verdana"/>
                <w:sz w:val="16"/>
                <w:szCs w:val="16"/>
                <w:b w:val="1"/>
                <w:bCs w:val="1"/>
                <w:color w:val="1D428A"/>
              </w:rPr>
              <w:t>APPENDIX A RECONCILIATION OF NON-GAAP FINANCIAL MEASURES</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90</w:t>
            </w:r>
          </w:p>
        </w:tc>
      </w:tr>
      <w:tr>
        <w:trPr>
          <w:trHeight w:val="20"/>
        </w:trPr>
        <w:tc>
          <w:tcPr>
            <w:tcW w:w="1540" w:type="dxa"/>
            <w:vAlign w:val="bottom"/>
            <w:shd w:val="clear" w:color="auto" w:fill="1D428A"/>
          </w:tcPr>
          <w:p>
            <w:pPr>
              <w:spacing w:after="0" w:line="20" w:lineRule="exact"/>
              <w:rPr>
                <w:sz w:val="1"/>
                <w:szCs w:val="1"/>
                <w:color w:val="auto"/>
              </w:rPr>
            </w:pPr>
          </w:p>
        </w:tc>
        <w:tc>
          <w:tcPr>
            <w:tcW w:w="180" w:type="dxa"/>
            <w:vAlign w:val="bottom"/>
            <w:shd w:val="clear" w:color="auto" w:fill="1D428A"/>
          </w:tcPr>
          <w:p>
            <w:pPr>
              <w:spacing w:after="0" w:line="20" w:lineRule="exact"/>
              <w:rPr>
                <w:sz w:val="1"/>
                <w:szCs w:val="1"/>
                <w:color w:val="auto"/>
              </w:rPr>
            </w:pPr>
          </w:p>
        </w:tc>
        <w:tc>
          <w:tcPr>
            <w:tcW w:w="600" w:type="dxa"/>
            <w:vAlign w:val="bottom"/>
            <w:shd w:val="clear" w:color="auto" w:fill="1D428A"/>
          </w:tcPr>
          <w:p>
            <w:pPr>
              <w:spacing w:after="0" w:line="20" w:lineRule="exact"/>
              <w:rPr>
                <w:sz w:val="1"/>
                <w:szCs w:val="1"/>
                <w:color w:val="auto"/>
              </w:rPr>
            </w:pPr>
          </w:p>
        </w:tc>
        <w:tc>
          <w:tcPr>
            <w:tcW w:w="220" w:type="dxa"/>
            <w:vAlign w:val="bottom"/>
            <w:shd w:val="clear" w:color="auto" w:fill="1D428A"/>
          </w:tcPr>
          <w:p>
            <w:pPr>
              <w:spacing w:after="0" w:line="20" w:lineRule="exact"/>
              <w:rPr>
                <w:sz w:val="1"/>
                <w:szCs w:val="1"/>
                <w:color w:val="auto"/>
              </w:rPr>
            </w:pPr>
          </w:p>
        </w:tc>
        <w:tc>
          <w:tcPr>
            <w:tcW w:w="320" w:type="dxa"/>
            <w:vAlign w:val="bottom"/>
            <w:shd w:val="clear" w:color="auto" w:fill="1D428A"/>
          </w:tcPr>
          <w:p>
            <w:pPr>
              <w:spacing w:after="0" w:line="20" w:lineRule="exact"/>
              <w:rPr>
                <w:sz w:val="1"/>
                <w:szCs w:val="1"/>
                <w:color w:val="auto"/>
              </w:rPr>
            </w:pPr>
          </w:p>
        </w:tc>
        <w:tc>
          <w:tcPr>
            <w:tcW w:w="400" w:type="dxa"/>
            <w:vAlign w:val="bottom"/>
            <w:shd w:val="clear" w:color="auto" w:fill="1D428A"/>
          </w:tcPr>
          <w:p>
            <w:pPr>
              <w:spacing w:after="0" w:line="20" w:lineRule="exact"/>
              <w:rPr>
                <w:sz w:val="1"/>
                <w:szCs w:val="1"/>
                <w:color w:val="auto"/>
              </w:rPr>
            </w:pPr>
          </w:p>
        </w:tc>
        <w:tc>
          <w:tcPr>
            <w:tcW w:w="60" w:type="dxa"/>
            <w:vAlign w:val="bottom"/>
            <w:shd w:val="clear" w:color="auto" w:fill="1D428A"/>
          </w:tcPr>
          <w:p>
            <w:pPr>
              <w:spacing w:after="0" w:line="20" w:lineRule="exact"/>
              <w:rPr>
                <w:sz w:val="1"/>
                <w:szCs w:val="1"/>
                <w:color w:val="auto"/>
              </w:rPr>
            </w:pPr>
          </w:p>
        </w:tc>
        <w:tc>
          <w:tcPr>
            <w:tcW w:w="240" w:type="dxa"/>
            <w:vAlign w:val="bottom"/>
            <w:shd w:val="clear" w:color="auto" w:fill="1D428A"/>
          </w:tcPr>
          <w:p>
            <w:pPr>
              <w:spacing w:after="0" w:line="20" w:lineRule="exact"/>
              <w:rPr>
                <w:sz w:val="1"/>
                <w:szCs w:val="1"/>
                <w:color w:val="auto"/>
              </w:rPr>
            </w:pPr>
          </w:p>
        </w:tc>
        <w:tc>
          <w:tcPr>
            <w:tcW w:w="440" w:type="dxa"/>
            <w:vAlign w:val="bottom"/>
            <w:shd w:val="clear" w:color="auto" w:fill="1D428A"/>
          </w:tcPr>
          <w:p>
            <w:pPr>
              <w:spacing w:after="0" w:line="20" w:lineRule="exact"/>
              <w:rPr>
                <w:sz w:val="1"/>
                <w:szCs w:val="1"/>
                <w:color w:val="auto"/>
              </w:rPr>
            </w:pPr>
          </w:p>
        </w:tc>
        <w:tc>
          <w:tcPr>
            <w:tcW w:w="120" w:type="dxa"/>
            <w:vAlign w:val="bottom"/>
            <w:shd w:val="clear" w:color="auto" w:fill="1D428A"/>
          </w:tcPr>
          <w:p>
            <w:pPr>
              <w:spacing w:after="0" w:line="20" w:lineRule="exact"/>
              <w:rPr>
                <w:sz w:val="1"/>
                <w:szCs w:val="1"/>
                <w:color w:val="auto"/>
              </w:rPr>
            </w:pPr>
          </w:p>
        </w:tc>
        <w:tc>
          <w:tcPr>
            <w:tcW w:w="980" w:type="dxa"/>
            <w:vAlign w:val="bottom"/>
            <w:shd w:val="clear" w:color="auto" w:fill="1D428A"/>
          </w:tcPr>
          <w:p>
            <w:pPr>
              <w:spacing w:after="0" w:line="20" w:lineRule="exact"/>
              <w:rPr>
                <w:sz w:val="1"/>
                <w:szCs w:val="1"/>
                <w:color w:val="auto"/>
              </w:rPr>
            </w:pPr>
          </w:p>
        </w:tc>
        <w:tc>
          <w:tcPr>
            <w:tcW w:w="220" w:type="dxa"/>
            <w:vAlign w:val="bottom"/>
            <w:shd w:val="clear" w:color="auto" w:fill="1D428A"/>
          </w:tcPr>
          <w:p>
            <w:pPr>
              <w:spacing w:after="0" w:line="20" w:lineRule="exact"/>
              <w:rPr>
                <w:sz w:val="1"/>
                <w:szCs w:val="1"/>
                <w:color w:val="auto"/>
              </w:rPr>
            </w:pPr>
          </w:p>
        </w:tc>
        <w:tc>
          <w:tcPr>
            <w:tcW w:w="300" w:type="dxa"/>
            <w:vAlign w:val="bottom"/>
            <w:shd w:val="clear" w:color="auto" w:fill="1D428A"/>
          </w:tcPr>
          <w:p>
            <w:pPr>
              <w:spacing w:after="0" w:line="20" w:lineRule="exact"/>
              <w:rPr>
                <w:sz w:val="1"/>
                <w:szCs w:val="1"/>
                <w:color w:val="auto"/>
              </w:rPr>
            </w:pPr>
          </w:p>
        </w:tc>
        <w:tc>
          <w:tcPr>
            <w:tcW w:w="260" w:type="dxa"/>
            <w:vAlign w:val="bottom"/>
            <w:shd w:val="clear" w:color="auto" w:fill="1D428A"/>
          </w:tcPr>
          <w:p>
            <w:pPr>
              <w:spacing w:after="0" w:line="20" w:lineRule="exact"/>
              <w:rPr>
                <w:sz w:val="1"/>
                <w:szCs w:val="1"/>
                <w:color w:val="auto"/>
              </w:rPr>
            </w:pPr>
          </w:p>
        </w:tc>
        <w:tc>
          <w:tcPr>
            <w:tcW w:w="420" w:type="dxa"/>
            <w:vAlign w:val="bottom"/>
            <w:shd w:val="clear" w:color="auto" w:fill="1D428A"/>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1D428A"/>
          </w:tcPr>
          <w:p>
            <w:pPr>
              <w:spacing w:after="0" w:line="20" w:lineRule="exact"/>
              <w:rPr>
                <w:sz w:val="1"/>
                <w:szCs w:val="1"/>
                <w:color w:val="auto"/>
              </w:rPr>
            </w:pPr>
          </w:p>
        </w:tc>
        <w:tc>
          <w:tcPr>
            <w:tcW w:w="120" w:type="dxa"/>
            <w:vAlign w:val="bottom"/>
            <w:shd w:val="clear" w:color="auto" w:fill="1D428A"/>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440"/>
        <w:spacing w:after="0"/>
        <w:tabs>
          <w:tab w:leader="none" w:pos="9620" w:val="left"/>
          <w:tab w:leader="none" w:pos="1022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 w:name="page6"/>
    <w:bookmarkEnd w:id="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jc w:val="right"/>
        <w:ind w:right="4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Verdana" w:cs="Verdana" w:eastAsia="Verdana" w:hAnsi="Verdana"/>
          <w:sz w:val="40"/>
          <w:szCs w:val="40"/>
          <w:b w:val="1"/>
          <w:bCs w:val="1"/>
          <w:color w:val="E2231A"/>
        </w:rPr>
        <w:t>LEAR CORPORATION</w:t>
      </w:r>
    </w:p>
    <w:p>
      <w:pPr>
        <w:spacing w:after="0" w:line="207"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2025 PROXY STATEMENT SUMMARY</w:t>
      </w:r>
    </w:p>
    <w:p>
      <w:pPr>
        <w:spacing w:after="0" w:line="201" w:lineRule="exact"/>
        <w:rPr>
          <w:sz w:val="20"/>
          <w:szCs w:val="20"/>
          <w:color w:val="auto"/>
        </w:rPr>
      </w:pPr>
    </w:p>
    <w:p>
      <w:pPr>
        <w:spacing w:after="0"/>
        <w:rPr>
          <w:sz w:val="20"/>
          <w:szCs w:val="20"/>
          <w:color w:val="auto"/>
        </w:rPr>
      </w:pPr>
      <w:r>
        <w:rPr>
          <w:rFonts w:ascii="Verdana" w:cs="Verdana" w:eastAsia="Verdana" w:hAnsi="Verdana"/>
          <w:sz w:val="16"/>
          <w:szCs w:val="16"/>
          <w:color w:val="auto"/>
        </w:rPr>
        <w:t>This summary highlights information that is contained elsewhere in this proxy statement by Lear Corporation (the "Company," "Lear,"</w:t>
      </w:r>
    </w:p>
    <w:p>
      <w:pPr>
        <w:spacing w:after="0" w:line="8" w:lineRule="exact"/>
        <w:rPr>
          <w:sz w:val="20"/>
          <w:szCs w:val="20"/>
          <w:color w:val="auto"/>
        </w:rPr>
      </w:pPr>
    </w:p>
    <w:p>
      <w:pPr>
        <w:ind w:right="340"/>
        <w:spacing w:after="0" w:line="243" w:lineRule="auto"/>
        <w:rPr>
          <w:sz w:val="20"/>
          <w:szCs w:val="20"/>
          <w:color w:val="auto"/>
        </w:rPr>
      </w:pPr>
      <w:r>
        <w:rPr>
          <w:rFonts w:ascii="Verdana" w:cs="Verdana" w:eastAsia="Verdana" w:hAnsi="Verdana"/>
          <w:sz w:val="16"/>
          <w:szCs w:val="16"/>
          <w:color w:val="auto"/>
        </w:rPr>
        <w:t xml:space="preserve">"we," "our" or "us"). It does not include all of the information necessary to make a voting decision, and you should carefully read this proxy statement in its entirety before casting your vote. Please see the section "Questions and Answers" beginning on page </w:t>
      </w:r>
      <w:r>
        <w:rPr>
          <w:rFonts w:ascii="Verdana" w:cs="Verdana" w:eastAsia="Verdana" w:hAnsi="Verdana"/>
          <w:sz w:val="16"/>
          <w:szCs w:val="16"/>
          <w:u w:val="single" w:color="auto"/>
          <w:color w:val="0000FF"/>
        </w:rPr>
        <w:t>84</w:t>
      </w:r>
      <w:r>
        <w:rPr>
          <w:rFonts w:ascii="Verdana" w:cs="Verdana" w:eastAsia="Verdana" w:hAnsi="Verdana"/>
          <w:sz w:val="16"/>
          <w:szCs w:val="16"/>
          <w:color w:val="auto"/>
        </w:rPr>
        <w:t xml:space="preserve"> for important information about proxy materials, voting, the Annual Meeting, the Company, documents and communications.</w:t>
      </w:r>
    </w:p>
    <w:p>
      <w:pPr>
        <w:spacing w:after="0" w:line="118"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6172200"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Proxy Voting Roadmap</w:t>
      </w:r>
    </w:p>
    <w:p>
      <w:pPr>
        <w:spacing w:after="0" w:line="159"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Shareholders will be asked to vote on the following matters at the Annual Meeting. This section does not contain all of the information that you should consider in deciding how to vote. You should read the entirety of this proxy statement carefully before voting.</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440" w:type="dxa"/>
            <w:vAlign w:val="bottom"/>
            <w:tcBorders>
              <w:top w:val="single" w:sz="8" w:color="1D428A"/>
              <w:left w:val="single" w:sz="8" w:color="1D428A"/>
            </w:tcBorders>
          </w:tcPr>
          <w:p>
            <w:pPr>
              <w:spacing w:after="0"/>
              <w:rPr>
                <w:sz w:val="23"/>
                <w:szCs w:val="23"/>
                <w:color w:val="auto"/>
              </w:rPr>
            </w:pPr>
          </w:p>
        </w:tc>
        <w:tc>
          <w:tcPr>
            <w:tcW w:w="4340" w:type="dxa"/>
            <w:vAlign w:val="bottom"/>
            <w:tcBorders>
              <w:top w:val="single" w:sz="8" w:color="1D428A"/>
            </w:tcBorders>
            <w:vMerge w:val="restart"/>
          </w:tcPr>
          <w:p>
            <w:pPr>
              <w:ind w:left="1440"/>
              <w:spacing w:after="0"/>
              <w:rPr>
                <w:sz w:val="20"/>
                <w:szCs w:val="20"/>
                <w:color w:val="auto"/>
              </w:rPr>
            </w:pPr>
            <w:r>
              <w:rPr>
                <w:rFonts w:ascii="Verdana" w:cs="Verdana" w:eastAsia="Verdana" w:hAnsi="Verdana"/>
                <w:sz w:val="20"/>
                <w:szCs w:val="20"/>
                <w:b w:val="1"/>
                <w:bCs w:val="1"/>
                <w:color w:val="307FE2"/>
              </w:rPr>
              <w:t>Voting Matter</w:t>
            </w:r>
          </w:p>
        </w:tc>
        <w:tc>
          <w:tcPr>
            <w:tcW w:w="3760" w:type="dxa"/>
            <w:vAlign w:val="bottom"/>
            <w:tcBorders>
              <w:top w:val="single" w:sz="8" w:color="1D428A"/>
            </w:tcBorders>
            <w:vMerge w:val="restart"/>
          </w:tcPr>
          <w:p>
            <w:pPr>
              <w:jc w:val="center"/>
              <w:spacing w:after="0"/>
              <w:rPr>
                <w:sz w:val="20"/>
                <w:szCs w:val="20"/>
                <w:color w:val="auto"/>
              </w:rPr>
            </w:pPr>
            <w:r>
              <w:rPr>
                <w:rFonts w:ascii="Verdana" w:cs="Verdana" w:eastAsia="Verdana" w:hAnsi="Verdana"/>
                <w:sz w:val="20"/>
                <w:szCs w:val="20"/>
                <w:b w:val="1"/>
                <w:bCs w:val="1"/>
                <w:color w:val="307FE2"/>
                <w:w w:val="99"/>
              </w:rPr>
              <w:t>Board Vote Recommendation</w:t>
            </w:r>
          </w:p>
        </w:tc>
        <w:tc>
          <w:tcPr>
            <w:tcW w:w="1720" w:type="dxa"/>
            <w:vAlign w:val="bottom"/>
            <w:tcBorders>
              <w:top w:val="single" w:sz="8" w:color="1D428A"/>
              <w:right w:val="single" w:sz="8" w:color="1D428A"/>
            </w:tcBorders>
            <w:gridSpan w:val="3"/>
          </w:tcPr>
          <w:p>
            <w:pPr>
              <w:jc w:val="center"/>
              <w:ind w:right="80"/>
              <w:spacing w:after="0"/>
              <w:rPr>
                <w:sz w:val="20"/>
                <w:szCs w:val="20"/>
                <w:color w:val="auto"/>
              </w:rPr>
            </w:pPr>
            <w:r>
              <w:rPr>
                <w:rFonts w:ascii="Verdana" w:cs="Verdana" w:eastAsia="Verdana" w:hAnsi="Verdana"/>
                <w:sz w:val="20"/>
                <w:szCs w:val="20"/>
                <w:b w:val="1"/>
                <w:bCs w:val="1"/>
                <w:color w:val="307FE2"/>
              </w:rPr>
              <w:t>Page</w:t>
            </w:r>
          </w:p>
        </w:tc>
        <w:tc>
          <w:tcPr>
            <w:tcW w:w="0" w:type="dxa"/>
            <w:vAlign w:val="bottom"/>
          </w:tcPr>
          <w:p>
            <w:pPr>
              <w:spacing w:after="0"/>
              <w:rPr>
                <w:sz w:val="1"/>
                <w:szCs w:val="1"/>
                <w:color w:val="auto"/>
              </w:rPr>
            </w:pPr>
          </w:p>
        </w:tc>
      </w:tr>
      <w:tr>
        <w:trPr>
          <w:trHeight w:val="122"/>
        </w:trPr>
        <w:tc>
          <w:tcPr>
            <w:tcW w:w="1440" w:type="dxa"/>
            <w:vAlign w:val="bottom"/>
            <w:tcBorders>
              <w:left w:val="single" w:sz="8" w:color="1D428A"/>
            </w:tcBorders>
          </w:tcPr>
          <w:p>
            <w:pPr>
              <w:spacing w:after="0"/>
              <w:rPr>
                <w:sz w:val="10"/>
                <w:szCs w:val="10"/>
                <w:color w:val="auto"/>
              </w:rPr>
            </w:pPr>
          </w:p>
        </w:tc>
        <w:tc>
          <w:tcPr>
            <w:tcW w:w="4340" w:type="dxa"/>
            <w:vAlign w:val="bottom"/>
            <w:vMerge w:val="continue"/>
          </w:tcPr>
          <w:p>
            <w:pPr>
              <w:spacing w:after="0"/>
              <w:rPr>
                <w:sz w:val="10"/>
                <w:szCs w:val="10"/>
                <w:color w:val="auto"/>
              </w:rPr>
            </w:pPr>
          </w:p>
        </w:tc>
        <w:tc>
          <w:tcPr>
            <w:tcW w:w="3760" w:type="dxa"/>
            <w:vAlign w:val="bottom"/>
            <w:vMerge w:val="continue"/>
          </w:tcPr>
          <w:p>
            <w:pPr>
              <w:spacing w:after="0"/>
              <w:rPr>
                <w:sz w:val="10"/>
                <w:szCs w:val="10"/>
                <w:color w:val="auto"/>
              </w:rPr>
            </w:pP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b w:val="1"/>
                <w:bCs w:val="1"/>
                <w:color w:val="307FE2"/>
                <w:w w:val="98"/>
              </w:rPr>
              <w:t>Reference</w:t>
            </w:r>
          </w:p>
        </w:tc>
        <w:tc>
          <w:tcPr>
            <w:tcW w:w="0" w:type="dxa"/>
            <w:vAlign w:val="bottom"/>
          </w:tcPr>
          <w:p>
            <w:pPr>
              <w:spacing w:after="0"/>
              <w:rPr>
                <w:sz w:val="1"/>
                <w:szCs w:val="1"/>
                <w:color w:val="auto"/>
              </w:rPr>
            </w:pPr>
          </w:p>
        </w:tc>
      </w:tr>
      <w:tr>
        <w:trPr>
          <w:trHeight w:val="140"/>
        </w:trPr>
        <w:tc>
          <w:tcPr>
            <w:tcW w:w="1440" w:type="dxa"/>
            <w:vAlign w:val="bottom"/>
            <w:tcBorders>
              <w:left w:val="single" w:sz="8" w:color="1D428A"/>
              <w:bottom w:val="single" w:sz="8" w:color="1D428A"/>
            </w:tcBorders>
          </w:tcPr>
          <w:p>
            <w:pPr>
              <w:spacing w:after="0"/>
              <w:rPr>
                <w:sz w:val="12"/>
                <w:szCs w:val="12"/>
                <w:color w:val="auto"/>
              </w:rPr>
            </w:pPr>
          </w:p>
        </w:tc>
        <w:tc>
          <w:tcPr>
            <w:tcW w:w="4340" w:type="dxa"/>
            <w:vAlign w:val="bottom"/>
            <w:tcBorders>
              <w:bottom w:val="single" w:sz="8" w:color="1D428A"/>
            </w:tcBorders>
          </w:tcPr>
          <w:p>
            <w:pPr>
              <w:spacing w:after="0"/>
              <w:rPr>
                <w:sz w:val="12"/>
                <w:szCs w:val="12"/>
                <w:color w:val="auto"/>
              </w:rPr>
            </w:pPr>
          </w:p>
        </w:tc>
        <w:tc>
          <w:tcPr>
            <w:tcW w:w="3760" w:type="dxa"/>
            <w:vAlign w:val="bottom"/>
            <w:tcBorders>
              <w:bottom w:val="single" w:sz="8" w:color="1D428A"/>
            </w:tcBorders>
          </w:tcPr>
          <w:p>
            <w:pPr>
              <w:spacing w:after="0"/>
              <w:rPr>
                <w:sz w:val="12"/>
                <w:szCs w:val="12"/>
                <w:color w:val="auto"/>
              </w:rPr>
            </w:pPr>
          </w:p>
        </w:tc>
        <w:tc>
          <w:tcPr>
            <w:tcW w:w="1720" w:type="dxa"/>
            <w:vAlign w:val="bottom"/>
            <w:tcBorders>
              <w:bottom w:val="single" w:sz="8" w:color="1D428A"/>
              <w:right w:val="single" w:sz="8" w:color="1D428A"/>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1440" w:type="dxa"/>
            <w:vAlign w:val="bottom"/>
            <w:tcBorders>
              <w:left w:val="single" w:sz="8" w:color="1D428A"/>
              <w:right w:val="single" w:sz="8" w:color="1D428A"/>
            </w:tcBorders>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8"/>
              </w:rPr>
              <w:t>Item</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Election of Director Nominees Named in</w:t>
            </w:r>
          </w:p>
        </w:tc>
        <w:tc>
          <w:tcPr>
            <w:tcW w:w="3760" w:type="dxa"/>
            <w:vAlign w:val="bottom"/>
            <w:vMerge w:val="restart"/>
          </w:tcPr>
          <w:p>
            <w:pPr>
              <w:jc w:val="center"/>
              <w:spacing w:after="0" w:line="456" w:lineRule="exact"/>
              <w:rPr>
                <w:sz w:val="20"/>
                <w:szCs w:val="20"/>
                <w:color w:val="auto"/>
              </w:rPr>
            </w:pPr>
            <w:r>
              <w:rPr>
                <w:rFonts w:ascii="Verdana" w:cs="Verdana" w:eastAsia="Verdana" w:hAnsi="Verdana"/>
                <w:sz w:val="40"/>
                <w:szCs w:val="40"/>
                <w:color w:val="307FE2"/>
                <w:w w:val="97"/>
              </w:rPr>
              <w:t>FOR</w:t>
            </w: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color w:val="auto"/>
                <w:w w:val="93"/>
              </w:rPr>
              <w:t>10</w:t>
            </w:r>
          </w:p>
        </w:tc>
        <w:tc>
          <w:tcPr>
            <w:tcW w:w="0" w:type="dxa"/>
            <w:vAlign w:val="bottom"/>
          </w:tcPr>
          <w:p>
            <w:pPr>
              <w:spacing w:after="0"/>
              <w:rPr>
                <w:sz w:val="1"/>
                <w:szCs w:val="1"/>
                <w:color w:val="auto"/>
              </w:rPr>
            </w:pPr>
          </w:p>
        </w:tc>
      </w:tr>
      <w:tr>
        <w:trPr>
          <w:trHeight w:val="67"/>
        </w:trPr>
        <w:tc>
          <w:tcPr>
            <w:tcW w:w="1440" w:type="dxa"/>
            <w:vAlign w:val="bottom"/>
            <w:tcBorders>
              <w:left w:val="single" w:sz="8" w:color="1D428A"/>
              <w:right w:val="single" w:sz="8" w:color="1D428A"/>
            </w:tcBorders>
            <w:shd w:val="clear" w:color="auto" w:fill="D9D9D9"/>
          </w:tcPr>
          <w:p>
            <w:pPr>
              <w:spacing w:after="0"/>
              <w:rPr>
                <w:sz w:val="5"/>
                <w:szCs w:val="5"/>
                <w:color w:val="auto"/>
              </w:rPr>
            </w:pPr>
          </w:p>
        </w:tc>
        <w:tc>
          <w:tcPr>
            <w:tcW w:w="4340" w:type="dxa"/>
            <w:vAlign w:val="bottom"/>
            <w:vMerge w:val="continue"/>
          </w:tcPr>
          <w:p>
            <w:pPr>
              <w:spacing w:after="0"/>
              <w:rPr>
                <w:sz w:val="5"/>
                <w:szCs w:val="5"/>
                <w:color w:val="auto"/>
              </w:rPr>
            </w:pPr>
          </w:p>
        </w:tc>
        <w:tc>
          <w:tcPr>
            <w:tcW w:w="3760" w:type="dxa"/>
            <w:vAlign w:val="bottom"/>
            <w:vMerge w:val="continue"/>
          </w:tcPr>
          <w:p>
            <w:pPr>
              <w:spacing w:after="0"/>
              <w:rPr>
                <w:sz w:val="5"/>
                <w:szCs w:val="5"/>
                <w:color w:val="auto"/>
              </w:rPr>
            </w:pPr>
          </w:p>
        </w:tc>
        <w:tc>
          <w:tcPr>
            <w:tcW w:w="1720" w:type="dxa"/>
            <w:vAlign w:val="bottom"/>
            <w:tcBorders>
              <w:right w:val="single" w:sz="8" w:color="1D428A"/>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40" w:type="dxa"/>
            <w:vAlign w:val="bottom"/>
            <w:tcBorders>
              <w:left w:val="single" w:sz="8" w:color="1D428A"/>
              <w:right w:val="single" w:sz="8" w:color="1D428A"/>
            </w:tcBorders>
            <w:vMerge w:val="restart"/>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7"/>
              </w:rPr>
              <w:t>1</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this Proxy Statement</w:t>
            </w:r>
          </w:p>
        </w:tc>
        <w:tc>
          <w:tcPr>
            <w:tcW w:w="3760" w:type="dxa"/>
            <w:vAlign w:val="bottom"/>
            <w:vMerge w:val="continue"/>
          </w:tcPr>
          <w:p>
            <w:pPr>
              <w:spacing w:after="0"/>
              <w:rPr>
                <w:sz w:val="6"/>
                <w:szCs w:val="6"/>
                <w:color w:val="auto"/>
              </w:rPr>
            </w:pPr>
          </w:p>
        </w:tc>
        <w:tc>
          <w:tcPr>
            <w:tcW w:w="1720" w:type="dxa"/>
            <w:vAlign w:val="bottom"/>
            <w:tcBorders>
              <w:right w:val="single" w:sz="8" w:color="1D428A"/>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440" w:type="dxa"/>
            <w:vAlign w:val="bottom"/>
            <w:tcBorders>
              <w:top w:val="single" w:sz="8" w:color="D9D9D9"/>
              <w:left w:val="single" w:sz="8" w:color="1D428A"/>
              <w:right w:val="single" w:sz="8" w:color="1D428A"/>
            </w:tcBorders>
            <w:vMerge w:val="continue"/>
            <w:shd w:val="clear" w:color="auto" w:fill="D9D9D9"/>
          </w:tcPr>
          <w:p>
            <w:pPr>
              <w:spacing w:after="0"/>
              <w:rPr>
                <w:sz w:val="13"/>
                <w:szCs w:val="13"/>
                <w:color w:val="auto"/>
              </w:rPr>
            </w:pPr>
          </w:p>
        </w:tc>
        <w:tc>
          <w:tcPr>
            <w:tcW w:w="4340" w:type="dxa"/>
            <w:vAlign w:val="bottom"/>
            <w:vMerge w:val="continue"/>
          </w:tcPr>
          <w:p>
            <w:pPr>
              <w:spacing w:after="0"/>
              <w:rPr>
                <w:sz w:val="13"/>
                <w:szCs w:val="13"/>
                <w:color w:val="auto"/>
              </w:rPr>
            </w:pPr>
          </w:p>
        </w:tc>
        <w:tc>
          <w:tcPr>
            <w:tcW w:w="3760" w:type="dxa"/>
            <w:vAlign w:val="bottom"/>
            <w:vMerge w:val="restart"/>
          </w:tcPr>
          <w:p>
            <w:pPr>
              <w:jc w:val="center"/>
              <w:spacing w:after="0"/>
              <w:rPr>
                <w:sz w:val="20"/>
                <w:szCs w:val="20"/>
                <w:color w:val="auto"/>
              </w:rPr>
            </w:pPr>
            <w:r>
              <w:rPr>
                <w:rFonts w:ascii="Verdana" w:cs="Verdana" w:eastAsia="Verdana" w:hAnsi="Verdana"/>
                <w:sz w:val="20"/>
                <w:szCs w:val="20"/>
                <w:color w:val="307FE2"/>
                <w:w w:val="98"/>
              </w:rPr>
              <w:t>all eleven director nominees</w:t>
            </w: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right w:val="single" w:sz="8" w:color="1D428A"/>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40" w:type="dxa"/>
            <w:vAlign w:val="bottom"/>
            <w:tcBorders>
              <w:left w:val="single" w:sz="8" w:color="1D428A"/>
              <w:bottom w:val="single" w:sz="8" w:color="1D428A"/>
              <w:right w:val="single" w:sz="8" w:color="1D428A"/>
            </w:tcBorders>
            <w:vMerge w:val="continue"/>
            <w:shd w:val="clear" w:color="auto" w:fill="D9D9D9"/>
          </w:tcPr>
          <w:p>
            <w:pPr>
              <w:spacing w:after="0"/>
              <w:rPr>
                <w:sz w:val="10"/>
                <w:szCs w:val="10"/>
                <w:color w:val="auto"/>
              </w:rPr>
            </w:pPr>
          </w:p>
        </w:tc>
        <w:tc>
          <w:tcPr>
            <w:tcW w:w="4340" w:type="dxa"/>
            <w:vAlign w:val="bottom"/>
            <w:tcBorders>
              <w:bottom w:val="single" w:sz="8" w:color="1D428A"/>
            </w:tcBorders>
          </w:tcPr>
          <w:p>
            <w:pPr>
              <w:spacing w:after="0"/>
              <w:rPr>
                <w:sz w:val="10"/>
                <w:szCs w:val="10"/>
                <w:color w:val="auto"/>
              </w:rPr>
            </w:pPr>
          </w:p>
        </w:tc>
        <w:tc>
          <w:tcPr>
            <w:tcW w:w="3760" w:type="dxa"/>
            <w:vAlign w:val="bottom"/>
            <w:tcBorders>
              <w:bottom w:val="single" w:sz="8" w:color="1D428A"/>
            </w:tcBorders>
            <w:vMerge w:val="continue"/>
          </w:tcPr>
          <w:p>
            <w:pPr>
              <w:spacing w:after="0"/>
              <w:rPr>
                <w:sz w:val="10"/>
                <w:szCs w:val="10"/>
                <w:color w:val="auto"/>
              </w:rPr>
            </w:pPr>
          </w:p>
        </w:tc>
        <w:tc>
          <w:tcPr>
            <w:tcW w:w="700" w:type="dxa"/>
            <w:vAlign w:val="bottom"/>
            <w:tcBorders>
              <w:bottom w:val="single" w:sz="8" w:color="1D428A"/>
            </w:tcBorders>
          </w:tcPr>
          <w:p>
            <w:pPr>
              <w:spacing w:after="0"/>
              <w:rPr>
                <w:sz w:val="10"/>
                <w:szCs w:val="10"/>
                <w:color w:val="auto"/>
              </w:rPr>
            </w:pPr>
          </w:p>
        </w:tc>
        <w:tc>
          <w:tcPr>
            <w:tcW w:w="240" w:type="dxa"/>
            <w:vAlign w:val="bottom"/>
            <w:tcBorders>
              <w:bottom w:val="single" w:sz="8" w:color="1D428A"/>
            </w:tcBorders>
          </w:tcPr>
          <w:p>
            <w:pPr>
              <w:spacing w:after="0"/>
              <w:rPr>
                <w:sz w:val="10"/>
                <w:szCs w:val="10"/>
                <w:color w:val="auto"/>
              </w:rPr>
            </w:pPr>
          </w:p>
        </w:tc>
        <w:tc>
          <w:tcPr>
            <w:tcW w:w="780" w:type="dxa"/>
            <w:vAlign w:val="bottom"/>
            <w:tcBorders>
              <w:bottom w:val="single" w:sz="8" w:color="1D428A"/>
              <w:right w:val="single" w:sz="8" w:color="1D428A"/>
            </w:tcBorders>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1440" w:type="dxa"/>
            <w:vAlign w:val="bottom"/>
            <w:tcBorders>
              <w:left w:val="single" w:sz="8" w:color="1D428A"/>
              <w:right w:val="single" w:sz="8" w:color="1D428A"/>
            </w:tcBorders>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8"/>
              </w:rPr>
              <w:t>Item</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Ratification of Retention of Independent</w:t>
            </w:r>
          </w:p>
        </w:tc>
        <w:tc>
          <w:tcPr>
            <w:tcW w:w="3760" w:type="dxa"/>
            <w:vAlign w:val="bottom"/>
            <w:vMerge w:val="restart"/>
          </w:tcPr>
          <w:p>
            <w:pPr>
              <w:jc w:val="center"/>
              <w:spacing w:after="0"/>
              <w:rPr>
                <w:sz w:val="20"/>
                <w:szCs w:val="20"/>
                <w:color w:val="auto"/>
              </w:rPr>
            </w:pPr>
            <w:r>
              <w:rPr>
                <w:rFonts w:ascii="Verdana" w:cs="Verdana" w:eastAsia="Verdana" w:hAnsi="Verdana"/>
                <w:sz w:val="40"/>
                <w:szCs w:val="40"/>
                <w:color w:val="307FE2"/>
                <w:w w:val="97"/>
              </w:rPr>
              <w:t>FOR</w:t>
            </w: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color w:val="auto"/>
                <w:w w:val="93"/>
              </w:rPr>
              <w:t>82</w:t>
            </w:r>
          </w:p>
        </w:tc>
        <w:tc>
          <w:tcPr>
            <w:tcW w:w="0" w:type="dxa"/>
            <w:vAlign w:val="bottom"/>
          </w:tcPr>
          <w:p>
            <w:pPr>
              <w:spacing w:after="0"/>
              <w:rPr>
                <w:sz w:val="1"/>
                <w:szCs w:val="1"/>
                <w:color w:val="auto"/>
              </w:rPr>
            </w:pPr>
          </w:p>
        </w:tc>
      </w:tr>
      <w:tr>
        <w:trPr>
          <w:trHeight w:val="54"/>
        </w:trPr>
        <w:tc>
          <w:tcPr>
            <w:tcW w:w="1440" w:type="dxa"/>
            <w:vAlign w:val="bottom"/>
            <w:tcBorders>
              <w:left w:val="single" w:sz="8" w:color="1D428A"/>
              <w:right w:val="single" w:sz="8" w:color="1D428A"/>
            </w:tcBorders>
            <w:shd w:val="clear" w:color="auto" w:fill="D9D9D9"/>
          </w:tcPr>
          <w:p>
            <w:pPr>
              <w:spacing w:after="0"/>
              <w:rPr>
                <w:sz w:val="4"/>
                <w:szCs w:val="4"/>
                <w:color w:val="auto"/>
              </w:rPr>
            </w:pPr>
          </w:p>
        </w:tc>
        <w:tc>
          <w:tcPr>
            <w:tcW w:w="434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720" w:type="dxa"/>
            <w:vAlign w:val="bottom"/>
            <w:tcBorders>
              <w:right w:val="single" w:sz="8" w:color="1D428A"/>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440" w:type="dxa"/>
            <w:vAlign w:val="bottom"/>
            <w:tcBorders>
              <w:left w:val="single" w:sz="8" w:color="1D428A"/>
              <w:right w:val="single" w:sz="8" w:color="1D428A"/>
            </w:tcBorders>
            <w:vMerge w:val="restart"/>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7"/>
              </w:rPr>
              <w:t>2</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Registered Public Accounting Firm</w:t>
            </w:r>
          </w:p>
        </w:tc>
        <w:tc>
          <w:tcPr>
            <w:tcW w:w="3760" w:type="dxa"/>
            <w:vAlign w:val="bottom"/>
            <w:vMerge w:val="continue"/>
          </w:tcPr>
          <w:p>
            <w:pPr>
              <w:spacing w:after="0"/>
              <w:rPr>
                <w:sz w:val="7"/>
                <w:szCs w:val="7"/>
                <w:color w:val="auto"/>
              </w:rPr>
            </w:pPr>
          </w:p>
        </w:tc>
        <w:tc>
          <w:tcPr>
            <w:tcW w:w="1720" w:type="dxa"/>
            <w:vAlign w:val="bottom"/>
            <w:tcBorders>
              <w:right w:val="single" w:sz="8" w:color="1D428A"/>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440" w:type="dxa"/>
            <w:vAlign w:val="bottom"/>
            <w:tcBorders>
              <w:top w:val="single" w:sz="8" w:color="D9D9D9"/>
              <w:left w:val="single" w:sz="8" w:color="1D428A"/>
              <w:bottom w:val="single" w:sz="8" w:color="1D428A"/>
              <w:right w:val="single" w:sz="8" w:color="1D428A"/>
            </w:tcBorders>
            <w:vMerge w:val="continue"/>
            <w:shd w:val="clear" w:color="auto" w:fill="D9D9D9"/>
          </w:tcPr>
          <w:p>
            <w:pPr>
              <w:spacing w:after="0"/>
              <w:rPr>
                <w:sz w:val="20"/>
                <w:szCs w:val="20"/>
                <w:color w:val="auto"/>
              </w:rPr>
            </w:pPr>
          </w:p>
        </w:tc>
        <w:tc>
          <w:tcPr>
            <w:tcW w:w="4340" w:type="dxa"/>
            <w:vAlign w:val="bottom"/>
            <w:tcBorders>
              <w:bottom w:val="single" w:sz="8" w:color="1D428A"/>
            </w:tcBorders>
            <w:vMerge w:val="continue"/>
          </w:tcPr>
          <w:p>
            <w:pPr>
              <w:spacing w:after="0"/>
              <w:rPr>
                <w:sz w:val="20"/>
                <w:szCs w:val="20"/>
                <w:color w:val="auto"/>
              </w:rPr>
            </w:pPr>
          </w:p>
        </w:tc>
        <w:tc>
          <w:tcPr>
            <w:tcW w:w="3760" w:type="dxa"/>
            <w:vAlign w:val="bottom"/>
            <w:tcBorders>
              <w:bottom w:val="single" w:sz="8" w:color="1D428A"/>
            </w:tcBorders>
            <w:vMerge w:val="continue"/>
          </w:tcPr>
          <w:p>
            <w:pPr>
              <w:spacing w:after="0"/>
              <w:rPr>
                <w:sz w:val="20"/>
                <w:szCs w:val="20"/>
                <w:color w:val="auto"/>
              </w:rPr>
            </w:pPr>
          </w:p>
        </w:tc>
        <w:tc>
          <w:tcPr>
            <w:tcW w:w="700" w:type="dxa"/>
            <w:vAlign w:val="bottom"/>
            <w:tcBorders>
              <w:bottom w:val="single" w:sz="8" w:color="1D428A"/>
            </w:tcBorders>
          </w:tcPr>
          <w:p>
            <w:pPr>
              <w:spacing w:after="0"/>
              <w:rPr>
                <w:sz w:val="20"/>
                <w:szCs w:val="20"/>
                <w:color w:val="auto"/>
              </w:rPr>
            </w:pPr>
          </w:p>
        </w:tc>
        <w:tc>
          <w:tcPr>
            <w:tcW w:w="240" w:type="dxa"/>
            <w:vAlign w:val="bottom"/>
            <w:tcBorders>
              <w:top w:val="single" w:sz="8" w:color="auto"/>
              <w:bottom w:val="single" w:sz="8" w:color="1D428A"/>
            </w:tcBorders>
          </w:tcPr>
          <w:p>
            <w:pPr>
              <w:spacing w:after="0"/>
              <w:rPr>
                <w:sz w:val="20"/>
                <w:szCs w:val="20"/>
                <w:color w:val="auto"/>
              </w:rPr>
            </w:pPr>
          </w:p>
        </w:tc>
        <w:tc>
          <w:tcPr>
            <w:tcW w:w="780" w:type="dxa"/>
            <w:vAlign w:val="bottom"/>
            <w:tcBorders>
              <w:bottom w:val="single" w:sz="8" w:color="1D428A"/>
              <w:right w:val="single" w:sz="8" w:color="1D428A"/>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440" w:type="dxa"/>
            <w:vAlign w:val="bottom"/>
            <w:tcBorders>
              <w:left w:val="single" w:sz="8" w:color="1D428A"/>
              <w:right w:val="single" w:sz="8" w:color="1D428A"/>
            </w:tcBorders>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8"/>
              </w:rPr>
              <w:t>Item</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Advisory Vote to Approve the Company's</w:t>
            </w:r>
          </w:p>
        </w:tc>
        <w:tc>
          <w:tcPr>
            <w:tcW w:w="3760" w:type="dxa"/>
            <w:vAlign w:val="bottom"/>
            <w:vMerge w:val="restart"/>
          </w:tcPr>
          <w:p>
            <w:pPr>
              <w:jc w:val="center"/>
              <w:spacing w:after="0"/>
              <w:rPr>
                <w:sz w:val="20"/>
                <w:szCs w:val="20"/>
                <w:color w:val="auto"/>
              </w:rPr>
            </w:pPr>
            <w:r>
              <w:rPr>
                <w:rFonts w:ascii="Verdana" w:cs="Verdana" w:eastAsia="Verdana" w:hAnsi="Verdana"/>
                <w:sz w:val="40"/>
                <w:szCs w:val="40"/>
                <w:color w:val="307FE2"/>
                <w:w w:val="97"/>
              </w:rPr>
              <w:t>FOR</w:t>
            </w: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color w:val="auto"/>
                <w:w w:val="93"/>
              </w:rPr>
              <w:t>83</w:t>
            </w:r>
          </w:p>
        </w:tc>
        <w:tc>
          <w:tcPr>
            <w:tcW w:w="0" w:type="dxa"/>
            <w:vAlign w:val="bottom"/>
          </w:tcPr>
          <w:p>
            <w:pPr>
              <w:spacing w:after="0"/>
              <w:rPr>
                <w:sz w:val="1"/>
                <w:szCs w:val="1"/>
                <w:color w:val="auto"/>
              </w:rPr>
            </w:pPr>
          </w:p>
        </w:tc>
      </w:tr>
      <w:tr>
        <w:trPr>
          <w:trHeight w:val="108"/>
        </w:trPr>
        <w:tc>
          <w:tcPr>
            <w:tcW w:w="1440" w:type="dxa"/>
            <w:vAlign w:val="bottom"/>
            <w:tcBorders>
              <w:left w:val="single" w:sz="8" w:color="1D428A"/>
              <w:right w:val="single" w:sz="8" w:color="1D428A"/>
            </w:tcBorders>
            <w:shd w:val="clear" w:color="auto" w:fill="D9D9D9"/>
          </w:tcPr>
          <w:p>
            <w:pPr>
              <w:spacing w:after="0"/>
              <w:rPr>
                <w:sz w:val="9"/>
                <w:szCs w:val="9"/>
                <w:color w:val="auto"/>
              </w:rPr>
            </w:pPr>
          </w:p>
        </w:tc>
        <w:tc>
          <w:tcPr>
            <w:tcW w:w="4340" w:type="dxa"/>
            <w:vAlign w:val="bottom"/>
            <w:vMerge w:val="continue"/>
          </w:tcPr>
          <w:p>
            <w:pPr>
              <w:spacing w:after="0"/>
              <w:rPr>
                <w:sz w:val="9"/>
                <w:szCs w:val="9"/>
                <w:color w:val="auto"/>
              </w:rPr>
            </w:pPr>
          </w:p>
        </w:tc>
        <w:tc>
          <w:tcPr>
            <w:tcW w:w="3760" w:type="dxa"/>
            <w:vAlign w:val="bottom"/>
            <w:vMerge w:val="continue"/>
          </w:tcPr>
          <w:p>
            <w:pPr>
              <w:spacing w:after="0"/>
              <w:rPr>
                <w:sz w:val="9"/>
                <w:szCs w:val="9"/>
                <w:color w:val="auto"/>
              </w:rPr>
            </w:pPr>
          </w:p>
        </w:tc>
        <w:tc>
          <w:tcPr>
            <w:tcW w:w="1720" w:type="dxa"/>
            <w:vAlign w:val="bottom"/>
            <w:tcBorders>
              <w:right w:val="single" w:sz="8" w:color="1D428A"/>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40" w:type="dxa"/>
            <w:vAlign w:val="bottom"/>
            <w:tcBorders>
              <w:left w:val="single" w:sz="8" w:color="1D428A"/>
              <w:right w:val="single" w:sz="8" w:color="1D428A"/>
            </w:tcBorders>
            <w:vMerge w:val="restart"/>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7"/>
              </w:rPr>
              <w:t>3</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Executive Compensation</w:t>
            </w:r>
          </w:p>
        </w:tc>
        <w:tc>
          <w:tcPr>
            <w:tcW w:w="3760" w:type="dxa"/>
            <w:vAlign w:val="bottom"/>
            <w:vMerge w:val="continue"/>
          </w:tcPr>
          <w:p>
            <w:pPr>
              <w:spacing w:after="0"/>
              <w:rPr>
                <w:sz w:val="6"/>
                <w:szCs w:val="6"/>
                <w:color w:val="auto"/>
              </w:rPr>
            </w:pPr>
          </w:p>
        </w:tc>
        <w:tc>
          <w:tcPr>
            <w:tcW w:w="1720" w:type="dxa"/>
            <w:vAlign w:val="bottom"/>
            <w:tcBorders>
              <w:right w:val="single" w:sz="8" w:color="1D428A"/>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440" w:type="dxa"/>
            <w:vAlign w:val="bottom"/>
            <w:tcBorders>
              <w:top w:val="single" w:sz="8" w:color="D9D9D9"/>
              <w:left w:val="single" w:sz="8" w:color="1D428A"/>
              <w:right w:val="single" w:sz="8" w:color="1D428A"/>
            </w:tcBorders>
            <w:vMerge w:val="continue"/>
            <w:shd w:val="clear" w:color="auto" w:fill="D9D9D9"/>
          </w:tcPr>
          <w:p>
            <w:pPr>
              <w:spacing w:after="0"/>
              <w:rPr>
                <w:sz w:val="15"/>
                <w:szCs w:val="15"/>
                <w:color w:val="auto"/>
              </w:rPr>
            </w:pPr>
          </w:p>
        </w:tc>
        <w:tc>
          <w:tcPr>
            <w:tcW w:w="4340" w:type="dxa"/>
            <w:vAlign w:val="bottom"/>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right w:val="single" w:sz="8" w:color="1D428A"/>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440" w:type="dxa"/>
            <w:vAlign w:val="bottom"/>
            <w:tcBorders>
              <w:left w:val="single" w:sz="8" w:color="1D428A"/>
              <w:bottom w:val="single" w:sz="8" w:color="1D428A"/>
              <w:right w:val="single" w:sz="8" w:color="1D428A"/>
            </w:tcBorders>
            <w:vMerge w:val="continue"/>
            <w:shd w:val="clear" w:color="auto" w:fill="D9D9D9"/>
          </w:tcPr>
          <w:p>
            <w:pPr>
              <w:spacing w:after="0"/>
              <w:rPr>
                <w:sz w:val="9"/>
                <w:szCs w:val="9"/>
                <w:color w:val="auto"/>
              </w:rPr>
            </w:pPr>
          </w:p>
        </w:tc>
        <w:tc>
          <w:tcPr>
            <w:tcW w:w="4340" w:type="dxa"/>
            <w:vAlign w:val="bottom"/>
            <w:tcBorders>
              <w:bottom w:val="single" w:sz="8" w:color="1D428A"/>
            </w:tcBorders>
          </w:tcPr>
          <w:p>
            <w:pPr>
              <w:spacing w:after="0"/>
              <w:rPr>
                <w:sz w:val="9"/>
                <w:szCs w:val="9"/>
                <w:color w:val="auto"/>
              </w:rPr>
            </w:pPr>
          </w:p>
        </w:tc>
        <w:tc>
          <w:tcPr>
            <w:tcW w:w="3760" w:type="dxa"/>
            <w:vAlign w:val="bottom"/>
            <w:tcBorders>
              <w:bottom w:val="single" w:sz="8" w:color="1D428A"/>
            </w:tcBorders>
          </w:tcPr>
          <w:p>
            <w:pPr>
              <w:spacing w:after="0"/>
              <w:rPr>
                <w:sz w:val="9"/>
                <w:szCs w:val="9"/>
                <w:color w:val="auto"/>
              </w:rPr>
            </w:pPr>
          </w:p>
        </w:tc>
        <w:tc>
          <w:tcPr>
            <w:tcW w:w="700" w:type="dxa"/>
            <w:vAlign w:val="bottom"/>
            <w:tcBorders>
              <w:bottom w:val="single" w:sz="8" w:color="1D428A"/>
            </w:tcBorders>
          </w:tcPr>
          <w:p>
            <w:pPr>
              <w:spacing w:after="0"/>
              <w:rPr>
                <w:sz w:val="9"/>
                <w:szCs w:val="9"/>
                <w:color w:val="auto"/>
              </w:rPr>
            </w:pPr>
          </w:p>
        </w:tc>
        <w:tc>
          <w:tcPr>
            <w:tcW w:w="240" w:type="dxa"/>
            <w:vAlign w:val="bottom"/>
            <w:tcBorders>
              <w:bottom w:val="single" w:sz="8" w:color="1D428A"/>
            </w:tcBorders>
          </w:tcPr>
          <w:p>
            <w:pPr>
              <w:spacing w:after="0"/>
              <w:rPr>
                <w:sz w:val="9"/>
                <w:szCs w:val="9"/>
                <w:color w:val="auto"/>
              </w:rPr>
            </w:pPr>
          </w:p>
        </w:tc>
        <w:tc>
          <w:tcPr>
            <w:tcW w:w="780" w:type="dxa"/>
            <w:vAlign w:val="bottom"/>
            <w:tcBorders>
              <w:bottom w:val="single" w:sz="8" w:color="1D428A"/>
              <w:right w:val="single" w:sz="8" w:color="1D428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8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1</w:t>
            </w:r>
          </w:p>
        </w:tc>
      </w:tr>
      <w:tr>
        <w:trPr>
          <w:trHeight w:val="318"/>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6" w:name="page7"/>
    <w:bookmarkEnd w:id="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Lear at a Glance</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Lear Corporation is a global automotive technology leader in Seating and E-Systems, enabling superior in-vehicle experiences for</w:t>
      </w:r>
    </w:p>
    <w:p>
      <w:pPr>
        <w:spacing w:after="0" w:line="8" w:lineRule="exact"/>
        <w:rPr>
          <w:sz w:val="20"/>
          <w:szCs w:val="20"/>
          <w:color w:val="auto"/>
        </w:rPr>
      </w:pPr>
    </w:p>
    <w:p>
      <w:pPr>
        <w:ind w:right="40"/>
        <w:spacing w:after="0" w:line="216" w:lineRule="auto"/>
        <w:rPr>
          <w:sz w:val="20"/>
          <w:szCs w:val="20"/>
          <w:color w:val="auto"/>
        </w:rPr>
      </w:pPr>
      <w:r>
        <w:rPr>
          <w:rFonts w:ascii="Verdana" w:cs="Verdana" w:eastAsia="Verdana" w:hAnsi="Verdana"/>
          <w:sz w:val="16"/>
          <w:szCs w:val="16"/>
          <w:color w:val="auto"/>
        </w:rPr>
        <w:t xml:space="preserve">consumers around the world. We supply complete seat systems, key seat components, complete electrical distribution and connection systems, high-voltage power distribution products, including battery disconnect units ("BDUs"), low-voltage power distribution products and electronic controllers to all of the world's major automotive manufacturers. At Lear, we are </w:t>
      </w:r>
      <w:r>
        <w:rPr>
          <w:rFonts w:ascii="Verdana" w:cs="Verdana" w:eastAsia="Verdana" w:hAnsi="Verdana"/>
          <w:sz w:val="16"/>
          <w:szCs w:val="16"/>
          <w:i w:val="1"/>
          <w:iCs w:val="1"/>
          <w:color w:val="auto"/>
        </w:rPr>
        <w:t>Making every drive better</w:t>
      </w:r>
      <w:r>
        <w:rPr>
          <w:rFonts w:ascii="Verdana" w:cs="Verdana" w:eastAsia="Verdana" w:hAnsi="Verdana"/>
          <w:sz w:val="21"/>
          <w:szCs w:val="21"/>
          <w:i w:val="1"/>
          <w:iCs w:val="1"/>
          <w:color w:val="auto"/>
          <w:vertAlign w:val="superscript"/>
        </w:rPr>
        <w:t>TM</w:t>
      </w:r>
      <w:r>
        <w:rPr>
          <w:rFonts w:ascii="Verdana" w:cs="Verdana" w:eastAsia="Verdana" w:hAnsi="Verdana"/>
          <w:sz w:val="16"/>
          <w:szCs w:val="16"/>
          <w:color w:val="auto"/>
        </w:rPr>
        <w:t xml:space="preserve"> by providing</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 xml:space="preserve">technology for safer, smarter and more comfortable journeys, while adhering to our values — </w:t>
      </w:r>
      <w:r>
        <w:rPr>
          <w:rFonts w:ascii="Verdana" w:cs="Verdana" w:eastAsia="Verdana" w:hAnsi="Verdana"/>
          <w:sz w:val="16"/>
          <w:szCs w:val="16"/>
          <w:i w:val="1"/>
          <w:iCs w:val="1"/>
          <w:color w:val="auto"/>
        </w:rPr>
        <w:t>Be Inclusive. Be Inventive. Get Results the</w:t>
      </w:r>
      <w:r>
        <w:rPr>
          <w:rFonts w:ascii="Verdana" w:cs="Verdana" w:eastAsia="Verdana" w:hAnsi="Verdana"/>
          <w:sz w:val="16"/>
          <w:szCs w:val="16"/>
          <w:color w:val="auto"/>
        </w:rPr>
        <w:t xml:space="preserve"> </w:t>
      </w:r>
      <w:r>
        <w:rPr>
          <w:rFonts w:ascii="Verdana" w:cs="Verdana" w:eastAsia="Verdana" w:hAnsi="Verdana"/>
          <w:sz w:val="16"/>
          <w:szCs w:val="16"/>
          <w:i w:val="1"/>
          <w:iCs w:val="1"/>
          <w:color w:val="auto"/>
        </w:rPr>
        <w:t>Right Way</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172200" cy="1071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240" w:hanging="332"/>
        <w:spacing w:after="0" w:line="270" w:lineRule="auto"/>
        <w:tabs>
          <w:tab w:leader="none" w:pos="337" w:val="left"/>
        </w:tabs>
        <w:numPr>
          <w:ilvl w:val="0"/>
          <w:numId w:val="6"/>
        </w:numPr>
        <w:rPr>
          <w:rFonts w:ascii="Verdana" w:cs="Verdana" w:eastAsia="Verdana" w:hAnsi="Verdana"/>
          <w:sz w:val="14"/>
          <w:szCs w:val="14"/>
          <w:color w:val="auto"/>
        </w:rPr>
      </w:pPr>
      <w:r>
        <w:rPr>
          <w:rFonts w:ascii="Verdana" w:cs="Verdana" w:eastAsia="Verdana" w:hAnsi="Verdana"/>
          <w:sz w:val="14"/>
          <w:szCs w:val="14"/>
          <w:color w:val="auto"/>
        </w:rPr>
        <w:t xml:space="preserve">See page </w:t>
      </w:r>
      <w:r>
        <w:rPr>
          <w:rFonts w:ascii="Verdana" w:cs="Verdana" w:eastAsia="Verdana" w:hAnsi="Verdana"/>
          <w:sz w:val="14"/>
          <w:szCs w:val="14"/>
          <w:u w:val="single" w:color="auto"/>
          <w:color w:val="0000FF"/>
        </w:rPr>
        <w:t>3</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90</w:t>
      </w:r>
      <w:r>
        <w:rPr>
          <w:rFonts w:ascii="Verdana" w:cs="Verdana" w:eastAsia="Verdana" w:hAnsi="Verdana"/>
          <w:sz w:val="14"/>
          <w:szCs w:val="14"/>
          <w:color w:val="auto"/>
        </w:rPr>
        <w:t xml:space="preserve"> for more information on this non-GAAP financial measure and how it is used.</w:t>
      </w:r>
    </w:p>
    <w:p>
      <w:pPr>
        <w:spacing w:after="0" w:line="179" w:lineRule="exact"/>
        <w:rPr>
          <w:sz w:val="20"/>
          <w:szCs w:val="20"/>
          <w:color w:val="auto"/>
        </w:rPr>
      </w:pPr>
    </w:p>
    <w:p>
      <w:pPr>
        <w:ind w:right="720"/>
        <w:spacing w:after="0" w:line="253" w:lineRule="auto"/>
        <w:rPr>
          <w:sz w:val="20"/>
          <w:szCs w:val="20"/>
          <w:color w:val="auto"/>
        </w:rPr>
      </w:pPr>
      <w:r>
        <w:rPr>
          <w:rFonts w:ascii="Verdana" w:cs="Verdana" w:eastAsia="Verdana" w:hAnsi="Verdana"/>
          <w:sz w:val="16"/>
          <w:szCs w:val="16"/>
          <w:color w:val="auto"/>
        </w:rPr>
        <w:t>Innovation, as a key pillar of our strategy, enables us to create industry-leading products that differentiate us in the competitive marketplace and support long-term sustainable growth aligned with automotive industry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172200" cy="1611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0"/>
        <w:spacing w:after="0" w:line="270" w:lineRule="auto"/>
        <w:rPr>
          <w:sz w:val="20"/>
          <w:szCs w:val="20"/>
          <w:color w:val="auto"/>
        </w:rPr>
      </w:pPr>
      <w:r>
        <w:rPr>
          <w:rFonts w:ascii="Verdana" w:cs="Verdana" w:eastAsia="Verdana" w:hAnsi="Verdana"/>
          <w:sz w:val="16"/>
          <w:szCs w:val="16"/>
          <w:color w:val="auto"/>
        </w:rPr>
        <w:t>Lear focuses on developing technologies that will provide a competitive advantage in the future. We are a leader in quality, innovation, technology and operational excellence.</w:t>
      </w:r>
    </w:p>
    <w:p>
      <w:pPr>
        <w:spacing w:after="0" w:line="6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Lear is a recognized global leader in complete seat systems with industry-leading operating margins. In Seating, we have the most complete vertically integrated product portfolio, and our capabilities are driving the development of innovative modular solutions for our</w:t>
      </w:r>
    </w:p>
    <w:p>
      <w:pPr>
        <w:spacing w:after="0" w:line="1"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customers. We continue to gain market share in Seating with over $2 billion in conquest wins since 2019. We launched our ComfortFlex™ module, a first of its kind system that integrates multiple thermal comfort technologies into a single module, and in 2024, we secured 19 contracts for this product representing annual revenue of approximately $135 million.</w:t>
      </w:r>
    </w:p>
    <w:p>
      <w:pPr>
        <w:spacing w:after="0" w:line="98"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In E-Systems, our revenue growth outperformed that of the market by approximately 6 percentage points in 2024, and through the execution of our strategic and operational initiatives, we increased margins for the second consecutive year with a 50 basis point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improvement year-over-year.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hanging="534"/>
        <w:spacing w:after="0"/>
        <w:tabs>
          <w:tab w:leader="none" w:pos="560" w:val="left"/>
        </w:tabs>
        <w:numPr>
          <w:ilvl w:val="0"/>
          <w:numId w:val="7"/>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 w:name="page8"/>
    <w:bookmarkEnd w:id="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Business Highlights</w:t>
      </w:r>
    </w:p>
    <w:p>
      <w:pPr>
        <w:spacing w:after="0" w:line="139"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2024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263515" cy="2966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6351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right="200" w:hanging="332"/>
        <w:spacing w:after="0" w:line="248" w:lineRule="auto"/>
        <w:tabs>
          <w:tab w:leader="none" w:pos="337" w:val="left"/>
        </w:tabs>
        <w:numPr>
          <w:ilvl w:val="0"/>
          <w:numId w:val="8"/>
        </w:numPr>
        <w:rPr>
          <w:rFonts w:ascii="Verdana" w:cs="Verdana" w:eastAsia="Verdana" w:hAnsi="Verdana"/>
          <w:sz w:val="14"/>
          <w:szCs w:val="14"/>
          <w:color w:val="auto"/>
        </w:rPr>
      </w:pPr>
      <w:r>
        <w:rPr>
          <w:rFonts w:ascii="Verdana" w:cs="Verdana" w:eastAsia="Verdana" w:hAnsi="Verdana"/>
          <w:sz w:val="14"/>
          <w:szCs w:val="14"/>
          <w:color w:val="auto"/>
        </w:rPr>
        <w:t xml:space="preserve">Contained above, and elsewhere in this proxy statement, are certain financial measures that are not calculated in accordance with accounting principles generally accepted in the United States ("GAAP"). These measures, along with their corresponding GAAP measures and reconciliations thereto, have been previously disclosed in the exhibit to Lear’s Current Report on Form 8-K filed with the Securities and Exchange Commission (the "SEC") on February 6, 2025. Also see Appendix A “Reconciliation of Non-GAAP Financial Measures” on page </w:t>
      </w:r>
      <w:r>
        <w:rPr>
          <w:rFonts w:ascii="Verdana" w:cs="Verdana" w:eastAsia="Verdana" w:hAnsi="Verdana"/>
          <w:sz w:val="14"/>
          <w:szCs w:val="14"/>
          <w:u w:val="single" w:color="auto"/>
          <w:color w:val="0000FF"/>
        </w:rPr>
        <w:t>90</w:t>
      </w:r>
      <w:r>
        <w:rPr>
          <w:rFonts w:ascii="Verdana" w:cs="Verdana" w:eastAsia="Verdana" w:hAnsi="Verdana"/>
          <w:sz w:val="14"/>
          <w:szCs w:val="14"/>
          <w:color w:val="auto"/>
        </w:rPr>
        <w:t xml:space="preserve"> for more information on these non-GAAP financial measures and how they are used.</w:t>
      </w:r>
    </w:p>
    <w:p>
      <w:pPr>
        <w:spacing w:after="0" w:line="13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2024 Business Performance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60" w:type="dxa"/>
            <w:vAlign w:val="bottom"/>
            <w:tcBorders>
              <w:top w:val="single" w:sz="8" w:color="696158"/>
            </w:tcBorders>
          </w:tcPr>
          <w:p>
            <w:pPr>
              <w:ind w:left="20"/>
              <w:spacing w:after="0"/>
              <w:rPr>
                <w:sz w:val="20"/>
                <w:szCs w:val="20"/>
                <w:color w:val="auto"/>
              </w:rPr>
            </w:pPr>
            <w:r>
              <w:rPr>
                <w:rFonts w:ascii="Verdana" w:cs="Verdana" w:eastAsia="Verdana" w:hAnsi="Verdana"/>
                <w:sz w:val="16"/>
                <w:szCs w:val="16"/>
                <w:color w:val="auto"/>
              </w:rPr>
              <w:t>• Achieved revenue of $23.3 billion; Lear revenue growth</w:t>
            </w:r>
          </w:p>
        </w:tc>
        <w:tc>
          <w:tcPr>
            <w:tcW w:w="5860" w:type="dxa"/>
            <w:vAlign w:val="bottom"/>
            <w:tcBorders>
              <w:top w:val="single" w:sz="8" w:color="696158"/>
            </w:tcBorders>
          </w:tcPr>
          <w:p>
            <w:pPr>
              <w:ind w:left="40"/>
              <w:spacing w:after="0"/>
              <w:rPr>
                <w:sz w:val="20"/>
                <w:szCs w:val="20"/>
                <w:color w:val="auto"/>
              </w:rPr>
            </w:pPr>
            <w:r>
              <w:rPr>
                <w:rFonts w:ascii="Verdana" w:cs="Verdana" w:eastAsia="Verdana" w:hAnsi="Verdana"/>
                <w:sz w:val="16"/>
                <w:szCs w:val="16"/>
                <w:color w:val="auto"/>
              </w:rPr>
              <w:t>• Serve all of the world’s major automotive manufacturers with</w:t>
            </w:r>
          </w:p>
        </w:tc>
      </w:tr>
      <w:tr>
        <w:trPr>
          <w:trHeight w:val="221"/>
        </w:trPr>
        <w:tc>
          <w:tcPr>
            <w:tcW w:w="4960" w:type="dxa"/>
            <w:vAlign w:val="bottom"/>
          </w:tcPr>
          <w:p>
            <w:pPr>
              <w:ind w:left="180"/>
              <w:spacing w:after="0"/>
              <w:rPr>
                <w:sz w:val="20"/>
                <w:szCs w:val="20"/>
                <w:color w:val="auto"/>
              </w:rPr>
            </w:pPr>
            <w:r>
              <w:rPr>
                <w:rFonts w:ascii="Verdana" w:cs="Verdana" w:eastAsia="Verdana" w:hAnsi="Verdana"/>
                <w:sz w:val="16"/>
                <w:szCs w:val="16"/>
                <w:color w:val="auto"/>
              </w:rPr>
              <w:t>outperformed that of the industry by 2 percentage points</w:t>
            </w:r>
          </w:p>
        </w:tc>
        <w:tc>
          <w:tcPr>
            <w:tcW w:w="5860" w:type="dxa"/>
            <w:vAlign w:val="bottom"/>
          </w:tcPr>
          <w:p>
            <w:pPr>
              <w:ind w:left="200"/>
              <w:spacing w:after="0"/>
              <w:rPr>
                <w:sz w:val="20"/>
                <w:szCs w:val="20"/>
                <w:color w:val="auto"/>
              </w:rPr>
            </w:pPr>
            <w:r>
              <w:rPr>
                <w:rFonts w:ascii="Verdana" w:cs="Verdana" w:eastAsia="Verdana" w:hAnsi="Verdana"/>
                <w:sz w:val="16"/>
                <w:szCs w:val="16"/>
                <w:color w:val="auto"/>
              </w:rPr>
              <w:t>content on more than 480 vehicle nameplates worldwide</w:t>
            </w:r>
          </w:p>
        </w:tc>
      </w:tr>
      <w:tr>
        <w:trPr>
          <w:trHeight w:val="225"/>
        </w:trPr>
        <w:tc>
          <w:tcPr>
            <w:tcW w:w="4960" w:type="dxa"/>
            <w:vAlign w:val="bottom"/>
            <w:shd w:val="clear" w:color="auto" w:fill="D6E5F9"/>
          </w:tcPr>
          <w:p>
            <w:pPr>
              <w:ind w:left="20"/>
              <w:spacing w:after="0"/>
              <w:rPr>
                <w:sz w:val="20"/>
                <w:szCs w:val="20"/>
                <w:color w:val="auto"/>
              </w:rPr>
            </w:pPr>
            <w:r>
              <w:rPr>
                <w:rFonts w:ascii="Verdana" w:cs="Verdana" w:eastAsia="Verdana" w:hAnsi="Verdana"/>
                <w:sz w:val="16"/>
                <w:szCs w:val="16"/>
                <w:color w:val="auto"/>
              </w:rPr>
              <w:t>• Improved margins in E-Systems for the second</w:t>
            </w:r>
          </w:p>
        </w:tc>
        <w:tc>
          <w:tcPr>
            <w:tcW w:w="5860" w:type="dxa"/>
            <w:vAlign w:val="bottom"/>
            <w:shd w:val="clear" w:color="auto" w:fill="D6E5F9"/>
          </w:tcPr>
          <w:p>
            <w:pPr>
              <w:ind w:left="40"/>
              <w:spacing w:after="0"/>
              <w:rPr>
                <w:sz w:val="20"/>
                <w:szCs w:val="20"/>
                <w:color w:val="auto"/>
              </w:rPr>
            </w:pPr>
            <w:r>
              <w:rPr>
                <w:rFonts w:ascii="Verdana" w:cs="Verdana" w:eastAsia="Verdana" w:hAnsi="Verdana"/>
                <w:sz w:val="16"/>
                <w:szCs w:val="16"/>
                <w:color w:val="auto"/>
              </w:rPr>
              <w:t>• Strengthened positions in all major markets for Seating with a 26%</w:t>
            </w:r>
          </w:p>
        </w:tc>
      </w:tr>
      <w:tr>
        <w:trPr>
          <w:trHeight w:val="189"/>
        </w:trPr>
        <w:tc>
          <w:tcPr>
            <w:tcW w:w="4960" w:type="dxa"/>
            <w:vAlign w:val="bottom"/>
            <w:shd w:val="clear" w:color="auto" w:fill="D6E5F9"/>
          </w:tcPr>
          <w:p>
            <w:pPr>
              <w:ind w:left="180"/>
              <w:spacing w:after="0" w:line="189" w:lineRule="exact"/>
              <w:rPr>
                <w:sz w:val="20"/>
                <w:szCs w:val="20"/>
                <w:color w:val="auto"/>
              </w:rPr>
            </w:pPr>
            <w:r>
              <w:rPr>
                <w:rFonts w:ascii="Verdana" w:cs="Verdana" w:eastAsia="Verdana" w:hAnsi="Verdana"/>
                <w:sz w:val="16"/>
                <w:szCs w:val="16"/>
                <w:color w:val="auto"/>
              </w:rPr>
              <w:t>consecutive year with a 50 bps improvement year-over-</w:t>
            </w:r>
          </w:p>
        </w:tc>
        <w:tc>
          <w:tcPr>
            <w:tcW w:w="5860" w:type="dxa"/>
            <w:vAlign w:val="bottom"/>
            <w:shd w:val="clear" w:color="auto" w:fill="D6E5F9"/>
          </w:tcPr>
          <w:p>
            <w:pPr>
              <w:ind w:left="200"/>
              <w:spacing w:after="0" w:line="189" w:lineRule="exact"/>
              <w:rPr>
                <w:sz w:val="20"/>
                <w:szCs w:val="20"/>
                <w:color w:val="auto"/>
              </w:rPr>
            </w:pPr>
            <w:r>
              <w:rPr>
                <w:rFonts w:ascii="Verdana" w:cs="Verdana" w:eastAsia="Verdana" w:hAnsi="Verdana"/>
                <w:sz w:val="16"/>
                <w:szCs w:val="16"/>
                <w:color w:val="auto"/>
              </w:rPr>
              <w:t>global market share</w:t>
            </w:r>
          </w:p>
        </w:tc>
      </w:tr>
      <w:tr>
        <w:trPr>
          <w:trHeight w:val="230"/>
        </w:trPr>
        <w:tc>
          <w:tcPr>
            <w:tcW w:w="4960" w:type="dxa"/>
            <w:vAlign w:val="bottom"/>
            <w:shd w:val="clear" w:color="auto" w:fill="D6E5F9"/>
          </w:tcPr>
          <w:p>
            <w:pPr>
              <w:ind w:left="180"/>
              <w:spacing w:after="0"/>
              <w:rPr>
                <w:sz w:val="20"/>
                <w:szCs w:val="20"/>
                <w:color w:val="auto"/>
              </w:rPr>
            </w:pPr>
            <w:r>
              <w:rPr>
                <w:rFonts w:ascii="Verdana" w:cs="Verdana" w:eastAsia="Verdana" w:hAnsi="Verdana"/>
                <w:sz w:val="16"/>
                <w:szCs w:val="16"/>
                <w:color w:val="auto"/>
              </w:rPr>
              <w:t>year</w:t>
            </w:r>
          </w:p>
        </w:tc>
        <w:tc>
          <w:tcPr>
            <w:tcW w:w="5860" w:type="dxa"/>
            <w:vAlign w:val="bottom"/>
            <w:shd w:val="clear" w:color="auto" w:fill="D6E5F9"/>
          </w:tcPr>
          <w:p>
            <w:pPr>
              <w:spacing w:after="0"/>
              <w:rPr>
                <w:sz w:val="20"/>
                <w:szCs w:val="20"/>
                <w:color w:val="auto"/>
              </w:rPr>
            </w:pPr>
          </w:p>
        </w:tc>
      </w:tr>
      <w:tr>
        <w:trPr>
          <w:trHeight w:val="215"/>
        </w:trPr>
        <w:tc>
          <w:tcPr>
            <w:tcW w:w="4960" w:type="dxa"/>
            <w:vAlign w:val="bottom"/>
          </w:tcPr>
          <w:p>
            <w:pPr>
              <w:ind w:left="20"/>
              <w:spacing w:after="0"/>
              <w:rPr>
                <w:sz w:val="20"/>
                <w:szCs w:val="20"/>
                <w:color w:val="auto"/>
              </w:rPr>
            </w:pPr>
            <w:r>
              <w:rPr>
                <w:rFonts w:ascii="Verdana" w:cs="Verdana" w:eastAsia="Verdana" w:hAnsi="Verdana"/>
                <w:sz w:val="16"/>
                <w:szCs w:val="16"/>
                <w:color w:val="auto"/>
              </w:rPr>
              <w:t>• Increased adjusted earnings per share for the fourth</w:t>
            </w:r>
          </w:p>
        </w:tc>
        <w:tc>
          <w:tcPr>
            <w:tcW w:w="5860" w:type="dxa"/>
            <w:vAlign w:val="bottom"/>
          </w:tcPr>
          <w:p>
            <w:pPr>
              <w:ind w:left="40"/>
              <w:spacing w:after="0"/>
              <w:rPr>
                <w:sz w:val="20"/>
                <w:szCs w:val="20"/>
                <w:color w:val="auto"/>
              </w:rPr>
            </w:pPr>
            <w:r>
              <w:rPr>
                <w:rFonts w:ascii="Verdana" w:cs="Verdana" w:eastAsia="Verdana" w:hAnsi="Verdana"/>
                <w:sz w:val="16"/>
                <w:szCs w:val="16"/>
                <w:color w:val="auto"/>
              </w:rPr>
              <w:t>• Repurchased $400 million of shares and paid $174 million in</w:t>
            </w:r>
          </w:p>
        </w:tc>
      </w:tr>
      <w:tr>
        <w:trPr>
          <w:trHeight w:val="221"/>
        </w:trPr>
        <w:tc>
          <w:tcPr>
            <w:tcW w:w="4960" w:type="dxa"/>
            <w:vAlign w:val="bottom"/>
          </w:tcPr>
          <w:p>
            <w:pPr>
              <w:ind w:left="180"/>
              <w:spacing w:after="0"/>
              <w:rPr>
                <w:sz w:val="20"/>
                <w:szCs w:val="20"/>
                <w:color w:val="auto"/>
              </w:rPr>
            </w:pPr>
            <w:r>
              <w:rPr>
                <w:rFonts w:ascii="Verdana" w:cs="Verdana" w:eastAsia="Verdana" w:hAnsi="Verdana"/>
                <w:sz w:val="16"/>
                <w:szCs w:val="16"/>
                <w:color w:val="auto"/>
              </w:rPr>
              <w:t>consecutive year</w:t>
            </w:r>
          </w:p>
        </w:tc>
        <w:tc>
          <w:tcPr>
            <w:tcW w:w="5860" w:type="dxa"/>
            <w:vAlign w:val="bottom"/>
          </w:tcPr>
          <w:p>
            <w:pPr>
              <w:ind w:left="200"/>
              <w:spacing w:after="0"/>
              <w:rPr>
                <w:sz w:val="20"/>
                <w:szCs w:val="20"/>
                <w:color w:val="auto"/>
              </w:rPr>
            </w:pPr>
            <w:r>
              <w:rPr>
                <w:rFonts w:ascii="Verdana" w:cs="Verdana" w:eastAsia="Verdana" w:hAnsi="Verdana"/>
                <w:sz w:val="16"/>
                <w:szCs w:val="16"/>
                <w:color w:val="auto"/>
              </w:rPr>
              <w:t>dividends</w:t>
            </w:r>
          </w:p>
        </w:tc>
      </w:tr>
      <w:tr>
        <w:trPr>
          <w:trHeight w:val="225"/>
        </w:trPr>
        <w:tc>
          <w:tcPr>
            <w:tcW w:w="4960" w:type="dxa"/>
            <w:vAlign w:val="bottom"/>
            <w:shd w:val="clear" w:color="auto" w:fill="D6E5F9"/>
          </w:tcPr>
          <w:p>
            <w:pPr>
              <w:ind w:left="20"/>
              <w:spacing w:after="0"/>
              <w:rPr>
                <w:sz w:val="20"/>
                <w:szCs w:val="20"/>
                <w:color w:val="auto"/>
              </w:rPr>
            </w:pPr>
            <w:r>
              <w:rPr>
                <w:rFonts w:ascii="Verdana" w:cs="Verdana" w:eastAsia="Verdana" w:hAnsi="Verdana"/>
                <w:sz w:val="16"/>
                <w:szCs w:val="16"/>
                <w:color w:val="auto"/>
              </w:rPr>
              <w:t xml:space="preserve">• Introduced </w:t>
            </w:r>
            <w:r>
              <w:rPr>
                <w:rFonts w:ascii="Verdana" w:cs="Verdana" w:eastAsia="Verdana" w:hAnsi="Verdana"/>
                <w:sz w:val="16"/>
                <w:szCs w:val="16"/>
                <w:i w:val="1"/>
                <w:iCs w:val="1"/>
                <w:color w:val="auto"/>
              </w:rPr>
              <w:t>IDEA by Lear</w:t>
            </w:r>
            <w:r>
              <w:rPr>
                <w:rFonts w:ascii="Verdana" w:cs="Verdana" w:eastAsia="Verdana" w:hAnsi="Verdana"/>
                <w:sz w:val="16"/>
                <w:szCs w:val="16"/>
                <w:color w:val="auto"/>
              </w:rPr>
              <w:t xml:space="preserve"> (Innovative, Digital, Engineered,</w:t>
            </w:r>
          </w:p>
        </w:tc>
        <w:tc>
          <w:tcPr>
            <w:tcW w:w="5860" w:type="dxa"/>
            <w:vAlign w:val="bottom"/>
            <w:shd w:val="clear" w:color="auto" w:fill="D6E5F9"/>
          </w:tcPr>
          <w:p>
            <w:pPr>
              <w:ind w:left="40"/>
              <w:spacing w:after="0"/>
              <w:rPr>
                <w:sz w:val="20"/>
                <w:szCs w:val="20"/>
                <w:color w:val="auto"/>
              </w:rPr>
            </w:pPr>
            <w:r>
              <w:rPr>
                <w:rFonts w:ascii="Verdana" w:cs="Verdana" w:eastAsia="Verdana" w:hAnsi="Verdana"/>
                <w:sz w:val="16"/>
                <w:szCs w:val="16"/>
                <w:color w:val="auto"/>
              </w:rPr>
              <w:t>• Continued to grow in China with customers including BYD, Changan,</w:t>
            </w:r>
          </w:p>
        </w:tc>
      </w:tr>
      <w:tr>
        <w:trPr>
          <w:trHeight w:val="189"/>
        </w:trPr>
        <w:tc>
          <w:tcPr>
            <w:tcW w:w="4960" w:type="dxa"/>
            <w:vAlign w:val="bottom"/>
            <w:shd w:val="clear" w:color="auto" w:fill="D6E5F9"/>
          </w:tcPr>
          <w:p>
            <w:pPr>
              <w:ind w:left="180"/>
              <w:spacing w:after="0" w:line="189" w:lineRule="exact"/>
              <w:rPr>
                <w:sz w:val="20"/>
                <w:szCs w:val="20"/>
                <w:color w:val="auto"/>
              </w:rPr>
            </w:pPr>
            <w:r>
              <w:rPr>
                <w:rFonts w:ascii="Verdana" w:cs="Verdana" w:eastAsia="Verdana" w:hAnsi="Verdana"/>
                <w:sz w:val="16"/>
                <w:szCs w:val="16"/>
                <w:color w:val="auto"/>
              </w:rPr>
              <w:t>Automated) initiative to drive automation and digitization</w:t>
            </w:r>
          </w:p>
        </w:tc>
        <w:tc>
          <w:tcPr>
            <w:tcW w:w="5860" w:type="dxa"/>
            <w:vAlign w:val="bottom"/>
            <w:shd w:val="clear" w:color="auto" w:fill="D6E5F9"/>
          </w:tcPr>
          <w:p>
            <w:pPr>
              <w:ind w:left="200"/>
              <w:spacing w:after="0" w:line="189" w:lineRule="exact"/>
              <w:rPr>
                <w:sz w:val="20"/>
                <w:szCs w:val="20"/>
                <w:color w:val="auto"/>
              </w:rPr>
            </w:pPr>
            <w:r>
              <w:rPr>
                <w:rFonts w:ascii="Verdana" w:cs="Verdana" w:eastAsia="Verdana" w:hAnsi="Verdana"/>
                <w:sz w:val="16"/>
                <w:szCs w:val="16"/>
                <w:color w:val="auto"/>
              </w:rPr>
              <w:t>the Dongfeng Group, Geely and Leapmotor</w:t>
            </w:r>
          </w:p>
        </w:tc>
      </w:tr>
      <w:tr>
        <w:trPr>
          <w:trHeight w:val="189"/>
        </w:trPr>
        <w:tc>
          <w:tcPr>
            <w:tcW w:w="4960" w:type="dxa"/>
            <w:vAlign w:val="bottom"/>
            <w:shd w:val="clear" w:color="auto" w:fill="D6E5F9"/>
          </w:tcPr>
          <w:p>
            <w:pPr>
              <w:ind w:left="180"/>
              <w:spacing w:after="0" w:line="189" w:lineRule="exact"/>
              <w:rPr>
                <w:sz w:val="20"/>
                <w:szCs w:val="20"/>
                <w:color w:val="auto"/>
              </w:rPr>
            </w:pPr>
            <w:r>
              <w:rPr>
                <w:rFonts w:ascii="Verdana" w:cs="Verdana" w:eastAsia="Verdana" w:hAnsi="Verdana"/>
                <w:sz w:val="16"/>
                <w:szCs w:val="16"/>
                <w:color w:val="auto"/>
              </w:rPr>
              <w:t>and completed the related acquisition of WIP Industrial</w:t>
            </w:r>
          </w:p>
        </w:tc>
        <w:tc>
          <w:tcPr>
            <w:tcW w:w="5860" w:type="dxa"/>
            <w:vAlign w:val="bottom"/>
            <w:shd w:val="clear" w:color="auto" w:fill="D6E5F9"/>
          </w:tcPr>
          <w:p>
            <w:pPr>
              <w:spacing w:after="0"/>
              <w:rPr>
                <w:sz w:val="16"/>
                <w:szCs w:val="16"/>
                <w:color w:val="auto"/>
              </w:rPr>
            </w:pPr>
          </w:p>
        </w:tc>
      </w:tr>
      <w:tr>
        <w:trPr>
          <w:trHeight w:val="224"/>
        </w:trPr>
        <w:tc>
          <w:tcPr>
            <w:tcW w:w="4960" w:type="dxa"/>
            <w:vAlign w:val="bottom"/>
            <w:tcBorders>
              <w:bottom w:val="single" w:sz="8" w:color="D6E5F9"/>
            </w:tcBorders>
            <w:shd w:val="clear" w:color="auto" w:fill="D6E5F9"/>
          </w:tcPr>
          <w:p>
            <w:pPr>
              <w:ind w:left="180"/>
              <w:spacing w:after="0"/>
              <w:rPr>
                <w:sz w:val="20"/>
                <w:szCs w:val="20"/>
                <w:color w:val="auto"/>
              </w:rPr>
            </w:pPr>
            <w:r>
              <w:rPr>
                <w:rFonts w:ascii="Verdana" w:cs="Verdana" w:eastAsia="Verdana" w:hAnsi="Verdana"/>
                <w:sz w:val="16"/>
                <w:szCs w:val="16"/>
                <w:color w:val="auto"/>
              </w:rPr>
              <w:t>Automation</w:t>
            </w:r>
          </w:p>
        </w:tc>
        <w:tc>
          <w:tcPr>
            <w:tcW w:w="5860" w:type="dxa"/>
            <w:vAlign w:val="bottom"/>
            <w:tcBorders>
              <w:bottom w:val="single" w:sz="8" w:color="D6E5F9"/>
            </w:tcBorders>
            <w:shd w:val="clear" w:color="auto" w:fill="D6E5F9"/>
          </w:tcPr>
          <w:p>
            <w:pPr>
              <w:spacing w:after="0"/>
              <w:rPr>
                <w:sz w:val="19"/>
                <w:szCs w:val="19"/>
                <w:color w:val="auto"/>
              </w:rPr>
            </w:pPr>
          </w:p>
        </w:tc>
      </w:tr>
      <w:tr>
        <w:trPr>
          <w:trHeight w:val="205"/>
        </w:trPr>
        <w:tc>
          <w:tcPr>
            <w:tcW w:w="4960" w:type="dxa"/>
            <w:vAlign w:val="bottom"/>
          </w:tcPr>
          <w:p>
            <w:pPr>
              <w:ind w:left="20"/>
              <w:spacing w:after="0"/>
              <w:rPr>
                <w:sz w:val="20"/>
                <w:szCs w:val="20"/>
                <w:color w:val="auto"/>
              </w:rPr>
            </w:pPr>
            <w:r>
              <w:rPr>
                <w:rFonts w:ascii="Verdana" w:cs="Verdana" w:eastAsia="Verdana" w:hAnsi="Verdana"/>
                <w:sz w:val="16"/>
                <w:szCs w:val="16"/>
                <w:color w:val="auto"/>
              </w:rPr>
              <w:t>• Awarded eight top-three finishes in the J.D. Power 2024</w:t>
            </w:r>
          </w:p>
        </w:tc>
        <w:tc>
          <w:tcPr>
            <w:tcW w:w="5860" w:type="dxa"/>
            <w:vAlign w:val="bottom"/>
          </w:tcPr>
          <w:p>
            <w:pPr>
              <w:ind w:left="40"/>
              <w:spacing w:after="0"/>
              <w:rPr>
                <w:sz w:val="20"/>
                <w:szCs w:val="20"/>
                <w:color w:val="auto"/>
              </w:rPr>
            </w:pPr>
            <w:r>
              <w:rPr>
                <w:rFonts w:ascii="Verdana" w:cs="Verdana" w:eastAsia="Verdana" w:hAnsi="Verdana"/>
                <w:sz w:val="16"/>
                <w:szCs w:val="16"/>
                <w:color w:val="auto"/>
              </w:rPr>
              <w:t>• Named a 2025 Automotive News PACE award finalist for our Zone</w:t>
            </w:r>
          </w:p>
        </w:tc>
      </w:tr>
      <w:tr>
        <w:trPr>
          <w:trHeight w:val="200"/>
        </w:trPr>
        <w:tc>
          <w:tcPr>
            <w:tcW w:w="4960" w:type="dxa"/>
            <w:vAlign w:val="bottom"/>
          </w:tcPr>
          <w:p>
            <w:pPr>
              <w:ind w:left="180"/>
              <w:spacing w:after="0" w:line="199" w:lineRule="exact"/>
              <w:rPr>
                <w:sz w:val="20"/>
                <w:szCs w:val="20"/>
                <w:color w:val="auto"/>
              </w:rPr>
            </w:pPr>
            <w:r>
              <w:rPr>
                <w:rFonts w:ascii="Verdana" w:cs="Verdana" w:eastAsia="Verdana" w:hAnsi="Verdana"/>
                <w:sz w:val="16"/>
                <w:szCs w:val="16"/>
                <w:color w:val="auto"/>
              </w:rPr>
              <w:t>U.S. Seat Quality and Satisfaction Study,</w:t>
            </w:r>
            <w:r>
              <w:rPr>
                <w:rFonts w:ascii="Verdana" w:cs="Verdana" w:eastAsia="Verdana" w:hAnsi="Verdana"/>
                <w:sz w:val="21"/>
                <w:szCs w:val="21"/>
                <w:color w:val="auto"/>
                <w:vertAlign w:val="superscript"/>
              </w:rPr>
              <w:t>SM</w:t>
            </w:r>
            <w:r>
              <w:rPr>
                <w:rFonts w:ascii="Verdana" w:cs="Verdana" w:eastAsia="Verdana" w:hAnsi="Verdana"/>
                <w:sz w:val="16"/>
                <w:szCs w:val="16"/>
                <w:color w:val="auto"/>
              </w:rPr>
              <w:t xml:space="preserve"> including a</w:t>
            </w:r>
          </w:p>
        </w:tc>
        <w:tc>
          <w:tcPr>
            <w:tcW w:w="5860" w:type="dxa"/>
            <w:vAlign w:val="bottom"/>
          </w:tcPr>
          <w:p>
            <w:pPr>
              <w:ind w:left="200"/>
              <w:spacing w:after="0"/>
              <w:rPr>
                <w:sz w:val="20"/>
                <w:szCs w:val="20"/>
                <w:color w:val="auto"/>
              </w:rPr>
            </w:pPr>
            <w:r>
              <w:rPr>
                <w:rFonts w:ascii="Verdana" w:cs="Verdana" w:eastAsia="Verdana" w:hAnsi="Verdana"/>
                <w:sz w:val="16"/>
                <w:szCs w:val="16"/>
                <w:color w:val="auto"/>
              </w:rPr>
              <w:t>Control Module</w:t>
            </w:r>
          </w:p>
        </w:tc>
      </w:tr>
      <w:tr>
        <w:trPr>
          <w:trHeight w:val="211"/>
        </w:trPr>
        <w:tc>
          <w:tcPr>
            <w:tcW w:w="4960" w:type="dxa"/>
            <w:vAlign w:val="bottom"/>
          </w:tcPr>
          <w:p>
            <w:pPr>
              <w:ind w:left="180"/>
              <w:spacing w:after="0"/>
              <w:rPr>
                <w:sz w:val="20"/>
                <w:szCs w:val="20"/>
                <w:color w:val="auto"/>
              </w:rPr>
            </w:pPr>
            <w:r>
              <w:rPr>
                <w:rFonts w:ascii="Verdana" w:cs="Verdana" w:eastAsia="Verdana" w:hAnsi="Verdana"/>
                <w:sz w:val="16"/>
                <w:szCs w:val="16"/>
                <w:color w:val="auto"/>
              </w:rPr>
              <w:t>sweep of all three awards in the Premium Car category</w:t>
            </w:r>
          </w:p>
        </w:tc>
        <w:tc>
          <w:tcPr>
            <w:tcW w:w="5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866255"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66255" cy="2832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2" w:lineRule="exact"/>
        <w:rPr>
          <w:sz w:val="20"/>
          <w:szCs w:val="20"/>
          <w:color w:val="auto"/>
        </w:rPr>
      </w:pPr>
    </w:p>
    <w:p>
      <w:pPr>
        <w:ind w:left="180" w:hanging="154"/>
        <w:spacing w:after="0" w:line="270" w:lineRule="auto"/>
        <w:tabs>
          <w:tab w:leader="none" w:pos="163" w:val="left"/>
        </w:tabs>
        <w:numPr>
          <w:ilvl w:val="0"/>
          <w:numId w:val="9"/>
        </w:numPr>
        <w:rPr>
          <w:rFonts w:ascii="Verdana" w:cs="Verdana" w:eastAsia="Verdana" w:hAnsi="Verdana"/>
          <w:sz w:val="16"/>
          <w:szCs w:val="16"/>
          <w:color w:val="auto"/>
        </w:rPr>
      </w:pPr>
      <w:r>
        <w:rPr>
          <w:rFonts w:ascii="Verdana" w:cs="Verdana" w:eastAsia="Verdana" w:hAnsi="Verdana"/>
          <w:sz w:val="16"/>
          <w:szCs w:val="16"/>
          <w:color w:val="auto"/>
        </w:rPr>
        <w:t>Named to Fortune magazine's "World's Most Admired Companies" list for the ninth consecutive year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53" w:right="800" w:hanging="153"/>
        <w:spacing w:after="0" w:line="270" w:lineRule="auto"/>
        <w:tabs>
          <w:tab w:leader="none" w:pos="136" w:val="left"/>
        </w:tabs>
        <w:numPr>
          <w:ilvl w:val="0"/>
          <w:numId w:val="10"/>
        </w:numPr>
        <w:rPr>
          <w:rFonts w:ascii="Verdana" w:cs="Verdana" w:eastAsia="Verdana" w:hAnsi="Verdana"/>
          <w:sz w:val="16"/>
          <w:szCs w:val="16"/>
          <w:color w:val="auto"/>
        </w:rPr>
      </w:pPr>
      <w:r>
        <w:rPr>
          <w:rFonts w:ascii="Verdana" w:cs="Verdana" w:eastAsia="Verdana" w:hAnsi="Verdana"/>
          <w:sz w:val="16"/>
          <w:szCs w:val="16"/>
          <w:color w:val="auto"/>
        </w:rPr>
        <w:t>Named 2025 industry leader in America's Most Just Companies - Automobiles &amp; Parts industry</w:t>
      </w:r>
    </w:p>
    <w:p>
      <w:pPr>
        <w:spacing w:after="0" w:line="200" w:lineRule="exact"/>
        <w:rPr>
          <w:sz w:val="20"/>
          <w:szCs w:val="20"/>
          <w:color w:val="auto"/>
        </w:rPr>
      </w:pPr>
    </w:p>
    <w:p>
      <w:pPr>
        <w:sectPr>
          <w:pgSz w:w="11900" w:h="16838" w:orient="portrait"/>
          <w:cols w:equalWidth="0" w:num="2">
            <w:col w:w="4520" w:space="487"/>
            <w:col w:w="6233"/>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8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3</w:t>
            </w:r>
          </w:p>
        </w:tc>
      </w:tr>
      <w:tr>
        <w:trPr>
          <w:trHeight w:val="331"/>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How Our Compensation Program Supports Our Business Strategy</w:t>
      </w:r>
    </w:p>
    <w:p>
      <w:pPr>
        <w:spacing w:after="0" w:line="131"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Our executive compensation program is designed to support shareholder value creation by driving and rewarding long-term business outcomes, promoting strong governance practices and encouraging responsible risk-taking. This is achieved by linking individual pay to</w:t>
      </w:r>
    </w:p>
    <w:p>
      <w:pPr>
        <w:spacing w:after="0" w:line="1"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the Company’s performance over a diverse set of financial measures. Lear has a long-standing commitment to pay for performance. The majority of all senior executives' compensation is variable and covers annual and multi-year performance periods, and all senior executives have meaningful long-term Lear stock holdings. Long-term incentives use three-year performance-vesting awards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("Performance Shares") to align senior executives' compensation with the Company’s long-term performance.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Our Board’s People and Compensation Committee (“P&amp;C Committee”), with the assistance of its independent compensation consultant,</w:t>
      </w:r>
    </w:p>
    <w:p>
      <w:pPr>
        <w:spacing w:after="0" w:line="8"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provides strong oversight through the approval of performance goals across all financial measures and the certification of performance outcomes.</w:t>
      </w:r>
    </w:p>
    <w:p>
      <w:pPr>
        <w:spacing w:after="0" w:line="76" w:lineRule="exact"/>
        <w:rPr>
          <w:sz w:val="20"/>
          <w:szCs w:val="20"/>
          <w:color w:val="auto"/>
        </w:rPr>
      </w:pPr>
    </w:p>
    <w:p>
      <w:pPr>
        <w:ind w:right="740"/>
        <w:spacing w:after="0" w:line="270" w:lineRule="auto"/>
        <w:rPr>
          <w:sz w:val="20"/>
          <w:szCs w:val="20"/>
          <w:color w:val="auto"/>
        </w:rPr>
      </w:pPr>
      <w:r>
        <w:rPr>
          <w:rFonts w:ascii="Verdana" w:cs="Verdana" w:eastAsia="Verdana" w:hAnsi="Verdana"/>
          <w:sz w:val="16"/>
          <w:szCs w:val="16"/>
          <w:color w:val="auto"/>
        </w:rPr>
        <w:t xml:space="preserve">Our executive compensation program, including our compensation guiding principles, decision-making process and performance measures, is discussed in detail in the "Compensation Discussion and Analysis" of this proxy statement beginning on page </w:t>
      </w:r>
      <w:r>
        <w:rPr>
          <w:rFonts w:ascii="Verdana" w:cs="Verdana" w:eastAsia="Verdana" w:hAnsi="Verdana"/>
          <w:sz w:val="16"/>
          <w:szCs w:val="16"/>
          <w:u w:val="single" w:color="auto"/>
          <w:color w:val="0000FF"/>
        </w:rPr>
        <w:t>33</w:t>
      </w:r>
      <w:r>
        <w:rPr>
          <w:rFonts w:ascii="Verdana" w:cs="Verdana" w:eastAsia="Verdana" w:hAnsi="Verdana"/>
          <w:sz w:val="16"/>
          <w:szCs w:val="16"/>
          <w:color w:val="auto"/>
        </w:rPr>
        <w:t>.</w:t>
      </w:r>
    </w:p>
    <w:p>
      <w:pPr>
        <w:spacing w:after="0" w:line="9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2024 Compensation Highlights</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2024 Annual Incentive Plan ("AIP") Design Overview and Changes</w:t>
      </w:r>
    </w:p>
    <w:p>
      <w:pPr>
        <w:spacing w:after="0" w:line="144" w:lineRule="exact"/>
        <w:rPr>
          <w:sz w:val="20"/>
          <w:szCs w:val="20"/>
          <w:color w:val="auto"/>
        </w:rPr>
      </w:pPr>
    </w:p>
    <w:p>
      <w:pPr>
        <w:ind w:left="660" w:right="740" w:hanging="328"/>
        <w:spacing w:after="0" w:line="253" w:lineRule="auto"/>
        <w:tabs>
          <w:tab w:leader="none" w:pos="654" w:val="left"/>
        </w:tabs>
        <w:numPr>
          <w:ilvl w:val="0"/>
          <w:numId w:val="11"/>
        </w:numPr>
        <w:rPr>
          <w:rFonts w:ascii="Verdana" w:cs="Verdana" w:eastAsia="Verdana" w:hAnsi="Verdana"/>
          <w:sz w:val="16"/>
          <w:szCs w:val="16"/>
          <w:color w:val="1D428A"/>
        </w:rPr>
      </w:pPr>
      <w:r>
        <w:rPr>
          <w:rFonts w:ascii="Verdana" w:cs="Verdana" w:eastAsia="Verdana" w:hAnsi="Verdana"/>
          <w:sz w:val="16"/>
          <w:szCs w:val="16"/>
          <w:color w:val="auto"/>
        </w:rPr>
        <w:t>For the 2024 performance period, the P&amp;C Committee maintained Lear's traditional equal weighting for the two financial measures that determine the AIP – Adjusted Operating Income and Free Cash Flow:</w:t>
      </w:r>
    </w:p>
    <w:p>
      <w:pPr>
        <w:spacing w:after="0" w:line="22" w:lineRule="exact"/>
        <w:rPr>
          <w:rFonts w:ascii="Verdana" w:cs="Verdana" w:eastAsia="Verdana" w:hAnsi="Verdana"/>
          <w:sz w:val="16"/>
          <w:szCs w:val="16"/>
          <w:color w:val="1D428A"/>
        </w:rPr>
      </w:pPr>
    </w:p>
    <w:p>
      <w:pPr>
        <w:ind w:left="1300" w:hanging="320"/>
        <w:spacing w:after="0"/>
        <w:tabs>
          <w:tab w:leader="none" w:pos="1300" w:val="left"/>
        </w:tabs>
        <w:numPr>
          <w:ilvl w:val="1"/>
          <w:numId w:val="11"/>
        </w:numPr>
        <w:rPr>
          <w:rFonts w:ascii="Verdana" w:cs="Verdana" w:eastAsia="Verdana" w:hAnsi="Verdana"/>
          <w:sz w:val="16"/>
          <w:szCs w:val="16"/>
          <w:color w:val="1D428A"/>
        </w:rPr>
      </w:pPr>
      <w:r>
        <w:rPr>
          <w:rFonts w:ascii="Verdana" w:cs="Verdana" w:eastAsia="Verdana" w:hAnsi="Verdana"/>
          <w:sz w:val="16"/>
          <w:szCs w:val="16"/>
          <w:color w:val="auto"/>
        </w:rPr>
        <w:t>Adjusted Operating Income target set 26% higher than the 2023 target</w:t>
      </w:r>
    </w:p>
    <w:p>
      <w:pPr>
        <w:spacing w:after="0" w:line="62" w:lineRule="exact"/>
        <w:rPr>
          <w:rFonts w:ascii="Verdana" w:cs="Verdana" w:eastAsia="Verdana" w:hAnsi="Verdana"/>
          <w:sz w:val="16"/>
          <w:szCs w:val="16"/>
          <w:color w:val="1D428A"/>
        </w:rPr>
      </w:pPr>
    </w:p>
    <w:p>
      <w:pPr>
        <w:ind w:left="1300" w:hanging="320"/>
        <w:spacing w:after="0"/>
        <w:tabs>
          <w:tab w:leader="none" w:pos="1300" w:val="left"/>
        </w:tabs>
        <w:numPr>
          <w:ilvl w:val="1"/>
          <w:numId w:val="11"/>
        </w:numPr>
        <w:rPr>
          <w:rFonts w:ascii="Verdana" w:cs="Verdana" w:eastAsia="Verdana" w:hAnsi="Verdana"/>
          <w:sz w:val="16"/>
          <w:szCs w:val="16"/>
          <w:color w:val="1D428A"/>
        </w:rPr>
      </w:pPr>
      <w:r>
        <w:rPr>
          <w:rFonts w:ascii="Verdana" w:cs="Verdana" w:eastAsia="Verdana" w:hAnsi="Verdana"/>
          <w:sz w:val="16"/>
          <w:szCs w:val="16"/>
          <w:color w:val="auto"/>
        </w:rPr>
        <w:t>Free Cash Flow target set 39% higher than the 2023 target</w:t>
      </w:r>
    </w:p>
    <w:p>
      <w:pPr>
        <w:spacing w:after="0" w:line="48" w:lineRule="exact"/>
        <w:rPr>
          <w:rFonts w:ascii="Verdana" w:cs="Verdana" w:eastAsia="Verdana" w:hAnsi="Verdana"/>
          <w:sz w:val="16"/>
          <w:szCs w:val="16"/>
          <w:color w:val="1D428A"/>
        </w:rPr>
      </w:pPr>
    </w:p>
    <w:p>
      <w:pPr>
        <w:jc w:val="both"/>
        <w:ind w:left="660" w:right="180" w:hanging="328"/>
        <w:spacing w:after="0" w:line="251" w:lineRule="auto"/>
        <w:tabs>
          <w:tab w:leader="none" w:pos="654" w:val="left"/>
        </w:tabs>
        <w:numPr>
          <w:ilvl w:val="0"/>
          <w:numId w:val="11"/>
        </w:numPr>
        <w:rPr>
          <w:rFonts w:ascii="Verdana" w:cs="Verdana" w:eastAsia="Verdana" w:hAnsi="Verdana"/>
          <w:sz w:val="16"/>
          <w:szCs w:val="16"/>
          <w:color w:val="1D428A"/>
        </w:rPr>
      </w:pPr>
      <w:r>
        <w:rPr>
          <w:rFonts w:ascii="Verdana" w:cs="Verdana" w:eastAsia="Verdana" w:hAnsi="Verdana"/>
          <w:sz w:val="16"/>
          <w:szCs w:val="16"/>
          <w:color w:val="auto"/>
        </w:rPr>
        <w:t>Added a Strategic Scorecard modifier, which can increase (or decrease) the AIP results based on the two financial measures by up to 10% depending on the achievement of specific and objective goals relating to innovation in areas of strategic importance such as automation and digitization.</w:t>
      </w:r>
    </w:p>
    <w:p>
      <w:pPr>
        <w:spacing w:after="0" w:line="12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2024-2026 Long-Term Stock Incentive Plan ("LTI") Design Overview and Changes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For the 2024-2026 LTI grants, the P&amp;C Committee continued to align our leadership’s compensation with shareholder interests:</w:t>
      </w:r>
    </w:p>
    <w:p>
      <w:pPr>
        <w:spacing w:after="0" w:line="89" w:lineRule="exact"/>
        <w:rPr>
          <w:sz w:val="20"/>
          <w:szCs w:val="20"/>
          <w:color w:val="auto"/>
        </w:rPr>
      </w:pPr>
    </w:p>
    <w:p>
      <w:pPr>
        <w:ind w:left="660" w:right="60" w:hanging="328"/>
        <w:spacing w:after="0" w:line="270" w:lineRule="auto"/>
        <w:tabs>
          <w:tab w:leader="none" w:pos="654" w:val="left"/>
        </w:tabs>
        <w:numPr>
          <w:ilvl w:val="0"/>
          <w:numId w:val="12"/>
        </w:numPr>
        <w:rPr>
          <w:rFonts w:ascii="Verdana" w:cs="Verdana" w:eastAsia="Verdana" w:hAnsi="Verdana"/>
          <w:sz w:val="16"/>
          <w:szCs w:val="16"/>
          <w:b w:val="1"/>
          <w:bCs w:val="1"/>
          <w:color w:val="1D428A"/>
        </w:rPr>
      </w:pPr>
      <w:r>
        <w:rPr>
          <w:rFonts w:ascii="Verdana" w:cs="Verdana" w:eastAsia="Verdana" w:hAnsi="Verdana"/>
          <w:sz w:val="16"/>
          <w:szCs w:val="16"/>
          <w:b w:val="1"/>
          <w:bCs w:val="1"/>
          <w:color w:val="4472C4"/>
        </w:rPr>
        <w:t>Maintained award mix that heavily emphasizes performance-based awards: 75% of our CEO's LTI award (and 70% for other recipients) is comprised of Performance Shares:</w:t>
      </w:r>
    </w:p>
    <w:p>
      <w:pPr>
        <w:spacing w:after="0" w:line="48" w:lineRule="exact"/>
        <w:rPr>
          <w:rFonts w:ascii="Verdana" w:cs="Verdana" w:eastAsia="Verdana" w:hAnsi="Verdana"/>
          <w:sz w:val="16"/>
          <w:szCs w:val="16"/>
          <w:b w:val="1"/>
          <w:bCs w:val="1"/>
          <w:color w:val="1D428A"/>
        </w:rPr>
      </w:pPr>
    </w:p>
    <w:p>
      <w:pPr>
        <w:ind w:left="1300" w:right="20" w:hanging="320"/>
        <w:spacing w:after="0" w:line="243" w:lineRule="auto"/>
        <w:tabs>
          <w:tab w:leader="none" w:pos="1294" w:val="left"/>
        </w:tabs>
        <w:numPr>
          <w:ilvl w:val="1"/>
          <w:numId w:val="12"/>
        </w:numPr>
        <w:rPr>
          <w:rFonts w:ascii="Verdana" w:cs="Verdana" w:eastAsia="Verdana" w:hAnsi="Verdana"/>
          <w:sz w:val="16"/>
          <w:szCs w:val="16"/>
          <w:color w:val="1D428A"/>
        </w:rPr>
      </w:pPr>
      <w:r>
        <w:rPr>
          <w:rFonts w:ascii="Verdana" w:cs="Verdana" w:eastAsia="Verdana" w:hAnsi="Verdana"/>
          <w:sz w:val="16"/>
          <w:szCs w:val="16"/>
          <w:color w:val="231F20"/>
        </w:rPr>
        <w:t xml:space="preserve">Our Performance Share weighting continues to be higher than most of the Comparator Group, as well as many other large industrial companies (i.e., typically 50% - 60% of the regular annual equity award), as described in "Compensation Discussion and Analysis - Benchmarking" on page </w:t>
      </w:r>
      <w:r>
        <w:rPr>
          <w:rFonts w:ascii="Verdana" w:cs="Verdana" w:eastAsia="Verdana" w:hAnsi="Verdana"/>
          <w:sz w:val="16"/>
          <w:szCs w:val="16"/>
          <w:u w:val="single" w:color="auto"/>
          <w:color w:val="0000FF"/>
        </w:rPr>
        <w:t>39</w:t>
      </w:r>
      <w:r>
        <w:rPr>
          <w:rFonts w:ascii="Verdana" w:cs="Verdana" w:eastAsia="Verdana" w:hAnsi="Verdana"/>
          <w:sz w:val="16"/>
          <w:szCs w:val="16"/>
          <w:color w:val="231F20"/>
        </w:rPr>
        <w:t>.</w:t>
      </w:r>
    </w:p>
    <w:p>
      <w:pPr>
        <w:spacing w:after="0" w:line="84" w:lineRule="exact"/>
        <w:rPr>
          <w:rFonts w:ascii="Verdana" w:cs="Verdana" w:eastAsia="Verdana" w:hAnsi="Verdana"/>
          <w:sz w:val="16"/>
          <w:szCs w:val="16"/>
          <w:color w:val="1D428A"/>
        </w:rPr>
      </w:pPr>
    </w:p>
    <w:p>
      <w:pPr>
        <w:ind w:left="660" w:right="500" w:hanging="328"/>
        <w:spacing w:after="0" w:line="243" w:lineRule="auto"/>
        <w:tabs>
          <w:tab w:leader="none" w:pos="654" w:val="left"/>
        </w:tabs>
        <w:numPr>
          <w:ilvl w:val="0"/>
          <w:numId w:val="12"/>
        </w:numPr>
        <w:rPr>
          <w:rFonts w:ascii="Verdana" w:cs="Verdana" w:eastAsia="Verdana" w:hAnsi="Verdana"/>
          <w:sz w:val="16"/>
          <w:szCs w:val="16"/>
          <w:b w:val="1"/>
          <w:bCs w:val="1"/>
          <w:color w:val="1D428A"/>
        </w:rPr>
      </w:pPr>
      <w:r>
        <w:rPr>
          <w:rFonts w:ascii="Verdana" w:cs="Verdana" w:eastAsia="Verdana" w:hAnsi="Verdana"/>
          <w:sz w:val="16"/>
          <w:szCs w:val="16"/>
          <w:b w:val="1"/>
          <w:bCs w:val="1"/>
          <w:color w:val="4472C4"/>
        </w:rPr>
        <w:t>Maintained performance measures designed to reward financial and Total Shareholder Return ("TSR") results: Performance Shares earned based on Adjusted Pretax Income, Adjusted Return on Invested Capital ("ROIC") Improvement and Relative TSR results:</w:t>
      </w:r>
    </w:p>
    <w:p>
      <w:pPr>
        <w:spacing w:after="0" w:line="70" w:lineRule="exact"/>
        <w:rPr>
          <w:rFonts w:ascii="Verdana" w:cs="Verdana" w:eastAsia="Verdana" w:hAnsi="Verdana"/>
          <w:sz w:val="16"/>
          <w:szCs w:val="16"/>
          <w:b w:val="1"/>
          <w:bCs w:val="1"/>
          <w:color w:val="1D428A"/>
        </w:rPr>
      </w:pPr>
    </w:p>
    <w:p>
      <w:pPr>
        <w:ind w:left="1300" w:hanging="320"/>
        <w:spacing w:after="0"/>
        <w:tabs>
          <w:tab w:leader="none" w:pos="1300" w:val="left"/>
        </w:tabs>
        <w:numPr>
          <w:ilvl w:val="1"/>
          <w:numId w:val="12"/>
        </w:numPr>
        <w:rPr>
          <w:rFonts w:ascii="Verdana" w:cs="Verdana" w:eastAsia="Verdana" w:hAnsi="Verdana"/>
          <w:sz w:val="16"/>
          <w:szCs w:val="16"/>
          <w:color w:val="1D428A"/>
        </w:rPr>
      </w:pPr>
      <w:r>
        <w:rPr>
          <w:rFonts w:ascii="Verdana" w:cs="Verdana" w:eastAsia="Verdana" w:hAnsi="Verdana"/>
          <w:sz w:val="16"/>
          <w:szCs w:val="16"/>
          <w:color w:val="231F20"/>
        </w:rPr>
        <w:t xml:space="preserve">The 2024-2026 Performance Shares can be earned based </w:t>
      </w:r>
      <w:r>
        <w:rPr>
          <w:rFonts w:ascii="Verdana" w:cs="Verdana" w:eastAsia="Verdana" w:hAnsi="Verdana"/>
          <w:sz w:val="16"/>
          <w:szCs w:val="16"/>
          <w:color w:val="000000"/>
        </w:rPr>
        <w:t>on the following performance measures (beginning on page</w:t>
      </w:r>
    </w:p>
    <w:p>
      <w:pPr>
        <w:spacing w:after="0" w:line="8" w:lineRule="exact"/>
        <w:rPr>
          <w:rFonts w:ascii="Verdana" w:cs="Verdana" w:eastAsia="Verdana" w:hAnsi="Verdana"/>
          <w:sz w:val="16"/>
          <w:szCs w:val="16"/>
          <w:color w:val="1D428A"/>
        </w:rPr>
      </w:pPr>
    </w:p>
    <w:p>
      <w:pPr>
        <w:ind w:left="1300"/>
        <w:spacing w:after="0"/>
        <w:rPr>
          <w:rFonts w:ascii="Verdana" w:cs="Verdana" w:eastAsia="Verdana" w:hAnsi="Verdana"/>
          <w:sz w:val="16"/>
          <w:szCs w:val="16"/>
          <w:color w:val="1D428A"/>
        </w:rPr>
      </w:pPr>
      <w:r>
        <w:rPr>
          <w:rFonts w:ascii="Verdana" w:cs="Verdana" w:eastAsia="Verdana" w:hAnsi="Verdana"/>
          <w:sz w:val="16"/>
          <w:szCs w:val="16"/>
          <w:u w:val="single" w:color="auto"/>
          <w:color w:val="0000FF"/>
        </w:rPr>
        <w:t>49</w:t>
      </w:r>
      <w:r>
        <w:rPr>
          <w:rFonts w:ascii="Verdana" w:cs="Verdana" w:eastAsia="Verdana" w:hAnsi="Verdana"/>
          <w:sz w:val="16"/>
          <w:szCs w:val="16"/>
          <w:color w:val="000000"/>
        </w:rPr>
        <w:t>):</w:t>
      </w:r>
    </w:p>
    <w:p>
      <w:pPr>
        <w:spacing w:after="0" w:line="89" w:lineRule="exact"/>
        <w:rPr>
          <w:rFonts w:ascii="Verdana" w:cs="Verdana" w:eastAsia="Verdana" w:hAnsi="Verdana"/>
          <w:sz w:val="16"/>
          <w:szCs w:val="16"/>
          <w:color w:val="1D428A"/>
        </w:rPr>
      </w:pPr>
    </w:p>
    <w:p>
      <w:pPr>
        <w:ind w:left="1940" w:hanging="312"/>
        <w:spacing w:after="0"/>
        <w:tabs>
          <w:tab w:leader="none" w:pos="1940" w:val="left"/>
        </w:tabs>
        <w:numPr>
          <w:ilvl w:val="2"/>
          <w:numId w:val="12"/>
        </w:numPr>
        <w:rPr>
          <w:rFonts w:ascii="Verdana" w:cs="Verdana" w:eastAsia="Verdana" w:hAnsi="Verdana"/>
          <w:sz w:val="16"/>
          <w:szCs w:val="16"/>
          <w:color w:val="1D428A"/>
        </w:rPr>
      </w:pPr>
      <w:r>
        <w:rPr>
          <w:rFonts w:ascii="Verdana" w:cs="Verdana" w:eastAsia="Verdana" w:hAnsi="Verdana"/>
          <w:sz w:val="16"/>
          <w:szCs w:val="16"/>
          <w:b w:val="1"/>
          <w:bCs w:val="1"/>
          <w:color w:val="231F20"/>
        </w:rPr>
        <w:t xml:space="preserve">Adjusted Pretax Income </w:t>
      </w:r>
      <w:r>
        <w:rPr>
          <w:rFonts w:ascii="Verdana" w:cs="Verdana" w:eastAsia="Verdana" w:hAnsi="Verdana"/>
          <w:sz w:val="16"/>
          <w:szCs w:val="16"/>
          <w:color w:val="231F20"/>
        </w:rPr>
        <w:t>(50% of the award)</w:t>
      </w:r>
    </w:p>
    <w:p>
      <w:pPr>
        <w:spacing w:after="0" w:line="89" w:lineRule="exact"/>
        <w:rPr>
          <w:rFonts w:ascii="Verdana" w:cs="Verdana" w:eastAsia="Verdana" w:hAnsi="Verdana"/>
          <w:sz w:val="16"/>
          <w:szCs w:val="16"/>
          <w:color w:val="1D428A"/>
        </w:rPr>
      </w:pPr>
    </w:p>
    <w:p>
      <w:pPr>
        <w:ind w:left="1940" w:hanging="312"/>
        <w:spacing w:after="0"/>
        <w:tabs>
          <w:tab w:leader="none" w:pos="1940" w:val="left"/>
        </w:tabs>
        <w:numPr>
          <w:ilvl w:val="2"/>
          <w:numId w:val="12"/>
        </w:numPr>
        <w:rPr>
          <w:rFonts w:ascii="Verdana" w:cs="Verdana" w:eastAsia="Verdana" w:hAnsi="Verdana"/>
          <w:sz w:val="16"/>
          <w:szCs w:val="16"/>
          <w:color w:val="1D428A"/>
        </w:rPr>
      </w:pPr>
      <w:r>
        <w:rPr>
          <w:rFonts w:ascii="Verdana" w:cs="Verdana" w:eastAsia="Verdana" w:hAnsi="Verdana"/>
          <w:sz w:val="16"/>
          <w:szCs w:val="16"/>
          <w:b w:val="1"/>
          <w:bCs w:val="1"/>
          <w:color w:val="231F20"/>
        </w:rPr>
        <w:t xml:space="preserve">Adjusted ROIC Improvement </w:t>
      </w:r>
      <w:r>
        <w:rPr>
          <w:rFonts w:ascii="Verdana" w:cs="Verdana" w:eastAsia="Verdana" w:hAnsi="Verdana"/>
          <w:sz w:val="16"/>
          <w:szCs w:val="16"/>
          <w:color w:val="231F20"/>
        </w:rPr>
        <w:t>(25% of the award)</w:t>
      </w:r>
    </w:p>
    <w:p>
      <w:pPr>
        <w:spacing w:after="0" w:line="89" w:lineRule="exact"/>
        <w:rPr>
          <w:rFonts w:ascii="Verdana" w:cs="Verdana" w:eastAsia="Verdana" w:hAnsi="Verdana"/>
          <w:sz w:val="16"/>
          <w:szCs w:val="16"/>
          <w:color w:val="1D428A"/>
        </w:rPr>
      </w:pPr>
    </w:p>
    <w:p>
      <w:pPr>
        <w:ind w:left="1940" w:hanging="312"/>
        <w:spacing w:after="0"/>
        <w:tabs>
          <w:tab w:leader="none" w:pos="1940" w:val="left"/>
        </w:tabs>
        <w:numPr>
          <w:ilvl w:val="2"/>
          <w:numId w:val="12"/>
        </w:numPr>
        <w:rPr>
          <w:rFonts w:ascii="Verdana" w:cs="Verdana" w:eastAsia="Verdana" w:hAnsi="Verdana"/>
          <w:sz w:val="16"/>
          <w:szCs w:val="16"/>
          <w:color w:val="1D428A"/>
        </w:rPr>
      </w:pPr>
      <w:r>
        <w:rPr>
          <w:rFonts w:ascii="Verdana" w:cs="Verdana" w:eastAsia="Verdana" w:hAnsi="Verdana"/>
          <w:sz w:val="16"/>
          <w:szCs w:val="16"/>
          <w:b w:val="1"/>
          <w:bCs w:val="1"/>
          <w:color w:val="231F20"/>
        </w:rPr>
        <w:t xml:space="preserve">Relative TSR </w:t>
      </w:r>
      <w:r>
        <w:rPr>
          <w:rFonts w:ascii="Verdana" w:cs="Verdana" w:eastAsia="Verdana" w:hAnsi="Verdana"/>
          <w:sz w:val="16"/>
          <w:szCs w:val="16"/>
          <w:color w:val="231F20"/>
        </w:rPr>
        <w:t>(25% of the award)</w:t>
      </w:r>
    </w:p>
    <w:p>
      <w:pPr>
        <w:spacing w:after="0" w:line="89" w:lineRule="exact"/>
        <w:rPr>
          <w:rFonts w:ascii="Verdana" w:cs="Verdana" w:eastAsia="Verdana" w:hAnsi="Verdana"/>
          <w:sz w:val="16"/>
          <w:szCs w:val="16"/>
          <w:color w:val="1D428A"/>
        </w:rPr>
      </w:pPr>
    </w:p>
    <w:p>
      <w:pPr>
        <w:ind w:left="1300" w:hanging="320"/>
        <w:spacing w:after="0"/>
        <w:tabs>
          <w:tab w:leader="none" w:pos="1300" w:val="left"/>
        </w:tabs>
        <w:numPr>
          <w:ilvl w:val="1"/>
          <w:numId w:val="12"/>
        </w:numPr>
        <w:rPr>
          <w:rFonts w:ascii="Verdana" w:cs="Verdana" w:eastAsia="Verdana" w:hAnsi="Verdana"/>
          <w:sz w:val="16"/>
          <w:szCs w:val="16"/>
          <w:color w:val="1D428A"/>
        </w:rPr>
      </w:pPr>
      <w:r>
        <w:rPr>
          <w:rFonts w:ascii="Verdana" w:cs="Verdana" w:eastAsia="Verdana" w:hAnsi="Verdana"/>
          <w:sz w:val="16"/>
          <w:szCs w:val="16"/>
          <w:color w:val="auto"/>
        </w:rPr>
        <w:t>The goals for all three performance measures were set prior to the start of the three-year performance period.</w:t>
      </w:r>
    </w:p>
    <w:p>
      <w:pPr>
        <w:spacing w:after="0" w:line="89" w:lineRule="exact"/>
        <w:rPr>
          <w:rFonts w:ascii="Verdana" w:cs="Verdana" w:eastAsia="Verdana" w:hAnsi="Verdana"/>
          <w:sz w:val="16"/>
          <w:szCs w:val="16"/>
          <w:color w:val="1D428A"/>
        </w:rPr>
      </w:pPr>
    </w:p>
    <w:p>
      <w:pPr>
        <w:ind w:left="660" w:right="560" w:hanging="328"/>
        <w:spacing w:after="0" w:line="253" w:lineRule="auto"/>
        <w:tabs>
          <w:tab w:leader="none" w:pos="654" w:val="left"/>
        </w:tabs>
        <w:numPr>
          <w:ilvl w:val="0"/>
          <w:numId w:val="12"/>
        </w:numPr>
        <w:rPr>
          <w:rFonts w:ascii="Verdana" w:cs="Verdana" w:eastAsia="Verdana" w:hAnsi="Verdana"/>
          <w:sz w:val="16"/>
          <w:szCs w:val="16"/>
          <w:b w:val="1"/>
          <w:bCs w:val="1"/>
          <w:color w:val="1D428A"/>
        </w:rPr>
      </w:pPr>
      <w:r>
        <w:rPr>
          <w:rFonts w:ascii="Verdana" w:cs="Verdana" w:eastAsia="Verdana" w:hAnsi="Verdana"/>
          <w:sz w:val="16"/>
          <w:szCs w:val="16"/>
          <w:b w:val="1"/>
          <w:bCs w:val="1"/>
          <w:color w:val="4472C4"/>
        </w:rPr>
        <w:t>Goal setting aligns with our long-range plan with all financial targets set prior to the start of the performance period and above prior year targets:</w:t>
      </w:r>
    </w:p>
    <w:p>
      <w:pPr>
        <w:spacing w:after="0" w:line="62" w:lineRule="exact"/>
        <w:rPr>
          <w:rFonts w:ascii="Verdana" w:cs="Verdana" w:eastAsia="Verdana" w:hAnsi="Verdana"/>
          <w:sz w:val="16"/>
          <w:szCs w:val="16"/>
          <w:b w:val="1"/>
          <w:bCs w:val="1"/>
          <w:color w:val="1D428A"/>
        </w:rPr>
      </w:pPr>
    </w:p>
    <w:p>
      <w:pPr>
        <w:ind w:left="1300" w:right="120" w:hanging="320"/>
        <w:spacing w:after="0" w:line="270" w:lineRule="auto"/>
        <w:tabs>
          <w:tab w:leader="none" w:pos="1294" w:val="left"/>
        </w:tabs>
        <w:numPr>
          <w:ilvl w:val="1"/>
          <w:numId w:val="12"/>
        </w:numPr>
        <w:rPr>
          <w:rFonts w:ascii="Verdana" w:cs="Verdana" w:eastAsia="Verdana" w:hAnsi="Verdana"/>
          <w:sz w:val="16"/>
          <w:szCs w:val="16"/>
          <w:color w:val="1D428A"/>
        </w:rPr>
      </w:pPr>
      <w:r>
        <w:rPr>
          <w:rFonts w:ascii="Verdana" w:cs="Verdana" w:eastAsia="Verdana" w:hAnsi="Verdana"/>
          <w:sz w:val="16"/>
          <w:szCs w:val="16"/>
          <w:color w:val="231F20"/>
        </w:rPr>
        <w:t>For the 2024-2026 Performance Shares, all performance goals were established and approved by the P&amp;C Committee in November 2023, prior to the start of the performance period.</w:t>
      </w:r>
    </w:p>
    <w:p>
      <w:pPr>
        <w:spacing w:after="0" w:line="48" w:lineRule="exact"/>
        <w:rPr>
          <w:rFonts w:ascii="Verdana" w:cs="Verdana" w:eastAsia="Verdana" w:hAnsi="Verdana"/>
          <w:sz w:val="16"/>
          <w:szCs w:val="16"/>
          <w:color w:val="1D428A"/>
        </w:rPr>
      </w:pPr>
    </w:p>
    <w:p>
      <w:pPr>
        <w:jc w:val="both"/>
        <w:ind w:left="1300" w:hanging="320"/>
        <w:spacing w:after="0" w:line="245" w:lineRule="auto"/>
        <w:tabs>
          <w:tab w:leader="none" w:pos="1294" w:val="left"/>
        </w:tabs>
        <w:numPr>
          <w:ilvl w:val="1"/>
          <w:numId w:val="12"/>
        </w:numPr>
        <w:rPr>
          <w:rFonts w:ascii="Verdana" w:cs="Verdana" w:eastAsia="Verdana" w:hAnsi="Verdana"/>
          <w:sz w:val="16"/>
          <w:szCs w:val="16"/>
          <w:color w:val="auto"/>
        </w:rPr>
      </w:pPr>
      <w:r>
        <w:rPr>
          <w:rFonts w:ascii="Verdana" w:cs="Verdana" w:eastAsia="Verdana" w:hAnsi="Verdana"/>
          <w:sz w:val="16"/>
          <w:szCs w:val="16"/>
          <w:color w:val="231F20"/>
        </w:rPr>
        <w:t>The cumulative Adjusted Pretax Income target for the 2024-2026 Performance Shares is 32% higher than for the 2023-2025 Performance Shares, and the Adjusted ROIC Improvement targets for the 2024-2026 Performance Shares increase each year during the performance period. For both Adjusted Pretax Income and Adjusted ROIC Improvement, the results for each year will be measured and the final payout will be based on the average of the annual results.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 w:hanging="534"/>
        <w:spacing w:after="0"/>
        <w:tabs>
          <w:tab w:leader="none" w:pos="560" w:val="left"/>
        </w:tabs>
        <w:numPr>
          <w:ilvl w:val="0"/>
          <w:numId w:val="13"/>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Pay-for-Performance Alignment</w:t>
      </w:r>
    </w:p>
    <w:p>
      <w:pPr>
        <w:spacing w:after="0" w:line="131" w:lineRule="exact"/>
        <w:rPr>
          <w:sz w:val="20"/>
          <w:szCs w:val="20"/>
          <w:color w:val="auto"/>
        </w:rPr>
      </w:pPr>
    </w:p>
    <w:p>
      <w:pPr>
        <w:ind w:right="460"/>
        <w:spacing w:after="0" w:line="241" w:lineRule="auto"/>
        <w:rPr>
          <w:sz w:val="20"/>
          <w:szCs w:val="20"/>
          <w:color w:val="auto"/>
        </w:rPr>
      </w:pPr>
      <w:r>
        <w:rPr>
          <w:rFonts w:ascii="Verdana" w:cs="Verdana" w:eastAsia="Verdana" w:hAnsi="Verdana"/>
          <w:sz w:val="16"/>
          <w:szCs w:val="16"/>
          <w:color w:val="auto"/>
        </w:rPr>
        <w:t>Base salary and annual and long-term incentive award opportunities are the core elements of total direct compensation of our Chief Executive Officer ("CEO"), our Chief Financial Officer ("CFO") and each of our other executive officers listed in the Summary</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Compensation Table (collectively, our Named Executive Officers, referred to herein as our "NEOs"). As shown below, the significant portion of performance-based pay aligns our NEOs' compensation with our shareholders’ interests. The target compensation mix for our CEO and our other NEOs on average for 2024 is shown below and further discussed in detail in the "Compensation Discussion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Analysis" of this proxy statement beginning on page </w:t>
      </w:r>
      <w:r>
        <w:rPr>
          <w:rFonts w:ascii="Verdana" w:cs="Verdana" w:eastAsia="Verdana" w:hAnsi="Verdana"/>
          <w:sz w:val="16"/>
          <w:szCs w:val="16"/>
          <w:u w:val="single" w:color="auto"/>
          <w:color w:val="0000FF"/>
        </w:rPr>
        <w:t>33</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172200" cy="3197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8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5</w:t>
            </w:r>
          </w:p>
        </w:tc>
      </w:tr>
      <w:tr>
        <w:trPr>
          <w:trHeight w:val="331"/>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Corporate Governance</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Verdana" w:cs="Verdana" w:eastAsia="Verdana" w:hAnsi="Verdana"/>
          <w:sz w:val="16"/>
          <w:szCs w:val="16"/>
          <w:b w:val="1"/>
          <w:bCs w:val="1"/>
          <w:color w:val="307FE2"/>
        </w:rPr>
        <w:t>Board Structure and Independence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 w:type="dxa"/>
            <w:vAlign w:val="bottom"/>
            <w:tcBorders>
              <w:top w:val="single" w:sz="8" w:color="307FE2"/>
            </w:tcBorders>
          </w:tcPr>
          <w:p>
            <w:pPr>
              <w:spacing w:after="0"/>
              <w:rPr>
                <w:sz w:val="19"/>
                <w:szCs w:val="19"/>
                <w:color w:val="auto"/>
              </w:rPr>
            </w:pPr>
          </w:p>
        </w:tc>
        <w:tc>
          <w:tcPr>
            <w:tcW w:w="3460" w:type="dxa"/>
            <w:vAlign w:val="bottom"/>
            <w:tcBorders>
              <w:top w:val="single" w:sz="8" w:color="307FE2"/>
            </w:tcBorders>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All of our non-executive directors</w:t>
            </w:r>
          </w:p>
        </w:tc>
        <w:tc>
          <w:tcPr>
            <w:tcW w:w="3520" w:type="dxa"/>
            <w:vAlign w:val="bottom"/>
            <w:tcBorders>
              <w:top w:val="single" w:sz="8" w:color="307FE2"/>
            </w:tcBorders>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Our Board committees are comprised</w:t>
            </w:r>
          </w:p>
        </w:tc>
        <w:tc>
          <w:tcPr>
            <w:tcW w:w="4060" w:type="dxa"/>
            <w:vAlign w:val="bottom"/>
            <w:tcBorders>
              <w:top w:val="single" w:sz="8" w:color="307FE2"/>
            </w:tcBorders>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Independent directors meet regularly</w:t>
            </w: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ind w:left="240"/>
              <w:spacing w:after="0"/>
              <w:rPr>
                <w:sz w:val="20"/>
                <w:szCs w:val="20"/>
                <w:color w:val="auto"/>
              </w:rPr>
            </w:pPr>
            <w:r>
              <w:rPr>
                <w:rFonts w:ascii="Verdana" w:cs="Verdana" w:eastAsia="Verdana" w:hAnsi="Verdana"/>
                <w:sz w:val="16"/>
                <w:szCs w:val="16"/>
                <w:color w:val="231F20"/>
              </w:rPr>
              <w:t>are independent</w:t>
            </w:r>
          </w:p>
        </w:tc>
        <w:tc>
          <w:tcPr>
            <w:tcW w:w="3520" w:type="dxa"/>
            <w:vAlign w:val="bottom"/>
            <w:tcBorders>
              <w:bottom w:val="single" w:sz="8" w:color="E1DFDE"/>
            </w:tcBorders>
          </w:tcPr>
          <w:p>
            <w:pPr>
              <w:ind w:left="200"/>
              <w:spacing w:after="0"/>
              <w:rPr>
                <w:sz w:val="20"/>
                <w:szCs w:val="20"/>
                <w:color w:val="auto"/>
              </w:rPr>
            </w:pPr>
            <w:r>
              <w:rPr>
                <w:rFonts w:ascii="Verdana" w:cs="Verdana" w:eastAsia="Verdana" w:hAnsi="Verdana"/>
                <w:sz w:val="16"/>
                <w:szCs w:val="16"/>
                <w:color w:val="231F20"/>
              </w:rPr>
              <w:t>solely of independent directors</w:t>
            </w:r>
          </w:p>
        </w:tc>
        <w:tc>
          <w:tcPr>
            <w:tcW w:w="406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without management present</w:t>
            </w: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maintain separate Chairperson</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Our highly skilled Board provides a</w:t>
            </w:r>
          </w:p>
        </w:tc>
        <w:tc>
          <w:tcPr>
            <w:tcW w:w="4060" w:type="dxa"/>
            <w:vAlign w:val="bottom"/>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Our Board committees hold executive</w:t>
            </w: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ind w:left="240"/>
              <w:spacing w:after="0"/>
              <w:rPr>
                <w:sz w:val="20"/>
                <w:szCs w:val="20"/>
                <w:color w:val="auto"/>
              </w:rPr>
            </w:pPr>
            <w:r>
              <w:rPr>
                <w:rFonts w:ascii="Verdana" w:cs="Verdana" w:eastAsia="Verdana" w:hAnsi="Verdana"/>
                <w:sz w:val="16"/>
                <w:szCs w:val="16"/>
                <w:color w:val="231F20"/>
              </w:rPr>
              <w:t>of the Board and CEO roles</w:t>
            </w:r>
          </w:p>
        </w:tc>
        <w:tc>
          <w:tcPr>
            <w:tcW w:w="3520" w:type="dxa"/>
            <w:vAlign w:val="bottom"/>
            <w:tcBorders>
              <w:bottom w:val="single" w:sz="8" w:color="E1DFDE"/>
            </w:tcBorders>
          </w:tcPr>
          <w:p>
            <w:pPr>
              <w:ind w:left="200"/>
              <w:spacing w:after="0"/>
              <w:rPr>
                <w:sz w:val="20"/>
                <w:szCs w:val="20"/>
                <w:color w:val="auto"/>
              </w:rPr>
            </w:pPr>
            <w:r>
              <w:rPr>
                <w:rFonts w:ascii="Verdana" w:cs="Verdana" w:eastAsia="Verdana" w:hAnsi="Verdana"/>
                <w:sz w:val="16"/>
                <w:szCs w:val="16"/>
                <w:color w:val="231F20"/>
              </w:rPr>
              <w:t>range of expertise and viewpoints</w:t>
            </w:r>
          </w:p>
        </w:tc>
        <w:tc>
          <w:tcPr>
            <w:tcW w:w="406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sessions without management present</w:t>
            </w: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42% of our Board members are</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a regular review of our</w:t>
            </w:r>
          </w:p>
        </w:tc>
        <w:tc>
          <w:tcPr>
            <w:tcW w:w="4060" w:type="dxa"/>
            <w:vAlign w:val="bottom"/>
          </w:tcPr>
          <w:p>
            <w:pPr>
              <w:spacing w:after="0"/>
              <w:rPr>
                <w:sz w:val="18"/>
                <w:szCs w:val="18"/>
                <w:color w:val="auto"/>
              </w:rPr>
            </w:pP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diverse and 25% are female; 66%</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Board skills matrix</w:t>
            </w:r>
          </w:p>
        </w:tc>
        <w:tc>
          <w:tcPr>
            <w:tcW w:w="4060" w:type="dxa"/>
            <w:vAlign w:val="bottom"/>
          </w:tcPr>
          <w:p>
            <w:pPr>
              <w:spacing w:after="0"/>
              <w:rPr>
                <w:sz w:val="16"/>
                <w:szCs w:val="16"/>
                <w:color w:val="auto"/>
              </w:rPr>
            </w:pPr>
          </w:p>
        </w:tc>
      </w:tr>
      <w:tr>
        <w:trPr>
          <w:trHeight w:val="203"/>
        </w:trPr>
        <w:tc>
          <w:tcPr>
            <w:tcW w:w="200" w:type="dxa"/>
            <w:vAlign w:val="bottom"/>
          </w:tcPr>
          <w:p>
            <w:pPr>
              <w:spacing w:after="0"/>
              <w:rPr>
                <w:sz w:val="17"/>
                <w:szCs w:val="17"/>
                <w:color w:val="auto"/>
              </w:rPr>
            </w:pPr>
          </w:p>
        </w:tc>
        <w:tc>
          <w:tcPr>
            <w:tcW w:w="3460" w:type="dxa"/>
            <w:vAlign w:val="bottom"/>
          </w:tcPr>
          <w:p>
            <w:pPr>
              <w:ind w:left="240"/>
              <w:spacing w:after="0"/>
              <w:rPr>
                <w:sz w:val="20"/>
                <w:szCs w:val="20"/>
                <w:color w:val="auto"/>
              </w:rPr>
            </w:pPr>
            <w:r>
              <w:rPr>
                <w:rFonts w:ascii="Verdana" w:cs="Verdana" w:eastAsia="Verdana" w:hAnsi="Verdana"/>
                <w:sz w:val="16"/>
                <w:szCs w:val="16"/>
                <w:color w:val="231F20"/>
              </w:rPr>
              <w:t>of the committee chairs are</w:t>
            </w:r>
          </w:p>
        </w:tc>
        <w:tc>
          <w:tcPr>
            <w:tcW w:w="352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ind w:left="240"/>
              <w:spacing w:after="0"/>
              <w:rPr>
                <w:sz w:val="20"/>
                <w:szCs w:val="20"/>
                <w:color w:val="auto"/>
              </w:rPr>
            </w:pPr>
            <w:r>
              <w:rPr>
                <w:rFonts w:ascii="Verdana" w:cs="Verdana" w:eastAsia="Verdana" w:hAnsi="Verdana"/>
                <w:sz w:val="16"/>
                <w:szCs w:val="16"/>
                <w:color w:val="231F20"/>
              </w:rPr>
              <w:t>diverse/women</w:t>
            </w:r>
          </w:p>
        </w:tc>
        <w:tc>
          <w:tcPr>
            <w:tcW w:w="3520" w:type="dxa"/>
            <w:vAlign w:val="bottom"/>
            <w:tcBorders>
              <w:bottom w:val="single" w:sz="8" w:color="E1DFDE"/>
            </w:tcBorders>
          </w:tcPr>
          <w:p>
            <w:pPr>
              <w:spacing w:after="0"/>
              <w:rPr>
                <w:sz w:val="19"/>
                <w:szCs w:val="19"/>
                <w:color w:val="auto"/>
              </w:rPr>
            </w:pPr>
          </w:p>
        </w:tc>
        <w:tc>
          <w:tcPr>
            <w:tcW w:w="4060" w:type="dxa"/>
            <w:vAlign w:val="bottom"/>
            <w:tcBorders>
              <w:bottom w:val="single" w:sz="8" w:color="E1DFDE"/>
            </w:tcBorders>
          </w:tcPr>
          <w:p>
            <w:pPr>
              <w:spacing w:after="0"/>
              <w:rPr>
                <w:sz w:val="19"/>
                <w:szCs w:val="19"/>
                <w:color w:val="auto"/>
              </w:rPr>
            </w:pPr>
          </w:p>
        </w:tc>
      </w:tr>
      <w:tr>
        <w:trPr>
          <w:trHeight w:val="237"/>
        </w:trPr>
        <w:tc>
          <w:tcPr>
            <w:tcW w:w="3660" w:type="dxa"/>
            <w:vAlign w:val="bottom"/>
            <w:tcBorders>
              <w:bottom w:val="single" w:sz="8" w:color="307FE2"/>
            </w:tcBorders>
            <w:gridSpan w:val="2"/>
          </w:tcPr>
          <w:p>
            <w:pPr>
              <w:ind w:left="20"/>
              <w:spacing w:after="0"/>
              <w:rPr>
                <w:sz w:val="20"/>
                <w:szCs w:val="20"/>
                <w:color w:val="auto"/>
              </w:rPr>
            </w:pPr>
            <w:r>
              <w:rPr>
                <w:rFonts w:ascii="Verdana" w:cs="Verdana" w:eastAsia="Verdana" w:hAnsi="Verdana"/>
                <w:sz w:val="16"/>
                <w:szCs w:val="16"/>
                <w:b w:val="1"/>
                <w:bCs w:val="1"/>
                <w:color w:val="307FE2"/>
              </w:rPr>
              <w:t>Shareholder Rights</w:t>
            </w:r>
          </w:p>
        </w:tc>
        <w:tc>
          <w:tcPr>
            <w:tcW w:w="3520" w:type="dxa"/>
            <w:vAlign w:val="bottom"/>
            <w:tcBorders>
              <w:bottom w:val="single" w:sz="8" w:color="307FE2"/>
            </w:tcBorders>
          </w:tcPr>
          <w:p>
            <w:pPr>
              <w:spacing w:after="0"/>
              <w:rPr>
                <w:sz w:val="20"/>
                <w:szCs w:val="20"/>
                <w:color w:val="auto"/>
              </w:rPr>
            </w:pPr>
          </w:p>
        </w:tc>
        <w:tc>
          <w:tcPr>
            <w:tcW w:w="4060" w:type="dxa"/>
            <w:vAlign w:val="bottom"/>
            <w:tcBorders>
              <w:bottom w:val="single" w:sz="8" w:color="307FE2"/>
            </w:tcBorders>
          </w:tcPr>
          <w:p>
            <w:pPr>
              <w:spacing w:after="0"/>
              <w:rPr>
                <w:sz w:val="20"/>
                <w:szCs w:val="20"/>
                <w:color w:val="auto"/>
              </w:rPr>
            </w:pP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hold an annual election of all</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majority voting in</w:t>
            </w:r>
          </w:p>
        </w:tc>
        <w:tc>
          <w:tcPr>
            <w:tcW w:w="4060" w:type="dxa"/>
            <w:vAlign w:val="bottom"/>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advance notice provisions in our</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directors</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uncontested director elections</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Second Amended and Restated Bylaws (the</w:t>
            </w: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spacing w:after="0"/>
              <w:rPr>
                <w:sz w:val="19"/>
                <w:szCs w:val="19"/>
                <w:color w:val="auto"/>
              </w:rPr>
            </w:pPr>
          </w:p>
        </w:tc>
        <w:tc>
          <w:tcPr>
            <w:tcW w:w="3520" w:type="dxa"/>
            <w:vAlign w:val="bottom"/>
            <w:tcBorders>
              <w:bottom w:val="single" w:sz="8" w:color="E1DFDE"/>
            </w:tcBorders>
          </w:tcPr>
          <w:p>
            <w:pPr>
              <w:spacing w:after="0"/>
              <w:rPr>
                <w:sz w:val="19"/>
                <w:szCs w:val="19"/>
                <w:color w:val="auto"/>
              </w:rPr>
            </w:pPr>
          </w:p>
        </w:tc>
        <w:tc>
          <w:tcPr>
            <w:tcW w:w="406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"Bylaws")</w:t>
            </w:r>
          </w:p>
        </w:tc>
      </w:tr>
      <w:tr>
        <w:trPr>
          <w:trHeight w:val="237"/>
        </w:trPr>
        <w:tc>
          <w:tcPr>
            <w:tcW w:w="3660" w:type="dxa"/>
            <w:vAlign w:val="bottom"/>
            <w:tcBorders>
              <w:bottom w:val="single" w:sz="8" w:color="307FE2"/>
            </w:tcBorders>
            <w:gridSpan w:val="2"/>
          </w:tcPr>
          <w:p>
            <w:pPr>
              <w:ind w:left="20"/>
              <w:spacing w:after="0"/>
              <w:rPr>
                <w:sz w:val="20"/>
                <w:szCs w:val="20"/>
                <w:color w:val="auto"/>
              </w:rPr>
            </w:pPr>
            <w:r>
              <w:rPr>
                <w:rFonts w:ascii="Verdana" w:cs="Verdana" w:eastAsia="Verdana" w:hAnsi="Verdana"/>
                <w:sz w:val="16"/>
                <w:szCs w:val="16"/>
                <w:b w:val="1"/>
                <w:bCs w:val="1"/>
                <w:color w:val="307FE2"/>
              </w:rPr>
              <w:t>Board Oversight</w:t>
            </w:r>
          </w:p>
        </w:tc>
        <w:tc>
          <w:tcPr>
            <w:tcW w:w="3520" w:type="dxa"/>
            <w:vAlign w:val="bottom"/>
            <w:tcBorders>
              <w:bottom w:val="single" w:sz="8" w:color="307FE2"/>
            </w:tcBorders>
          </w:tcPr>
          <w:p>
            <w:pPr>
              <w:spacing w:after="0"/>
              <w:rPr>
                <w:sz w:val="20"/>
                <w:szCs w:val="20"/>
                <w:color w:val="auto"/>
              </w:rPr>
            </w:pPr>
          </w:p>
        </w:tc>
        <w:tc>
          <w:tcPr>
            <w:tcW w:w="4060" w:type="dxa"/>
            <w:vAlign w:val="bottom"/>
            <w:tcBorders>
              <w:bottom w:val="single" w:sz="8" w:color="307FE2"/>
            </w:tcBorders>
          </w:tcPr>
          <w:p>
            <w:pPr>
              <w:spacing w:after="0"/>
              <w:rPr>
                <w:sz w:val="20"/>
                <w:szCs w:val="20"/>
                <w:color w:val="auto"/>
              </w:rPr>
            </w:pP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structured processes for</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The Board and its committees oversee</w:t>
            </w:r>
          </w:p>
        </w:tc>
        <w:tc>
          <w:tcPr>
            <w:tcW w:w="4060" w:type="dxa"/>
            <w:vAlign w:val="bottom"/>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The P&amp;C Committee oversees human capital</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the Board's oversight of the</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environmental, sustainability and</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management, the executive compensation</w:t>
            </w:r>
          </w:p>
        </w:tc>
      </w:tr>
      <w:tr>
        <w:trPr>
          <w:trHeight w:val="203"/>
        </w:trPr>
        <w:tc>
          <w:tcPr>
            <w:tcW w:w="200" w:type="dxa"/>
            <w:vAlign w:val="bottom"/>
          </w:tcPr>
          <w:p>
            <w:pPr>
              <w:spacing w:after="0"/>
              <w:rPr>
                <w:sz w:val="17"/>
                <w:szCs w:val="17"/>
                <w:color w:val="auto"/>
              </w:rPr>
            </w:pPr>
          </w:p>
        </w:tc>
        <w:tc>
          <w:tcPr>
            <w:tcW w:w="3460" w:type="dxa"/>
            <w:vAlign w:val="bottom"/>
          </w:tcPr>
          <w:p>
            <w:pPr>
              <w:ind w:left="240"/>
              <w:spacing w:after="0"/>
              <w:rPr>
                <w:sz w:val="20"/>
                <w:szCs w:val="20"/>
                <w:color w:val="auto"/>
              </w:rPr>
            </w:pPr>
            <w:r>
              <w:rPr>
                <w:rFonts w:ascii="Verdana" w:cs="Verdana" w:eastAsia="Verdana" w:hAnsi="Verdana"/>
                <w:sz w:val="16"/>
                <w:szCs w:val="16"/>
                <w:color w:val="231F20"/>
              </w:rPr>
              <w:t>Company's annual business plan</w:t>
            </w:r>
          </w:p>
        </w:tc>
        <w:tc>
          <w:tcPr>
            <w:tcW w:w="3520" w:type="dxa"/>
            <w:vAlign w:val="bottom"/>
          </w:tcPr>
          <w:p>
            <w:pPr>
              <w:ind w:left="200"/>
              <w:spacing w:after="0"/>
              <w:rPr>
                <w:sz w:val="20"/>
                <w:szCs w:val="20"/>
                <w:color w:val="auto"/>
              </w:rPr>
            </w:pPr>
            <w:r>
              <w:rPr>
                <w:rFonts w:ascii="Verdana" w:cs="Verdana" w:eastAsia="Verdana" w:hAnsi="Verdana"/>
                <w:sz w:val="16"/>
                <w:szCs w:val="16"/>
                <w:color w:val="231F20"/>
              </w:rPr>
              <w:t>governance matters</w:t>
            </w:r>
          </w:p>
        </w:tc>
        <w:tc>
          <w:tcPr>
            <w:tcW w:w="4060" w:type="dxa"/>
            <w:vAlign w:val="bottom"/>
          </w:tcPr>
          <w:p>
            <w:pPr>
              <w:ind w:left="340"/>
              <w:spacing w:after="0"/>
              <w:rPr>
                <w:sz w:val="20"/>
                <w:szCs w:val="20"/>
                <w:color w:val="auto"/>
              </w:rPr>
            </w:pPr>
            <w:r>
              <w:rPr>
                <w:rFonts w:ascii="Verdana" w:cs="Verdana" w:eastAsia="Verdana" w:hAnsi="Verdana"/>
                <w:sz w:val="16"/>
                <w:szCs w:val="16"/>
                <w:color w:val="231F20"/>
              </w:rPr>
              <w:t>programs, talent metrics and strategies</w:t>
            </w: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ind w:left="240"/>
              <w:spacing w:after="0"/>
              <w:rPr>
                <w:sz w:val="20"/>
                <w:szCs w:val="20"/>
                <w:color w:val="auto"/>
              </w:rPr>
            </w:pPr>
            <w:r>
              <w:rPr>
                <w:rFonts w:ascii="Verdana" w:cs="Verdana" w:eastAsia="Verdana" w:hAnsi="Verdana"/>
                <w:sz w:val="16"/>
                <w:szCs w:val="16"/>
                <w:color w:val="231F20"/>
              </w:rPr>
              <w:t>and corporate strategy</w:t>
            </w:r>
          </w:p>
        </w:tc>
        <w:tc>
          <w:tcPr>
            <w:tcW w:w="3520" w:type="dxa"/>
            <w:vAlign w:val="bottom"/>
            <w:tcBorders>
              <w:bottom w:val="single" w:sz="8" w:color="E1DFDE"/>
            </w:tcBorders>
          </w:tcPr>
          <w:p>
            <w:pPr>
              <w:spacing w:after="0"/>
              <w:rPr>
                <w:sz w:val="19"/>
                <w:szCs w:val="19"/>
                <w:color w:val="auto"/>
              </w:rPr>
            </w:pPr>
          </w:p>
        </w:tc>
        <w:tc>
          <w:tcPr>
            <w:tcW w:w="4060" w:type="dxa"/>
            <w:vAlign w:val="bottom"/>
            <w:tcBorders>
              <w:bottom w:val="single" w:sz="8" w:color="E1DFDE"/>
            </w:tcBorders>
          </w:tcPr>
          <w:p>
            <w:pPr>
              <w:spacing w:after="0"/>
              <w:rPr>
                <w:sz w:val="19"/>
                <w:szCs w:val="19"/>
                <w:color w:val="auto"/>
              </w:rPr>
            </w:pP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a regular review and</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The Audit Committee oversees the</w:t>
            </w:r>
          </w:p>
        </w:tc>
        <w:tc>
          <w:tcPr>
            <w:tcW w:w="4060" w:type="dxa"/>
            <w:vAlign w:val="bottom"/>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Management conducts a strategic and</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assessment of committee</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integrity of the Company's financial</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comprehensive succession planning review,</w:t>
            </w:r>
          </w:p>
        </w:tc>
      </w:tr>
      <w:tr>
        <w:trPr>
          <w:trHeight w:val="203"/>
        </w:trPr>
        <w:tc>
          <w:tcPr>
            <w:tcW w:w="200" w:type="dxa"/>
            <w:vAlign w:val="bottom"/>
          </w:tcPr>
          <w:p>
            <w:pPr>
              <w:spacing w:after="0"/>
              <w:rPr>
                <w:sz w:val="17"/>
                <w:szCs w:val="17"/>
                <w:color w:val="auto"/>
              </w:rPr>
            </w:pPr>
          </w:p>
        </w:tc>
        <w:tc>
          <w:tcPr>
            <w:tcW w:w="3460" w:type="dxa"/>
            <w:vAlign w:val="bottom"/>
          </w:tcPr>
          <w:p>
            <w:pPr>
              <w:ind w:left="240"/>
              <w:spacing w:after="0"/>
              <w:rPr>
                <w:sz w:val="20"/>
                <w:szCs w:val="20"/>
                <w:color w:val="auto"/>
              </w:rPr>
            </w:pPr>
            <w:r>
              <w:rPr>
                <w:rFonts w:ascii="Verdana" w:cs="Verdana" w:eastAsia="Verdana" w:hAnsi="Verdana"/>
                <w:sz w:val="16"/>
                <w:szCs w:val="16"/>
                <w:color w:val="231F20"/>
              </w:rPr>
              <w:t>responsibilities</w:t>
            </w:r>
          </w:p>
        </w:tc>
        <w:tc>
          <w:tcPr>
            <w:tcW w:w="3520" w:type="dxa"/>
            <w:vAlign w:val="bottom"/>
          </w:tcPr>
          <w:p>
            <w:pPr>
              <w:ind w:left="200"/>
              <w:spacing w:after="0"/>
              <w:rPr>
                <w:sz w:val="20"/>
                <w:szCs w:val="20"/>
                <w:color w:val="auto"/>
              </w:rPr>
            </w:pPr>
            <w:r>
              <w:rPr>
                <w:rFonts w:ascii="Verdana" w:cs="Verdana" w:eastAsia="Verdana" w:hAnsi="Verdana"/>
                <w:sz w:val="16"/>
                <w:szCs w:val="16"/>
                <w:color w:val="231F20"/>
              </w:rPr>
              <w:t>statements, related regulatory and</w:t>
            </w:r>
          </w:p>
        </w:tc>
        <w:tc>
          <w:tcPr>
            <w:tcW w:w="4060" w:type="dxa"/>
            <w:vAlign w:val="bottom"/>
          </w:tcPr>
          <w:p>
            <w:pPr>
              <w:ind w:left="340"/>
              <w:spacing w:after="0"/>
              <w:rPr>
                <w:sz w:val="20"/>
                <w:szCs w:val="20"/>
                <w:color w:val="auto"/>
              </w:rPr>
            </w:pPr>
            <w:r>
              <w:rPr>
                <w:rFonts w:ascii="Verdana" w:cs="Verdana" w:eastAsia="Verdana" w:hAnsi="Verdana"/>
                <w:sz w:val="16"/>
                <w:szCs w:val="16"/>
                <w:color w:val="231F20"/>
              </w:rPr>
              <w:t>leadership talent review and human capital</w:t>
            </w:r>
          </w:p>
        </w:tc>
      </w:tr>
      <w:tr>
        <w:trPr>
          <w:trHeight w:val="189"/>
        </w:trPr>
        <w:tc>
          <w:tcPr>
            <w:tcW w:w="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legal compliance, cybersecurity risk</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overview in a separate session with all Board</w:t>
            </w:r>
          </w:p>
        </w:tc>
      </w:tr>
      <w:tr>
        <w:trPr>
          <w:trHeight w:val="189"/>
        </w:trPr>
        <w:tc>
          <w:tcPr>
            <w:tcW w:w="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and compliance with Lear's Code of</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members annually</w:t>
            </w: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spacing w:after="0"/>
              <w:rPr>
                <w:sz w:val="19"/>
                <w:szCs w:val="19"/>
                <w:color w:val="auto"/>
              </w:rPr>
            </w:pPr>
          </w:p>
        </w:tc>
        <w:tc>
          <w:tcPr>
            <w:tcW w:w="3520" w:type="dxa"/>
            <w:vAlign w:val="bottom"/>
            <w:tcBorders>
              <w:bottom w:val="single" w:sz="8" w:color="E1DFDE"/>
            </w:tcBorders>
          </w:tcPr>
          <w:p>
            <w:pPr>
              <w:ind w:left="200"/>
              <w:spacing w:after="0"/>
              <w:rPr>
                <w:sz w:val="20"/>
                <w:szCs w:val="20"/>
                <w:color w:val="auto"/>
              </w:rPr>
            </w:pPr>
            <w:r>
              <w:rPr>
                <w:rFonts w:ascii="Verdana" w:cs="Verdana" w:eastAsia="Verdana" w:hAnsi="Verdana"/>
                <w:sz w:val="16"/>
                <w:szCs w:val="16"/>
                <w:color w:val="231F20"/>
              </w:rPr>
              <w:t>Conduct &amp; Business Ethics</w:t>
            </w:r>
          </w:p>
        </w:tc>
        <w:tc>
          <w:tcPr>
            <w:tcW w:w="4060" w:type="dxa"/>
            <w:vAlign w:val="bottom"/>
            <w:tcBorders>
              <w:bottom w:val="single" w:sz="8" w:color="E1DFDE"/>
            </w:tcBorders>
          </w:tcPr>
          <w:p>
            <w:pPr>
              <w:spacing w:after="0"/>
              <w:rPr>
                <w:sz w:val="19"/>
                <w:szCs w:val="19"/>
                <w:color w:val="auto"/>
              </w:rPr>
            </w:pP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structured and robust</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The Governance and Sustainability</w:t>
            </w:r>
          </w:p>
        </w:tc>
        <w:tc>
          <w:tcPr>
            <w:tcW w:w="4060" w:type="dxa"/>
            <w:vAlign w:val="bottom"/>
          </w:tcPr>
          <w:p>
            <w:pPr>
              <w:spacing w:after="0"/>
              <w:rPr>
                <w:sz w:val="18"/>
                <w:szCs w:val="18"/>
                <w:color w:val="auto"/>
              </w:rPr>
            </w:pP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process for the Board’s assessment</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Committee (the "G&amp;S Committee")</w:t>
            </w:r>
          </w:p>
        </w:tc>
        <w:tc>
          <w:tcPr>
            <w:tcW w:w="4060" w:type="dxa"/>
            <w:vAlign w:val="bottom"/>
          </w:tcPr>
          <w:p>
            <w:pPr>
              <w:spacing w:after="0"/>
              <w:rPr>
                <w:sz w:val="16"/>
                <w:szCs w:val="16"/>
                <w:color w:val="auto"/>
              </w:rPr>
            </w:pPr>
          </w:p>
        </w:tc>
      </w:tr>
      <w:tr>
        <w:trPr>
          <w:trHeight w:val="203"/>
        </w:trPr>
        <w:tc>
          <w:tcPr>
            <w:tcW w:w="200" w:type="dxa"/>
            <w:vAlign w:val="bottom"/>
          </w:tcPr>
          <w:p>
            <w:pPr>
              <w:spacing w:after="0"/>
              <w:rPr>
                <w:sz w:val="17"/>
                <w:szCs w:val="17"/>
                <w:color w:val="auto"/>
              </w:rPr>
            </w:pPr>
          </w:p>
        </w:tc>
        <w:tc>
          <w:tcPr>
            <w:tcW w:w="3460" w:type="dxa"/>
            <w:vAlign w:val="bottom"/>
          </w:tcPr>
          <w:p>
            <w:pPr>
              <w:ind w:left="240"/>
              <w:spacing w:after="0"/>
              <w:rPr>
                <w:sz w:val="20"/>
                <w:szCs w:val="20"/>
                <w:color w:val="auto"/>
              </w:rPr>
            </w:pPr>
            <w:r>
              <w:rPr>
                <w:rFonts w:ascii="Verdana" w:cs="Verdana" w:eastAsia="Verdana" w:hAnsi="Verdana"/>
                <w:sz w:val="16"/>
                <w:szCs w:val="16"/>
                <w:color w:val="231F20"/>
              </w:rPr>
              <w:t>and oversight of key business risks</w:t>
            </w:r>
          </w:p>
        </w:tc>
        <w:tc>
          <w:tcPr>
            <w:tcW w:w="3520" w:type="dxa"/>
            <w:vAlign w:val="bottom"/>
          </w:tcPr>
          <w:p>
            <w:pPr>
              <w:ind w:left="200"/>
              <w:spacing w:after="0"/>
              <w:rPr>
                <w:sz w:val="20"/>
                <w:szCs w:val="20"/>
                <w:color w:val="auto"/>
              </w:rPr>
            </w:pPr>
            <w:r>
              <w:rPr>
                <w:rFonts w:ascii="Verdana" w:cs="Verdana" w:eastAsia="Verdana" w:hAnsi="Verdana"/>
                <w:sz w:val="16"/>
                <w:szCs w:val="16"/>
                <w:color w:val="231F20"/>
              </w:rPr>
              <w:t>oversees corporate governance and</w:t>
            </w:r>
          </w:p>
        </w:tc>
        <w:tc>
          <w:tcPr>
            <w:tcW w:w="4060" w:type="dxa"/>
            <w:vAlign w:val="bottom"/>
          </w:tcPr>
          <w:p>
            <w:pPr>
              <w:spacing w:after="0"/>
              <w:rPr>
                <w:sz w:val="17"/>
                <w:szCs w:val="17"/>
                <w:color w:val="auto"/>
              </w:rPr>
            </w:pP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spacing w:after="0"/>
              <w:rPr>
                <w:sz w:val="19"/>
                <w:szCs w:val="19"/>
                <w:color w:val="auto"/>
              </w:rPr>
            </w:pPr>
          </w:p>
        </w:tc>
        <w:tc>
          <w:tcPr>
            <w:tcW w:w="3520" w:type="dxa"/>
            <w:vAlign w:val="bottom"/>
            <w:tcBorders>
              <w:bottom w:val="single" w:sz="8" w:color="E1DFDE"/>
            </w:tcBorders>
          </w:tcPr>
          <w:p>
            <w:pPr>
              <w:ind w:left="200"/>
              <w:spacing w:after="0"/>
              <w:rPr>
                <w:sz w:val="20"/>
                <w:szCs w:val="20"/>
                <w:color w:val="auto"/>
              </w:rPr>
            </w:pPr>
            <w:r>
              <w:rPr>
                <w:rFonts w:ascii="Verdana" w:cs="Verdana" w:eastAsia="Verdana" w:hAnsi="Verdana"/>
                <w:sz w:val="16"/>
                <w:szCs w:val="16"/>
                <w:color w:val="231F20"/>
              </w:rPr>
              <w:t>sustainability matters</w:t>
            </w:r>
          </w:p>
        </w:tc>
        <w:tc>
          <w:tcPr>
            <w:tcW w:w="4060" w:type="dxa"/>
            <w:vAlign w:val="bottom"/>
            <w:tcBorders>
              <w:bottom w:val="single" w:sz="8" w:color="E1DFDE"/>
            </w:tcBorders>
          </w:tcPr>
          <w:p>
            <w:pPr>
              <w:spacing w:after="0"/>
              <w:rPr>
                <w:sz w:val="19"/>
                <w:szCs w:val="19"/>
                <w:color w:val="auto"/>
              </w:rPr>
            </w:pPr>
          </w:p>
        </w:tc>
      </w:tr>
      <w:tr>
        <w:trPr>
          <w:trHeight w:val="237"/>
        </w:trPr>
        <w:tc>
          <w:tcPr>
            <w:tcW w:w="3660" w:type="dxa"/>
            <w:vAlign w:val="bottom"/>
            <w:tcBorders>
              <w:bottom w:val="single" w:sz="8" w:color="307FE2"/>
            </w:tcBorders>
            <w:gridSpan w:val="2"/>
          </w:tcPr>
          <w:p>
            <w:pPr>
              <w:ind w:left="20"/>
              <w:spacing w:after="0"/>
              <w:rPr>
                <w:sz w:val="20"/>
                <w:szCs w:val="20"/>
                <w:color w:val="auto"/>
              </w:rPr>
            </w:pPr>
            <w:r>
              <w:rPr>
                <w:rFonts w:ascii="Verdana" w:cs="Verdana" w:eastAsia="Verdana" w:hAnsi="Verdana"/>
                <w:sz w:val="16"/>
                <w:szCs w:val="16"/>
                <w:b w:val="1"/>
                <w:bCs w:val="1"/>
                <w:color w:val="307FE2"/>
              </w:rPr>
              <w:t>Strong Corporate Governance Practices</w:t>
            </w:r>
          </w:p>
        </w:tc>
        <w:tc>
          <w:tcPr>
            <w:tcW w:w="3520" w:type="dxa"/>
            <w:vAlign w:val="bottom"/>
            <w:tcBorders>
              <w:bottom w:val="single" w:sz="8" w:color="307FE2"/>
            </w:tcBorders>
          </w:tcPr>
          <w:p>
            <w:pPr>
              <w:spacing w:after="0"/>
              <w:rPr>
                <w:sz w:val="20"/>
                <w:szCs w:val="20"/>
                <w:color w:val="auto"/>
              </w:rPr>
            </w:pPr>
          </w:p>
        </w:tc>
        <w:tc>
          <w:tcPr>
            <w:tcW w:w="4060" w:type="dxa"/>
            <w:vAlign w:val="bottom"/>
            <w:tcBorders>
              <w:bottom w:val="single" w:sz="8" w:color="307FE2"/>
            </w:tcBorders>
          </w:tcPr>
          <w:p>
            <w:pPr>
              <w:spacing w:after="0"/>
              <w:rPr>
                <w:sz w:val="20"/>
                <w:szCs w:val="20"/>
                <w:color w:val="auto"/>
              </w:rPr>
            </w:pP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maintain robust share</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responsive, active and</w:t>
            </w:r>
          </w:p>
        </w:tc>
        <w:tc>
          <w:tcPr>
            <w:tcW w:w="4060" w:type="dxa"/>
            <w:vAlign w:val="bottom"/>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adopted a comprehensive</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ownership guidelines for executive</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ongoing shareholder engagement</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sustainability strategy and corresponding</w:t>
            </w: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ind w:left="240"/>
              <w:spacing w:after="0"/>
              <w:rPr>
                <w:sz w:val="20"/>
                <w:szCs w:val="20"/>
                <w:color w:val="auto"/>
              </w:rPr>
            </w:pPr>
            <w:r>
              <w:rPr>
                <w:rFonts w:ascii="Verdana" w:cs="Verdana" w:eastAsia="Verdana" w:hAnsi="Verdana"/>
                <w:sz w:val="16"/>
                <w:szCs w:val="16"/>
                <w:color w:val="231F20"/>
              </w:rPr>
              <w:t>officers and directors</w:t>
            </w:r>
          </w:p>
        </w:tc>
        <w:tc>
          <w:tcPr>
            <w:tcW w:w="3520" w:type="dxa"/>
            <w:vAlign w:val="bottom"/>
            <w:tcBorders>
              <w:bottom w:val="single" w:sz="8" w:color="E1DFDE"/>
            </w:tcBorders>
          </w:tcPr>
          <w:p>
            <w:pPr>
              <w:ind w:left="200"/>
              <w:spacing w:after="0"/>
              <w:rPr>
                <w:sz w:val="20"/>
                <w:szCs w:val="20"/>
                <w:color w:val="auto"/>
              </w:rPr>
            </w:pPr>
            <w:r>
              <w:rPr>
                <w:rFonts w:ascii="Verdana" w:cs="Verdana" w:eastAsia="Verdana" w:hAnsi="Verdana"/>
                <w:sz w:val="16"/>
                <w:szCs w:val="16"/>
                <w:color w:val="231F20"/>
              </w:rPr>
              <w:t>program</w:t>
            </w:r>
          </w:p>
        </w:tc>
        <w:tc>
          <w:tcPr>
            <w:tcW w:w="406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goals</w:t>
            </w: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prohibit hedging and pledging</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robust Code of Business</w:t>
            </w:r>
          </w:p>
        </w:tc>
        <w:tc>
          <w:tcPr>
            <w:tcW w:w="4060" w:type="dxa"/>
            <w:vAlign w:val="bottom"/>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an annual risk assessment of</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transactions by executive officers</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Conduct &amp; Ethics for employees and</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compensation programs, practices and</w:t>
            </w:r>
          </w:p>
        </w:tc>
      </w:tr>
      <w:tr>
        <w:trPr>
          <w:trHeight w:val="224"/>
        </w:trPr>
        <w:tc>
          <w:tcPr>
            <w:tcW w:w="200" w:type="dxa"/>
            <w:vAlign w:val="bottom"/>
            <w:tcBorders>
              <w:bottom w:val="single" w:sz="8" w:color="E1DFDE"/>
            </w:tcBorders>
          </w:tcPr>
          <w:p>
            <w:pPr>
              <w:spacing w:after="0"/>
              <w:rPr>
                <w:sz w:val="19"/>
                <w:szCs w:val="19"/>
                <w:color w:val="auto"/>
              </w:rPr>
            </w:pPr>
          </w:p>
        </w:tc>
        <w:tc>
          <w:tcPr>
            <w:tcW w:w="3460" w:type="dxa"/>
            <w:vAlign w:val="bottom"/>
            <w:tcBorders>
              <w:bottom w:val="single" w:sz="8" w:color="E1DFDE"/>
            </w:tcBorders>
          </w:tcPr>
          <w:p>
            <w:pPr>
              <w:ind w:left="240"/>
              <w:spacing w:after="0"/>
              <w:rPr>
                <w:sz w:val="20"/>
                <w:szCs w:val="20"/>
                <w:color w:val="auto"/>
              </w:rPr>
            </w:pPr>
            <w:r>
              <w:rPr>
                <w:rFonts w:ascii="Verdana" w:cs="Verdana" w:eastAsia="Verdana" w:hAnsi="Verdana"/>
                <w:sz w:val="16"/>
                <w:szCs w:val="16"/>
                <w:color w:val="231F20"/>
              </w:rPr>
              <w:t>and directors</w:t>
            </w:r>
          </w:p>
        </w:tc>
        <w:tc>
          <w:tcPr>
            <w:tcW w:w="3520" w:type="dxa"/>
            <w:vAlign w:val="bottom"/>
            <w:tcBorders>
              <w:bottom w:val="single" w:sz="8" w:color="E1DFDE"/>
            </w:tcBorders>
          </w:tcPr>
          <w:p>
            <w:pPr>
              <w:ind w:left="200"/>
              <w:spacing w:after="0"/>
              <w:rPr>
                <w:sz w:val="20"/>
                <w:szCs w:val="20"/>
                <w:color w:val="auto"/>
              </w:rPr>
            </w:pPr>
            <w:r>
              <w:rPr>
                <w:rFonts w:ascii="Verdana" w:cs="Verdana" w:eastAsia="Verdana" w:hAnsi="Verdana"/>
                <w:sz w:val="16"/>
                <w:szCs w:val="16"/>
                <w:color w:val="231F20"/>
              </w:rPr>
              <w:t>directors</w:t>
            </w:r>
          </w:p>
        </w:tc>
        <w:tc>
          <w:tcPr>
            <w:tcW w:w="406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policies</w:t>
            </w:r>
          </w:p>
        </w:tc>
      </w:tr>
      <w:tr>
        <w:trPr>
          <w:trHeight w:val="215"/>
        </w:trPr>
        <w:tc>
          <w:tcPr>
            <w:tcW w:w="2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supplemental Improper</w:t>
            </w:r>
          </w:p>
        </w:tc>
        <w:tc>
          <w:tcPr>
            <w:tcW w:w="3520" w:type="dxa"/>
            <w:vAlign w:val="bottom"/>
          </w:tcPr>
          <w:p>
            <w:pPr>
              <w:ind w:left="4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limits on annual director</w:t>
            </w:r>
          </w:p>
        </w:tc>
        <w:tc>
          <w:tcPr>
            <w:tcW w:w="4060" w:type="dxa"/>
            <w:vAlign w:val="bottom"/>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annual Board and committee</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Conduct compensation clawback</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compensation, and limits on the</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self-assessments, and in 2024, our directors</w:t>
            </w:r>
          </w:p>
        </w:tc>
      </w:tr>
      <w:tr>
        <w:trPr>
          <w:trHeight w:val="203"/>
        </w:trPr>
        <w:tc>
          <w:tcPr>
            <w:tcW w:w="200" w:type="dxa"/>
            <w:vAlign w:val="bottom"/>
          </w:tcPr>
          <w:p>
            <w:pPr>
              <w:spacing w:after="0"/>
              <w:rPr>
                <w:sz w:val="17"/>
                <w:szCs w:val="17"/>
                <w:color w:val="auto"/>
              </w:rPr>
            </w:pPr>
          </w:p>
        </w:tc>
        <w:tc>
          <w:tcPr>
            <w:tcW w:w="3460" w:type="dxa"/>
            <w:vAlign w:val="bottom"/>
          </w:tcPr>
          <w:p>
            <w:pPr>
              <w:ind w:left="240"/>
              <w:spacing w:after="0"/>
              <w:rPr>
                <w:sz w:val="20"/>
                <w:szCs w:val="20"/>
                <w:color w:val="auto"/>
              </w:rPr>
            </w:pPr>
            <w:r>
              <w:rPr>
                <w:rFonts w:ascii="Verdana" w:cs="Verdana" w:eastAsia="Verdana" w:hAnsi="Verdana"/>
                <w:sz w:val="16"/>
                <w:szCs w:val="16"/>
                <w:color w:val="231F20"/>
              </w:rPr>
              <w:t>policy in addition to clawbacks</w:t>
            </w:r>
          </w:p>
        </w:tc>
        <w:tc>
          <w:tcPr>
            <w:tcW w:w="3520" w:type="dxa"/>
            <w:vAlign w:val="bottom"/>
          </w:tcPr>
          <w:p>
            <w:pPr>
              <w:ind w:left="200"/>
              <w:spacing w:after="0"/>
              <w:rPr>
                <w:sz w:val="20"/>
                <w:szCs w:val="20"/>
                <w:color w:val="auto"/>
              </w:rPr>
            </w:pPr>
            <w:r>
              <w:rPr>
                <w:rFonts w:ascii="Verdana" w:cs="Verdana" w:eastAsia="Verdana" w:hAnsi="Verdana"/>
                <w:sz w:val="16"/>
                <w:szCs w:val="16"/>
                <w:color w:val="231F20"/>
              </w:rPr>
              <w:t>number of other public company</w:t>
            </w:r>
          </w:p>
        </w:tc>
        <w:tc>
          <w:tcPr>
            <w:tcW w:w="4060" w:type="dxa"/>
            <w:vAlign w:val="bottom"/>
          </w:tcPr>
          <w:p>
            <w:pPr>
              <w:ind w:left="340"/>
              <w:spacing w:after="0"/>
              <w:rPr>
                <w:sz w:val="20"/>
                <w:szCs w:val="20"/>
                <w:color w:val="auto"/>
              </w:rPr>
            </w:pPr>
            <w:r>
              <w:rPr>
                <w:rFonts w:ascii="Verdana" w:cs="Verdana" w:eastAsia="Verdana" w:hAnsi="Verdana"/>
                <w:sz w:val="16"/>
                <w:szCs w:val="16"/>
                <w:color w:val="231F20"/>
              </w:rPr>
              <w:t>completed board effectiveness surveys,</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required by law, regulation, or</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boards and other public company</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which included in-depth director interviews</w:t>
            </w:r>
          </w:p>
        </w:tc>
      </w:tr>
      <w:tr>
        <w:trPr>
          <w:trHeight w:val="189"/>
        </w:trPr>
        <w:tc>
          <w:tcPr>
            <w:tcW w:w="200" w:type="dxa"/>
            <w:vAlign w:val="bottom"/>
          </w:tcPr>
          <w:p>
            <w:pPr>
              <w:spacing w:after="0"/>
              <w:rPr>
                <w:sz w:val="16"/>
                <w:szCs w:val="16"/>
                <w:color w:val="auto"/>
              </w:rPr>
            </w:pPr>
          </w:p>
        </w:tc>
        <w:tc>
          <w:tcPr>
            <w:tcW w:w="3460" w:type="dxa"/>
            <w:vAlign w:val="bottom"/>
          </w:tcPr>
          <w:p>
            <w:pPr>
              <w:ind w:left="240"/>
              <w:spacing w:after="0" w:line="189" w:lineRule="exact"/>
              <w:rPr>
                <w:sz w:val="20"/>
                <w:szCs w:val="20"/>
                <w:color w:val="auto"/>
              </w:rPr>
            </w:pPr>
            <w:r>
              <w:rPr>
                <w:rFonts w:ascii="Verdana" w:cs="Verdana" w:eastAsia="Verdana" w:hAnsi="Verdana"/>
                <w:sz w:val="16"/>
                <w:szCs w:val="16"/>
                <w:color w:val="231F20"/>
              </w:rPr>
              <w:t>applicable listing standard</w:t>
            </w:r>
          </w:p>
        </w:tc>
        <w:tc>
          <w:tcPr>
            <w:tcW w:w="3520" w:type="dxa"/>
            <w:vAlign w:val="bottom"/>
          </w:tcPr>
          <w:p>
            <w:pPr>
              <w:ind w:left="200"/>
              <w:spacing w:after="0" w:line="189" w:lineRule="exact"/>
              <w:rPr>
                <w:sz w:val="20"/>
                <w:szCs w:val="20"/>
                <w:color w:val="auto"/>
              </w:rPr>
            </w:pPr>
            <w:r>
              <w:rPr>
                <w:rFonts w:ascii="Verdana" w:cs="Verdana" w:eastAsia="Verdana" w:hAnsi="Verdana"/>
                <w:sz w:val="16"/>
                <w:szCs w:val="16"/>
                <w:color w:val="231F20"/>
              </w:rPr>
              <w:t>board audit committees on which</w:t>
            </w:r>
          </w:p>
        </w:tc>
        <w:tc>
          <w:tcPr>
            <w:tcW w:w="4060" w:type="dxa"/>
            <w:vAlign w:val="bottom"/>
          </w:tcPr>
          <w:p>
            <w:pPr>
              <w:ind w:left="340"/>
              <w:spacing w:after="0" w:line="189" w:lineRule="exact"/>
              <w:rPr>
                <w:sz w:val="20"/>
                <w:szCs w:val="20"/>
                <w:color w:val="auto"/>
              </w:rPr>
            </w:pPr>
            <w:r>
              <w:rPr>
                <w:rFonts w:ascii="Verdana" w:cs="Verdana" w:eastAsia="Verdana" w:hAnsi="Verdana"/>
                <w:sz w:val="16"/>
                <w:szCs w:val="16"/>
                <w:color w:val="231F20"/>
              </w:rPr>
              <w:t>conducted by an independent third-party</w:t>
            </w:r>
          </w:p>
        </w:tc>
      </w:tr>
      <w:tr>
        <w:trPr>
          <w:trHeight w:val="224"/>
        </w:trPr>
        <w:tc>
          <w:tcPr>
            <w:tcW w:w="2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ind w:left="200"/>
              <w:spacing w:after="0"/>
              <w:rPr>
                <w:sz w:val="20"/>
                <w:szCs w:val="20"/>
                <w:color w:val="auto"/>
              </w:rPr>
            </w:pPr>
            <w:r>
              <w:rPr>
                <w:rFonts w:ascii="Verdana" w:cs="Verdana" w:eastAsia="Verdana" w:hAnsi="Verdana"/>
                <w:sz w:val="16"/>
                <w:szCs w:val="16"/>
                <w:color w:val="231F20"/>
              </w:rPr>
              <w:t>directors may serve</w:t>
            </w:r>
          </w:p>
        </w:tc>
        <w:tc>
          <w:tcPr>
            <w:tcW w:w="4060" w:type="dxa"/>
            <w:vAlign w:val="bottom"/>
            <w:tcBorders>
              <w:bottom w:val="single" w:sz="8" w:color="auto"/>
            </w:tcBorders>
          </w:tcPr>
          <w:p>
            <w:pPr>
              <w:ind w:left="340"/>
              <w:spacing w:after="0"/>
              <w:rPr>
                <w:sz w:val="20"/>
                <w:szCs w:val="20"/>
                <w:color w:val="auto"/>
              </w:rPr>
            </w:pPr>
            <w:r>
              <w:rPr>
                <w:rFonts w:ascii="Verdana" w:cs="Verdana" w:eastAsia="Verdana" w:hAnsi="Verdana"/>
                <w:sz w:val="16"/>
                <w:szCs w:val="16"/>
                <w:color w:val="231F20"/>
              </w:rPr>
              <w:t>firm</w:t>
            </w:r>
          </w:p>
        </w:tc>
      </w:tr>
      <w:tr>
        <w:trPr>
          <w:trHeight w:val="851"/>
        </w:trPr>
        <w:tc>
          <w:tcPr>
            <w:tcW w:w="200" w:type="dxa"/>
            <w:vAlign w:val="bottom"/>
          </w:tcPr>
          <w:p>
            <w:pPr>
              <w:ind w:left="20"/>
              <w:spacing w:after="0"/>
              <w:rPr>
                <w:sz w:val="20"/>
                <w:szCs w:val="20"/>
                <w:color w:val="auto"/>
              </w:rPr>
            </w:pPr>
            <w:r>
              <w:rPr>
                <w:rFonts w:ascii="Verdana" w:cs="Verdana" w:eastAsia="Verdana" w:hAnsi="Verdana"/>
                <w:sz w:val="18"/>
                <w:szCs w:val="18"/>
                <w:color w:val="auto"/>
              </w:rPr>
              <w:t>6</w:t>
            </w:r>
          </w:p>
        </w:tc>
        <w:tc>
          <w:tcPr>
            <w:tcW w:w="3460" w:type="dxa"/>
            <w:vAlign w:val="bottom"/>
          </w:tcPr>
          <w:p>
            <w:pPr>
              <w:ind w:left="360"/>
              <w:spacing w:after="0"/>
              <w:rPr>
                <w:sz w:val="20"/>
                <w:szCs w:val="20"/>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tc>
        <w:tc>
          <w:tcPr>
            <w:tcW w:w="35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31"/>
        </w:trPr>
        <w:tc>
          <w:tcPr>
            <w:tcW w:w="2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970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Shareholder Outreach and Engagement</w:t>
      </w:r>
    </w:p>
    <w:p>
      <w:pPr>
        <w:spacing w:after="0" w:line="131"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color w:val="auto"/>
        </w:rPr>
        <w:t>We believe that strong corporate governance practices should include regular outreach and conversations with our shareholders. Our Board also reviews material shareholder engagements, as well as any shareholder inquiries directly related to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172200" cy="968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Verdana" w:cs="Verdana" w:eastAsia="Verdana" w:hAnsi="Verdana"/>
          <w:sz w:val="16"/>
          <w:szCs w:val="16"/>
          <w:color w:val="auto"/>
        </w:rPr>
        <w:t>We regularly discuss our business outlook, financial performance, strategic priorities, industry dynamics, compensation, sustainability</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initiatives, corporate governance and other topics of importance with investors. We actively engage with shareholders of all sizes through a combination of virtual and in-person engagements, including our annual meeting, our website, investor conferences and one-on-one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meetings when appropriate.</w:t>
      </w:r>
    </w:p>
    <w:p>
      <w:pPr>
        <w:spacing w:after="0" w:line="103"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During 2024, we engaged with shareholders representing 70% of our outstanding shares. We also had 253 interactions with 116 institutions during 2024 as part of our regular ongoing shareholder engagement. These regular engagements allow us to obtain feedback</w:t>
      </w:r>
    </w:p>
    <w:p>
      <w:pPr>
        <w:spacing w:after="0" w:line="1"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on our shareholders’ perception and understanding of our markets, business and industry. We are committed to maintaining an active dialogue with investors to better understand their perspectives and consider their input.</w:t>
      </w:r>
    </w:p>
    <w:p>
      <w:pPr>
        <w:spacing w:after="0" w:line="32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2025 Annual Meeting of Shareholders</w:t>
      </w:r>
    </w:p>
    <w:p>
      <w:pPr>
        <w:spacing w:after="0" w:line="159" w:lineRule="exact"/>
        <w:rPr>
          <w:sz w:val="20"/>
          <w:szCs w:val="20"/>
          <w:color w:val="auto"/>
        </w:rPr>
      </w:pPr>
    </w:p>
    <w:p>
      <w:pPr>
        <w:ind w:left="580" w:right="180" w:hanging="248"/>
        <w:spacing w:after="0" w:line="253" w:lineRule="auto"/>
        <w:tabs>
          <w:tab w:leader="none" w:pos="574"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Date and Time</w:t>
      </w:r>
      <w:r>
        <w:rPr>
          <w:rFonts w:ascii="Verdana" w:cs="Verdana" w:eastAsia="Verdana" w:hAnsi="Verdana"/>
          <w:sz w:val="16"/>
          <w:szCs w:val="16"/>
          <w:color w:val="auto"/>
        </w:rPr>
        <w:t>: May 16, 2025, 9:00 a.m. (Eastern Time). Online check-in will be available at 8:30 a.m. (Eastern Time). Please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allow ample time for the online check-in process.</w:t>
      </w:r>
    </w:p>
    <w:p>
      <w:pPr>
        <w:spacing w:after="0" w:line="76" w:lineRule="exact"/>
        <w:rPr>
          <w:rFonts w:ascii="Verdana" w:cs="Verdana" w:eastAsia="Verdana" w:hAnsi="Verdana"/>
          <w:sz w:val="16"/>
          <w:szCs w:val="16"/>
          <w:color w:val="auto"/>
        </w:rPr>
      </w:pPr>
    </w:p>
    <w:p>
      <w:pPr>
        <w:jc w:val="both"/>
        <w:ind w:left="580" w:right="40" w:hanging="248"/>
        <w:spacing w:after="0" w:line="251" w:lineRule="auto"/>
        <w:tabs>
          <w:tab w:leader="none" w:pos="574"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Location</w:t>
      </w:r>
      <w:r>
        <w:rPr>
          <w:rFonts w:ascii="Verdana" w:cs="Verdana" w:eastAsia="Verdana" w:hAnsi="Verdana"/>
          <w:sz w:val="16"/>
          <w:szCs w:val="16"/>
          <w:color w:val="auto"/>
        </w:rPr>
        <w:t>: The Annual Meeting will be held through a virtual web conference at www.virtualshareholdermeeting.com/LEA2025. To</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participate in the Annual Meeting, you will need your 16-digit control number included in your Notice of Internet Availability of the Proxy Materials, on your proxy card, or in any additional voting instructions accompanying these proxy materials.</w:t>
      </w:r>
    </w:p>
    <w:p>
      <w:pPr>
        <w:spacing w:after="0" w:line="91"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Record Date</w:t>
      </w:r>
      <w:r>
        <w:rPr>
          <w:rFonts w:ascii="Verdana" w:cs="Verdana" w:eastAsia="Verdana" w:hAnsi="Verdana"/>
          <w:sz w:val="16"/>
          <w:szCs w:val="16"/>
          <w:color w:val="auto"/>
        </w:rPr>
        <w:t>: March 18, 2025</w:t>
      </w:r>
    </w:p>
    <w:p>
      <w:pPr>
        <w:spacing w:after="0" w:line="102" w:lineRule="exact"/>
        <w:rPr>
          <w:rFonts w:ascii="Verdana" w:cs="Verdana" w:eastAsia="Verdana" w:hAnsi="Verdana"/>
          <w:sz w:val="16"/>
          <w:szCs w:val="16"/>
          <w:color w:val="auto"/>
        </w:rPr>
      </w:pPr>
    </w:p>
    <w:p>
      <w:pPr>
        <w:ind w:left="580" w:right="160" w:hanging="248"/>
        <w:spacing w:after="0" w:line="253" w:lineRule="auto"/>
        <w:tabs>
          <w:tab w:leader="none" w:pos="574"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Voting</w:t>
      </w:r>
      <w:r>
        <w:rPr>
          <w:rFonts w:ascii="Verdana" w:cs="Verdana" w:eastAsia="Verdana" w:hAnsi="Verdana"/>
          <w:sz w:val="16"/>
          <w:szCs w:val="16"/>
          <w:color w:val="auto"/>
        </w:rPr>
        <w:t>: Shareholders as of the close of business on the record date are entitled to vote. Each share of common stock is entitled</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to one vote for each director nominee and one vote for the other proposals to be voted on.</w:t>
      </w:r>
    </w:p>
    <w:p>
      <w:pPr>
        <w:spacing w:after="0" w:line="89"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Shares of Common Stock Outstanding (as of the record date)</w:t>
      </w:r>
      <w:r>
        <w:rPr>
          <w:rFonts w:ascii="Verdana" w:cs="Verdana" w:eastAsia="Verdana" w:hAnsi="Verdana"/>
          <w:sz w:val="16"/>
          <w:szCs w:val="16"/>
          <w:color w:val="auto"/>
        </w:rPr>
        <w:t>: 53,540,555</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Stock Symbol</w:t>
      </w:r>
      <w:r>
        <w:rPr>
          <w:rFonts w:ascii="Verdana" w:cs="Verdana" w:eastAsia="Verdana" w:hAnsi="Verdana"/>
          <w:sz w:val="16"/>
          <w:szCs w:val="16"/>
          <w:color w:val="auto"/>
        </w:rPr>
        <w:t>: LEA</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Exchange</w:t>
      </w:r>
      <w:r>
        <w:rPr>
          <w:rFonts w:ascii="Verdana" w:cs="Verdana" w:eastAsia="Verdana" w:hAnsi="Verdana"/>
          <w:sz w:val="16"/>
          <w:szCs w:val="16"/>
          <w:color w:val="auto"/>
        </w:rPr>
        <w:t>: New York Stock Exchange (“NYSE”)</w:t>
      </w:r>
    </w:p>
    <w:p>
      <w:pPr>
        <w:spacing w:after="0" w:line="116"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Registrar &amp; Transfer Agent</w:t>
      </w:r>
      <w:r>
        <w:rPr>
          <w:rFonts w:ascii="Verdana" w:cs="Verdana" w:eastAsia="Verdana" w:hAnsi="Verdana"/>
          <w:sz w:val="16"/>
          <w:szCs w:val="16"/>
          <w:color w:val="auto"/>
        </w:rPr>
        <w:t>: Computershare Trust Company, N.A.</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Principal Executive Office</w:t>
      </w:r>
      <w:r>
        <w:rPr>
          <w:rFonts w:ascii="Verdana" w:cs="Verdana" w:eastAsia="Verdana" w:hAnsi="Verdana"/>
          <w:sz w:val="16"/>
          <w:szCs w:val="16"/>
          <w:color w:val="auto"/>
        </w:rPr>
        <w:t>: 21557 Telegraph Road, Southfield, Michigan 48033</w:t>
      </w:r>
    </w:p>
    <w:p>
      <w:pPr>
        <w:spacing w:after="0" w:line="116"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Corporate Website</w:t>
      </w:r>
      <w:r>
        <w:rPr>
          <w:rFonts w:ascii="Verdana" w:cs="Verdana" w:eastAsia="Verdana" w:hAnsi="Verdana"/>
          <w:sz w:val="16"/>
          <w:szCs w:val="16"/>
          <w:color w:val="auto"/>
        </w:rPr>
        <w:t>: lear.com</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4"/>
        </w:numPr>
        <w:rPr>
          <w:rFonts w:ascii="Verdana" w:cs="Verdana" w:eastAsia="Verdana" w:hAnsi="Verdana"/>
          <w:sz w:val="16"/>
          <w:szCs w:val="16"/>
          <w:color w:val="auto"/>
        </w:rPr>
      </w:pPr>
      <w:r>
        <w:rPr>
          <w:rFonts w:ascii="Verdana" w:cs="Verdana" w:eastAsia="Verdana" w:hAnsi="Verdana"/>
          <w:sz w:val="16"/>
          <w:szCs w:val="16"/>
          <w:b w:val="1"/>
          <w:bCs w:val="1"/>
          <w:color w:val="auto"/>
        </w:rPr>
        <w:t>Investor Relations Website</w:t>
      </w:r>
      <w:r>
        <w:rPr>
          <w:rFonts w:ascii="Verdana" w:cs="Verdana" w:eastAsia="Verdana" w:hAnsi="Verdana"/>
          <w:sz w:val="16"/>
          <w:szCs w:val="16"/>
          <w:color w:val="auto"/>
        </w:rPr>
        <w:t>: https://ir.lear.com/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8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7</w:t>
            </w:r>
          </w:p>
        </w:tc>
      </w:tr>
      <w:tr>
        <w:trPr>
          <w:trHeight w:val="318"/>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Items to be Voted 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1D428A"/>
              </w:rPr>
              <w:t>Our Board’s</w:t>
            </w:r>
          </w:p>
        </w:tc>
      </w:tr>
      <w:tr>
        <w:trPr>
          <w:trHeight w:val="187"/>
        </w:trPr>
        <w:tc>
          <w:tcPr>
            <w:tcW w:w="7700" w:type="dxa"/>
            <w:vAlign w:val="bottom"/>
          </w:tcPr>
          <w:p>
            <w:pPr>
              <w:ind w:left="20"/>
              <w:spacing w:after="0"/>
              <w:rPr>
                <w:sz w:val="20"/>
                <w:szCs w:val="20"/>
                <w:color w:val="auto"/>
              </w:rPr>
            </w:pPr>
            <w:r>
              <w:rPr>
                <w:rFonts w:ascii="Verdana" w:cs="Verdana" w:eastAsia="Verdana" w:hAnsi="Verdana"/>
                <w:sz w:val="14"/>
                <w:szCs w:val="14"/>
                <w:b w:val="1"/>
                <w:bCs w:val="1"/>
                <w:color w:val="1D428A"/>
              </w:rPr>
              <w:t>Proposal</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1D428A"/>
              </w:rPr>
              <w:t>Recommendation</w:t>
            </w:r>
          </w:p>
        </w:tc>
      </w:tr>
      <w:tr>
        <w:trPr>
          <w:trHeight w:val="26"/>
        </w:trPr>
        <w:tc>
          <w:tcPr>
            <w:tcW w:w="7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8"/>
        </w:trPr>
        <w:tc>
          <w:tcPr>
            <w:tcW w:w="7700" w:type="dxa"/>
            <w:vAlign w:val="bottom"/>
            <w:tcBorders>
              <w:right w:val="single" w:sz="8" w:color="auto"/>
            </w:tcBorders>
          </w:tcPr>
          <w:p>
            <w:pPr>
              <w:ind w:left="20"/>
              <w:spacing w:after="0"/>
              <w:rPr>
                <w:sz w:val="20"/>
                <w:szCs w:val="20"/>
                <w:color w:val="auto"/>
              </w:rPr>
            </w:pPr>
            <w:r>
              <w:rPr>
                <w:rFonts w:ascii="Verdana" w:cs="Verdana" w:eastAsia="Verdana" w:hAnsi="Verdana"/>
                <w:sz w:val="14"/>
                <w:szCs w:val="14"/>
                <w:color w:val="auto"/>
              </w:rPr>
              <w:t>Election of Director Nominees Named in this Proxy Statement (page 10)</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auto"/>
              </w:rPr>
              <w:t>FOR</w:t>
            </w:r>
          </w:p>
        </w:tc>
      </w:tr>
      <w:tr>
        <w:trPr>
          <w:trHeight w:val="26"/>
        </w:trPr>
        <w:tc>
          <w:tcPr>
            <w:tcW w:w="7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8"/>
        </w:trPr>
        <w:tc>
          <w:tcPr>
            <w:tcW w:w="7700" w:type="dxa"/>
            <w:vAlign w:val="bottom"/>
            <w:tcBorders>
              <w:right w:val="single" w:sz="8" w:color="auto"/>
            </w:tcBorders>
          </w:tcPr>
          <w:p>
            <w:pPr>
              <w:ind w:left="20"/>
              <w:spacing w:after="0"/>
              <w:rPr>
                <w:sz w:val="20"/>
                <w:szCs w:val="20"/>
                <w:color w:val="auto"/>
              </w:rPr>
            </w:pPr>
            <w:r>
              <w:rPr>
                <w:rFonts w:ascii="Verdana" w:cs="Verdana" w:eastAsia="Verdana" w:hAnsi="Verdana"/>
                <w:sz w:val="14"/>
                <w:szCs w:val="14"/>
                <w:color w:val="auto"/>
              </w:rPr>
              <w:t>Ratification of Retention of Independent Registered Public Accounting Firm (page 82)</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auto"/>
              </w:rPr>
              <w:t>FOR</w:t>
            </w:r>
          </w:p>
        </w:tc>
      </w:tr>
      <w:tr>
        <w:trPr>
          <w:trHeight w:val="26"/>
        </w:trPr>
        <w:tc>
          <w:tcPr>
            <w:tcW w:w="7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7"/>
        </w:trPr>
        <w:tc>
          <w:tcPr>
            <w:tcW w:w="7700" w:type="dxa"/>
            <w:vAlign w:val="bottom"/>
            <w:tcBorders>
              <w:right w:val="single" w:sz="8" w:color="auto"/>
            </w:tcBorders>
          </w:tcPr>
          <w:p>
            <w:pPr>
              <w:ind w:left="20"/>
              <w:spacing w:after="0"/>
              <w:rPr>
                <w:sz w:val="20"/>
                <w:szCs w:val="20"/>
                <w:color w:val="auto"/>
              </w:rPr>
            </w:pPr>
            <w:r>
              <w:rPr>
                <w:rFonts w:ascii="Verdana" w:cs="Verdana" w:eastAsia="Verdana" w:hAnsi="Verdana"/>
                <w:sz w:val="14"/>
                <w:szCs w:val="14"/>
                <w:color w:val="auto"/>
              </w:rPr>
              <w:t>Advisory Vote to Approve the Company’s Executive Compensation (page 83)</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auto"/>
              </w:rPr>
              <w:t>FOR</w:t>
            </w:r>
          </w:p>
        </w:tc>
      </w:tr>
      <w:tr>
        <w:trPr>
          <w:trHeight w:val="26"/>
        </w:trPr>
        <w:tc>
          <w:tcPr>
            <w:tcW w:w="7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03340" cy="368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03340" cy="368935"/>
                    </a:xfrm>
                    <a:prstGeom prst="rect">
                      <a:avLst/>
                    </a:prstGeom>
                    <a:noFill/>
                  </pic:spPr>
                </pic:pic>
              </a:graphicData>
            </a:graphic>
          </wp:anchor>
        </w:drawing>
      </w:r>
    </w:p>
    <w:p>
      <w:pPr>
        <w:jc w:val="center"/>
        <w:ind w:right="39"/>
        <w:spacing w:after="0" w:line="259" w:lineRule="auto"/>
        <w:rPr>
          <w:sz w:val="20"/>
          <w:szCs w:val="20"/>
          <w:color w:val="auto"/>
        </w:rPr>
      </w:pPr>
      <w:r>
        <w:rPr>
          <w:rFonts w:ascii="Verdana" w:cs="Verdana" w:eastAsia="Verdana" w:hAnsi="Verdana"/>
          <w:sz w:val="14"/>
          <w:szCs w:val="14"/>
          <w:b w:val="1"/>
          <w:bCs w:val="1"/>
          <w:color w:val="auto"/>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03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Director Nominees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40" w:type="dxa"/>
            <w:vAlign w:val="bottom"/>
            <w:gridSpan w:val="3"/>
          </w:tcPr>
          <w:p>
            <w:pPr>
              <w:jc w:val="center"/>
              <w:spacing w:after="0"/>
              <w:rPr>
                <w:sz w:val="20"/>
                <w:szCs w:val="20"/>
                <w:color w:val="auto"/>
              </w:rPr>
            </w:pPr>
            <w:r>
              <w:rPr>
                <w:rFonts w:ascii="Verdana" w:cs="Verdana" w:eastAsia="Verdana" w:hAnsi="Verdana"/>
                <w:sz w:val="14"/>
                <w:szCs w:val="14"/>
                <w:b w:val="1"/>
                <w:bCs w:val="1"/>
                <w:color w:val="0070C0"/>
              </w:rPr>
              <w:t>Committee Membership</w:t>
            </w: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Verdana" w:cs="Verdana" w:eastAsia="Verdana" w:hAnsi="Verdana"/>
                <w:sz w:val="14"/>
                <w:szCs w:val="14"/>
                <w:b w:val="1"/>
                <w:bCs w:val="1"/>
                <w:color w:val="0070C0"/>
              </w:rPr>
              <w:t>Director</w:t>
            </w:r>
          </w:p>
        </w:tc>
        <w:tc>
          <w:tcPr>
            <w:tcW w:w="860" w:type="dxa"/>
            <w:vAlign w:val="bottom"/>
            <w:tcBorders>
              <w:bottom w:val="single" w:sz="8" w:color="307FE2"/>
            </w:tcBorders>
          </w:tcPr>
          <w:p>
            <w:pPr>
              <w:spacing w:after="0"/>
              <w:rPr>
                <w:sz w:val="2"/>
                <w:szCs w:val="2"/>
                <w:color w:val="auto"/>
              </w:rPr>
            </w:pPr>
          </w:p>
        </w:tc>
        <w:tc>
          <w:tcPr>
            <w:tcW w:w="900" w:type="dxa"/>
            <w:vAlign w:val="bottom"/>
            <w:tcBorders>
              <w:bottom w:val="single" w:sz="8" w:color="307FE2"/>
            </w:tcBorders>
          </w:tcPr>
          <w:p>
            <w:pPr>
              <w:spacing w:after="0"/>
              <w:rPr>
                <w:sz w:val="2"/>
                <w:szCs w:val="2"/>
                <w:color w:val="auto"/>
              </w:rPr>
            </w:pPr>
          </w:p>
        </w:tc>
        <w:tc>
          <w:tcPr>
            <w:tcW w:w="880" w:type="dxa"/>
            <w:vAlign w:val="bottom"/>
            <w:tcBorders>
              <w:bottom w:val="single" w:sz="8" w:color="307FE2"/>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0070C0"/>
              </w:rPr>
              <w:t>Name and Principal Occupation</w:t>
            </w:r>
          </w:p>
        </w:tc>
        <w:tc>
          <w:tcPr>
            <w:tcW w:w="700" w:type="dxa"/>
            <w:vAlign w:val="bottom"/>
          </w:tcPr>
          <w:p>
            <w:pPr>
              <w:jc w:val="center"/>
              <w:spacing w:after="0"/>
              <w:rPr>
                <w:sz w:val="20"/>
                <w:szCs w:val="20"/>
                <w:color w:val="auto"/>
              </w:rPr>
            </w:pPr>
            <w:r>
              <w:rPr>
                <w:rFonts w:ascii="Verdana" w:cs="Verdana" w:eastAsia="Verdana" w:hAnsi="Verdana"/>
                <w:sz w:val="14"/>
                <w:szCs w:val="14"/>
                <w:b w:val="1"/>
                <w:bCs w:val="1"/>
                <w:color w:val="0070C0"/>
                <w:w w:val="99"/>
              </w:rPr>
              <w:t>Age</w:t>
            </w:r>
          </w:p>
        </w:tc>
        <w:tc>
          <w:tcPr>
            <w:tcW w:w="1040" w:type="dxa"/>
            <w:vAlign w:val="bottom"/>
          </w:tcPr>
          <w:p>
            <w:pPr>
              <w:jc w:val="center"/>
              <w:spacing w:after="0"/>
              <w:rPr>
                <w:sz w:val="20"/>
                <w:szCs w:val="20"/>
                <w:color w:val="auto"/>
              </w:rPr>
            </w:pPr>
            <w:r>
              <w:rPr>
                <w:rFonts w:ascii="Verdana" w:cs="Verdana" w:eastAsia="Verdana" w:hAnsi="Verdana"/>
                <w:sz w:val="14"/>
                <w:szCs w:val="14"/>
                <w:b w:val="1"/>
                <w:bCs w:val="1"/>
                <w:color w:val="0070C0"/>
              </w:rPr>
              <w:t>Since</w:t>
            </w:r>
          </w:p>
        </w:tc>
        <w:tc>
          <w:tcPr>
            <w:tcW w:w="860" w:type="dxa"/>
            <w:vAlign w:val="bottom"/>
          </w:tcPr>
          <w:p>
            <w:pPr>
              <w:jc w:val="center"/>
              <w:spacing w:after="0"/>
              <w:rPr>
                <w:sz w:val="20"/>
                <w:szCs w:val="20"/>
                <w:color w:val="auto"/>
              </w:rPr>
            </w:pPr>
            <w:r>
              <w:rPr>
                <w:rFonts w:ascii="Verdana" w:cs="Verdana" w:eastAsia="Verdana" w:hAnsi="Verdana"/>
                <w:sz w:val="14"/>
                <w:szCs w:val="14"/>
                <w:b w:val="1"/>
                <w:bCs w:val="1"/>
                <w:color w:val="0070C0"/>
              </w:rPr>
              <w:t>AC</w:t>
            </w:r>
          </w:p>
        </w:tc>
        <w:tc>
          <w:tcPr>
            <w:tcW w:w="900" w:type="dxa"/>
            <w:vAlign w:val="bottom"/>
          </w:tcPr>
          <w:p>
            <w:pPr>
              <w:jc w:val="center"/>
              <w:spacing w:after="0"/>
              <w:rPr>
                <w:sz w:val="20"/>
                <w:szCs w:val="20"/>
                <w:color w:val="auto"/>
              </w:rPr>
            </w:pPr>
            <w:r>
              <w:rPr>
                <w:rFonts w:ascii="Verdana" w:cs="Verdana" w:eastAsia="Verdana" w:hAnsi="Verdana"/>
                <w:sz w:val="14"/>
                <w:szCs w:val="14"/>
                <w:b w:val="1"/>
                <w:bCs w:val="1"/>
                <w:color w:val="0070C0"/>
              </w:rPr>
              <w:t>P&amp;C</w:t>
            </w:r>
          </w:p>
        </w:tc>
        <w:tc>
          <w:tcPr>
            <w:tcW w:w="880" w:type="dxa"/>
            <w:vAlign w:val="bottom"/>
          </w:tcPr>
          <w:p>
            <w:pPr>
              <w:jc w:val="center"/>
              <w:spacing w:after="0"/>
              <w:rPr>
                <w:sz w:val="20"/>
                <w:szCs w:val="20"/>
                <w:color w:val="auto"/>
              </w:rPr>
            </w:pPr>
            <w:r>
              <w:rPr>
                <w:rFonts w:ascii="Verdana" w:cs="Verdana" w:eastAsia="Verdana" w:hAnsi="Verdana"/>
                <w:sz w:val="14"/>
                <w:szCs w:val="14"/>
                <w:b w:val="1"/>
                <w:bCs w:val="1"/>
                <w:color w:val="0070C0"/>
              </w:rPr>
              <w:t>G&amp;S</w:t>
            </w:r>
          </w:p>
        </w:tc>
        <w:tc>
          <w:tcPr>
            <w:tcW w:w="0" w:type="dxa"/>
            <w:vAlign w:val="bottom"/>
          </w:tcPr>
          <w:p>
            <w:pPr>
              <w:spacing w:after="0"/>
              <w:rPr>
                <w:sz w:val="1"/>
                <w:szCs w:val="1"/>
                <w:color w:val="auto"/>
              </w:rPr>
            </w:pPr>
          </w:p>
        </w:tc>
      </w:tr>
      <w:tr>
        <w:trPr>
          <w:trHeight w:val="26"/>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Julian G. Blissett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58</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2025</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20"/>
              <w:spacing w:after="0" w:line="162" w:lineRule="exact"/>
              <w:rPr>
                <w:sz w:val="20"/>
                <w:szCs w:val="20"/>
                <w:color w:val="auto"/>
              </w:rPr>
            </w:pPr>
            <w:r>
              <w:rPr>
                <w:rFonts w:ascii="Verdana" w:cs="Verdana" w:eastAsia="Verdana" w:hAnsi="Verdana"/>
                <w:sz w:val="14"/>
                <w:szCs w:val="14"/>
                <w:color w:val="auto"/>
              </w:rPr>
              <w:t>Former Executive Vice President and President GM China,</w:t>
            </w:r>
          </w:p>
        </w:tc>
        <w:tc>
          <w:tcPr>
            <w:tcW w:w="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80" w:type="dxa"/>
            <w:vAlign w:val="bottom"/>
          </w:tcPr>
          <w:p>
            <w:pPr>
              <w:ind w:left="20"/>
              <w:spacing w:after="0"/>
              <w:rPr>
                <w:sz w:val="20"/>
                <w:szCs w:val="20"/>
                <w:color w:val="auto"/>
              </w:rPr>
            </w:pPr>
            <w:r>
              <w:rPr>
                <w:rFonts w:ascii="Verdana" w:cs="Verdana" w:eastAsia="Verdana" w:hAnsi="Verdana"/>
                <w:sz w:val="14"/>
                <w:szCs w:val="14"/>
                <w:color w:val="auto"/>
              </w:rPr>
              <w:t>General Motors</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Jonathan F. Foster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64</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2009</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Managing Partner of Current Capital Partners LLC</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Bradley M. Halverson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64</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2020</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EE3124"/>
              </w:rPr>
              <w:t>•</w:t>
            </w: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Former Group President and CFO, Caterpillar Inc.</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Mary Lou Jepsen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60</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2016</w:t>
            </w:r>
          </w:p>
        </w:tc>
        <w:tc>
          <w:tcPr>
            <w:tcW w:w="8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Founder, Chairperson and Former CEO, Openwater</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Roger A. Krone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68</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2020</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President and CEO, Boy Scouts of America</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Rod A. Lache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55</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2024</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20"/>
              <w:spacing w:after="0" w:line="162" w:lineRule="exact"/>
              <w:rPr>
                <w:sz w:val="20"/>
                <w:szCs w:val="20"/>
                <w:color w:val="auto"/>
              </w:rPr>
            </w:pPr>
            <w:r>
              <w:rPr>
                <w:rFonts w:ascii="Verdana" w:cs="Verdana" w:eastAsia="Verdana" w:hAnsi="Verdana"/>
                <w:sz w:val="14"/>
                <w:szCs w:val="14"/>
                <w:color w:val="auto"/>
              </w:rPr>
              <w:t>Former Managing Director and Senior Analyst,</w:t>
            </w:r>
          </w:p>
        </w:tc>
        <w:tc>
          <w:tcPr>
            <w:tcW w:w="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80" w:type="dxa"/>
            <w:vAlign w:val="bottom"/>
          </w:tcPr>
          <w:p>
            <w:pPr>
              <w:ind w:left="20"/>
              <w:spacing w:after="0"/>
              <w:rPr>
                <w:sz w:val="20"/>
                <w:szCs w:val="20"/>
                <w:color w:val="auto"/>
              </w:rPr>
            </w:pPr>
            <w:r>
              <w:rPr>
                <w:rFonts w:ascii="Verdana" w:cs="Verdana" w:eastAsia="Verdana" w:hAnsi="Verdana"/>
                <w:sz w:val="14"/>
                <w:szCs w:val="14"/>
                <w:color w:val="auto"/>
              </w:rPr>
              <w:t>Wolfe Research, LLC</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Patricia L. Lewis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63</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2020</w:t>
            </w:r>
          </w:p>
        </w:tc>
        <w:tc>
          <w:tcPr>
            <w:tcW w:w="8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EE3124"/>
              </w:rPr>
              <w:t>•</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162"/>
        </w:trPr>
        <w:tc>
          <w:tcPr>
            <w:tcW w:w="5280" w:type="dxa"/>
            <w:vAlign w:val="bottom"/>
          </w:tcPr>
          <w:p>
            <w:pPr>
              <w:ind w:left="20"/>
              <w:spacing w:after="0" w:line="162" w:lineRule="exact"/>
              <w:rPr>
                <w:sz w:val="20"/>
                <w:szCs w:val="20"/>
                <w:color w:val="auto"/>
              </w:rPr>
            </w:pPr>
            <w:r>
              <w:rPr>
                <w:rFonts w:ascii="Verdana" w:cs="Verdana" w:eastAsia="Verdana" w:hAnsi="Verdana"/>
                <w:sz w:val="14"/>
                <w:szCs w:val="14"/>
                <w:color w:val="auto"/>
              </w:rPr>
              <w:t>Executive Vice President and Chief Sustainability Officer, UnitedHealth</w:t>
            </w:r>
          </w:p>
        </w:tc>
        <w:tc>
          <w:tcPr>
            <w:tcW w:w="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80" w:type="dxa"/>
            <w:vAlign w:val="bottom"/>
          </w:tcPr>
          <w:p>
            <w:pPr>
              <w:ind w:left="20"/>
              <w:spacing w:after="0"/>
              <w:rPr>
                <w:sz w:val="20"/>
                <w:szCs w:val="20"/>
                <w:color w:val="auto"/>
              </w:rPr>
            </w:pPr>
            <w:r>
              <w:rPr>
                <w:rFonts w:ascii="Verdana" w:cs="Verdana" w:eastAsia="Verdana" w:hAnsi="Verdana"/>
                <w:sz w:val="14"/>
                <w:szCs w:val="14"/>
                <w:color w:val="auto"/>
              </w:rPr>
              <w:t>Group Incorporated</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Kathleen A. Ligocki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68</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2012</w:t>
            </w:r>
          </w:p>
        </w:tc>
        <w:tc>
          <w:tcPr>
            <w:tcW w:w="8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Former CEO of Tower Automotive and Agility Fuel Solutions</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Conrad L. Mallett, Jr.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71</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2002</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EE3124"/>
              </w:rPr>
              <w:t>•</w:t>
            </w: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Corporation Counsel, City of Detroit</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Raymond E. Scott</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59</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2018</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President and CEO</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Greg C. Smith </w:t>
            </w:r>
            <w:r>
              <w:rPr>
                <w:rFonts w:ascii="Verdana" w:cs="Verdana" w:eastAsia="Verdana" w:hAnsi="Verdana"/>
                <w:sz w:val="14"/>
                <w:szCs w:val="14"/>
                <w:b w:val="1"/>
                <w:bCs w:val="1"/>
                <w:color w:val="000000"/>
              </w:rPr>
              <w:t>IND</w:t>
            </w:r>
          </w:p>
        </w:tc>
        <w:tc>
          <w:tcPr>
            <w:tcW w:w="700" w:type="dxa"/>
            <w:vAlign w:val="bottom"/>
            <w:vMerge w:val="restart"/>
          </w:tcPr>
          <w:p>
            <w:pPr>
              <w:jc w:val="center"/>
              <w:spacing w:after="0"/>
              <w:rPr>
                <w:sz w:val="20"/>
                <w:szCs w:val="20"/>
                <w:color w:val="auto"/>
              </w:rPr>
            </w:pPr>
            <w:r>
              <w:rPr>
                <w:rFonts w:ascii="Verdana" w:cs="Verdana" w:eastAsia="Verdana" w:hAnsi="Verdana"/>
                <w:sz w:val="14"/>
                <w:szCs w:val="14"/>
                <w:color w:val="auto"/>
              </w:rPr>
              <w:t>73</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2009</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auto"/>
              </w:rPr>
              <w:t>E</w:t>
            </w: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auto"/>
                <w:w w:val="89"/>
              </w:rPr>
              <w:t>E</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auto"/>
                <w:w w:val="89"/>
              </w:rPr>
              <w:t>E</w:t>
            </w:r>
          </w:p>
        </w:tc>
        <w:tc>
          <w:tcPr>
            <w:tcW w:w="0" w:type="dxa"/>
            <w:vAlign w:val="bottom"/>
          </w:tcPr>
          <w:p>
            <w:pPr>
              <w:spacing w:after="0"/>
              <w:rPr>
                <w:sz w:val="1"/>
                <w:szCs w:val="1"/>
                <w:color w:val="auto"/>
              </w:rPr>
            </w:pPr>
          </w:p>
        </w:tc>
      </w:tr>
      <w:tr>
        <w:trPr>
          <w:trHeight w:val="92"/>
        </w:trPr>
        <w:tc>
          <w:tcPr>
            <w:tcW w:w="5280" w:type="dxa"/>
            <w:vAlign w:val="bottom"/>
            <w:vMerge w:val="restart"/>
          </w:tcPr>
          <w:p>
            <w:pPr>
              <w:ind w:left="20"/>
              <w:spacing w:after="0"/>
              <w:rPr>
                <w:sz w:val="20"/>
                <w:szCs w:val="20"/>
                <w:color w:val="auto"/>
              </w:rPr>
            </w:pPr>
            <w:r>
              <w:rPr>
                <w:rFonts w:ascii="Verdana" w:cs="Verdana" w:eastAsia="Verdana" w:hAnsi="Verdana"/>
                <w:sz w:val="14"/>
                <w:szCs w:val="14"/>
                <w:color w:val="auto"/>
              </w:rPr>
              <w:t>Former Vice Chairman of Ford Motor Company</w:t>
            </w:r>
          </w:p>
        </w:tc>
        <w:tc>
          <w:tcPr>
            <w:tcW w:w="7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2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280" w:type="dxa"/>
            <w:vAlign w:val="bottom"/>
            <w:tcBorders>
              <w:bottom w:val="single" w:sz="8" w:color="696158"/>
            </w:tcBorders>
          </w:tcPr>
          <w:p>
            <w:pPr>
              <w:spacing w:after="0"/>
              <w:rPr>
                <w:sz w:val="2"/>
                <w:szCs w:val="2"/>
                <w:color w:val="auto"/>
              </w:rPr>
            </w:pPr>
          </w:p>
        </w:tc>
        <w:tc>
          <w:tcPr>
            <w:tcW w:w="7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AC </w:t>
      </w:r>
      <w:r>
        <w:rPr>
          <w:rFonts w:ascii="Verdana" w:cs="Verdana" w:eastAsia="Verdana" w:hAnsi="Verdana"/>
          <w:sz w:val="13"/>
          <w:szCs w:val="13"/>
          <w:color w:val="auto"/>
        </w:rPr>
        <w:t>Audit Committee</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P&amp;C </w:t>
      </w:r>
      <w:r>
        <w:rPr>
          <w:rFonts w:ascii="Verdana" w:cs="Verdana" w:eastAsia="Verdana" w:hAnsi="Verdana"/>
          <w:sz w:val="13"/>
          <w:szCs w:val="13"/>
          <w:color w:val="auto"/>
        </w:rPr>
        <w:t>People and Compensation Committee</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G&amp;S </w:t>
      </w:r>
      <w:r>
        <w:rPr>
          <w:rFonts w:ascii="Verdana" w:cs="Verdana" w:eastAsia="Verdana" w:hAnsi="Verdana"/>
          <w:sz w:val="13"/>
          <w:szCs w:val="13"/>
          <w:color w:val="auto"/>
        </w:rPr>
        <w:t>Governance and Sustainability Committee</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IND </w:t>
      </w:r>
      <w:r>
        <w:rPr>
          <w:rFonts w:ascii="Verdana" w:cs="Verdana" w:eastAsia="Verdana" w:hAnsi="Verdana"/>
          <w:sz w:val="13"/>
          <w:szCs w:val="13"/>
          <w:color w:val="auto"/>
        </w:rPr>
        <w:t>Independent director under NYSE and SEC rules</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color w:val="EE2724"/>
        </w:rPr>
        <w:t>•</w:t>
      </w:r>
      <w:r>
        <w:rPr>
          <w:rFonts w:ascii="Verdana" w:cs="Verdana" w:eastAsia="Verdana" w:hAnsi="Verdana"/>
          <w:sz w:val="13"/>
          <w:szCs w:val="13"/>
          <w:color w:val="000000"/>
        </w:rPr>
        <w:t>Chair</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color w:val="1D428A"/>
        </w:rPr>
        <w:t>•</w:t>
      </w:r>
      <w:r>
        <w:rPr>
          <w:rFonts w:ascii="Verdana" w:cs="Verdana" w:eastAsia="Verdana" w:hAnsi="Verdana"/>
          <w:sz w:val="13"/>
          <w:szCs w:val="13"/>
          <w:color w:val="000000"/>
        </w:rPr>
        <w:t>Member</w:t>
      </w:r>
    </w:p>
    <w:p>
      <w:pPr>
        <w:spacing w:after="0" w:line="58" w:lineRule="exact"/>
        <w:rPr>
          <w:sz w:val="20"/>
          <w:szCs w:val="20"/>
          <w:color w:val="auto"/>
        </w:rPr>
      </w:pPr>
    </w:p>
    <w:p>
      <w:pPr>
        <w:ind w:right="8279" w:firstLine="8"/>
        <w:spacing w:after="0" w:line="333" w:lineRule="auto"/>
        <w:tabs>
          <w:tab w:leader="none" w:pos="153" w:val="left"/>
        </w:tabs>
        <w:numPr>
          <w:ilvl w:val="0"/>
          <w:numId w:val="15"/>
        </w:numPr>
        <w:rPr>
          <w:rFonts w:ascii="Verdana" w:cs="Verdana" w:eastAsia="Verdana" w:hAnsi="Verdana"/>
          <w:sz w:val="12"/>
          <w:szCs w:val="12"/>
          <w:b w:val="1"/>
          <w:bCs w:val="1"/>
          <w:color w:val="auto"/>
        </w:rPr>
      </w:pPr>
      <w:r>
        <w:rPr>
          <w:rFonts w:ascii="Verdana" w:cs="Verdana" w:eastAsia="Verdana" w:hAnsi="Verdana"/>
          <w:sz w:val="12"/>
          <w:szCs w:val="12"/>
          <w:color w:val="auto"/>
        </w:rPr>
        <w:t xml:space="preserve">Ex Officio Member </w:t>
      </w:r>
      <w:r>
        <w:rPr>
          <w:rFonts w:ascii="Verdana" w:cs="Verdana" w:eastAsia="Verdana" w:hAnsi="Verdana"/>
          <w:sz w:val="12"/>
          <w:szCs w:val="12"/>
          <w:b w:val="1"/>
          <w:bCs w:val="1"/>
          <w:color w:val="auto"/>
        </w:rPr>
        <w:t xml:space="preserve">Director Term: </w:t>
      </w:r>
      <w:r>
        <w:rPr>
          <w:rFonts w:ascii="Verdana" w:cs="Verdana" w:eastAsia="Verdana" w:hAnsi="Verdana"/>
          <w:sz w:val="12"/>
          <w:szCs w:val="12"/>
          <w:color w:val="auto"/>
        </w:rPr>
        <w:t>One Year</w:t>
      </w:r>
      <w:r>
        <w:rPr>
          <w:rFonts w:ascii="Verdana" w:cs="Verdana" w:eastAsia="Verdana" w:hAnsi="Verdana"/>
          <w:sz w:val="12"/>
          <w:szCs w:val="12"/>
          <w:b w:val="1"/>
          <w:bCs w:val="1"/>
          <w:color w:val="auto"/>
        </w:rPr>
        <w:t xml:space="preserve"> Board Meetings in 2024: </w:t>
      </w:r>
      <w:r>
        <w:rPr>
          <w:rFonts w:ascii="Verdana" w:cs="Verdana" w:eastAsia="Verdana" w:hAnsi="Verdana"/>
          <w:sz w:val="12"/>
          <w:szCs w:val="12"/>
          <w:color w:val="auto"/>
        </w:rPr>
        <w:t>9</w:t>
      </w:r>
    </w:p>
    <w:p>
      <w:pPr>
        <w:spacing w:after="0"/>
        <w:rPr>
          <w:rFonts w:ascii="Verdana" w:cs="Verdana" w:eastAsia="Verdana" w:hAnsi="Verdana"/>
          <w:sz w:val="12"/>
          <w:szCs w:val="12"/>
          <w:b w:val="1"/>
          <w:bCs w:val="1"/>
          <w:color w:val="auto"/>
        </w:rPr>
      </w:pPr>
      <w:r>
        <w:rPr>
          <w:rFonts w:ascii="Verdana" w:cs="Verdana" w:eastAsia="Verdana" w:hAnsi="Verdana"/>
          <w:sz w:val="13"/>
          <w:szCs w:val="13"/>
          <w:b w:val="1"/>
          <w:bCs w:val="1"/>
          <w:color w:val="auto"/>
        </w:rPr>
        <w:t xml:space="preserve">Standard Board Committee Meetings in 2024: </w:t>
      </w:r>
      <w:r>
        <w:rPr>
          <w:rFonts w:ascii="Verdana" w:cs="Verdana" w:eastAsia="Verdana" w:hAnsi="Verdana"/>
          <w:sz w:val="13"/>
          <w:szCs w:val="13"/>
          <w:color w:val="auto"/>
        </w:rPr>
        <w:t>Audit Committee 9, P&amp;C Committee 8, G&amp;S Committee 5</w:t>
      </w:r>
    </w:p>
    <w:p>
      <w:pPr>
        <w:spacing w:after="0" w:line="200" w:lineRule="exact"/>
        <w:rPr>
          <w:sz w:val="20"/>
          <w:szCs w:val="20"/>
          <w:color w:val="auto"/>
        </w:rPr>
      </w:pPr>
    </w:p>
    <w:p>
      <w:pPr>
        <w:spacing w:after="0" w:line="384" w:lineRule="exact"/>
        <w:rPr>
          <w:sz w:val="20"/>
          <w:szCs w:val="20"/>
          <w:color w:val="auto"/>
        </w:rPr>
      </w:pPr>
    </w:p>
    <w:p>
      <w:pPr>
        <w:ind w:left="560" w:hanging="534"/>
        <w:spacing w:after="0"/>
        <w:tabs>
          <w:tab w:leader="none" w:pos="560" w:val="left"/>
        </w:tabs>
        <w:numPr>
          <w:ilvl w:val="0"/>
          <w:numId w:val="16"/>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3" w:name="page14"/>
    <w:bookmarkEnd w:id="1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1654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Sustainability Highlights for 2024</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Responsible and sustainable practices are integral to Lear’s strategy. We are committed to integrating sustainability into critical</w:t>
      </w:r>
    </w:p>
    <w:p>
      <w:pPr>
        <w:spacing w:after="0" w:line="8"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 xml:space="preserve">processes, including enterprise risk management, facilities management, supplier selection and evaluation, and product innovation. These efforts reflect our core value of </w:t>
      </w:r>
      <w:r>
        <w:rPr>
          <w:rFonts w:ascii="Verdana" w:cs="Verdana" w:eastAsia="Verdana" w:hAnsi="Verdana"/>
          <w:sz w:val="16"/>
          <w:szCs w:val="16"/>
          <w:i w:val="1"/>
          <w:iCs w:val="1"/>
          <w:color w:val="auto"/>
        </w:rPr>
        <w:t>Getting Results the Right Way</w:t>
      </w:r>
      <w:r>
        <w:rPr>
          <w:rFonts w:ascii="Verdana" w:cs="Verdana" w:eastAsia="Verdana" w:hAnsi="Verdana"/>
          <w:sz w:val="16"/>
          <w:szCs w:val="16"/>
          <w:color w:val="auto"/>
        </w:rPr>
        <w:t xml:space="preserve"> and underscore our dedication to creating lasting positive impacts. By pursuing these initiatives, we not only strengthen our strategic objectives but also contribute to the well-being of our people, the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health of our planet and the success of our business. Our key actions during 2024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91440</wp:posOffset>
            </wp:positionV>
            <wp:extent cx="65665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95" w:lineRule="exact"/>
        <w:rPr>
          <w:sz w:val="20"/>
          <w:szCs w:val="20"/>
          <w:color w:val="auto"/>
        </w:rPr>
      </w:pPr>
    </w:p>
    <w:p>
      <w:pPr>
        <w:ind w:left="1620"/>
        <w:spacing w:after="0"/>
        <w:tabs>
          <w:tab w:leader="none" w:pos="4480" w:val="left"/>
          <w:tab w:leader="none" w:pos="8620" w:val="left"/>
        </w:tabs>
        <w:rPr>
          <w:sz w:val="20"/>
          <w:szCs w:val="20"/>
          <w:color w:val="auto"/>
        </w:rPr>
      </w:pPr>
      <w:r>
        <w:rPr>
          <w:rFonts w:ascii="Verdana" w:cs="Verdana" w:eastAsia="Verdana" w:hAnsi="Verdana"/>
          <w:sz w:val="14"/>
          <w:szCs w:val="14"/>
          <w:b w:val="1"/>
          <w:bCs w:val="1"/>
          <w:color w:val="1D428A"/>
        </w:rPr>
        <w:t>Environment</w:t>
      </w:r>
      <w:r>
        <w:rPr>
          <w:sz w:val="20"/>
          <w:szCs w:val="20"/>
          <w:color w:val="auto"/>
        </w:rPr>
        <w:tab/>
      </w:r>
      <w:r>
        <w:rPr>
          <w:rFonts w:ascii="Verdana" w:cs="Verdana" w:eastAsia="Verdana" w:hAnsi="Verdana"/>
          <w:sz w:val="14"/>
          <w:szCs w:val="14"/>
          <w:b w:val="1"/>
          <w:bCs w:val="1"/>
          <w:color w:val="1D428A"/>
        </w:rPr>
        <w:t>Human Capital Management</w:t>
      </w:r>
      <w:r>
        <w:rPr>
          <w:sz w:val="20"/>
          <w:szCs w:val="20"/>
          <w:color w:val="auto"/>
        </w:rPr>
        <w:tab/>
      </w:r>
      <w:r>
        <w:rPr>
          <w:rFonts w:ascii="Verdana" w:cs="Verdana" w:eastAsia="Verdana" w:hAnsi="Verdana"/>
          <w:sz w:val="14"/>
          <w:szCs w:val="14"/>
          <w:b w:val="1"/>
          <w:bCs w:val="1"/>
          <w:color w:val="1D428A"/>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26670</wp:posOffset>
            </wp:positionV>
            <wp:extent cx="6566535" cy="4054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6535" cy="405447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26" w:lineRule="exact"/>
        <w:rPr>
          <w:sz w:val="20"/>
          <w:szCs w:val="20"/>
          <w:color w:val="auto"/>
        </w:rPr>
      </w:pPr>
    </w:p>
    <w:p>
      <w:pPr>
        <w:ind w:left="640" w:right="120" w:hanging="169"/>
        <w:spacing w:after="0"/>
        <w:tabs>
          <w:tab w:leader="none" w:pos="634" w:val="left"/>
        </w:tabs>
        <w:numPr>
          <w:ilvl w:val="0"/>
          <w:numId w:val="17"/>
        </w:numPr>
        <w:rPr>
          <w:rFonts w:ascii="Verdana" w:cs="Verdana" w:eastAsia="Verdana" w:hAnsi="Verdana"/>
          <w:sz w:val="16"/>
          <w:szCs w:val="16"/>
          <w:color w:val="1D428A"/>
        </w:rPr>
      </w:pPr>
      <w:r>
        <w:rPr>
          <w:rFonts w:ascii="Arial" w:cs="Arial" w:eastAsia="Arial" w:hAnsi="Arial"/>
          <w:sz w:val="15"/>
          <w:szCs w:val="15"/>
          <w:b w:val="1"/>
          <w:bCs w:val="1"/>
          <w:color w:val="auto"/>
        </w:rPr>
        <w:t> </w:t>
      </w:r>
      <w:r>
        <w:rPr>
          <w:rFonts w:ascii="Arial" w:cs="Arial" w:eastAsia="Arial" w:hAnsi="Arial"/>
          <w:sz w:val="15"/>
          <w:szCs w:val="15"/>
          <w:color w:val="auto"/>
        </w:rPr>
        <w:t>Developed and commercialized</w:t>
      </w:r>
      <w:r>
        <w:rPr>
          <w:rFonts w:ascii="Arial" w:cs="Arial" w:eastAsia="Arial" w:hAnsi="Arial"/>
          <w:sz w:val="15"/>
          <w:szCs w:val="15"/>
          <w:b w:val="1"/>
          <w:bCs w:val="1"/>
          <w:color w:val="auto"/>
        </w:rPr>
        <w:t xml:space="preserve"> </w:t>
      </w:r>
      <w:r>
        <w:rPr>
          <w:rFonts w:ascii="Arial" w:cs="Arial" w:eastAsia="Arial" w:hAnsi="Arial"/>
          <w:sz w:val="15"/>
          <w:szCs w:val="15"/>
          <w:color w:val="auto"/>
        </w:rPr>
        <w:t>innovative products that align with key sustainable and emerging industry trends, including BDUs for high voltage applications; FlexAir</w:t>
      </w:r>
      <w:r>
        <w:rPr>
          <w:rFonts w:ascii="Verdana" w:cs="Verdana" w:eastAsia="Verdana" w:hAnsi="Verdana"/>
          <w:sz w:val="19"/>
          <w:szCs w:val="19"/>
          <w:color w:val="auto"/>
          <w:vertAlign w:val="superscript"/>
        </w:rPr>
        <w:t>TM</w:t>
      </w:r>
      <w:r>
        <w:rPr>
          <w:rFonts w:ascii="Arial" w:cs="Arial" w:eastAsia="Arial" w:hAnsi="Arial"/>
          <w:sz w:val="15"/>
          <w:szCs w:val="15"/>
          <w:color w:val="auto"/>
        </w:rPr>
        <w:t>, our 100% recyclable non-foam alternative; and ReNewKnit</w:t>
      </w:r>
      <w:r>
        <w:rPr>
          <w:rFonts w:ascii="Verdana" w:cs="Verdana" w:eastAsia="Verdana" w:hAnsi="Verdana"/>
          <w:sz w:val="19"/>
          <w:szCs w:val="19"/>
          <w:color w:val="auto"/>
          <w:vertAlign w:val="superscript"/>
        </w:rPr>
        <w:t>TM</w:t>
      </w:r>
      <w:r>
        <w:rPr>
          <w:rFonts w:ascii="Arial" w:cs="Arial" w:eastAsia="Arial" w:hAnsi="Arial"/>
          <w:sz w:val="15"/>
          <w:szCs w:val="15"/>
          <w:color w:val="auto"/>
        </w:rPr>
        <w:t>, a sueded alternative material made entirely from recycled plastic and is fully recyclable</w:t>
      </w:r>
    </w:p>
    <w:p>
      <w:pPr>
        <w:spacing w:after="0" w:line="262" w:lineRule="exact"/>
        <w:rPr>
          <w:rFonts w:ascii="Verdana" w:cs="Verdana" w:eastAsia="Verdana" w:hAnsi="Verdana"/>
          <w:sz w:val="16"/>
          <w:szCs w:val="16"/>
          <w:color w:val="1D428A"/>
        </w:rPr>
      </w:pPr>
    </w:p>
    <w:p>
      <w:pPr>
        <w:ind w:left="640" w:hanging="169"/>
        <w:spacing w:after="0" w:line="256" w:lineRule="auto"/>
        <w:tabs>
          <w:tab w:leader="none" w:pos="634" w:val="left"/>
        </w:tabs>
        <w:numPr>
          <w:ilvl w:val="0"/>
          <w:numId w:val="17"/>
        </w:numPr>
        <w:rPr>
          <w:rFonts w:ascii="Verdana" w:cs="Verdana" w:eastAsia="Verdana" w:hAnsi="Verdana"/>
          <w:sz w:val="16"/>
          <w:szCs w:val="16"/>
          <w:color w:val="1D428A"/>
        </w:rPr>
      </w:pPr>
      <w:r>
        <w:rPr>
          <w:rFonts w:ascii="Arial" w:cs="Arial" w:eastAsia="Arial" w:hAnsi="Arial"/>
          <w:sz w:val="15"/>
          <w:szCs w:val="15"/>
          <w:color w:val="auto"/>
        </w:rPr>
        <w:t>Advanced our comprehensive renewable energy strategy, which encompasses on-site renewable energy generation at certain of our locations, the purchase of energy attribution certificates on an ongoing basis, and execution of virtual power purchase agreements to support new renewable energy projects where feasible</w:t>
      </w:r>
    </w:p>
    <w:p>
      <w:pPr>
        <w:spacing w:after="0" w:line="273" w:lineRule="exact"/>
        <w:rPr>
          <w:rFonts w:ascii="Verdana" w:cs="Verdana" w:eastAsia="Verdana" w:hAnsi="Verdana"/>
          <w:sz w:val="16"/>
          <w:szCs w:val="16"/>
          <w:color w:val="1D428A"/>
        </w:rPr>
      </w:pPr>
    </w:p>
    <w:p>
      <w:pPr>
        <w:ind w:left="640" w:right="180" w:hanging="169"/>
        <w:spacing w:after="0" w:line="256" w:lineRule="auto"/>
        <w:tabs>
          <w:tab w:leader="none" w:pos="634" w:val="left"/>
        </w:tabs>
        <w:numPr>
          <w:ilvl w:val="0"/>
          <w:numId w:val="17"/>
        </w:numPr>
        <w:rPr>
          <w:rFonts w:ascii="Verdana" w:cs="Verdana" w:eastAsia="Verdana" w:hAnsi="Verdana"/>
          <w:sz w:val="16"/>
          <w:szCs w:val="16"/>
          <w:color w:val="1D428A"/>
        </w:rPr>
      </w:pPr>
      <w:r>
        <w:rPr>
          <w:rFonts w:ascii="Arial" w:cs="Arial" w:eastAsia="Arial" w:hAnsi="Arial"/>
          <w:sz w:val="15"/>
          <w:szCs w:val="15"/>
          <w:color w:val="auto"/>
        </w:rPr>
        <w:t>Received validation from the Science Based Targets initiative ("SBTi") of our near-term greenhouse gas ("GHG") reduction targets</w:t>
      </w:r>
    </w:p>
    <w:p>
      <w:pPr>
        <w:spacing w:after="0" w:line="275" w:lineRule="exact"/>
        <w:rPr>
          <w:rFonts w:ascii="Verdana" w:cs="Verdana" w:eastAsia="Verdana" w:hAnsi="Verdana"/>
          <w:sz w:val="16"/>
          <w:szCs w:val="16"/>
          <w:color w:val="1D428A"/>
        </w:rPr>
      </w:pPr>
    </w:p>
    <w:p>
      <w:pPr>
        <w:ind w:left="640" w:right="60" w:hanging="169"/>
        <w:spacing w:after="0" w:line="260" w:lineRule="auto"/>
        <w:tabs>
          <w:tab w:leader="none" w:pos="634" w:val="left"/>
        </w:tabs>
        <w:numPr>
          <w:ilvl w:val="0"/>
          <w:numId w:val="17"/>
        </w:numPr>
        <w:rPr>
          <w:rFonts w:ascii="Verdana" w:cs="Verdana" w:eastAsia="Verdana" w:hAnsi="Verdana"/>
          <w:sz w:val="16"/>
          <w:szCs w:val="16"/>
          <w:color w:val="1D428A"/>
        </w:rPr>
      </w:pPr>
      <w:r>
        <w:rPr>
          <w:rFonts w:ascii="Arial" w:cs="Arial" w:eastAsia="Arial" w:hAnsi="Arial"/>
          <w:sz w:val="15"/>
          <w:szCs w:val="15"/>
          <w:color w:val="auto"/>
        </w:rPr>
        <w:t> Continued implementation of our internally developed waste generation and water usage playbooks globally to promote best practices on these topics within our facilities, enabling increased operational efficiency and reduced costs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59" w:right="160" w:hanging="159"/>
        <w:spacing w:after="0" w:line="257" w:lineRule="auto"/>
        <w:tabs>
          <w:tab w:leader="none" w:pos="153" w:val="left"/>
        </w:tabs>
        <w:numPr>
          <w:ilvl w:val="0"/>
          <w:numId w:val="18"/>
        </w:numPr>
        <w:rPr>
          <w:rFonts w:ascii="Verdana" w:cs="Verdana" w:eastAsia="Verdana" w:hAnsi="Verdana"/>
          <w:sz w:val="16"/>
          <w:szCs w:val="16"/>
          <w:color w:val="1D428A"/>
        </w:rPr>
      </w:pPr>
      <w:r>
        <w:rPr>
          <w:rFonts w:ascii="Arial" w:cs="Arial" w:eastAsia="Arial" w:hAnsi="Arial"/>
          <w:sz w:val="15"/>
          <w:szCs w:val="15"/>
          <w:color w:val="auto"/>
        </w:rPr>
        <w:t> Conducted our annual in-depth talent review with the Board, including leadership depth and succession planning, as well as a comprehensive review of organizational talent and strategies to attract, motivate, develop and retain key employees</w:t>
      </w:r>
    </w:p>
    <w:p>
      <w:pPr>
        <w:spacing w:after="0" w:line="272" w:lineRule="exact"/>
        <w:rPr>
          <w:rFonts w:ascii="Verdana" w:cs="Verdana" w:eastAsia="Verdana" w:hAnsi="Verdana"/>
          <w:sz w:val="16"/>
          <w:szCs w:val="16"/>
          <w:color w:val="1D428A"/>
        </w:rPr>
      </w:pPr>
    </w:p>
    <w:p>
      <w:pPr>
        <w:ind w:left="159" w:right="20" w:hanging="159"/>
        <w:spacing w:after="0" w:line="265" w:lineRule="auto"/>
        <w:tabs>
          <w:tab w:leader="none" w:pos="153" w:val="left"/>
        </w:tabs>
        <w:numPr>
          <w:ilvl w:val="0"/>
          <w:numId w:val="18"/>
        </w:numPr>
        <w:rPr>
          <w:rFonts w:ascii="Verdana" w:cs="Verdana" w:eastAsia="Verdana" w:hAnsi="Verdana"/>
          <w:sz w:val="16"/>
          <w:szCs w:val="16"/>
          <w:color w:val="1D428A"/>
        </w:rPr>
      </w:pPr>
      <w:r>
        <w:rPr>
          <w:rFonts w:ascii="Arial" w:cs="Arial" w:eastAsia="Arial" w:hAnsi="Arial"/>
          <w:sz w:val="15"/>
          <w:szCs w:val="15"/>
          <w:color w:val="auto"/>
        </w:rPr>
        <w:t>Completed global annual pay equity review, with fewer than 1% of employees recommended for adjustment</w:t>
      </w:r>
    </w:p>
    <w:p>
      <w:pPr>
        <w:spacing w:after="0" w:line="79" w:lineRule="exact"/>
        <w:rPr>
          <w:rFonts w:ascii="Verdana" w:cs="Verdana" w:eastAsia="Verdana" w:hAnsi="Verdana"/>
          <w:sz w:val="16"/>
          <w:szCs w:val="16"/>
          <w:color w:val="1D428A"/>
        </w:rPr>
      </w:pPr>
    </w:p>
    <w:p>
      <w:pPr>
        <w:ind w:left="159" w:right="80" w:hanging="159"/>
        <w:spacing w:after="0" w:line="253" w:lineRule="auto"/>
        <w:tabs>
          <w:tab w:leader="none" w:pos="153" w:val="left"/>
        </w:tabs>
        <w:numPr>
          <w:ilvl w:val="0"/>
          <w:numId w:val="18"/>
        </w:numPr>
        <w:rPr>
          <w:rFonts w:ascii="Verdana" w:cs="Verdana" w:eastAsia="Verdana" w:hAnsi="Verdana"/>
          <w:sz w:val="16"/>
          <w:szCs w:val="16"/>
          <w:color w:val="1D428A"/>
        </w:rPr>
      </w:pPr>
      <w:r>
        <w:rPr>
          <w:rFonts w:ascii="Arial" w:cs="Arial" w:eastAsia="Arial" w:hAnsi="Arial"/>
          <w:sz w:val="15"/>
          <w:szCs w:val="15"/>
          <w:color w:val="auto"/>
        </w:rPr>
        <w:t xml:space="preserve"> Enhanced our </w:t>
      </w:r>
      <w:r>
        <w:rPr>
          <w:rFonts w:ascii="Verdana" w:cs="Verdana" w:eastAsia="Verdana" w:hAnsi="Verdana"/>
          <w:sz w:val="15"/>
          <w:szCs w:val="15"/>
          <w:i w:val="1"/>
          <w:iCs w:val="1"/>
          <w:color w:val="auto"/>
        </w:rPr>
        <w:t>Expect Respect / Expect</w:t>
      </w:r>
      <w:r>
        <w:rPr>
          <w:rFonts w:ascii="Arial" w:cs="Arial" w:eastAsia="Arial" w:hAnsi="Arial"/>
          <w:sz w:val="15"/>
          <w:szCs w:val="15"/>
          <w:color w:val="auto"/>
        </w:rPr>
        <w:t xml:space="preserve"> </w:t>
      </w:r>
      <w:r>
        <w:rPr>
          <w:rFonts w:ascii="Verdana" w:cs="Verdana" w:eastAsia="Verdana" w:hAnsi="Verdana"/>
          <w:sz w:val="15"/>
          <w:szCs w:val="15"/>
          <w:i w:val="1"/>
          <w:iCs w:val="1"/>
          <w:color w:val="auto"/>
        </w:rPr>
        <w:t xml:space="preserve">Inclusion </w:t>
      </w:r>
      <w:r>
        <w:rPr>
          <w:rFonts w:ascii="Arial" w:cs="Arial" w:eastAsia="Arial" w:hAnsi="Arial"/>
          <w:sz w:val="15"/>
          <w:szCs w:val="15"/>
          <w:color w:val="auto"/>
        </w:rPr>
        <w:t>anti-harassment training for</w:t>
      </w:r>
      <w:r>
        <w:rPr>
          <w:rFonts w:ascii="Verdana" w:cs="Verdana" w:eastAsia="Verdana" w:hAnsi="Verdana"/>
          <w:sz w:val="15"/>
          <w:szCs w:val="15"/>
          <w:i w:val="1"/>
          <w:iCs w:val="1"/>
          <w:color w:val="auto"/>
        </w:rPr>
        <w:t xml:space="preserve"> </w:t>
      </w:r>
      <w:r>
        <w:rPr>
          <w:rFonts w:ascii="Arial" w:cs="Arial" w:eastAsia="Arial" w:hAnsi="Arial"/>
          <w:sz w:val="15"/>
          <w:szCs w:val="15"/>
          <w:color w:val="auto"/>
        </w:rPr>
        <w:t>our global workforce with training completed at all locations by end of first quarter 2025</w:t>
      </w:r>
    </w:p>
    <w:p>
      <w:pPr>
        <w:spacing w:after="0" w:line="264" w:lineRule="exact"/>
        <w:rPr>
          <w:rFonts w:ascii="Verdana" w:cs="Verdana" w:eastAsia="Verdana" w:hAnsi="Verdana"/>
          <w:sz w:val="16"/>
          <w:szCs w:val="16"/>
          <w:color w:val="1D428A"/>
        </w:rPr>
      </w:pPr>
    </w:p>
    <w:p>
      <w:pPr>
        <w:ind w:left="159" w:right="60" w:hanging="159"/>
        <w:spacing w:after="0" w:line="260" w:lineRule="auto"/>
        <w:tabs>
          <w:tab w:leader="none" w:pos="153" w:val="left"/>
        </w:tabs>
        <w:numPr>
          <w:ilvl w:val="0"/>
          <w:numId w:val="18"/>
        </w:numPr>
        <w:rPr>
          <w:rFonts w:ascii="Verdana" w:cs="Verdana" w:eastAsia="Verdana" w:hAnsi="Verdana"/>
          <w:sz w:val="16"/>
          <w:szCs w:val="16"/>
          <w:color w:val="1D428A"/>
        </w:rPr>
      </w:pPr>
      <w:r>
        <w:rPr>
          <w:rFonts w:ascii="Arial" w:cs="Arial" w:eastAsia="Arial" w:hAnsi="Arial"/>
          <w:sz w:val="15"/>
          <w:szCs w:val="15"/>
          <w:color w:val="auto"/>
        </w:rPr>
        <w:t xml:space="preserve"> Expanded our </w:t>
      </w:r>
      <w:r>
        <w:rPr>
          <w:rFonts w:ascii="Verdana" w:cs="Verdana" w:eastAsia="Verdana" w:hAnsi="Verdana"/>
          <w:sz w:val="15"/>
          <w:szCs w:val="15"/>
          <w:i w:val="1"/>
          <w:iCs w:val="1"/>
          <w:color w:val="auto"/>
        </w:rPr>
        <w:t>Together We Grow</w:t>
      </w:r>
      <w:r>
        <w:rPr>
          <w:rFonts w:ascii="Arial" w:cs="Arial" w:eastAsia="Arial" w:hAnsi="Arial"/>
          <w:sz w:val="15"/>
          <w:szCs w:val="15"/>
          <w:color w:val="auto"/>
        </w:rPr>
        <w:t xml:space="preserve"> merit-based program, which helps diverse high-potential future leaders build their networks and careers at Lear with an emphasis on engagement and relationship development, to include cohorts in Europe, Mexico and Honduras</w:t>
      </w:r>
    </w:p>
    <w:p>
      <w:pPr>
        <w:spacing w:after="0" w:line="72" w:lineRule="exact"/>
        <w:rPr>
          <w:rFonts w:ascii="Verdana" w:cs="Verdana" w:eastAsia="Verdana" w:hAnsi="Verdana"/>
          <w:sz w:val="16"/>
          <w:szCs w:val="16"/>
          <w:color w:val="1D428A"/>
        </w:rPr>
      </w:pPr>
    </w:p>
    <w:p>
      <w:pPr>
        <w:ind w:left="159" w:right="20" w:hanging="159"/>
        <w:spacing w:after="0" w:line="264" w:lineRule="auto"/>
        <w:tabs>
          <w:tab w:leader="none" w:pos="153" w:val="left"/>
        </w:tabs>
        <w:numPr>
          <w:ilvl w:val="0"/>
          <w:numId w:val="18"/>
        </w:numPr>
        <w:rPr>
          <w:rFonts w:ascii="Verdana" w:cs="Verdana" w:eastAsia="Verdana" w:hAnsi="Verdana"/>
          <w:sz w:val="16"/>
          <w:szCs w:val="16"/>
          <w:color w:val="1D428A"/>
        </w:rPr>
      </w:pPr>
      <w:r>
        <w:rPr>
          <w:rFonts w:ascii="Arial" w:cs="Arial" w:eastAsia="Arial" w:hAnsi="Arial"/>
          <w:sz w:val="15"/>
          <w:szCs w:val="15"/>
          <w:color w:val="auto"/>
        </w:rPr>
        <w:t> Published on our website our annual consolidated EEO-1 summary data as submitted to the U.S. Equal Employment Opportunity Commission</w:t>
      </w:r>
    </w:p>
    <w:p>
      <w:pPr>
        <w:spacing w:after="0" w:line="67" w:lineRule="exact"/>
        <w:rPr>
          <w:rFonts w:ascii="Verdana" w:cs="Verdana" w:eastAsia="Verdana" w:hAnsi="Verdana"/>
          <w:sz w:val="16"/>
          <w:szCs w:val="16"/>
          <w:color w:val="1D428A"/>
        </w:rPr>
      </w:pPr>
    </w:p>
    <w:p>
      <w:pPr>
        <w:ind w:left="159" w:hanging="159"/>
        <w:spacing w:after="0" w:line="259" w:lineRule="auto"/>
        <w:tabs>
          <w:tab w:leader="none" w:pos="153" w:val="left"/>
        </w:tabs>
        <w:numPr>
          <w:ilvl w:val="0"/>
          <w:numId w:val="18"/>
        </w:numPr>
        <w:rPr>
          <w:rFonts w:ascii="Verdana" w:cs="Verdana" w:eastAsia="Verdana" w:hAnsi="Verdana"/>
          <w:sz w:val="16"/>
          <w:szCs w:val="16"/>
          <w:color w:val="1D428A"/>
        </w:rPr>
      </w:pPr>
      <w:r>
        <w:rPr>
          <w:rFonts w:ascii="Arial" w:cs="Arial" w:eastAsia="Arial" w:hAnsi="Arial"/>
          <w:sz w:val="15"/>
          <w:szCs w:val="15"/>
          <w:color w:val="auto"/>
        </w:rPr>
        <w:t xml:space="preserve">Continued to expand our global </w:t>
      </w:r>
      <w:r>
        <w:rPr>
          <w:rFonts w:ascii="Verdana" w:cs="Verdana" w:eastAsia="Verdana" w:hAnsi="Verdana"/>
          <w:sz w:val="15"/>
          <w:szCs w:val="15"/>
          <w:i w:val="1"/>
          <w:iCs w:val="1"/>
          <w:color w:val="auto"/>
        </w:rPr>
        <w:t>Driving</w:t>
      </w:r>
      <w:r>
        <w:rPr>
          <w:rFonts w:ascii="Arial" w:cs="Arial" w:eastAsia="Arial" w:hAnsi="Arial"/>
          <w:sz w:val="15"/>
          <w:szCs w:val="15"/>
          <w:color w:val="auto"/>
        </w:rPr>
        <w:t xml:space="preserve"> </w:t>
      </w:r>
      <w:r>
        <w:rPr>
          <w:rFonts w:ascii="Verdana" w:cs="Verdana" w:eastAsia="Verdana" w:hAnsi="Verdana"/>
          <w:sz w:val="15"/>
          <w:szCs w:val="15"/>
          <w:i w:val="1"/>
          <w:iCs w:val="1"/>
          <w:color w:val="auto"/>
        </w:rPr>
        <w:t xml:space="preserve">Wellness </w:t>
      </w:r>
      <w:r>
        <w:rPr>
          <w:rFonts w:ascii="Arial" w:cs="Arial" w:eastAsia="Arial" w:hAnsi="Arial"/>
          <w:sz w:val="15"/>
          <w:szCs w:val="15"/>
          <w:color w:val="auto"/>
        </w:rPr>
        <w:t>program, which includes</w:t>
      </w:r>
      <w:r>
        <w:rPr>
          <w:rFonts w:ascii="Verdana" w:cs="Verdana" w:eastAsia="Verdana" w:hAnsi="Verdana"/>
          <w:sz w:val="15"/>
          <w:szCs w:val="15"/>
          <w:i w:val="1"/>
          <w:iCs w:val="1"/>
          <w:color w:val="auto"/>
        </w:rPr>
        <w:t xml:space="preserve"> </w:t>
      </w:r>
      <w:r>
        <w:rPr>
          <w:rFonts w:ascii="Arial" w:cs="Arial" w:eastAsia="Arial" w:hAnsi="Arial"/>
          <w:sz w:val="15"/>
          <w:szCs w:val="15"/>
          <w:color w:val="auto"/>
        </w:rPr>
        <w:t>localized initiatives to support the mental health and wellness of employees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69" w:right="620" w:hanging="169"/>
        <w:spacing w:after="0" w:line="260" w:lineRule="auto"/>
        <w:tabs>
          <w:tab w:leader="none" w:pos="163" w:val="left"/>
        </w:tabs>
        <w:numPr>
          <w:ilvl w:val="0"/>
          <w:numId w:val="19"/>
        </w:numPr>
        <w:rPr>
          <w:rFonts w:ascii="Verdana" w:cs="Verdana" w:eastAsia="Verdana" w:hAnsi="Verdana"/>
          <w:sz w:val="16"/>
          <w:szCs w:val="16"/>
          <w:color w:val="1D428A"/>
        </w:rPr>
      </w:pPr>
      <w:r>
        <w:rPr>
          <w:rFonts w:ascii="Arial" w:cs="Arial" w:eastAsia="Arial" w:hAnsi="Arial"/>
          <w:sz w:val="15"/>
          <w:szCs w:val="15"/>
          <w:color w:val="auto"/>
        </w:rPr>
        <w:t>Continued to use a third-party supply chain evaluation partner to assess global production suppliers against sustainability criteria, including environmental stewardship and human rights, using a risk-based approach</w:t>
      </w:r>
    </w:p>
    <w:p>
      <w:pPr>
        <w:spacing w:after="0" w:line="70" w:lineRule="exact"/>
        <w:rPr>
          <w:rFonts w:ascii="Verdana" w:cs="Verdana" w:eastAsia="Verdana" w:hAnsi="Verdana"/>
          <w:sz w:val="16"/>
          <w:szCs w:val="16"/>
          <w:color w:val="1D428A"/>
        </w:rPr>
      </w:pPr>
    </w:p>
    <w:p>
      <w:pPr>
        <w:ind w:left="169" w:right="600" w:hanging="169"/>
        <w:spacing w:after="0" w:line="259" w:lineRule="auto"/>
        <w:tabs>
          <w:tab w:leader="none" w:pos="163" w:val="left"/>
        </w:tabs>
        <w:numPr>
          <w:ilvl w:val="0"/>
          <w:numId w:val="19"/>
        </w:numPr>
        <w:rPr>
          <w:rFonts w:ascii="Verdana" w:cs="Verdana" w:eastAsia="Verdana" w:hAnsi="Verdana"/>
          <w:sz w:val="16"/>
          <w:szCs w:val="16"/>
          <w:color w:val="1D428A"/>
        </w:rPr>
      </w:pPr>
      <w:r>
        <w:rPr>
          <w:rFonts w:ascii="Arial" w:cs="Arial" w:eastAsia="Arial" w:hAnsi="Arial"/>
          <w:sz w:val="15"/>
          <w:szCs w:val="15"/>
          <w:color w:val="auto"/>
        </w:rPr>
        <w:t>Launched a comprehensive training program designed to educate our internal supply chain purchasing teams on our sustainability policies, requirements and strategy, as well as key sustainability practices and principles</w:t>
      </w:r>
    </w:p>
    <w:p>
      <w:pPr>
        <w:spacing w:after="0" w:line="200" w:lineRule="exact"/>
        <w:rPr>
          <w:rFonts w:ascii="Verdana" w:cs="Verdana" w:eastAsia="Verdana" w:hAnsi="Verdana"/>
          <w:sz w:val="16"/>
          <w:szCs w:val="16"/>
          <w:color w:val="1D428A"/>
        </w:rPr>
      </w:pPr>
    </w:p>
    <w:p>
      <w:pPr>
        <w:spacing w:after="0" w:line="249" w:lineRule="exact"/>
        <w:rPr>
          <w:rFonts w:ascii="Verdana" w:cs="Verdana" w:eastAsia="Verdana" w:hAnsi="Verdana"/>
          <w:sz w:val="16"/>
          <w:szCs w:val="16"/>
          <w:color w:val="1D428A"/>
        </w:rPr>
      </w:pPr>
    </w:p>
    <w:p>
      <w:pPr>
        <w:ind w:left="169" w:right="500" w:hanging="169"/>
        <w:spacing w:after="0" w:line="264" w:lineRule="auto"/>
        <w:tabs>
          <w:tab w:leader="none" w:pos="163" w:val="left"/>
        </w:tabs>
        <w:numPr>
          <w:ilvl w:val="0"/>
          <w:numId w:val="19"/>
        </w:numPr>
        <w:rPr>
          <w:rFonts w:ascii="Verdana" w:cs="Verdana" w:eastAsia="Verdana" w:hAnsi="Verdana"/>
          <w:sz w:val="16"/>
          <w:szCs w:val="16"/>
          <w:color w:val="1D428A"/>
        </w:rPr>
      </w:pPr>
      <w:r>
        <w:rPr>
          <w:rFonts w:ascii="Arial" w:cs="Arial" w:eastAsia="Arial" w:hAnsi="Arial"/>
          <w:sz w:val="15"/>
          <w:szCs w:val="15"/>
          <w:color w:val="auto"/>
        </w:rPr>
        <w:t>Enhanced our forced and child labor training materials and resources, which are available to all suppliers through our Supplier Information Portal at lear.com</w:t>
      </w:r>
    </w:p>
    <w:p>
      <w:pPr>
        <w:spacing w:after="0" w:line="80" w:lineRule="exact"/>
        <w:rPr>
          <w:rFonts w:ascii="Verdana" w:cs="Verdana" w:eastAsia="Verdana" w:hAnsi="Verdana"/>
          <w:sz w:val="16"/>
          <w:szCs w:val="16"/>
          <w:color w:val="1D428A"/>
        </w:rPr>
      </w:pPr>
    </w:p>
    <w:p>
      <w:pPr>
        <w:ind w:left="169" w:right="560" w:hanging="169"/>
        <w:spacing w:after="0" w:line="258" w:lineRule="auto"/>
        <w:tabs>
          <w:tab w:leader="none" w:pos="163" w:val="left"/>
        </w:tabs>
        <w:numPr>
          <w:ilvl w:val="0"/>
          <w:numId w:val="19"/>
        </w:numPr>
        <w:rPr>
          <w:rFonts w:ascii="Verdana" w:cs="Verdana" w:eastAsia="Verdana" w:hAnsi="Verdana"/>
          <w:sz w:val="16"/>
          <w:szCs w:val="16"/>
          <w:color w:val="1D428A"/>
        </w:rPr>
      </w:pPr>
      <w:r>
        <w:rPr>
          <w:rFonts w:ascii="Arial" w:cs="Arial" w:eastAsia="Arial" w:hAnsi="Arial"/>
          <w:sz w:val="15"/>
          <w:szCs w:val="15"/>
          <w:color w:val="auto"/>
        </w:rPr>
        <w:t>Continued to enhance transparency and sustainability reporting with reference to the Global Reporting Initiative’s (“GRI”) standards, as well as the Sustainability Accounting Standards Board (“SASB”) and Task Force on Climate-Related Financial Disclosures (“TCFD”) recommendations</w:t>
      </w:r>
    </w:p>
    <w:p>
      <w:pPr>
        <w:spacing w:after="0" w:line="257" w:lineRule="exact"/>
        <w:rPr>
          <w:rFonts w:ascii="Verdana" w:cs="Verdana" w:eastAsia="Verdana" w:hAnsi="Verdana"/>
          <w:sz w:val="16"/>
          <w:szCs w:val="16"/>
          <w:color w:val="1D428A"/>
        </w:rPr>
      </w:pPr>
    </w:p>
    <w:p>
      <w:pPr>
        <w:ind w:left="169" w:right="560" w:hanging="169"/>
        <w:spacing w:after="0" w:line="259" w:lineRule="auto"/>
        <w:tabs>
          <w:tab w:leader="none" w:pos="163" w:val="left"/>
        </w:tabs>
        <w:numPr>
          <w:ilvl w:val="0"/>
          <w:numId w:val="19"/>
        </w:numPr>
        <w:rPr>
          <w:rFonts w:ascii="Verdana" w:cs="Verdana" w:eastAsia="Verdana" w:hAnsi="Verdana"/>
          <w:sz w:val="16"/>
          <w:szCs w:val="16"/>
          <w:color w:val="1D428A"/>
        </w:rPr>
      </w:pPr>
      <w:r>
        <w:rPr>
          <w:rFonts w:ascii="Arial" w:cs="Arial" w:eastAsia="Arial" w:hAnsi="Arial"/>
          <w:sz w:val="15"/>
          <w:szCs w:val="15"/>
          <w:color w:val="auto"/>
        </w:rPr>
        <w:t>Conducted training for non-production suppliers in Europe, Africa, Brazil and China on Lear's Code of Business Conduct &amp; Ethics, anti-bribery and anti-corruption policy, and purchasing policies and processes</w:t>
      </w:r>
    </w:p>
    <w:p>
      <w:pPr>
        <w:spacing w:after="0" w:line="321" w:lineRule="exact"/>
        <w:rPr>
          <w:sz w:val="20"/>
          <w:szCs w:val="20"/>
          <w:color w:val="auto"/>
        </w:rPr>
      </w:pPr>
    </w:p>
    <w:p>
      <w:pPr>
        <w:sectPr>
          <w:pgSz w:w="11900" w:h="16838" w:orient="portrait"/>
          <w:cols w:equalWidth="0" w:num="3">
            <w:col w:w="3780" w:space="161"/>
            <w:col w:w="3339" w:space="171"/>
            <w:col w:w="3789"/>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8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9</w:t>
            </w:r>
          </w:p>
        </w:tc>
      </w:tr>
      <w:tr>
        <w:trPr>
          <w:trHeight w:val="331"/>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654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Verdana" w:cs="Verdana" w:eastAsia="Verdana" w:hAnsi="Verdana"/>
          <w:sz w:val="34"/>
          <w:szCs w:val="34"/>
          <w:b w:val="1"/>
          <w:bCs w:val="1"/>
          <w:u w:val="single" w:color="auto"/>
          <w:color w:val="0C2340"/>
        </w:rPr>
        <w:t>ELECTION OF DIRECTORS (PROPOSAL NO. 1)</w:t>
      </w:r>
    </w:p>
    <w:p>
      <w:pPr>
        <w:spacing w:after="0" w:line="202" w:lineRule="exact"/>
        <w:rPr>
          <w:sz w:val="20"/>
          <w:szCs w:val="20"/>
          <w:color w:val="auto"/>
        </w:rPr>
      </w:pPr>
    </w:p>
    <w:p>
      <w:pPr>
        <w:spacing w:after="0"/>
        <w:rPr>
          <w:sz w:val="20"/>
          <w:szCs w:val="20"/>
          <w:color w:val="auto"/>
        </w:rPr>
      </w:pPr>
      <w:r>
        <w:rPr>
          <w:rFonts w:ascii="Verdana" w:cs="Verdana" w:eastAsia="Verdana" w:hAnsi="Verdana"/>
          <w:sz w:val="16"/>
          <w:szCs w:val="16"/>
          <w:color w:val="auto"/>
        </w:rPr>
        <w:t>Mei-Wei Cheng, who has served as a member of our Board since 2019, will not be standing for re-election when his current term</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expires, as he has reached the Company’s mandatory retirement age. The Board would like to thank Mr. Cheng for his years of dedicated service to the Company. In connection with Mr. Cheng’s retirement, the Board has resolved to decrease its size to eleven members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effective upon the expiration of the current term of the members of the Board at the Annual Meeting.</w:t>
      </w:r>
    </w:p>
    <w:p>
      <w:pPr>
        <w:spacing w:after="0" w:line="103"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Upon the recommendation of our G&amp;S Committee, the Board has nominated the eleven individuals listed below to stand for election to the Board for a one-year term ending at the annual meeting of shareholders in 2026 or until their successors, if any, are elected or</w:t>
      </w:r>
    </w:p>
    <w:p>
      <w:pPr>
        <w:spacing w:after="0" w:line="1"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appointed. Our Bylaws provide for the annual election of directors. Each director nominee must receive the affirmative vote of a majority of the votes cast to be elected (i.e., the number of shares voted “for” a director nominee must exceed the number of votes cast</w:t>
      </w:r>
    </w:p>
    <w:p>
      <w:pPr>
        <w:spacing w:after="0" w:line="1" w:lineRule="exact"/>
        <w:rPr>
          <w:sz w:val="20"/>
          <w:szCs w:val="20"/>
          <w:color w:val="auto"/>
        </w:rPr>
      </w:pPr>
    </w:p>
    <w:p>
      <w:pPr>
        <w:jc w:val="both"/>
        <w:ind w:right="160"/>
        <w:spacing w:after="0" w:line="238" w:lineRule="auto"/>
        <w:rPr>
          <w:sz w:val="20"/>
          <w:szCs w:val="20"/>
          <w:color w:val="auto"/>
        </w:rPr>
      </w:pPr>
      <w:r>
        <w:rPr>
          <w:rFonts w:ascii="Verdana" w:cs="Verdana" w:eastAsia="Verdana" w:hAnsi="Verdana"/>
          <w:sz w:val="16"/>
          <w:szCs w:val="16"/>
          <w:color w:val="auto"/>
        </w:rPr>
        <w:t>“against” that nominee). Unless contrary instructions are given, the shares represented by your proxy will be voted FOR the election of all director nominees. In addition, our Bylaws and Corporate Governance Guidelines contain a resignation policy which provides that in the event an incumbent director fails to receive a majority of the votes cast in an uncontested election, such director shall promptly</w:t>
      </w:r>
    </w:p>
    <w:p>
      <w:pPr>
        <w:spacing w:after="0" w:line="2"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 xml:space="preserve">tender his or her resignation to the Board for consideration. The Board has determined that each director nominee, other than Mr. Scott, if elected, would be an independent director, as further described on page </w:t>
      </w:r>
      <w:r>
        <w:rPr>
          <w:rFonts w:ascii="Verdana" w:cs="Verdana" w:eastAsia="Verdana" w:hAnsi="Verdana"/>
          <w:sz w:val="16"/>
          <w:szCs w:val="16"/>
          <w:u w:val="single" w:color="auto"/>
          <w:color w:val="0000FF"/>
        </w:rPr>
        <w:t>20</w:t>
      </w:r>
      <w:r>
        <w:rPr>
          <w:rFonts w:ascii="Verdana" w:cs="Verdana" w:eastAsia="Verdana" w:hAnsi="Verdana"/>
          <w:sz w:val="16"/>
          <w:szCs w:val="16"/>
          <w:color w:val="auto"/>
        </w:rPr>
        <w:t xml:space="preserve"> in “Directors and Corporate Governance — Independence of Directors.”</w:t>
      </w:r>
    </w:p>
    <w:p>
      <w:pPr>
        <w:spacing w:after="0" w:line="98"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Our Corporate Governance Guidelines also include a mandatory retirement age policy whereby an individual who has reached the age of seventy-five may not stand for election or re-election to the Board, as well as a policy that non-employee directors shall serve on no</w:t>
      </w:r>
    </w:p>
    <w:p>
      <w:pPr>
        <w:spacing w:after="0" w:line="1" w:lineRule="exact"/>
        <w:rPr>
          <w:sz w:val="20"/>
          <w:szCs w:val="20"/>
          <w:color w:val="auto"/>
        </w:rPr>
      </w:pPr>
    </w:p>
    <w:p>
      <w:pPr>
        <w:ind w:right="200"/>
        <w:spacing w:after="0" w:line="243" w:lineRule="auto"/>
        <w:rPr>
          <w:sz w:val="20"/>
          <w:szCs w:val="20"/>
          <w:color w:val="auto"/>
        </w:rPr>
      </w:pPr>
      <w:r>
        <w:rPr>
          <w:rFonts w:ascii="Verdana" w:cs="Verdana" w:eastAsia="Verdana" w:hAnsi="Verdana"/>
          <w:sz w:val="16"/>
          <w:szCs w:val="16"/>
          <w:color w:val="auto"/>
        </w:rPr>
        <w:t>more than three public company boards in addition to Lear's Board, the CEO shall serve on no more than one public company board in addition to Lear's Board, and employee directors (other than the CEO) shall serve on no more than two public company boards in addition to Lear's Board.</w:t>
      </w:r>
    </w:p>
    <w:p>
      <w:pPr>
        <w:spacing w:after="0" w:line="98" w:lineRule="exact"/>
        <w:rPr>
          <w:sz w:val="20"/>
          <w:szCs w:val="20"/>
          <w:color w:val="auto"/>
        </w:rPr>
      </w:pPr>
    </w:p>
    <w:p>
      <w:pPr>
        <w:jc w:val="both"/>
        <w:ind w:right="80"/>
        <w:spacing w:after="0" w:line="241" w:lineRule="auto"/>
        <w:rPr>
          <w:sz w:val="20"/>
          <w:szCs w:val="20"/>
          <w:color w:val="auto"/>
        </w:rPr>
      </w:pPr>
      <w:r>
        <w:rPr>
          <w:rFonts w:ascii="Verdana" w:cs="Verdana" w:eastAsia="Verdana" w:hAnsi="Verdana"/>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Alternatively, our Board may reduce the number of directors to be elected at the Annual Meeting.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ind w:left="20"/>
              <w:spacing w:after="0"/>
              <w:rPr>
                <w:sz w:val="20"/>
                <w:szCs w:val="20"/>
                <w:color w:val="auto"/>
              </w:rPr>
            </w:pPr>
            <w:r>
              <w:rPr>
                <w:rFonts w:ascii="Verdana" w:cs="Verdana" w:eastAsia="Verdana" w:hAnsi="Verdana"/>
                <w:sz w:val="14"/>
                <w:szCs w:val="14"/>
                <w:b w:val="1"/>
                <w:bCs w:val="1"/>
                <w:color w:val="1D428A"/>
              </w:rPr>
              <w:t>Name</w:t>
            </w:r>
          </w:p>
        </w:tc>
        <w:tc>
          <w:tcPr>
            <w:tcW w:w="5780" w:type="dxa"/>
            <w:vAlign w:val="bottom"/>
          </w:tcPr>
          <w:p>
            <w:pPr>
              <w:ind w:left="1420"/>
              <w:spacing w:after="0"/>
              <w:rPr>
                <w:sz w:val="20"/>
                <w:szCs w:val="20"/>
                <w:color w:val="auto"/>
              </w:rPr>
            </w:pPr>
            <w:r>
              <w:rPr>
                <w:rFonts w:ascii="Verdana" w:cs="Verdana" w:eastAsia="Verdana" w:hAnsi="Verdana"/>
                <w:sz w:val="14"/>
                <w:szCs w:val="14"/>
                <w:b w:val="1"/>
                <w:bCs w:val="1"/>
                <w:color w:val="1D428A"/>
              </w:rPr>
              <w:t>Position</w:t>
            </w:r>
          </w:p>
        </w:tc>
      </w:tr>
      <w:tr>
        <w:trPr>
          <w:trHeight w:val="32"/>
        </w:trPr>
        <w:tc>
          <w:tcPr>
            <w:tcW w:w="2980" w:type="dxa"/>
            <w:vAlign w:val="bottom"/>
            <w:tcBorders>
              <w:bottom w:val="single" w:sz="8" w:color="1D428A"/>
            </w:tcBorders>
          </w:tcPr>
          <w:p>
            <w:pPr>
              <w:spacing w:after="0"/>
              <w:rPr>
                <w:sz w:val="2"/>
                <w:szCs w:val="2"/>
                <w:color w:val="auto"/>
              </w:rPr>
            </w:pPr>
          </w:p>
        </w:tc>
        <w:tc>
          <w:tcPr>
            <w:tcW w:w="5780" w:type="dxa"/>
            <w:vAlign w:val="bottom"/>
            <w:tcBorders>
              <w:bottom w:val="single" w:sz="8" w:color="1D428A"/>
            </w:tcBorders>
          </w:tcPr>
          <w:p>
            <w:pPr>
              <w:spacing w:after="0"/>
              <w:rPr>
                <w:sz w:val="2"/>
                <w:szCs w:val="2"/>
                <w:color w:val="auto"/>
              </w:rPr>
            </w:pPr>
          </w:p>
        </w:tc>
      </w:tr>
      <w:tr>
        <w:trPr>
          <w:trHeight w:val="235"/>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Julian G. Blissett</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Jonathan F. Foster</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Bradley M. Halverson</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Mary Lou Jepsen</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Roger A. Krone</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Rod A. Lache</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Patricia L. Lewis</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Kathleen A. Ligocki</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Conrad L. Mallett, Jr.</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Raymond E. Scott</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 President and CEO</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03"/>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Greg C. Smith</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 Non-Executive Chairman</w:t>
            </w:r>
          </w:p>
        </w:tc>
      </w:tr>
      <w:tr>
        <w:trPr>
          <w:trHeight w:val="27"/>
        </w:trPr>
        <w:tc>
          <w:tcPr>
            <w:tcW w:w="2980" w:type="dxa"/>
            <w:vAlign w:val="bottom"/>
            <w:shd w:val="clear" w:color="auto" w:fill="1D428A"/>
          </w:tcPr>
          <w:p>
            <w:pPr>
              <w:spacing w:after="0"/>
              <w:rPr>
                <w:sz w:val="2"/>
                <w:szCs w:val="2"/>
                <w:color w:val="auto"/>
              </w:rPr>
            </w:pPr>
          </w:p>
        </w:tc>
        <w:tc>
          <w:tcPr>
            <w:tcW w:w="5780" w:type="dxa"/>
            <w:vAlign w:val="bottom"/>
            <w:shd w:val="clear" w:color="auto" w:fill="1D428A"/>
          </w:tcPr>
          <w:p>
            <w:pPr>
              <w:spacing w:after="0"/>
              <w:rPr>
                <w:sz w:val="2"/>
                <w:szCs w:val="2"/>
                <w:color w:val="auto"/>
              </w:rPr>
            </w:pPr>
          </w:p>
        </w:tc>
      </w:tr>
    </w:tbl>
    <w:p>
      <w:pPr>
        <w:spacing w:after="0" w:line="188"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Biographical information relating to each of the director nominees is set forth below under “Directors and Corporate Governance” and incorporated by reference herein.</w:t>
      </w:r>
    </w:p>
    <w:p>
      <w:pPr>
        <w:spacing w:after="0" w:line="76" w:lineRule="exact"/>
        <w:rPr>
          <w:sz w:val="20"/>
          <w:szCs w:val="20"/>
          <w:color w:val="auto"/>
        </w:rPr>
      </w:pPr>
    </w:p>
    <w:p>
      <w:pPr>
        <w:ind w:right="40"/>
        <w:spacing w:after="0" w:line="270" w:lineRule="auto"/>
        <w:rPr>
          <w:sz w:val="20"/>
          <w:szCs w:val="20"/>
          <w:color w:val="auto"/>
        </w:rPr>
      </w:pPr>
      <w:r>
        <w:rPr>
          <w:rFonts w:ascii="Verdana" w:cs="Verdana" w:eastAsia="Verdana" w:hAnsi="Verdana"/>
          <w:sz w:val="16"/>
          <w:szCs w:val="16"/>
          <w:b w:val="1"/>
          <w:bCs w:val="1"/>
          <w:color w:val="auto"/>
        </w:rPr>
        <w:t>THE BOARD UNANIMOUSLY RECOMMENDS A VOTE “FOR” THE ELECTION OF EACH OF LEAR’S DIRECTOR NOMINEES NAMED IN THIS PROXY STATEMENT.</w:t>
      </w:r>
    </w:p>
    <w:p>
      <w:pPr>
        <w:spacing w:after="0" w:line="62" w:lineRule="exact"/>
        <w:rPr>
          <w:sz w:val="20"/>
          <w:szCs w:val="20"/>
          <w:color w:val="auto"/>
        </w:rPr>
      </w:pPr>
    </w:p>
    <w:p>
      <w:pPr>
        <w:ind w:right="540"/>
        <w:spacing w:after="0" w:line="270" w:lineRule="auto"/>
        <w:rPr>
          <w:sz w:val="20"/>
          <w:szCs w:val="20"/>
          <w:color w:val="auto"/>
        </w:rPr>
      </w:pPr>
      <w:r>
        <w:rPr>
          <w:rFonts w:ascii="Verdana" w:cs="Verdana" w:eastAsia="Verdana" w:hAnsi="Verdana"/>
          <w:sz w:val="16"/>
          <w:szCs w:val="16"/>
          <w:b w:val="1"/>
          <w:bCs w:val="1"/>
          <w:color w:val="auto"/>
        </w:rPr>
        <w:t>PROXIES SOLICITED BY THE BOARD WILL BE VOTED “FOR” THE ELECTION OF EACH OF LEAR’S DIRECTOR NOMINEES NAMED IN THIS PROXY STATEMENT UNLESS SHAREHOLDERS SPECIFY A CONTRARY VOTE.</w:t>
      </w:r>
    </w:p>
    <w:p>
      <w:pPr>
        <w:spacing w:after="0" w:line="200" w:lineRule="exact"/>
        <w:rPr>
          <w:sz w:val="20"/>
          <w:szCs w:val="20"/>
          <w:color w:val="auto"/>
        </w:rPr>
      </w:pPr>
    </w:p>
    <w:p>
      <w:pPr>
        <w:spacing w:after="0" w:line="397" w:lineRule="exact"/>
        <w:rPr>
          <w:sz w:val="20"/>
          <w:szCs w:val="20"/>
          <w:color w:val="auto"/>
        </w:rPr>
      </w:pPr>
    </w:p>
    <w:p>
      <w:pPr>
        <w:ind w:left="560" w:hanging="534"/>
        <w:spacing w:after="0"/>
        <w:tabs>
          <w:tab w:leader="none" w:pos="560" w:val="left"/>
        </w:tabs>
        <w:numPr>
          <w:ilvl w:val="0"/>
          <w:numId w:val="20"/>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DIRECTORS AND CORPORATE GOVERNANCE</w:t>
      </w:r>
    </w:p>
    <w:p>
      <w:pPr>
        <w:spacing w:after="0" w:line="194"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Director Biographical Information and Qualifications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Set forth below is a description of the business experience of each director nominee, as well as the specific qualifications, skills and</w:t>
      </w:r>
    </w:p>
    <w:p>
      <w:pPr>
        <w:spacing w:after="0" w:line="8" w:lineRule="exact"/>
        <w:rPr>
          <w:sz w:val="20"/>
          <w:szCs w:val="20"/>
          <w:color w:val="auto"/>
        </w:rPr>
      </w:pPr>
    </w:p>
    <w:p>
      <w:pPr>
        <w:jc w:val="both"/>
        <w:ind w:right="240"/>
        <w:spacing w:after="0" w:line="243" w:lineRule="auto"/>
        <w:rPr>
          <w:sz w:val="20"/>
          <w:szCs w:val="20"/>
          <w:color w:val="auto"/>
        </w:rPr>
      </w:pPr>
      <w:r>
        <w:rPr>
          <w:rFonts w:ascii="Verdana" w:cs="Verdana" w:eastAsia="Verdana" w:hAnsi="Verdana"/>
          <w:sz w:val="16"/>
          <w:szCs w:val="16"/>
          <w:color w:val="auto"/>
        </w:rPr>
        <w:t>experiences considered by the G&amp;S Committee and the Board in recommending our slate of director nominees. Each director nominee listed below is nominated for election to the Board for a term expiring at the annual meeting of shareholders in 2026. See “Election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760720" cy="6497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0720" cy="64979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440"/>
        <w:spacing w:after="0"/>
        <w:tabs>
          <w:tab w:leader="none" w:pos="9640" w:val="left"/>
          <w:tab w:leader="none" w:pos="1010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6" w:name="page17"/>
    <w:bookmarkEnd w:id="1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760720" cy="8083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808355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 w:hanging="534"/>
        <w:spacing w:after="0"/>
        <w:tabs>
          <w:tab w:leader="none" w:pos="560" w:val="left"/>
        </w:tabs>
        <w:numPr>
          <w:ilvl w:val="0"/>
          <w:numId w:val="21"/>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type w:val="continuous"/>
        </w:sectPr>
      </w:pPr>
    </w:p>
    <w:bookmarkStart w:id="17" w:name="page18"/>
    <w:bookmarkEnd w:id="1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7929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9292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8" w:name="page19"/>
    <w:bookmarkEnd w:id="1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760720" cy="7860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60720" cy="786066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0" w:hanging="534"/>
        <w:spacing w:after="0"/>
        <w:tabs>
          <w:tab w:leader="none" w:pos="560" w:val="left"/>
        </w:tabs>
        <w:numPr>
          <w:ilvl w:val="0"/>
          <w:numId w:val="22"/>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type w:val="continuous"/>
        </w:sectPr>
      </w:pPr>
    </w:p>
    <w:bookmarkStart w:id="19" w:name="page20"/>
    <w:bookmarkEnd w:id="1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7929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79292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0" w:name="page21"/>
    <w:bookmarkEnd w:id="2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5760720" cy="3068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072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0" w:hanging="534"/>
        <w:spacing w:after="0"/>
        <w:tabs>
          <w:tab w:leader="none" w:pos="560" w:val="left"/>
        </w:tabs>
        <w:numPr>
          <w:ilvl w:val="0"/>
          <w:numId w:val="23"/>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1" w:name="page22"/>
    <w:bookmarkEnd w:id="2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ind w:righ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Criteria for Selection of Directors and Director Recruitment Process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The G&amp;S Committee utilizes several criteria in evaluating and selecting candidates for Board membership including, without limitation, a</w:t>
      </w:r>
    </w:p>
    <w:p>
      <w:pPr>
        <w:spacing w:after="0" w:line="8"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director nominee’s independence, skills, experience, perspective, background and diversity (which we define broadly to include differences in viewpoints, background, experience, skill, education, national origin, gender, race, age, culture and current affiliations that</w:t>
      </w:r>
    </w:p>
    <w:p>
      <w:pPr>
        <w:spacing w:after="0" w:line="1" w:lineRule="exact"/>
        <w:rPr>
          <w:sz w:val="20"/>
          <w:szCs w:val="20"/>
          <w:color w:val="auto"/>
        </w:rPr>
      </w:pPr>
    </w:p>
    <w:p>
      <w:pPr>
        <w:ind w:right="460"/>
        <w:spacing w:after="0" w:line="253" w:lineRule="auto"/>
        <w:rPr>
          <w:sz w:val="20"/>
          <w:szCs w:val="20"/>
          <w:color w:val="auto"/>
        </w:rPr>
      </w:pPr>
      <w:r>
        <w:rPr>
          <w:rFonts w:ascii="Verdana" w:cs="Verdana" w:eastAsia="Verdana" w:hAnsi="Verdana"/>
          <w:sz w:val="16"/>
          <w:szCs w:val="16"/>
          <w:color w:val="auto"/>
        </w:rPr>
        <w:t>may offer the Company exposure to contemporary business issues and is considered in the context of the Board as a whole). These criteria may vary from year to year, depending on the needs of the Company at the time.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Board believes that diversity among directors is important to serving the long-term interests of Lear and its shareholders. In the</w:t>
      </w:r>
    </w:p>
    <w:p>
      <w:pPr>
        <w:spacing w:after="0" w:line="8"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event the G&amp;S Committee determines to recruit candidates as potential nominees to join the Board, the candidate pool will include qualified female and racially and/or ethnically diverse candidates and any third-party recruitment utilized in connection with such search</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will be instructed to include such individuals in the list of candidates they provide the G&amp;S Committee.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172200" cy="4105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G&amp;S Committee believes would contribute to the effective functioning of our Board.</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Our Corporate Governance Guidelines and G&amp;S Committee charter provide guidelines with respect to the consideration of director</w:t>
      </w:r>
    </w:p>
    <w:p>
      <w:pPr>
        <w:spacing w:after="0" w:line="8"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candidates. Under the Corporate Governance Guidelines, the G&amp;S Committee is responsible for, subject to approval by the Board, establishing and periodically reviewing the criteria for Board membership, including independence standards, and selection of new directors. The G&amp;S Committee also may recommend to the Board changes to the portfolio of director skills, experience, perspective and</w:t>
      </w:r>
    </w:p>
    <w:p>
      <w:pPr>
        <w:spacing w:after="0" w:line="2"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background required for the effective functioning of the Board, considering the Company’s strategy and its regulatory, geographic and market environments. Any such changes to the director selection criteria must be approved by the Board.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17</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To ensure that the Board is comprised of the talent necessary to effectively serve the Company and its shareholders, the Board regularly reviews its composition and succession plan. Based on the Board's current composition and needs, and with input from the Board, the</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G&amp;S Committee may compile a set of desired attributes of a potential new director. The G&amp;S Committee evaluates candidates through a robust process that includes initial candidate screening, interviews with members of the G&amp;S Committee and opportunities for interaction</w:t>
      </w:r>
    </w:p>
    <w:p>
      <w:pPr>
        <w:spacing w:after="0" w:line="1" w:lineRule="exact"/>
        <w:rPr>
          <w:sz w:val="20"/>
          <w:szCs w:val="20"/>
          <w:color w:val="auto"/>
        </w:rPr>
      </w:pPr>
    </w:p>
    <w:p>
      <w:pPr>
        <w:ind w:right="300"/>
        <w:spacing w:after="0" w:line="238" w:lineRule="auto"/>
        <w:rPr>
          <w:sz w:val="20"/>
          <w:szCs w:val="20"/>
          <w:color w:val="auto"/>
        </w:rPr>
      </w:pPr>
      <w:r>
        <w:rPr>
          <w:rFonts w:ascii="Verdana" w:cs="Verdana" w:eastAsia="Verdana" w:hAnsi="Verdana"/>
          <w:sz w:val="16"/>
          <w:szCs w:val="16"/>
          <w:color w:val="auto"/>
        </w:rPr>
        <w:t>with other Board members. Following this process, the G&amp;S Committee may recommend director nominees to the Board for approval. Candidates for Board membership may be suggested by G&amp;S Committee members and other Board members, as well as by management and shareholders. The G&amp;S Committee also may retain a search firm (which may be paid a fee) to identify director</w:t>
      </w:r>
    </w:p>
    <w:p>
      <w:pPr>
        <w:spacing w:after="0" w:line="2"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candidates. Once a potential candidate has been identified, the G&amp;S Committee evaluates the potential candidate based on the Board’s criteria for selection of directors (described above) and the composition and needs of the Board at the time. All director candidates are</w:t>
      </w:r>
    </w:p>
    <w:p>
      <w:pPr>
        <w:spacing w:after="0" w:line="1"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color w:val="auto"/>
        </w:rPr>
        <w:t>evaluated on the same basis. Candidates also are evaluated in light of Board policies, such as those relating to director independence and service on other boards, as well as considerations relating to the size and structure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172200" cy="1834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20"/>
        <w:spacing w:after="0" w:line="241" w:lineRule="auto"/>
        <w:rPr>
          <w:sz w:val="20"/>
          <w:szCs w:val="20"/>
          <w:color w:val="auto"/>
        </w:rPr>
      </w:pPr>
      <w:r>
        <w:rPr>
          <w:rFonts w:ascii="Verdana" w:cs="Verdana" w:eastAsia="Verdana" w:hAnsi="Verdana"/>
          <w:sz w:val="16"/>
          <w:szCs w:val="16"/>
          <w:color w:val="auto"/>
        </w:rPr>
        <w:t>While the Board believes that longer-serving directors are integral to the Company's success given their deep understanding of our business, the Board also understands the value that fresh perspectives bring in a challenging and dynamic industry. Following the</w:t>
      </w:r>
    </w:p>
    <w:p>
      <w:pPr>
        <w:spacing w:after="0" w:line="1" w:lineRule="exact"/>
        <w:rPr>
          <w:sz w:val="20"/>
          <w:szCs w:val="20"/>
          <w:color w:val="auto"/>
        </w:rPr>
      </w:pPr>
    </w:p>
    <w:p>
      <w:pPr>
        <w:ind w:right="680"/>
        <w:spacing w:after="0" w:line="241" w:lineRule="auto"/>
        <w:rPr>
          <w:sz w:val="20"/>
          <w:szCs w:val="20"/>
          <w:color w:val="auto"/>
        </w:rPr>
      </w:pPr>
      <w:r>
        <w:rPr>
          <w:rFonts w:ascii="Verdana" w:cs="Verdana" w:eastAsia="Verdana" w:hAnsi="Verdana"/>
          <w:sz w:val="16"/>
          <w:szCs w:val="16"/>
          <w:color w:val="auto"/>
        </w:rPr>
        <w:t>Board's review of its then-current composition and needs, and using the director recruitment process described above, the Board appointed Messrs. Lache and Blissett as new directors within the past year. Mr. Lache, with his decades of automotive analyst</w:t>
      </w:r>
    </w:p>
    <w:p>
      <w:pPr>
        <w:spacing w:after="0" w:line="1" w:lineRule="exact"/>
        <w:rPr>
          <w:sz w:val="20"/>
          <w:szCs w:val="20"/>
          <w:color w:val="auto"/>
        </w:rPr>
      </w:pPr>
    </w:p>
    <w:p>
      <w:pPr>
        <w:ind w:right="60"/>
        <w:spacing w:after="0" w:line="243" w:lineRule="auto"/>
        <w:rPr>
          <w:sz w:val="20"/>
          <w:szCs w:val="20"/>
          <w:color w:val="auto"/>
        </w:rPr>
      </w:pPr>
      <w:r>
        <w:rPr>
          <w:rFonts w:ascii="Verdana" w:cs="Verdana" w:eastAsia="Verdana" w:hAnsi="Verdana"/>
          <w:sz w:val="16"/>
          <w:szCs w:val="16"/>
          <w:color w:val="auto"/>
        </w:rPr>
        <w:t>experience, brings a profound understanding of investor perspectives to Lear's Board. In light of Mr. Cheng's upcoming retirement, the Board identified international experience, particularly in Asian markets, as a desired attribute of a potential new director, and Mr. Blissett brings to the Board extensive international experience in the automotive industry.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hanging="534"/>
        <w:spacing w:after="0"/>
        <w:tabs>
          <w:tab w:leader="none" w:pos="560" w:val="left"/>
        </w:tabs>
        <w:numPr>
          <w:ilvl w:val="0"/>
          <w:numId w:val="24"/>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48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26670</wp:posOffset>
            </wp:positionV>
            <wp:extent cx="26403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Board Composition and Tenure</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The following matrix provides certain information regarding the members of our Board, including certain types of knowledge, skills,</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experiences and attributes possessed by one or more of our directors which our Board believes are relevant to our business or industry. The matrix does not encompass all of the knowledge, skills, experiences or attributes of our directors, and the fact that a particular</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knowledge, skill, experience or attribute is not listed does not mean that a director does not possess it. In addition, the absence of a particular type of knowledge, skill, experience, or attribute with respect to any of our directors does not mean the director in question is unable to contribute to the decision-making process in that area. The type and degree of knowledge, skill and experience listed below</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may vary among members of the Board.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600" w:type="dxa"/>
            <w:vAlign w:val="bottom"/>
            <w:vMerge w:val="restart"/>
          </w:tcPr>
          <w:p>
            <w:pPr>
              <w:ind w:left="20"/>
              <w:spacing w:after="0"/>
              <w:rPr>
                <w:sz w:val="20"/>
                <w:szCs w:val="20"/>
                <w:color w:val="auto"/>
              </w:rPr>
            </w:pPr>
            <w:r>
              <w:rPr>
                <w:rFonts w:ascii="Verdana" w:cs="Verdana" w:eastAsia="Verdana" w:hAnsi="Verdana"/>
                <w:sz w:val="11"/>
                <w:szCs w:val="11"/>
                <w:b w:val="1"/>
                <w:bCs w:val="1"/>
                <w:color w:val="1D428A"/>
              </w:rPr>
              <w:t>Profile / Skills</w:t>
            </w:r>
          </w:p>
        </w:tc>
        <w:tc>
          <w:tcPr>
            <w:tcW w:w="800" w:type="dxa"/>
            <w:vAlign w:val="bottom"/>
          </w:tcPr>
          <w:p>
            <w:pPr>
              <w:jc w:val="center"/>
              <w:spacing w:after="0"/>
              <w:rPr>
                <w:sz w:val="20"/>
                <w:szCs w:val="20"/>
                <w:color w:val="auto"/>
              </w:rPr>
            </w:pPr>
            <w:r>
              <w:rPr>
                <w:rFonts w:ascii="Verdana" w:cs="Verdana" w:eastAsia="Verdana" w:hAnsi="Verdana"/>
                <w:sz w:val="11"/>
                <w:szCs w:val="11"/>
                <w:b w:val="1"/>
                <w:bCs w:val="1"/>
                <w:color w:val="1D428A"/>
                <w:w w:val="97"/>
              </w:rPr>
              <w:t>Julian</w:t>
            </w:r>
          </w:p>
        </w:tc>
        <w:tc>
          <w:tcPr>
            <w:tcW w:w="800" w:type="dxa"/>
            <w:vAlign w:val="bottom"/>
          </w:tcPr>
          <w:p>
            <w:pPr>
              <w:jc w:val="center"/>
              <w:spacing w:after="0"/>
              <w:rPr>
                <w:sz w:val="20"/>
                <w:szCs w:val="20"/>
                <w:color w:val="auto"/>
              </w:rPr>
            </w:pPr>
            <w:r>
              <w:rPr>
                <w:rFonts w:ascii="Verdana" w:cs="Verdana" w:eastAsia="Verdana" w:hAnsi="Verdana"/>
                <w:sz w:val="11"/>
                <w:szCs w:val="11"/>
                <w:b w:val="1"/>
                <w:bCs w:val="1"/>
                <w:color w:val="1D428A"/>
                <w:w w:val="95"/>
              </w:rPr>
              <w:t>Mei-Wei</w:t>
            </w:r>
          </w:p>
        </w:tc>
        <w:tc>
          <w:tcPr>
            <w:tcW w:w="800" w:type="dxa"/>
            <w:vAlign w:val="bottom"/>
          </w:tcPr>
          <w:p>
            <w:pPr>
              <w:jc w:val="center"/>
              <w:ind w:right="26"/>
              <w:spacing w:after="0"/>
              <w:rPr>
                <w:sz w:val="20"/>
                <w:szCs w:val="20"/>
                <w:color w:val="auto"/>
              </w:rPr>
            </w:pPr>
            <w:r>
              <w:rPr>
                <w:rFonts w:ascii="Verdana" w:cs="Verdana" w:eastAsia="Verdana" w:hAnsi="Verdana"/>
                <w:sz w:val="11"/>
                <w:szCs w:val="11"/>
                <w:b w:val="1"/>
                <w:bCs w:val="1"/>
                <w:color w:val="1D428A"/>
                <w:w w:val="92"/>
              </w:rPr>
              <w:t>Jon</w:t>
            </w:r>
          </w:p>
        </w:tc>
        <w:tc>
          <w:tcPr>
            <w:tcW w:w="800" w:type="dxa"/>
            <w:vAlign w:val="bottom"/>
          </w:tcPr>
          <w:p>
            <w:pPr>
              <w:jc w:val="center"/>
              <w:ind w:right="26"/>
              <w:spacing w:after="0"/>
              <w:rPr>
                <w:sz w:val="20"/>
                <w:szCs w:val="20"/>
                <w:color w:val="auto"/>
              </w:rPr>
            </w:pPr>
            <w:r>
              <w:rPr>
                <w:rFonts w:ascii="Verdana" w:cs="Verdana" w:eastAsia="Verdana" w:hAnsi="Verdana"/>
                <w:sz w:val="11"/>
                <w:szCs w:val="11"/>
                <w:b w:val="1"/>
                <w:bCs w:val="1"/>
                <w:color w:val="1D428A"/>
                <w:w w:val="96"/>
              </w:rPr>
              <w:t>Brad</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1D428A"/>
                <w:w w:val="95"/>
              </w:rPr>
              <w:t>Mary Lou</w:t>
            </w:r>
          </w:p>
        </w:tc>
        <w:tc>
          <w:tcPr>
            <w:tcW w:w="800" w:type="dxa"/>
            <w:vAlign w:val="bottom"/>
          </w:tcPr>
          <w:p>
            <w:pPr>
              <w:jc w:val="center"/>
              <w:ind w:right="26"/>
              <w:spacing w:after="0"/>
              <w:rPr>
                <w:sz w:val="20"/>
                <w:szCs w:val="20"/>
                <w:color w:val="auto"/>
              </w:rPr>
            </w:pPr>
            <w:r>
              <w:rPr>
                <w:rFonts w:ascii="Verdana" w:cs="Verdana" w:eastAsia="Verdana" w:hAnsi="Verdana"/>
                <w:sz w:val="11"/>
                <w:szCs w:val="11"/>
                <w:b w:val="1"/>
                <w:bCs w:val="1"/>
                <w:color w:val="1D428A"/>
                <w:w w:val="98"/>
              </w:rPr>
              <w:t>Roger</w:t>
            </w:r>
          </w:p>
        </w:tc>
        <w:tc>
          <w:tcPr>
            <w:tcW w:w="780" w:type="dxa"/>
            <w:vAlign w:val="bottom"/>
          </w:tcPr>
          <w:p>
            <w:pPr>
              <w:jc w:val="center"/>
              <w:spacing w:after="0"/>
              <w:rPr>
                <w:sz w:val="20"/>
                <w:szCs w:val="20"/>
                <w:color w:val="auto"/>
              </w:rPr>
            </w:pPr>
            <w:r>
              <w:rPr>
                <w:rFonts w:ascii="Verdana" w:cs="Verdana" w:eastAsia="Verdana" w:hAnsi="Verdana"/>
                <w:sz w:val="11"/>
                <w:szCs w:val="11"/>
                <w:b w:val="1"/>
                <w:bCs w:val="1"/>
                <w:color w:val="1D428A"/>
                <w:w w:val="91"/>
              </w:rPr>
              <w:t>Rod</w:t>
            </w:r>
          </w:p>
        </w:tc>
        <w:tc>
          <w:tcPr>
            <w:tcW w:w="820" w:type="dxa"/>
            <w:vAlign w:val="bottom"/>
          </w:tcPr>
          <w:p>
            <w:pPr>
              <w:jc w:val="center"/>
              <w:ind w:right="26"/>
              <w:spacing w:after="0"/>
              <w:rPr>
                <w:sz w:val="20"/>
                <w:szCs w:val="20"/>
                <w:color w:val="auto"/>
              </w:rPr>
            </w:pPr>
            <w:r>
              <w:rPr>
                <w:rFonts w:ascii="Verdana" w:cs="Verdana" w:eastAsia="Verdana" w:hAnsi="Verdana"/>
                <w:sz w:val="11"/>
                <w:szCs w:val="11"/>
                <w:b w:val="1"/>
                <w:bCs w:val="1"/>
                <w:color w:val="1D428A"/>
                <w:w w:val="97"/>
              </w:rPr>
              <w:t>Patricia</w:t>
            </w:r>
          </w:p>
        </w:tc>
        <w:tc>
          <w:tcPr>
            <w:tcW w:w="800" w:type="dxa"/>
            <w:vAlign w:val="bottom"/>
          </w:tcPr>
          <w:p>
            <w:pPr>
              <w:jc w:val="center"/>
              <w:spacing w:after="0"/>
              <w:rPr>
                <w:sz w:val="20"/>
                <w:szCs w:val="20"/>
                <w:color w:val="auto"/>
              </w:rPr>
            </w:pPr>
            <w:r>
              <w:rPr>
                <w:rFonts w:ascii="Verdana" w:cs="Verdana" w:eastAsia="Verdana" w:hAnsi="Verdana"/>
                <w:sz w:val="11"/>
                <w:szCs w:val="11"/>
                <w:b w:val="1"/>
                <w:bCs w:val="1"/>
                <w:color w:val="1D428A"/>
                <w:w w:val="98"/>
              </w:rPr>
              <w:t>Kathleen</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1D428A"/>
              </w:rPr>
              <w:t>Conrad</w:t>
            </w:r>
          </w:p>
        </w:tc>
        <w:tc>
          <w:tcPr>
            <w:tcW w:w="800" w:type="dxa"/>
            <w:vAlign w:val="bottom"/>
          </w:tcPr>
          <w:p>
            <w:pPr>
              <w:jc w:val="center"/>
              <w:spacing w:after="0"/>
              <w:rPr>
                <w:sz w:val="20"/>
                <w:szCs w:val="20"/>
                <w:color w:val="auto"/>
              </w:rPr>
            </w:pPr>
            <w:r>
              <w:rPr>
                <w:rFonts w:ascii="Verdana" w:cs="Verdana" w:eastAsia="Verdana" w:hAnsi="Verdana"/>
                <w:sz w:val="11"/>
                <w:szCs w:val="11"/>
                <w:b w:val="1"/>
                <w:bCs w:val="1"/>
                <w:color w:val="1D428A"/>
                <w:w w:val="96"/>
              </w:rPr>
              <w:t>Raymond</w:t>
            </w:r>
          </w:p>
        </w:tc>
        <w:tc>
          <w:tcPr>
            <w:tcW w:w="820" w:type="dxa"/>
            <w:vAlign w:val="bottom"/>
          </w:tcPr>
          <w:p>
            <w:pPr>
              <w:jc w:val="center"/>
              <w:ind w:right="6"/>
              <w:spacing w:after="0"/>
              <w:rPr>
                <w:sz w:val="20"/>
                <w:szCs w:val="20"/>
                <w:color w:val="auto"/>
              </w:rPr>
            </w:pPr>
            <w:r>
              <w:rPr>
                <w:rFonts w:ascii="Verdana" w:cs="Verdana" w:eastAsia="Verdana" w:hAnsi="Verdana"/>
                <w:sz w:val="11"/>
                <w:szCs w:val="11"/>
                <w:b w:val="1"/>
                <w:bCs w:val="1"/>
                <w:color w:val="1D428A"/>
                <w:w w:val="94"/>
              </w:rPr>
              <w:t>Greg</w:t>
            </w:r>
          </w:p>
        </w:tc>
        <w:tc>
          <w:tcPr>
            <w:tcW w:w="0" w:type="dxa"/>
            <w:vAlign w:val="bottom"/>
          </w:tcPr>
          <w:p>
            <w:pPr>
              <w:spacing w:after="0"/>
              <w:rPr>
                <w:sz w:val="1"/>
                <w:szCs w:val="1"/>
                <w:color w:val="auto"/>
              </w:rPr>
            </w:pPr>
          </w:p>
        </w:tc>
      </w:tr>
      <w:tr>
        <w:trPr>
          <w:trHeight w:val="165"/>
        </w:trPr>
        <w:tc>
          <w:tcPr>
            <w:tcW w:w="16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9"/>
              </w:rPr>
              <w:t>Blissett</w:t>
            </w:r>
          </w:p>
        </w:tc>
        <w:tc>
          <w:tcPr>
            <w:tcW w:w="800" w:type="dxa"/>
            <w:vAlign w:val="bottom"/>
            <w:tcBorders>
              <w:bottom w:val="single" w:sz="8" w:color="auto"/>
            </w:tcBorders>
          </w:tcPr>
          <w:p>
            <w:pPr>
              <w:jc w:val="center"/>
              <w:spacing w:after="0" w:line="165" w:lineRule="exact"/>
              <w:rPr>
                <w:sz w:val="20"/>
                <w:szCs w:val="20"/>
                <w:color w:val="auto"/>
              </w:rPr>
            </w:pPr>
            <w:r>
              <w:rPr>
                <w:rFonts w:ascii="Verdana" w:cs="Verdana" w:eastAsia="Verdana" w:hAnsi="Verdana"/>
                <w:sz w:val="11"/>
                <w:szCs w:val="11"/>
                <w:b w:val="1"/>
                <w:bCs w:val="1"/>
                <w:color w:val="1D428A"/>
                <w:w w:val="91"/>
              </w:rPr>
              <w:t xml:space="preserve">Cheng </w:t>
            </w:r>
            <w:r>
              <w:rPr>
                <w:rFonts w:ascii="Verdana" w:cs="Verdana" w:eastAsia="Verdana" w:hAnsi="Verdana"/>
                <w:sz w:val="14"/>
                <w:szCs w:val="14"/>
                <w:b w:val="1"/>
                <w:bCs w:val="1"/>
                <w:color w:val="1D428A"/>
                <w:w w:val="91"/>
                <w:vertAlign w:val="superscript"/>
              </w:rPr>
              <w:t>(1)</w:t>
            </w: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rPr>
              <w:t>Foster</w:t>
            </w: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6"/>
              </w:rPr>
              <w:t>Halverson</w:t>
            </w:r>
          </w:p>
        </w:tc>
        <w:tc>
          <w:tcPr>
            <w:tcW w:w="82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7"/>
              </w:rPr>
              <w:t>Jepsen</w:t>
            </w: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7"/>
              </w:rPr>
              <w:t>Krone</w:t>
            </w:r>
          </w:p>
        </w:tc>
        <w:tc>
          <w:tcPr>
            <w:tcW w:w="78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4"/>
              </w:rPr>
              <w:t>Lache</w:t>
            </w:r>
          </w:p>
        </w:tc>
        <w:tc>
          <w:tcPr>
            <w:tcW w:w="82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5"/>
              </w:rPr>
              <w:t>Lewis</w:t>
            </w: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6"/>
              </w:rPr>
              <w:t>Ligocki</w:t>
            </w:r>
          </w:p>
        </w:tc>
        <w:tc>
          <w:tcPr>
            <w:tcW w:w="82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8"/>
              </w:rPr>
              <w:t>Mallett</w:t>
            </w: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rPr>
              <w:t>Scott</w:t>
            </w:r>
          </w:p>
        </w:tc>
        <w:tc>
          <w:tcPr>
            <w:tcW w:w="82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1D428A"/>
                <w:w w:val="99"/>
              </w:rPr>
              <w:t>Smith</w:t>
            </w:r>
          </w:p>
        </w:tc>
        <w:tc>
          <w:tcPr>
            <w:tcW w:w="0" w:type="dxa"/>
            <w:vAlign w:val="bottom"/>
          </w:tcPr>
          <w:p>
            <w:pPr>
              <w:spacing w:after="0"/>
              <w:rPr>
                <w:sz w:val="1"/>
                <w:szCs w:val="1"/>
                <w:color w:val="auto"/>
              </w:rPr>
            </w:pPr>
          </w:p>
        </w:tc>
      </w:tr>
      <w:tr>
        <w:trPr>
          <w:trHeight w:val="183"/>
        </w:trPr>
        <w:tc>
          <w:tcPr>
            <w:tcW w:w="1600" w:type="dxa"/>
            <w:vAlign w:val="bottom"/>
            <w:tcBorders>
              <w:left w:val="single" w:sz="8" w:color="97BFF0"/>
              <w:bottom w:val="single" w:sz="8" w:color="97BFF0"/>
              <w:right w:val="single" w:sz="8" w:color="97BFF0"/>
            </w:tcBorders>
            <w:shd w:val="clear" w:color="auto" w:fill="97BFF0"/>
          </w:tcPr>
          <w:p>
            <w:pPr>
              <w:spacing w:after="0"/>
              <w:rPr>
                <w:sz w:val="15"/>
                <w:szCs w:val="15"/>
                <w:color w:val="auto"/>
              </w:rPr>
            </w:pPr>
          </w:p>
        </w:tc>
        <w:tc>
          <w:tcPr>
            <w:tcW w:w="800" w:type="dxa"/>
            <w:vAlign w:val="bottom"/>
            <w:tcBorders>
              <w:bottom w:val="single" w:sz="8" w:color="97BFF0"/>
              <w:right w:val="single" w:sz="8" w:color="97BFF0"/>
            </w:tcBorders>
            <w:shd w:val="clear" w:color="auto" w:fill="97BFF0"/>
          </w:tcPr>
          <w:p>
            <w:pPr>
              <w:spacing w:after="0"/>
              <w:rPr>
                <w:sz w:val="15"/>
                <w:szCs w:val="15"/>
                <w:color w:val="auto"/>
              </w:rPr>
            </w:pPr>
          </w:p>
        </w:tc>
        <w:tc>
          <w:tcPr>
            <w:tcW w:w="800" w:type="dxa"/>
            <w:vAlign w:val="bottom"/>
            <w:tcBorders>
              <w:bottom w:val="single" w:sz="8" w:color="97BFF0"/>
              <w:right w:val="single" w:sz="8" w:color="97BFF0"/>
            </w:tcBorders>
            <w:shd w:val="clear" w:color="auto" w:fill="97BFF0"/>
          </w:tcPr>
          <w:p>
            <w:pPr>
              <w:spacing w:after="0"/>
              <w:rPr>
                <w:sz w:val="15"/>
                <w:szCs w:val="15"/>
                <w:color w:val="auto"/>
              </w:rPr>
            </w:pPr>
          </w:p>
        </w:tc>
        <w:tc>
          <w:tcPr>
            <w:tcW w:w="800" w:type="dxa"/>
            <w:vAlign w:val="bottom"/>
            <w:tcBorders>
              <w:bottom w:val="single" w:sz="8" w:color="97BFF0"/>
              <w:right w:val="single" w:sz="8" w:color="97BFF0"/>
            </w:tcBorders>
            <w:shd w:val="clear" w:color="auto" w:fill="97BFF0"/>
          </w:tcPr>
          <w:p>
            <w:pPr>
              <w:spacing w:after="0"/>
              <w:rPr>
                <w:sz w:val="15"/>
                <w:szCs w:val="15"/>
                <w:color w:val="auto"/>
              </w:rPr>
            </w:pPr>
          </w:p>
        </w:tc>
        <w:tc>
          <w:tcPr>
            <w:tcW w:w="800" w:type="dxa"/>
            <w:vAlign w:val="bottom"/>
            <w:tcBorders>
              <w:bottom w:val="single" w:sz="8" w:color="97BFF0"/>
              <w:right w:val="single" w:sz="8" w:color="97BFF0"/>
            </w:tcBorders>
            <w:shd w:val="clear" w:color="auto" w:fill="97BFF0"/>
          </w:tcPr>
          <w:p>
            <w:pPr>
              <w:spacing w:after="0"/>
              <w:rPr>
                <w:sz w:val="15"/>
                <w:szCs w:val="15"/>
                <w:color w:val="auto"/>
              </w:rPr>
            </w:pPr>
          </w:p>
        </w:tc>
        <w:tc>
          <w:tcPr>
            <w:tcW w:w="1620" w:type="dxa"/>
            <w:vAlign w:val="bottom"/>
            <w:tcBorders>
              <w:bottom w:val="single" w:sz="8" w:color="97BFF0"/>
              <w:right w:val="single" w:sz="8" w:color="97BFF0"/>
            </w:tcBorders>
            <w:gridSpan w:val="2"/>
            <w:shd w:val="clear" w:color="auto" w:fill="97BFF0"/>
          </w:tcPr>
          <w:p>
            <w:pPr>
              <w:jc w:val="center"/>
              <w:spacing w:after="0"/>
              <w:rPr>
                <w:sz w:val="20"/>
                <w:szCs w:val="20"/>
                <w:color w:val="auto"/>
              </w:rPr>
            </w:pPr>
            <w:r>
              <w:rPr>
                <w:rFonts w:ascii="Verdana" w:cs="Verdana" w:eastAsia="Verdana" w:hAnsi="Verdana"/>
                <w:sz w:val="11"/>
                <w:szCs w:val="11"/>
                <w:b w:val="1"/>
                <w:bCs w:val="1"/>
                <w:color w:val="auto"/>
              </w:rPr>
              <w:t>Demographics</w:t>
            </w:r>
          </w:p>
        </w:tc>
        <w:tc>
          <w:tcPr>
            <w:tcW w:w="780" w:type="dxa"/>
            <w:vAlign w:val="bottom"/>
            <w:tcBorders>
              <w:bottom w:val="single" w:sz="8" w:color="97BFF0"/>
              <w:right w:val="single" w:sz="8" w:color="97BFF0"/>
            </w:tcBorders>
            <w:shd w:val="clear" w:color="auto" w:fill="97BFF0"/>
          </w:tcPr>
          <w:p>
            <w:pPr>
              <w:spacing w:after="0"/>
              <w:rPr>
                <w:sz w:val="15"/>
                <w:szCs w:val="15"/>
                <w:color w:val="auto"/>
              </w:rPr>
            </w:pPr>
          </w:p>
        </w:tc>
        <w:tc>
          <w:tcPr>
            <w:tcW w:w="820" w:type="dxa"/>
            <w:vAlign w:val="bottom"/>
            <w:tcBorders>
              <w:bottom w:val="single" w:sz="8" w:color="97BFF0"/>
              <w:right w:val="single" w:sz="8" w:color="97BFF0"/>
            </w:tcBorders>
            <w:shd w:val="clear" w:color="auto" w:fill="97BFF0"/>
          </w:tcPr>
          <w:p>
            <w:pPr>
              <w:spacing w:after="0"/>
              <w:rPr>
                <w:sz w:val="15"/>
                <w:szCs w:val="15"/>
                <w:color w:val="auto"/>
              </w:rPr>
            </w:pPr>
          </w:p>
        </w:tc>
        <w:tc>
          <w:tcPr>
            <w:tcW w:w="800" w:type="dxa"/>
            <w:vAlign w:val="bottom"/>
            <w:tcBorders>
              <w:bottom w:val="single" w:sz="8" w:color="97BFF0"/>
              <w:right w:val="single" w:sz="8" w:color="97BFF0"/>
            </w:tcBorders>
            <w:shd w:val="clear" w:color="auto" w:fill="97BFF0"/>
          </w:tcPr>
          <w:p>
            <w:pPr>
              <w:spacing w:after="0"/>
              <w:rPr>
                <w:sz w:val="15"/>
                <w:szCs w:val="15"/>
                <w:color w:val="auto"/>
              </w:rPr>
            </w:pPr>
          </w:p>
        </w:tc>
        <w:tc>
          <w:tcPr>
            <w:tcW w:w="820" w:type="dxa"/>
            <w:vAlign w:val="bottom"/>
            <w:tcBorders>
              <w:bottom w:val="single" w:sz="8" w:color="97BFF0"/>
              <w:right w:val="single" w:sz="8" w:color="97BFF0"/>
            </w:tcBorders>
            <w:shd w:val="clear" w:color="auto" w:fill="97BFF0"/>
          </w:tcPr>
          <w:p>
            <w:pPr>
              <w:spacing w:after="0"/>
              <w:rPr>
                <w:sz w:val="15"/>
                <w:szCs w:val="15"/>
                <w:color w:val="auto"/>
              </w:rPr>
            </w:pPr>
          </w:p>
        </w:tc>
        <w:tc>
          <w:tcPr>
            <w:tcW w:w="800" w:type="dxa"/>
            <w:vAlign w:val="bottom"/>
            <w:tcBorders>
              <w:bottom w:val="single" w:sz="8" w:color="97BFF0"/>
              <w:right w:val="single" w:sz="8" w:color="97BFF0"/>
            </w:tcBorders>
            <w:shd w:val="clear" w:color="auto" w:fill="97BFF0"/>
          </w:tcPr>
          <w:p>
            <w:pPr>
              <w:spacing w:after="0"/>
              <w:rPr>
                <w:sz w:val="15"/>
                <w:szCs w:val="15"/>
                <w:color w:val="auto"/>
              </w:rPr>
            </w:pPr>
          </w:p>
        </w:tc>
        <w:tc>
          <w:tcPr>
            <w:tcW w:w="820" w:type="dxa"/>
            <w:vAlign w:val="bottom"/>
            <w:tcBorders>
              <w:bottom w:val="single" w:sz="8" w:color="97BFF0"/>
              <w:right w:val="single" w:sz="8" w:color="97BFF0"/>
            </w:tcBorders>
            <w:shd w:val="clear" w:color="auto" w:fill="97BFF0"/>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Woman</w:t>
            </w:r>
          </w:p>
        </w:tc>
        <w:tc>
          <w:tcPr>
            <w:tcW w:w="800" w:type="dxa"/>
            <w:vAlign w:val="bottom"/>
            <w:tcBorders>
              <w:right w:val="single" w:sz="8" w:color="B3B0AC"/>
            </w:tcBorders>
          </w:tcPr>
          <w:p>
            <w:pPr>
              <w:spacing w:after="0"/>
              <w:rPr>
                <w:sz w:val="12"/>
                <w:szCs w:val="12"/>
                <w:color w:val="auto"/>
              </w:rPr>
            </w:pPr>
          </w:p>
        </w:tc>
        <w:tc>
          <w:tcPr>
            <w:tcW w:w="800" w:type="dxa"/>
            <w:vAlign w:val="bottom"/>
            <w:tcBorders>
              <w:right w:val="single" w:sz="8" w:color="B3B0AC"/>
            </w:tcBorders>
          </w:tcPr>
          <w:p>
            <w:pPr>
              <w:spacing w:after="0"/>
              <w:rPr>
                <w:sz w:val="12"/>
                <w:szCs w:val="12"/>
                <w:color w:val="auto"/>
              </w:rPr>
            </w:pPr>
          </w:p>
        </w:tc>
        <w:tc>
          <w:tcPr>
            <w:tcW w:w="800" w:type="dxa"/>
            <w:vAlign w:val="bottom"/>
            <w:tcBorders>
              <w:top w:val="single" w:sz="8" w:color="B3B0AC"/>
              <w:right w:val="single" w:sz="8" w:color="B3B0AC"/>
            </w:tcBorders>
          </w:tcPr>
          <w:p>
            <w:pPr>
              <w:spacing w:after="0"/>
              <w:rPr>
                <w:sz w:val="12"/>
                <w:szCs w:val="12"/>
                <w:color w:val="auto"/>
              </w:rPr>
            </w:pPr>
          </w:p>
        </w:tc>
        <w:tc>
          <w:tcPr>
            <w:tcW w:w="800" w:type="dxa"/>
            <w:vAlign w:val="bottom"/>
            <w:tcBorders>
              <w:top w:val="single" w:sz="8" w:color="B3B0AC"/>
              <w:right w:val="single" w:sz="8" w:color="B3B0AC"/>
            </w:tcBorders>
          </w:tcPr>
          <w:p>
            <w:pPr>
              <w:spacing w:after="0"/>
              <w:rPr>
                <w:sz w:val="12"/>
                <w:szCs w:val="12"/>
                <w:color w:val="auto"/>
              </w:rPr>
            </w:pPr>
          </w:p>
        </w:tc>
        <w:tc>
          <w:tcPr>
            <w:tcW w:w="820" w:type="dxa"/>
            <w:vAlign w:val="bottom"/>
            <w:tcBorders>
              <w:top w:val="single" w:sz="8" w:color="B3B0AC"/>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top w:val="single" w:sz="8" w:color="B3B0AC"/>
              <w:right w:val="single" w:sz="8" w:color="B3B0AC"/>
            </w:tcBorders>
          </w:tcPr>
          <w:p>
            <w:pPr>
              <w:spacing w:after="0"/>
              <w:rPr>
                <w:sz w:val="12"/>
                <w:szCs w:val="12"/>
                <w:color w:val="auto"/>
              </w:rPr>
            </w:pPr>
          </w:p>
        </w:tc>
        <w:tc>
          <w:tcPr>
            <w:tcW w:w="780" w:type="dxa"/>
            <w:vAlign w:val="bottom"/>
            <w:tcBorders>
              <w:top w:val="single" w:sz="8" w:color="B3B0AC"/>
              <w:right w:val="single" w:sz="8" w:color="B3B0AC"/>
            </w:tcBorders>
          </w:tcPr>
          <w:p>
            <w:pPr>
              <w:spacing w:after="0"/>
              <w:rPr>
                <w:sz w:val="12"/>
                <w:szCs w:val="12"/>
                <w:color w:val="auto"/>
              </w:rPr>
            </w:pPr>
          </w:p>
        </w:tc>
        <w:tc>
          <w:tcPr>
            <w:tcW w:w="820" w:type="dxa"/>
            <w:vAlign w:val="bottom"/>
            <w:tcBorders>
              <w:top w:val="single" w:sz="8" w:color="B3B0AC"/>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top w:val="single" w:sz="8" w:color="B3B0AC"/>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top w:val="single" w:sz="8" w:color="B3B0AC"/>
              <w:right w:val="single" w:sz="8" w:color="B3B0AC"/>
            </w:tcBorders>
          </w:tcPr>
          <w:p>
            <w:pPr>
              <w:spacing w:after="0"/>
              <w:rPr>
                <w:sz w:val="12"/>
                <w:szCs w:val="12"/>
                <w:color w:val="auto"/>
              </w:rPr>
            </w:pPr>
          </w:p>
        </w:tc>
        <w:tc>
          <w:tcPr>
            <w:tcW w:w="800" w:type="dxa"/>
            <w:vAlign w:val="bottom"/>
            <w:tcBorders>
              <w:top w:val="single" w:sz="8" w:color="B3B0AC"/>
              <w:right w:val="single" w:sz="8" w:color="B3B0AC"/>
            </w:tcBorders>
          </w:tcPr>
          <w:p>
            <w:pPr>
              <w:spacing w:after="0"/>
              <w:rPr>
                <w:sz w:val="12"/>
                <w:szCs w:val="12"/>
                <w:color w:val="auto"/>
              </w:rPr>
            </w:pPr>
          </w:p>
        </w:tc>
        <w:tc>
          <w:tcPr>
            <w:tcW w:w="820" w:type="dxa"/>
            <w:vAlign w:val="bottom"/>
            <w:tcBorders>
              <w:top w:val="single" w:sz="8" w:color="B3B0AC"/>
              <w:right w:val="single" w:sz="8" w:color="B3B0A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600" w:type="dxa"/>
            <w:vAlign w:val="bottom"/>
            <w:tcBorders>
              <w:left w:val="single" w:sz="8" w:color="B3B0AC"/>
              <w:bottom w:val="single" w:sz="8" w:color="B3B0AC"/>
              <w:right w:val="single" w:sz="8" w:color="B3B0AC"/>
            </w:tcBorders>
          </w:tcPr>
          <w:p>
            <w:pPr>
              <w:spacing w:after="0"/>
              <w:rPr>
                <w:sz w:val="3"/>
                <w:szCs w:val="3"/>
                <w:color w:val="auto"/>
              </w:rPr>
            </w:pPr>
          </w:p>
        </w:tc>
        <w:tc>
          <w:tcPr>
            <w:tcW w:w="800" w:type="dxa"/>
            <w:vAlign w:val="bottom"/>
            <w:tcBorders>
              <w:bottom w:val="single" w:sz="8" w:color="B3B0AC"/>
              <w:right w:val="single" w:sz="8" w:color="B3B0AC"/>
            </w:tcBorders>
          </w:tcPr>
          <w:p>
            <w:pPr>
              <w:spacing w:after="0"/>
              <w:rPr>
                <w:sz w:val="3"/>
                <w:szCs w:val="3"/>
                <w:color w:val="auto"/>
              </w:rPr>
            </w:pPr>
          </w:p>
        </w:tc>
        <w:tc>
          <w:tcPr>
            <w:tcW w:w="800" w:type="dxa"/>
            <w:vAlign w:val="bottom"/>
            <w:tcBorders>
              <w:bottom w:val="single" w:sz="8" w:color="B3B0AC"/>
              <w:right w:val="single" w:sz="8" w:color="B3B0AC"/>
            </w:tcBorders>
          </w:tcPr>
          <w:p>
            <w:pPr>
              <w:spacing w:after="0"/>
              <w:rPr>
                <w:sz w:val="3"/>
                <w:szCs w:val="3"/>
                <w:color w:val="auto"/>
              </w:rPr>
            </w:pPr>
          </w:p>
        </w:tc>
        <w:tc>
          <w:tcPr>
            <w:tcW w:w="800" w:type="dxa"/>
            <w:vAlign w:val="bottom"/>
            <w:tcBorders>
              <w:bottom w:val="single" w:sz="8" w:color="B3B0AC"/>
              <w:right w:val="single" w:sz="8" w:color="B3B0AC"/>
            </w:tcBorders>
          </w:tcPr>
          <w:p>
            <w:pPr>
              <w:spacing w:after="0"/>
              <w:rPr>
                <w:sz w:val="3"/>
                <w:szCs w:val="3"/>
                <w:color w:val="auto"/>
              </w:rPr>
            </w:pPr>
          </w:p>
        </w:tc>
        <w:tc>
          <w:tcPr>
            <w:tcW w:w="800" w:type="dxa"/>
            <w:vAlign w:val="bottom"/>
            <w:tcBorders>
              <w:bottom w:val="single" w:sz="8" w:color="B3B0AC"/>
              <w:right w:val="single" w:sz="8" w:color="B3B0AC"/>
            </w:tcBorders>
          </w:tcPr>
          <w:p>
            <w:pPr>
              <w:spacing w:after="0"/>
              <w:rPr>
                <w:sz w:val="3"/>
                <w:szCs w:val="3"/>
                <w:color w:val="auto"/>
              </w:rPr>
            </w:pPr>
          </w:p>
        </w:tc>
        <w:tc>
          <w:tcPr>
            <w:tcW w:w="820" w:type="dxa"/>
            <w:vAlign w:val="bottom"/>
            <w:tcBorders>
              <w:bottom w:val="single" w:sz="8" w:color="B3B0AC"/>
              <w:right w:val="single" w:sz="8" w:color="B3B0AC"/>
            </w:tcBorders>
          </w:tcPr>
          <w:p>
            <w:pPr>
              <w:spacing w:after="0"/>
              <w:rPr>
                <w:sz w:val="3"/>
                <w:szCs w:val="3"/>
                <w:color w:val="auto"/>
              </w:rPr>
            </w:pPr>
          </w:p>
        </w:tc>
        <w:tc>
          <w:tcPr>
            <w:tcW w:w="800" w:type="dxa"/>
            <w:vAlign w:val="bottom"/>
            <w:tcBorders>
              <w:bottom w:val="single" w:sz="8" w:color="B3B0AC"/>
              <w:right w:val="single" w:sz="8" w:color="B3B0AC"/>
            </w:tcBorders>
          </w:tcPr>
          <w:p>
            <w:pPr>
              <w:spacing w:after="0"/>
              <w:rPr>
                <w:sz w:val="3"/>
                <w:szCs w:val="3"/>
                <w:color w:val="auto"/>
              </w:rPr>
            </w:pPr>
          </w:p>
        </w:tc>
        <w:tc>
          <w:tcPr>
            <w:tcW w:w="780" w:type="dxa"/>
            <w:vAlign w:val="bottom"/>
            <w:tcBorders>
              <w:bottom w:val="single" w:sz="8" w:color="B3B0AC"/>
              <w:right w:val="single" w:sz="8" w:color="B3B0AC"/>
            </w:tcBorders>
          </w:tcPr>
          <w:p>
            <w:pPr>
              <w:spacing w:after="0"/>
              <w:rPr>
                <w:sz w:val="3"/>
                <w:szCs w:val="3"/>
                <w:color w:val="auto"/>
              </w:rPr>
            </w:pPr>
          </w:p>
        </w:tc>
        <w:tc>
          <w:tcPr>
            <w:tcW w:w="820" w:type="dxa"/>
            <w:vAlign w:val="bottom"/>
            <w:tcBorders>
              <w:bottom w:val="single" w:sz="8" w:color="B3B0AC"/>
              <w:right w:val="single" w:sz="8" w:color="B3B0AC"/>
            </w:tcBorders>
          </w:tcPr>
          <w:p>
            <w:pPr>
              <w:spacing w:after="0"/>
              <w:rPr>
                <w:sz w:val="3"/>
                <w:szCs w:val="3"/>
                <w:color w:val="auto"/>
              </w:rPr>
            </w:pPr>
          </w:p>
        </w:tc>
        <w:tc>
          <w:tcPr>
            <w:tcW w:w="800" w:type="dxa"/>
            <w:vAlign w:val="bottom"/>
            <w:tcBorders>
              <w:bottom w:val="single" w:sz="8" w:color="B3B0AC"/>
              <w:right w:val="single" w:sz="8" w:color="B3B0AC"/>
            </w:tcBorders>
          </w:tcPr>
          <w:p>
            <w:pPr>
              <w:spacing w:after="0"/>
              <w:rPr>
                <w:sz w:val="3"/>
                <w:szCs w:val="3"/>
                <w:color w:val="auto"/>
              </w:rPr>
            </w:pPr>
          </w:p>
        </w:tc>
        <w:tc>
          <w:tcPr>
            <w:tcW w:w="820" w:type="dxa"/>
            <w:vAlign w:val="bottom"/>
            <w:tcBorders>
              <w:bottom w:val="single" w:sz="8" w:color="B3B0AC"/>
              <w:right w:val="single" w:sz="8" w:color="B3B0AC"/>
            </w:tcBorders>
          </w:tcPr>
          <w:p>
            <w:pPr>
              <w:spacing w:after="0"/>
              <w:rPr>
                <w:sz w:val="3"/>
                <w:szCs w:val="3"/>
                <w:color w:val="auto"/>
              </w:rPr>
            </w:pPr>
          </w:p>
        </w:tc>
        <w:tc>
          <w:tcPr>
            <w:tcW w:w="800" w:type="dxa"/>
            <w:vAlign w:val="bottom"/>
            <w:tcBorders>
              <w:bottom w:val="single" w:sz="8" w:color="B3B0AC"/>
              <w:right w:val="single" w:sz="8" w:color="B3B0AC"/>
            </w:tcBorders>
          </w:tcPr>
          <w:p>
            <w:pPr>
              <w:spacing w:after="0"/>
              <w:rPr>
                <w:sz w:val="3"/>
                <w:szCs w:val="3"/>
                <w:color w:val="auto"/>
              </w:rPr>
            </w:pPr>
          </w:p>
        </w:tc>
        <w:tc>
          <w:tcPr>
            <w:tcW w:w="820" w:type="dxa"/>
            <w:vAlign w:val="bottom"/>
            <w:tcBorders>
              <w:bottom w:val="single" w:sz="8" w:color="B3B0AC"/>
              <w:right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African-American / Black</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Pan-Asian</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Non-U.S. Resident</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8"/>
                <w:szCs w:val="18"/>
                <w:color w:val="auto"/>
              </w:rPr>
            </w:pPr>
          </w:p>
        </w:tc>
        <w:tc>
          <w:tcPr>
            <w:tcW w:w="800" w:type="dxa"/>
            <w:vAlign w:val="bottom"/>
            <w:tcBorders>
              <w:right w:val="single" w:sz="8" w:color="B3B0AC"/>
            </w:tcBorders>
          </w:tcPr>
          <w:p>
            <w:pPr>
              <w:spacing w:after="0"/>
              <w:rPr>
                <w:sz w:val="18"/>
                <w:szCs w:val="18"/>
                <w:color w:val="auto"/>
              </w:rPr>
            </w:pPr>
          </w:p>
        </w:tc>
        <w:tc>
          <w:tcPr>
            <w:tcW w:w="820" w:type="dxa"/>
            <w:vAlign w:val="bottom"/>
            <w:tcBorders>
              <w:right w:val="single" w:sz="8" w:color="B3B0AC"/>
            </w:tcBorders>
          </w:tcPr>
          <w:p>
            <w:pPr>
              <w:spacing w:after="0"/>
              <w:rPr>
                <w:sz w:val="18"/>
                <w:szCs w:val="18"/>
                <w:color w:val="auto"/>
              </w:rPr>
            </w:pPr>
          </w:p>
        </w:tc>
        <w:tc>
          <w:tcPr>
            <w:tcW w:w="800" w:type="dxa"/>
            <w:vAlign w:val="bottom"/>
            <w:tcBorders>
              <w:right w:val="single" w:sz="8" w:color="B3B0AC"/>
            </w:tcBorders>
          </w:tcPr>
          <w:p>
            <w:pPr>
              <w:spacing w:after="0"/>
              <w:rPr>
                <w:sz w:val="18"/>
                <w:szCs w:val="18"/>
                <w:color w:val="auto"/>
              </w:rPr>
            </w:pPr>
          </w:p>
        </w:tc>
        <w:tc>
          <w:tcPr>
            <w:tcW w:w="780" w:type="dxa"/>
            <w:vAlign w:val="bottom"/>
            <w:tcBorders>
              <w:right w:val="single" w:sz="8" w:color="B3B0AC"/>
            </w:tcBorders>
          </w:tcPr>
          <w:p>
            <w:pPr>
              <w:spacing w:after="0"/>
              <w:rPr>
                <w:sz w:val="18"/>
                <w:szCs w:val="18"/>
                <w:color w:val="auto"/>
              </w:rPr>
            </w:pPr>
          </w:p>
        </w:tc>
        <w:tc>
          <w:tcPr>
            <w:tcW w:w="820" w:type="dxa"/>
            <w:vAlign w:val="bottom"/>
            <w:tcBorders>
              <w:right w:val="single" w:sz="8" w:color="B3B0AC"/>
            </w:tcBorders>
          </w:tcPr>
          <w:p>
            <w:pPr>
              <w:spacing w:after="0"/>
              <w:rPr>
                <w:sz w:val="18"/>
                <w:szCs w:val="18"/>
                <w:color w:val="auto"/>
              </w:rPr>
            </w:pPr>
          </w:p>
        </w:tc>
        <w:tc>
          <w:tcPr>
            <w:tcW w:w="800" w:type="dxa"/>
            <w:vAlign w:val="bottom"/>
            <w:tcBorders>
              <w:right w:val="single" w:sz="8" w:color="B3B0AC"/>
            </w:tcBorders>
          </w:tcPr>
          <w:p>
            <w:pPr>
              <w:spacing w:after="0"/>
              <w:rPr>
                <w:sz w:val="18"/>
                <w:szCs w:val="18"/>
                <w:color w:val="auto"/>
              </w:rPr>
            </w:pPr>
          </w:p>
        </w:tc>
        <w:tc>
          <w:tcPr>
            <w:tcW w:w="820" w:type="dxa"/>
            <w:vAlign w:val="bottom"/>
            <w:tcBorders>
              <w:right w:val="single" w:sz="8" w:color="B3B0AC"/>
            </w:tcBorders>
          </w:tcPr>
          <w:p>
            <w:pPr>
              <w:spacing w:after="0"/>
              <w:rPr>
                <w:sz w:val="18"/>
                <w:szCs w:val="18"/>
                <w:color w:val="auto"/>
              </w:rPr>
            </w:pPr>
          </w:p>
        </w:tc>
        <w:tc>
          <w:tcPr>
            <w:tcW w:w="800" w:type="dxa"/>
            <w:vAlign w:val="bottom"/>
            <w:tcBorders>
              <w:right w:val="single" w:sz="8" w:color="B3B0AC"/>
            </w:tcBorders>
          </w:tcPr>
          <w:p>
            <w:pPr>
              <w:spacing w:after="0"/>
              <w:rPr>
                <w:sz w:val="18"/>
                <w:szCs w:val="18"/>
                <w:color w:val="auto"/>
              </w:rPr>
            </w:pPr>
          </w:p>
        </w:tc>
        <w:tc>
          <w:tcPr>
            <w:tcW w:w="820" w:type="dxa"/>
            <w:vAlign w:val="bottom"/>
            <w:tcBorders>
              <w:right w:val="single" w:sz="8" w:color="B3B0A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00" w:type="dxa"/>
            <w:vAlign w:val="bottom"/>
            <w:tcBorders>
              <w:top w:val="single" w:sz="8" w:color="696158"/>
              <w:left w:val="single" w:sz="8" w:color="97BFF0"/>
              <w:bottom w:val="single" w:sz="8" w:color="97BFF0"/>
              <w:right w:val="single" w:sz="8" w:color="97BFF0"/>
            </w:tcBorders>
            <w:shd w:val="clear" w:color="auto" w:fill="97BFF0"/>
          </w:tcPr>
          <w:p>
            <w:pPr>
              <w:spacing w:after="0"/>
              <w:rPr>
                <w:sz w:val="14"/>
                <w:szCs w:val="14"/>
                <w:color w:val="auto"/>
              </w:rPr>
            </w:pPr>
          </w:p>
        </w:tc>
        <w:tc>
          <w:tcPr>
            <w:tcW w:w="80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0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0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0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1620" w:type="dxa"/>
            <w:vAlign w:val="bottom"/>
            <w:tcBorders>
              <w:top w:val="single" w:sz="8" w:color="696158"/>
              <w:bottom w:val="single" w:sz="8" w:color="97BFF0"/>
              <w:right w:val="single" w:sz="8" w:color="97BFF0"/>
            </w:tcBorders>
            <w:gridSpan w:val="2"/>
            <w:shd w:val="clear" w:color="auto" w:fill="97BFF0"/>
          </w:tcPr>
          <w:p>
            <w:pPr>
              <w:jc w:val="center"/>
              <w:spacing w:after="0"/>
              <w:rPr>
                <w:sz w:val="20"/>
                <w:szCs w:val="20"/>
                <w:color w:val="auto"/>
              </w:rPr>
            </w:pPr>
            <w:r>
              <w:rPr>
                <w:rFonts w:ascii="Verdana" w:cs="Verdana" w:eastAsia="Verdana" w:hAnsi="Verdana"/>
                <w:sz w:val="11"/>
                <w:szCs w:val="11"/>
                <w:b w:val="1"/>
                <w:bCs w:val="1"/>
                <w:color w:val="auto"/>
              </w:rPr>
              <w:t>Skills / Experience</w:t>
            </w:r>
          </w:p>
        </w:tc>
        <w:tc>
          <w:tcPr>
            <w:tcW w:w="78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2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0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2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0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20" w:type="dxa"/>
            <w:vAlign w:val="bottom"/>
            <w:tcBorders>
              <w:top w:val="single" w:sz="8" w:color="696158"/>
              <w:bottom w:val="single" w:sz="8" w:color="97BFF0"/>
              <w:right w:val="single" w:sz="8" w:color="B3B0AC"/>
            </w:tcBorders>
            <w:shd w:val="clear" w:color="auto" w:fill="97BFF0"/>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CEO / Large Business</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54"/>
        </w:trPr>
        <w:tc>
          <w:tcPr>
            <w:tcW w:w="1600" w:type="dxa"/>
            <w:vAlign w:val="bottom"/>
            <w:tcBorders>
              <w:left w:val="single" w:sz="8" w:color="B3B0AC"/>
              <w:right w:val="single" w:sz="8" w:color="B3B0AC"/>
            </w:tcBorders>
            <w:vMerge w:val="restart"/>
          </w:tcPr>
          <w:p>
            <w:pPr>
              <w:ind w:left="40"/>
              <w:spacing w:after="0"/>
              <w:rPr>
                <w:sz w:val="20"/>
                <w:szCs w:val="20"/>
                <w:color w:val="auto"/>
              </w:rPr>
            </w:pPr>
            <w:r>
              <w:rPr>
                <w:rFonts w:ascii="Verdana" w:cs="Verdana" w:eastAsia="Verdana" w:hAnsi="Verdana"/>
                <w:sz w:val="11"/>
                <w:szCs w:val="11"/>
                <w:color w:val="auto"/>
              </w:rPr>
              <w:t>Head</w:t>
            </w: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780" w:type="dxa"/>
            <w:vAlign w:val="bottom"/>
            <w:tcBorders>
              <w:right w:val="single" w:sz="8" w:color="B3B0AC"/>
            </w:tcBorders>
          </w:tcPr>
          <w:p>
            <w:pPr>
              <w:spacing w:after="0"/>
              <w:rPr>
                <w:sz w:val="4"/>
                <w:szCs w:val="4"/>
                <w:color w:val="auto"/>
              </w:rPr>
            </w:pPr>
          </w:p>
        </w:tc>
        <w:tc>
          <w:tcPr>
            <w:tcW w:w="82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600" w:type="dxa"/>
            <w:vAlign w:val="bottom"/>
            <w:tcBorders>
              <w:left w:val="single" w:sz="8" w:color="B3B0AC"/>
              <w:right w:val="single" w:sz="8" w:color="B3B0AC"/>
            </w:tcBorders>
            <w:vMerge w:val="continue"/>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78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CFO / Treasurer / Fin.</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54"/>
        </w:trPr>
        <w:tc>
          <w:tcPr>
            <w:tcW w:w="1600" w:type="dxa"/>
            <w:vAlign w:val="bottom"/>
            <w:tcBorders>
              <w:left w:val="single" w:sz="8" w:color="B3B0AC"/>
              <w:right w:val="single" w:sz="8" w:color="B3B0AC"/>
            </w:tcBorders>
            <w:vMerge w:val="restart"/>
          </w:tcPr>
          <w:p>
            <w:pPr>
              <w:ind w:left="40"/>
              <w:spacing w:after="0"/>
              <w:rPr>
                <w:sz w:val="20"/>
                <w:szCs w:val="20"/>
                <w:color w:val="auto"/>
              </w:rPr>
            </w:pPr>
            <w:r>
              <w:rPr>
                <w:rFonts w:ascii="Verdana" w:cs="Verdana" w:eastAsia="Verdana" w:hAnsi="Verdana"/>
                <w:sz w:val="11"/>
                <w:szCs w:val="11"/>
                <w:color w:val="auto"/>
              </w:rPr>
              <w:t>Serv. Exec.</w:t>
            </w:r>
          </w:p>
        </w:tc>
        <w:tc>
          <w:tcPr>
            <w:tcW w:w="80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780" w:type="dxa"/>
            <w:vAlign w:val="bottom"/>
            <w:tcBorders>
              <w:right w:val="single" w:sz="8" w:color="B3B0AC"/>
            </w:tcBorders>
          </w:tcPr>
          <w:p>
            <w:pPr>
              <w:spacing w:after="0"/>
              <w:rPr>
                <w:sz w:val="4"/>
                <w:szCs w:val="4"/>
                <w:color w:val="auto"/>
              </w:rPr>
            </w:pPr>
          </w:p>
        </w:tc>
        <w:tc>
          <w:tcPr>
            <w:tcW w:w="82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tcPr>
          <w:p>
            <w:pPr>
              <w:spacing w:after="0"/>
              <w:rPr>
                <w:sz w:val="4"/>
                <w:szCs w:val="4"/>
                <w:color w:val="auto"/>
              </w:rPr>
            </w:pPr>
          </w:p>
        </w:tc>
        <w:tc>
          <w:tcPr>
            <w:tcW w:w="82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600" w:type="dxa"/>
            <w:vAlign w:val="bottom"/>
            <w:tcBorders>
              <w:left w:val="single" w:sz="8" w:color="B3B0AC"/>
              <w:right w:val="single" w:sz="8" w:color="B3B0AC"/>
            </w:tcBorders>
            <w:vMerge w:val="continue"/>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78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Auto Industry</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Technology</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Strategy</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Finance</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Commercial / Marketing</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spacing w:after="0"/>
              <w:rPr>
                <w:sz w:val="13"/>
                <w:szCs w:val="13"/>
                <w:color w:val="auto"/>
              </w:rPr>
            </w:pP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Operations</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Human Capital</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54"/>
        </w:trPr>
        <w:tc>
          <w:tcPr>
            <w:tcW w:w="1600" w:type="dxa"/>
            <w:vAlign w:val="bottom"/>
            <w:tcBorders>
              <w:left w:val="single" w:sz="8" w:color="B3B0AC"/>
              <w:right w:val="single" w:sz="8" w:color="B3B0AC"/>
            </w:tcBorders>
            <w:vMerge w:val="restart"/>
          </w:tcPr>
          <w:p>
            <w:pPr>
              <w:ind w:left="40"/>
              <w:spacing w:after="0"/>
              <w:rPr>
                <w:sz w:val="20"/>
                <w:szCs w:val="20"/>
                <w:color w:val="auto"/>
              </w:rPr>
            </w:pPr>
            <w:r>
              <w:rPr>
                <w:rFonts w:ascii="Verdana" w:cs="Verdana" w:eastAsia="Verdana" w:hAnsi="Verdana"/>
                <w:sz w:val="11"/>
                <w:szCs w:val="11"/>
                <w:color w:val="auto"/>
              </w:rPr>
              <w:t>Management</w:t>
            </w: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780" w:type="dxa"/>
            <w:vAlign w:val="bottom"/>
            <w:tcBorders>
              <w:right w:val="single" w:sz="8" w:color="B3B0AC"/>
            </w:tcBorders>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600" w:type="dxa"/>
            <w:vAlign w:val="bottom"/>
            <w:tcBorders>
              <w:left w:val="single" w:sz="8" w:color="B3B0AC"/>
              <w:right w:val="single" w:sz="8" w:color="B3B0AC"/>
            </w:tcBorders>
            <w:vMerge w:val="continue"/>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78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Legal / Governmental</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Environmental, Social,</w:t>
            </w:r>
          </w:p>
        </w:tc>
        <w:tc>
          <w:tcPr>
            <w:tcW w:w="80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vMerge w:val="restart"/>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54"/>
        </w:trPr>
        <w:tc>
          <w:tcPr>
            <w:tcW w:w="1600" w:type="dxa"/>
            <w:vAlign w:val="bottom"/>
            <w:tcBorders>
              <w:left w:val="single" w:sz="8" w:color="B3B0AC"/>
              <w:right w:val="single" w:sz="8" w:color="B3B0AC"/>
            </w:tcBorders>
            <w:vMerge w:val="restart"/>
          </w:tcPr>
          <w:p>
            <w:pPr>
              <w:ind w:left="40"/>
              <w:spacing w:after="0"/>
              <w:rPr>
                <w:sz w:val="20"/>
                <w:szCs w:val="20"/>
                <w:color w:val="auto"/>
              </w:rPr>
            </w:pPr>
            <w:r>
              <w:rPr>
                <w:rFonts w:ascii="Verdana" w:cs="Verdana" w:eastAsia="Verdana" w:hAnsi="Verdana"/>
                <w:sz w:val="11"/>
                <w:szCs w:val="11"/>
                <w:color w:val="auto"/>
              </w:rPr>
              <w:t>Governance</w:t>
            </w:r>
          </w:p>
        </w:tc>
        <w:tc>
          <w:tcPr>
            <w:tcW w:w="800" w:type="dxa"/>
            <w:vAlign w:val="bottom"/>
            <w:tcBorders>
              <w:right w:val="single" w:sz="8" w:color="B3B0AC"/>
            </w:tcBorders>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780" w:type="dxa"/>
            <w:vAlign w:val="bottom"/>
            <w:tcBorders>
              <w:right w:val="single" w:sz="8" w:color="B3B0AC"/>
            </w:tcBorders>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800" w:type="dxa"/>
            <w:vAlign w:val="bottom"/>
            <w:tcBorders>
              <w:right w:val="single" w:sz="8" w:color="B3B0AC"/>
            </w:tcBorders>
            <w:vMerge w:val="continue"/>
          </w:tcPr>
          <w:p>
            <w:pPr>
              <w:spacing w:after="0"/>
              <w:rPr>
                <w:sz w:val="4"/>
                <w:szCs w:val="4"/>
                <w:color w:val="auto"/>
              </w:rPr>
            </w:pPr>
          </w:p>
        </w:tc>
        <w:tc>
          <w:tcPr>
            <w:tcW w:w="820" w:type="dxa"/>
            <w:vAlign w:val="bottom"/>
            <w:tcBorders>
              <w:right w:val="single" w:sz="8" w:color="B3B0A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600" w:type="dxa"/>
            <w:vAlign w:val="bottom"/>
            <w:tcBorders>
              <w:left w:val="single" w:sz="8" w:color="B3B0AC"/>
              <w:right w:val="single" w:sz="8" w:color="B3B0AC"/>
            </w:tcBorders>
            <w:vMerge w:val="continue"/>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78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800" w:type="dxa"/>
            <w:vAlign w:val="bottom"/>
            <w:tcBorders>
              <w:right w:val="single" w:sz="8" w:color="B3B0AC"/>
            </w:tcBorders>
          </w:tcPr>
          <w:p>
            <w:pPr>
              <w:spacing w:after="0"/>
              <w:rPr>
                <w:sz w:val="7"/>
                <w:szCs w:val="7"/>
                <w:color w:val="auto"/>
              </w:rPr>
            </w:pPr>
          </w:p>
        </w:tc>
        <w:tc>
          <w:tcPr>
            <w:tcW w:w="820" w:type="dxa"/>
            <w:vAlign w:val="bottom"/>
            <w:tcBorders>
              <w:right w:val="single" w:sz="8" w:color="B3B0AC"/>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6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International</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78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0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0" w:type="dxa"/>
            <w:vAlign w:val="bottom"/>
          </w:tcPr>
          <w:p>
            <w:pPr>
              <w:spacing w:after="0"/>
              <w:rPr>
                <w:sz w:val="1"/>
                <w:szCs w:val="1"/>
                <w:color w:val="auto"/>
              </w:rPr>
            </w:pPr>
          </w:p>
        </w:tc>
      </w:tr>
      <w:tr>
        <w:trPr>
          <w:trHeight w:val="22"/>
        </w:trPr>
        <w:tc>
          <w:tcPr>
            <w:tcW w:w="16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78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0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Verdana" w:cs="Verdana" w:eastAsia="Verdana" w:hAnsi="Verdana"/>
          <w:sz w:val="14"/>
          <w:szCs w:val="14"/>
          <w:color w:val="auto"/>
        </w:rPr>
        <w:t>(1) Not standing for reelection at the Annual Meeting.</w:t>
      </w:r>
    </w:p>
    <w:p>
      <w:pPr>
        <w:spacing w:after="0" w:line="109" w:lineRule="exact"/>
        <w:rPr>
          <w:sz w:val="20"/>
          <w:szCs w:val="20"/>
          <w:color w:val="auto"/>
        </w:rPr>
      </w:pPr>
    </w:p>
    <w:p>
      <w:pPr>
        <w:jc w:val="both"/>
        <w:ind w:right="240"/>
        <w:spacing w:after="0" w:line="253" w:lineRule="auto"/>
        <w:rPr>
          <w:sz w:val="20"/>
          <w:szCs w:val="20"/>
          <w:color w:val="auto"/>
        </w:rPr>
      </w:pPr>
      <w:r>
        <w:rPr>
          <w:rFonts w:ascii="Verdana" w:cs="Verdana" w:eastAsia="Verdana" w:hAnsi="Verdana"/>
          <w:sz w:val="16"/>
          <w:szCs w:val="16"/>
          <w:color w:val="auto"/>
        </w:rPr>
        <w:t>In the table above, a “</w:t>
      </w:r>
      <w:r>
        <w:rPr>
          <w:rFonts w:ascii="Wingdings" w:cs="Wingdings" w:eastAsia="Wingdings" w:hAnsi="Wingdings"/>
          <w:sz w:val="16"/>
          <w:szCs w:val="16"/>
          <w:b w:val="1"/>
          <w:bCs w:val="1"/>
          <w:color w:val="1D428A"/>
        </w:rPr>
        <w:t>u</w:t>
      </w:r>
      <w:r>
        <w:rPr>
          <w:rFonts w:ascii="Verdana" w:cs="Verdana" w:eastAsia="Verdana" w:hAnsi="Verdana"/>
          <w:sz w:val="16"/>
          <w:szCs w:val="16"/>
          <w:color w:val="auto"/>
        </w:rPr>
        <w:t>” indicates experience in the category gained directly or through active oversight of responsible person for the category.</w:t>
      </w:r>
    </w:p>
    <w:p>
      <w:pPr>
        <w:spacing w:after="0" w:line="76" w:lineRule="exact"/>
        <w:rPr>
          <w:sz w:val="20"/>
          <w:szCs w:val="20"/>
          <w:color w:val="auto"/>
        </w:rPr>
      </w:pPr>
    </w:p>
    <w:p>
      <w:pPr>
        <w:ind w:right="580"/>
        <w:spacing w:after="0" w:line="270" w:lineRule="auto"/>
        <w:rPr>
          <w:sz w:val="20"/>
          <w:szCs w:val="20"/>
          <w:color w:val="auto"/>
        </w:rPr>
      </w:pPr>
      <w:r>
        <w:rPr>
          <w:rFonts w:ascii="Verdana" w:cs="Verdana" w:eastAsia="Verdana" w:hAnsi="Verdana"/>
          <w:sz w:val="16"/>
          <w:szCs w:val="16"/>
          <w:color w:val="auto"/>
        </w:rPr>
        <w:t>The following chart sets forth the range of tenure of our current directors. Our directors' tenure is calculated based on full years of completed service from the date of initial appointment to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48260</wp:posOffset>
            </wp:positionV>
            <wp:extent cx="2708910" cy="1637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0891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780" w:type="dxa"/>
            <w:vAlign w:val="bottom"/>
          </w:tcPr>
          <w:p>
            <w:pPr>
              <w:ind w:left="728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460" w:type="dxa"/>
            <w:vAlign w:val="bottom"/>
          </w:tcPr>
          <w:p>
            <w:pPr>
              <w:jc w:val="right"/>
              <w:ind w:right="1010"/>
              <w:spacing w:after="0"/>
              <w:rPr>
                <w:sz w:val="20"/>
                <w:szCs w:val="20"/>
                <w:color w:val="auto"/>
              </w:rPr>
            </w:pPr>
            <w:r>
              <w:rPr>
                <w:rFonts w:ascii="Arial" w:cs="Arial" w:eastAsia="Arial" w:hAnsi="Arial"/>
                <w:sz w:val="18"/>
                <w:szCs w:val="18"/>
                <w:color w:val="auto"/>
              </w:rPr>
              <w:t>19</w:t>
            </w:r>
          </w:p>
        </w:tc>
      </w:tr>
      <w:tr>
        <w:trPr>
          <w:trHeight w:val="331"/>
        </w:trPr>
        <w:tc>
          <w:tcPr>
            <w:tcW w:w="9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4" w:name="page25"/>
    <w:bookmarkEnd w:id="2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Recommendation of Directors by Shareholders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In accordance with its charter, the G&amp;S Committee will consider candidates for election as a director of the Company recommended by</w:t>
      </w:r>
    </w:p>
    <w:p>
      <w:pPr>
        <w:spacing w:after="0" w:line="8" w:lineRule="exact"/>
        <w:rPr>
          <w:sz w:val="20"/>
          <w:szCs w:val="20"/>
          <w:color w:val="auto"/>
        </w:rPr>
      </w:pPr>
    </w:p>
    <w:p>
      <w:pPr>
        <w:jc w:val="both"/>
        <w:ind w:right="300"/>
        <w:spacing w:after="0" w:line="243" w:lineRule="auto"/>
        <w:rPr>
          <w:sz w:val="20"/>
          <w:szCs w:val="20"/>
          <w:color w:val="auto"/>
        </w:rPr>
      </w:pPr>
      <w:r>
        <w:rPr>
          <w:rFonts w:ascii="Verdana" w:cs="Verdana" w:eastAsia="Verdana" w:hAnsi="Verdana"/>
          <w:sz w:val="16"/>
          <w:szCs w:val="16"/>
          <w:color w:val="auto"/>
        </w:rPr>
        <w:t>any Lear shareholder, provided that the recommending shareholder follows the procedures set forth in Section 1.13 of the Company’s Bylaws for nominations by shareholders of persons to serve as directors. The G&amp;S Committee evaluates such candidates in the same manner by which it evaluates other director candidates considered by the G&amp;S Committee, as described above.</w:t>
      </w:r>
    </w:p>
    <w:p>
      <w:pPr>
        <w:spacing w:after="0" w:line="98"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Pursuant to Section 1.13 of the Bylaws, nominations of persons for election to the Board at a meeting of shareholders may be made by any shareholder of the Company entitled to vote for the election of directors at the meeting who sends a timely notice in writing to our Corporate Secretary. To be timely, a shareholder’s notice must be delivered to, or mailed and received by, our Corporate Secretary at the</w:t>
      </w:r>
    </w:p>
    <w:p>
      <w:pPr>
        <w:spacing w:after="0" w:line="2" w:lineRule="exact"/>
        <w:rPr>
          <w:sz w:val="20"/>
          <w:szCs w:val="20"/>
          <w:color w:val="auto"/>
        </w:rPr>
      </w:pPr>
    </w:p>
    <w:p>
      <w:pPr>
        <w:ind w:right="380"/>
        <w:spacing w:after="0" w:line="241" w:lineRule="auto"/>
        <w:rPr>
          <w:sz w:val="20"/>
          <w:szCs w:val="20"/>
          <w:color w:val="auto"/>
        </w:rPr>
      </w:pPr>
      <w:r>
        <w:rPr>
          <w:rFonts w:ascii="Verdana" w:cs="Verdana" w:eastAsia="Verdana" w:hAnsi="Verdana"/>
          <w:sz w:val="16"/>
          <w:szCs w:val="16"/>
          <w:color w:val="auto"/>
        </w:rPr>
        <w:t>Company’s principal executive offices not less than 90 nor more than 120 days prior to the first anniversary of the preceding year’s annual meeting; provided, however, that if the annual meeting is more than 30 days prior to the anniversary of the preceding year’s</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annual meeting or more than 70 days after such anniversary date, notice by the shareholder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w:t>
      </w:r>
    </w:p>
    <w:p>
      <w:pPr>
        <w:spacing w:after="0" w:line="2"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the Company. For purposes of the Bylaws, “public announcement” means disclosure in a press release reported by the Dow Jones News Service, Associated Press or a comparable national news service or in a document publicly filed by us with the SEC.</w:t>
      </w:r>
    </w:p>
    <w:p>
      <w:pPr>
        <w:spacing w:after="0" w:line="90"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The shareholder’s notice or recommendation is required to contain certain prescribed information about each person whom the shareholder proposes to recommend for election as a director, the shareholder giving notice and the beneficial owner, if any, on whose behalf notice is given. The shareholder’s notice must also include the consent of the person proposed to be nominated and to serve as a</w:t>
      </w:r>
    </w:p>
    <w:p>
      <w:pPr>
        <w:spacing w:after="0" w:line="2"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director if elected. Recommendations or notices relating to director nominations should be sent to Lear Corporation, 21557 Telegraph Road, Southfield, Michigan 48033, Attention: Amanda J. Pontes, Vice President, General Counsel and Corporate Secretary. See</w:t>
      </w:r>
    </w:p>
    <w:p>
      <w:pPr>
        <w:spacing w:after="0" w:line="1"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“Shareholder Proposals for 2026 Annual Meeting of Shareholders.” In addition, to comply with the universal proxy rules, shareholders who intend to solicit proxies in support of director nominees other than Lear nominees must provide notice that sets forth the information required by Rule 14a-19 under the Securities Exchange Act of 1934, as amended (the "Exchange Act"). Within two business</w:t>
      </w:r>
    </w:p>
    <w:p>
      <w:pPr>
        <w:spacing w:after="0" w:line="2" w:lineRule="exact"/>
        <w:rPr>
          <w:sz w:val="20"/>
          <w:szCs w:val="20"/>
          <w:color w:val="auto"/>
        </w:rPr>
      </w:pPr>
    </w:p>
    <w:p>
      <w:pPr>
        <w:jc w:val="both"/>
        <w:ind w:right="20"/>
        <w:spacing w:after="0" w:line="238" w:lineRule="auto"/>
        <w:rPr>
          <w:sz w:val="20"/>
          <w:szCs w:val="20"/>
          <w:color w:val="auto"/>
        </w:rPr>
      </w:pPr>
      <w:r>
        <w:rPr>
          <w:rFonts w:ascii="Verdana" w:cs="Verdana" w:eastAsia="Verdana" w:hAnsi="Verdana"/>
          <w:sz w:val="16"/>
          <w:szCs w:val="16"/>
          <w:color w:val="auto"/>
        </w:rPr>
        <w:t>days after delivering such notice required by Section 1.13 of the Bylaws and Rule 14a-19, the shareholder shall certify to and notify the Secretary of the Company that the shareholder has met and complied with all of the requirements under the Bylaws and of Rule 14a-19. The shareholder shall supplement such notice as necessary so that the information provided or required remains true and correct not</w:t>
      </w:r>
    </w:p>
    <w:p>
      <w:pPr>
        <w:spacing w:after="0" w:line="2" w:lineRule="exact"/>
        <w:rPr>
          <w:sz w:val="20"/>
          <w:szCs w:val="20"/>
          <w:color w:val="auto"/>
        </w:rPr>
      </w:pPr>
    </w:p>
    <w:p>
      <w:pPr>
        <w:ind w:right="760"/>
        <w:spacing w:after="0" w:line="253" w:lineRule="auto"/>
        <w:rPr>
          <w:sz w:val="20"/>
          <w:szCs w:val="20"/>
          <w:color w:val="auto"/>
        </w:rPr>
      </w:pPr>
      <w:r>
        <w:rPr>
          <w:rFonts w:ascii="Verdana" w:cs="Verdana" w:eastAsia="Verdana" w:hAnsi="Verdana"/>
          <w:sz w:val="16"/>
          <w:szCs w:val="16"/>
          <w:color w:val="auto"/>
        </w:rPr>
        <w:t>later than five business days after the shareholder files a definitive proxy statement in connection with the annual meeting. Any deficiencies may be grounds for exclusion of the shareholder’s nominee.</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A copy of our Bylaws has been filed as an exhibit to our 2024 Annual Report on Form 10-K filed with the SEC on February 14, 2025.</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Independence of Directors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A majority of the members of the Board, and each member of the Audit Committee, P&amp;C Committee and G&amp;S Committee, must meet</w:t>
      </w:r>
    </w:p>
    <w:p>
      <w:pPr>
        <w:spacing w:after="0" w:line="8"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the criteria for independence set forth under applicable law and the NYSE listing standards. No director qualifies as independent unless the Board determines that the director has no direct or indirect material relationship with the Company. In addition to considering the NYSE independence criteria, the Board will consider all relevant facts and circumstances of which it is aware in making an independence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determination with respect to any director.</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Board has made director independence determinations with respect to each of our current directors. Based on the NYSE</w:t>
      </w:r>
    </w:p>
    <w:p>
      <w:pPr>
        <w:spacing w:after="0" w:line="8" w:lineRule="exact"/>
        <w:rPr>
          <w:sz w:val="20"/>
          <w:szCs w:val="20"/>
          <w:color w:val="auto"/>
        </w:rPr>
      </w:pPr>
    </w:p>
    <w:p>
      <w:pPr>
        <w:ind w:right="260"/>
        <w:spacing w:after="0" w:line="238" w:lineRule="auto"/>
        <w:rPr>
          <w:sz w:val="20"/>
          <w:szCs w:val="20"/>
          <w:color w:val="auto"/>
        </w:rPr>
      </w:pPr>
      <w:r>
        <w:rPr>
          <w:rFonts w:ascii="Verdana" w:cs="Verdana" w:eastAsia="Verdana" w:hAnsi="Verdana"/>
          <w:sz w:val="16"/>
          <w:szCs w:val="16"/>
          <w:color w:val="auto"/>
        </w:rPr>
        <w:t>independence guidelines and consideration of the relevant facts and circumstances, the Board has affirmatively determined that (i) Messrs. Blissett, Cheng, Foster and Halverson, Dr. Jepsen, Messrs. Krone and Lache, Mses. Lewis and Ligocki, and Messrs. Mallett and Smith (a) have no relationships or only immaterial relationships with the Company, (b) meet the NYSE independence guidelines with</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respect to any such relationships and (c) are independent; and (ii) Mr. Scott is not independent. Mr. Scott is our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hanging="534"/>
        <w:spacing w:after="0"/>
        <w:tabs>
          <w:tab w:leader="none" w:pos="560" w:val="left"/>
        </w:tabs>
        <w:numPr>
          <w:ilvl w:val="0"/>
          <w:numId w:val="25"/>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Board’s Role in Risk Oversight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 is</w:t>
      </w:r>
    </w:p>
    <w:p>
      <w:pPr>
        <w:spacing w:after="0" w:line="19"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designed to facilitate the identification, assessment and management of certain key risks the Company may encounter and which may impact our ability to achieve our strategic objectives. The enterprise risk management process supplements management’s ongoing</w:t>
      </w:r>
    </w:p>
    <w:p>
      <w:pPr>
        <w:spacing w:after="0" w:line="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responsibilities to monitor and address risks by working with risk owners to identify the key mitigating actions for certain risks, which then are discussed with senior management.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Board, with the assistance of its committees, is responsible for overseeing such management actions to ensure that material risks</w:t>
      </w:r>
    </w:p>
    <w:p>
      <w:pPr>
        <w:spacing w:after="0" w:line="19"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color w:val="auto"/>
        </w:rPr>
        <w:t>affecting the Company are identified and managed appropriately. The Board and its committees oversee risks associated with their principal areas of focus, as summarized below:</w:t>
      </w:r>
    </w:p>
    <w:p>
      <w:pPr>
        <w:spacing w:after="0" w:line="10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Board/Committee Areas of Risk Oversight and Actions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80" w:type="dxa"/>
            <w:vAlign w:val="bottom"/>
            <w:tcBorders>
              <w:top w:val="single" w:sz="8" w:color="696158"/>
            </w:tcBorders>
            <w:shd w:val="clear" w:color="auto" w:fill="D6E5F9"/>
          </w:tcPr>
          <w:p>
            <w:pPr>
              <w:ind w:left="80"/>
              <w:spacing w:after="0"/>
              <w:rPr>
                <w:sz w:val="20"/>
                <w:szCs w:val="20"/>
                <w:color w:val="auto"/>
              </w:rPr>
            </w:pPr>
            <w:r>
              <w:rPr>
                <w:rFonts w:ascii="Verdana" w:cs="Verdana" w:eastAsia="Verdana" w:hAnsi="Verdana"/>
                <w:sz w:val="16"/>
                <w:szCs w:val="16"/>
                <w:b w:val="1"/>
                <w:bCs w:val="1"/>
                <w:color w:val="auto"/>
              </w:rPr>
              <w:t>Full Board</w:t>
            </w:r>
          </w:p>
        </w:tc>
        <w:tc>
          <w:tcPr>
            <w:tcW w:w="8320" w:type="dxa"/>
            <w:vAlign w:val="bottom"/>
            <w:tcBorders>
              <w:top w:val="single" w:sz="8" w:color="696158"/>
            </w:tcBorders>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 Carefully evaluates the reports received from management and makes inquiries of</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management on areas of particular interest to the Board</w:t>
            </w:r>
          </w:p>
        </w:tc>
      </w:tr>
      <w:tr>
        <w:trPr>
          <w:trHeight w:val="424"/>
        </w:trPr>
        <w:tc>
          <w:tcPr>
            <w:tcW w:w="1980" w:type="dxa"/>
            <w:vAlign w:val="bottom"/>
            <w:shd w:val="clear" w:color="auto" w:fill="D6E5F9"/>
          </w:tcPr>
          <w:p>
            <w:pPr>
              <w:spacing w:after="0"/>
              <w:rPr>
                <w:sz w:val="24"/>
                <w:szCs w:val="24"/>
                <w:color w:val="auto"/>
              </w:rPr>
            </w:pP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 Reviews with management material strategic, operational, financial and legal risks, including</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risks related to cybersecurity, emerging technologies, and product quality and safety</w:t>
            </w:r>
          </w:p>
        </w:tc>
      </w:tr>
      <w:tr>
        <w:trPr>
          <w:trHeight w:val="432"/>
        </w:trPr>
        <w:tc>
          <w:tcPr>
            <w:tcW w:w="1980" w:type="dxa"/>
            <w:vAlign w:val="bottom"/>
            <w:shd w:val="clear" w:color="auto" w:fill="D6E5F9"/>
          </w:tcPr>
          <w:p>
            <w:pPr>
              <w:spacing w:after="0"/>
              <w:rPr>
                <w:sz w:val="24"/>
                <w:szCs w:val="24"/>
                <w:color w:val="auto"/>
              </w:rPr>
            </w:pP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 Considers specific risk topics in connection with strategic planning and other matters</w:t>
            </w:r>
          </w:p>
        </w:tc>
      </w:tr>
      <w:tr>
        <w:trPr>
          <w:trHeight w:val="424"/>
        </w:trPr>
        <w:tc>
          <w:tcPr>
            <w:tcW w:w="1980" w:type="dxa"/>
            <w:vAlign w:val="bottom"/>
            <w:shd w:val="clear" w:color="auto" w:fill="D6E5F9"/>
          </w:tcPr>
          <w:p>
            <w:pPr>
              <w:spacing w:after="0"/>
              <w:rPr>
                <w:sz w:val="24"/>
                <w:szCs w:val="24"/>
                <w:color w:val="auto"/>
              </w:rPr>
            </w:pP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risk oversight and related activities conducted by the Board committees through</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reports of the committee chairperson to the Board</w:t>
            </w:r>
          </w:p>
        </w:tc>
      </w:tr>
      <w:tr>
        <w:trPr>
          <w:trHeight w:val="276"/>
        </w:trPr>
        <w:tc>
          <w:tcPr>
            <w:tcW w:w="1980" w:type="dxa"/>
            <w:vAlign w:val="bottom"/>
            <w:tcBorders>
              <w:bottom w:val="single" w:sz="8" w:color="696158"/>
            </w:tcBorders>
            <w:shd w:val="clear" w:color="auto" w:fill="D6E5F9"/>
          </w:tcPr>
          <w:p>
            <w:pPr>
              <w:spacing w:after="0"/>
              <w:rPr>
                <w:sz w:val="24"/>
                <w:szCs w:val="24"/>
                <w:color w:val="auto"/>
              </w:rPr>
            </w:pPr>
          </w:p>
        </w:tc>
        <w:tc>
          <w:tcPr>
            <w:tcW w:w="8320" w:type="dxa"/>
            <w:vAlign w:val="bottom"/>
            <w:tcBorders>
              <w:bottom w:val="single" w:sz="8" w:color="696158"/>
            </w:tcBorders>
            <w:shd w:val="clear" w:color="auto" w:fill="D6E5F9"/>
          </w:tcPr>
          <w:p>
            <w:pPr>
              <w:spacing w:after="0"/>
              <w:rPr>
                <w:sz w:val="24"/>
                <w:szCs w:val="24"/>
                <w:color w:val="auto"/>
              </w:rPr>
            </w:pPr>
          </w:p>
        </w:tc>
      </w:tr>
      <w:tr>
        <w:trPr>
          <w:trHeight w:val="209"/>
        </w:trPr>
        <w:tc>
          <w:tcPr>
            <w:tcW w:w="1980" w:type="dxa"/>
            <w:vAlign w:val="bottom"/>
          </w:tcPr>
          <w:p>
            <w:pPr>
              <w:ind w:left="80"/>
              <w:spacing w:after="0"/>
              <w:rPr>
                <w:sz w:val="20"/>
                <w:szCs w:val="20"/>
                <w:color w:val="auto"/>
              </w:rPr>
            </w:pPr>
            <w:r>
              <w:rPr>
                <w:rFonts w:ascii="Verdana" w:cs="Verdana" w:eastAsia="Verdana" w:hAnsi="Verdana"/>
                <w:sz w:val="16"/>
                <w:szCs w:val="16"/>
                <w:b w:val="1"/>
                <w:bCs w:val="1"/>
                <w:color w:val="auto"/>
              </w:rPr>
              <w:t>Audit Committee</w:t>
            </w: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 Ensures that the Company has an internal audit function to provide management and the</w:t>
            </w:r>
          </w:p>
        </w:tc>
      </w:tr>
      <w:tr>
        <w:trPr>
          <w:trHeight w:val="189"/>
        </w:trPr>
        <w:tc>
          <w:tcPr>
            <w:tcW w:w="1980" w:type="dxa"/>
            <w:vAlign w:val="bottom"/>
          </w:tcPr>
          <w:p>
            <w:pPr>
              <w:spacing w:after="0"/>
              <w:rPr>
                <w:sz w:val="16"/>
                <w:szCs w:val="16"/>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Audit Committee with ongoing assessments of the Company’s risk management process and</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system of internal controls</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 Discusses with management the Company’s process for assessing and managing risks,</w:t>
            </w:r>
          </w:p>
        </w:tc>
      </w:tr>
      <w:tr>
        <w:trPr>
          <w:trHeight w:val="189"/>
        </w:trPr>
        <w:tc>
          <w:tcPr>
            <w:tcW w:w="1980" w:type="dxa"/>
            <w:vAlign w:val="bottom"/>
          </w:tcPr>
          <w:p>
            <w:pPr>
              <w:spacing w:after="0"/>
              <w:rPr>
                <w:sz w:val="16"/>
                <w:szCs w:val="16"/>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including the Company’s major risk exposures related to tax matters, financial instruments,</w:t>
            </w:r>
          </w:p>
        </w:tc>
      </w:tr>
      <w:tr>
        <w:trPr>
          <w:trHeight w:val="203"/>
        </w:trPr>
        <w:tc>
          <w:tcPr>
            <w:tcW w:w="1980" w:type="dxa"/>
            <w:vAlign w:val="bottom"/>
          </w:tcPr>
          <w:p>
            <w:pPr>
              <w:spacing w:after="0"/>
              <w:rPr>
                <w:sz w:val="17"/>
                <w:szCs w:val="17"/>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litigation, legal and compliance matters, cybersecurity and information security and the steps</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necessary to monitor and control such exposures</w:t>
            </w:r>
          </w:p>
        </w:tc>
      </w:tr>
      <w:tr>
        <w:trPr>
          <w:trHeight w:val="432"/>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financial and ethics and compliance risks</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 Periodically meets with senior management, our vice president of audit services, our chief</w:t>
            </w:r>
          </w:p>
        </w:tc>
      </w:tr>
      <w:tr>
        <w:trPr>
          <w:trHeight w:val="189"/>
        </w:trPr>
        <w:tc>
          <w:tcPr>
            <w:tcW w:w="1980" w:type="dxa"/>
            <w:vAlign w:val="bottom"/>
          </w:tcPr>
          <w:p>
            <w:pPr>
              <w:spacing w:after="0"/>
              <w:rPr>
                <w:sz w:val="16"/>
                <w:szCs w:val="16"/>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compliance officer and our independent auditor, Ernst &amp; Young LLP, and reports on its findings</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at each regularly scheduled meeting of the Board</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 Periodically assesses reports provided by management on risks addressed in the enterprise</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risk management process and other risks, and reports to the Board, as appropriate</w:t>
            </w:r>
          </w:p>
        </w:tc>
      </w:tr>
      <w:tr>
        <w:trPr>
          <w:trHeight w:val="445"/>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 Periodically reviews and approves all changes to our Code of Business Conduct &amp; Ethics</w:t>
            </w:r>
          </w:p>
        </w:tc>
      </w:tr>
      <w:tr>
        <w:trPr>
          <w:trHeight w:val="276"/>
        </w:trPr>
        <w:tc>
          <w:tcPr>
            <w:tcW w:w="1980" w:type="dxa"/>
            <w:vAlign w:val="bottom"/>
            <w:tcBorders>
              <w:bottom w:val="single" w:sz="8" w:color="696158"/>
            </w:tcBorders>
          </w:tcPr>
          <w:p>
            <w:pPr>
              <w:spacing w:after="0"/>
              <w:rPr>
                <w:sz w:val="24"/>
                <w:szCs w:val="24"/>
                <w:color w:val="auto"/>
              </w:rPr>
            </w:pPr>
          </w:p>
        </w:tc>
        <w:tc>
          <w:tcPr>
            <w:tcW w:w="8320" w:type="dxa"/>
            <w:vAlign w:val="bottom"/>
            <w:tcBorders>
              <w:bottom w:val="single" w:sz="8" w:color="696158"/>
            </w:tcBorders>
          </w:tcPr>
          <w:p>
            <w:pPr>
              <w:spacing w:after="0"/>
              <w:rPr>
                <w:sz w:val="24"/>
                <w:szCs w:val="24"/>
                <w:color w:val="auto"/>
              </w:rPr>
            </w:pPr>
          </w:p>
        </w:tc>
      </w:tr>
      <w:tr>
        <w:trPr>
          <w:trHeight w:val="209"/>
        </w:trPr>
        <w:tc>
          <w:tcPr>
            <w:tcW w:w="1980" w:type="dxa"/>
            <w:vAlign w:val="bottom"/>
            <w:shd w:val="clear" w:color="auto" w:fill="D6E5F9"/>
          </w:tcPr>
          <w:p>
            <w:pPr>
              <w:ind w:left="80"/>
              <w:spacing w:after="0"/>
              <w:rPr>
                <w:sz w:val="20"/>
                <w:szCs w:val="20"/>
                <w:color w:val="auto"/>
              </w:rPr>
            </w:pPr>
            <w:r>
              <w:rPr>
                <w:rFonts w:ascii="Verdana" w:cs="Verdana" w:eastAsia="Verdana" w:hAnsi="Verdana"/>
                <w:sz w:val="16"/>
                <w:szCs w:val="16"/>
                <w:b w:val="1"/>
                <w:bCs w:val="1"/>
                <w:color w:val="auto"/>
              </w:rPr>
              <w:t>P&amp;C Committee</w:t>
            </w: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the review and evaluation of risks associated with succession planning and our</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compensation policies and practices (see also “Compensation and Risk”)</w:t>
            </w:r>
          </w:p>
        </w:tc>
      </w:tr>
      <w:tr>
        <w:trPr>
          <w:trHeight w:val="263"/>
        </w:trPr>
        <w:tc>
          <w:tcPr>
            <w:tcW w:w="1980" w:type="dxa"/>
            <w:vAlign w:val="bottom"/>
            <w:tcBorders>
              <w:bottom w:val="single" w:sz="8" w:color="696158"/>
            </w:tcBorders>
            <w:shd w:val="clear" w:color="auto" w:fill="D6E5F9"/>
          </w:tcPr>
          <w:p>
            <w:pPr>
              <w:spacing w:after="0"/>
              <w:rPr>
                <w:sz w:val="22"/>
                <w:szCs w:val="22"/>
                <w:color w:val="auto"/>
              </w:rPr>
            </w:pPr>
          </w:p>
        </w:tc>
        <w:tc>
          <w:tcPr>
            <w:tcW w:w="8320" w:type="dxa"/>
            <w:vAlign w:val="bottom"/>
            <w:tcBorders>
              <w:bottom w:val="single" w:sz="8" w:color="696158"/>
            </w:tcBorders>
            <w:shd w:val="clear" w:color="auto" w:fill="D6E5F9"/>
          </w:tcPr>
          <w:p>
            <w:pPr>
              <w:spacing w:after="0"/>
              <w:rPr>
                <w:sz w:val="22"/>
                <w:szCs w:val="22"/>
                <w:color w:val="auto"/>
              </w:rPr>
            </w:pPr>
          </w:p>
        </w:tc>
      </w:tr>
      <w:tr>
        <w:trPr>
          <w:trHeight w:val="217"/>
        </w:trPr>
        <w:tc>
          <w:tcPr>
            <w:tcW w:w="1980" w:type="dxa"/>
            <w:vAlign w:val="bottom"/>
          </w:tcPr>
          <w:p>
            <w:pPr>
              <w:ind w:left="80"/>
              <w:spacing w:after="0"/>
              <w:rPr>
                <w:sz w:val="20"/>
                <w:szCs w:val="20"/>
                <w:color w:val="auto"/>
              </w:rPr>
            </w:pPr>
            <w:r>
              <w:rPr>
                <w:rFonts w:ascii="Verdana" w:cs="Verdana" w:eastAsia="Verdana" w:hAnsi="Verdana"/>
                <w:sz w:val="16"/>
                <w:szCs w:val="16"/>
                <w:b w:val="1"/>
                <w:bCs w:val="1"/>
                <w:color w:val="auto"/>
              </w:rPr>
              <w:t>G&amp;S Committee</w:t>
            </w: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risks associated with our governance structure and processes</w:t>
            </w:r>
          </w:p>
        </w:tc>
      </w:tr>
      <w:tr>
        <w:trPr>
          <w:trHeight w:val="446"/>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 Reviews our organizational documents, Corporate Governance Guidelines and other policies</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sustainability issues, including as they pertain to environmental (including climate),</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corporate social responsibility and supply chain matters</w:t>
            </w:r>
          </w:p>
        </w:tc>
      </w:tr>
      <w:tr>
        <w:trPr>
          <w:trHeight w:val="276"/>
        </w:trPr>
        <w:tc>
          <w:tcPr>
            <w:tcW w:w="1980" w:type="dxa"/>
            <w:vAlign w:val="bottom"/>
            <w:tcBorders>
              <w:bottom w:val="single" w:sz="8" w:color="696158"/>
            </w:tcBorders>
          </w:tcPr>
          <w:p>
            <w:pPr>
              <w:spacing w:after="0"/>
              <w:rPr>
                <w:sz w:val="24"/>
                <w:szCs w:val="24"/>
                <w:color w:val="auto"/>
              </w:rPr>
            </w:pPr>
          </w:p>
        </w:tc>
        <w:tc>
          <w:tcPr>
            <w:tcW w:w="8320" w:type="dxa"/>
            <w:vAlign w:val="bottom"/>
            <w:tcBorders>
              <w:bottom w:val="single" w:sz="8" w:color="696158"/>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6" w:name="page27"/>
    <w:bookmarkEnd w:id="2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Sustainability</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Every Day, Striving for Better – Sustainability at Lear</w:t>
      </w:r>
    </w:p>
    <w:p>
      <w:pPr>
        <w:spacing w:after="0" w:line="78"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Consistent with Lear’s vision, </w:t>
      </w:r>
      <w:r>
        <w:rPr>
          <w:rFonts w:ascii="Verdana" w:cs="Verdana" w:eastAsia="Verdana" w:hAnsi="Verdana"/>
          <w:sz w:val="16"/>
          <w:szCs w:val="16"/>
          <w:i w:val="1"/>
          <w:iCs w:val="1"/>
          <w:color w:val="auto"/>
        </w:rPr>
        <w:t>Making every drive better</w:t>
      </w:r>
      <w:r>
        <w:rPr>
          <w:rFonts w:ascii="Verdana" w:cs="Verdana" w:eastAsia="Verdana" w:hAnsi="Verdana"/>
          <w:sz w:val="21"/>
          <w:szCs w:val="21"/>
          <w:i w:val="1"/>
          <w:iCs w:val="1"/>
          <w:color w:val="auto"/>
          <w:vertAlign w:val="superscript"/>
        </w:rPr>
        <w:t>TM</w:t>
      </w:r>
      <w:r>
        <w:rPr>
          <w:rFonts w:ascii="Verdana" w:cs="Verdana" w:eastAsia="Verdana" w:hAnsi="Verdana"/>
          <w:sz w:val="16"/>
          <w:szCs w:val="16"/>
          <w:color w:val="auto"/>
        </w:rPr>
        <w:t>, we work to ensure that our passion for our business is also channeled into</w:t>
      </w:r>
    </w:p>
    <w:p>
      <w:pPr>
        <w:ind w:right="280"/>
        <w:spacing w:after="0" w:line="241" w:lineRule="auto"/>
        <w:rPr>
          <w:sz w:val="20"/>
          <w:szCs w:val="20"/>
          <w:color w:val="auto"/>
        </w:rPr>
      </w:pPr>
      <w:r>
        <w:rPr>
          <w:rFonts w:ascii="Verdana" w:cs="Verdana" w:eastAsia="Verdana" w:hAnsi="Verdana"/>
          <w:sz w:val="16"/>
          <w:szCs w:val="16"/>
          <w:color w:val="auto"/>
        </w:rPr>
        <w:t xml:space="preserve">creating possibilities for a better world. This means that as part of our sustainability initiatives, which we execute under the mantra of </w:t>
      </w:r>
      <w:r>
        <w:rPr>
          <w:rFonts w:ascii="Verdana" w:cs="Verdana" w:eastAsia="Verdana" w:hAnsi="Verdana"/>
          <w:sz w:val="16"/>
          <w:szCs w:val="16"/>
          <w:i w:val="1"/>
          <w:iCs w:val="1"/>
          <w:color w:val="auto"/>
        </w:rPr>
        <w:t xml:space="preserve">Every Day, Striving for Better, </w:t>
      </w:r>
      <w:r>
        <w:rPr>
          <w:rFonts w:ascii="Verdana" w:cs="Verdana" w:eastAsia="Verdana" w:hAnsi="Verdana"/>
          <w:sz w:val="16"/>
          <w:szCs w:val="16"/>
          <w:color w:val="auto"/>
        </w:rPr>
        <w:t>we are committed to safety in our workplaces, integrity in the conduct of our business, increasing</w:t>
      </w:r>
    </w:p>
    <w:p>
      <w:pPr>
        <w:spacing w:after="0" w:line="1" w:lineRule="exact"/>
        <w:rPr>
          <w:sz w:val="20"/>
          <w:szCs w:val="20"/>
          <w:color w:val="auto"/>
        </w:rPr>
      </w:pPr>
    </w:p>
    <w:p>
      <w:pPr>
        <w:jc w:val="both"/>
        <w:ind w:right="120"/>
        <w:spacing w:after="0" w:line="253" w:lineRule="auto"/>
        <w:rPr>
          <w:sz w:val="20"/>
          <w:szCs w:val="20"/>
          <w:color w:val="auto"/>
        </w:rPr>
      </w:pPr>
      <w:r>
        <w:rPr>
          <w:rFonts w:ascii="Verdana" w:cs="Verdana" w:eastAsia="Verdana" w:hAnsi="Verdana"/>
          <w:sz w:val="16"/>
          <w:szCs w:val="16"/>
          <w:color w:val="auto"/>
        </w:rPr>
        <w:t>efficiency in our operations and products, and supporting the global communities in which we live and work. Furthermore, we expect all of our suppliers of goods and services to share our commitment to environmental stewardship, social responsibility and ethical conduct.</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Sustainability Oversight</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The G&amp;S Committee of our Board has responsibility for oversight of the Company’s sustainability strategy, including as it pertains to</w:t>
      </w:r>
    </w:p>
    <w:p>
      <w:pPr>
        <w:spacing w:after="0" w:line="8"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environmental (including climate), human rights and other corporate social responsibility matters. In this regard, the G&amp;S Committee works closely with our Audit and P&amp;C Committees, which have responsibility for overseeing certain related sustainability topics such as compliance and human capital management, respectively. To better integrate sustainability considerations throughout our Company, Lear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also has added specific responsibilities to senior management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74295</wp:posOffset>
            </wp:positionV>
            <wp:extent cx="3154680" cy="2708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5468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Our sustainability strategy is realized through, among other things, our comprehensive human capital management initiatives which emphasize leadership development, employee engagement and a culture that values individuals of all backgrounds; innovative product</w:t>
      </w:r>
    </w:p>
    <w:p>
      <w:pPr>
        <w:spacing w:after="0" w:line="1" w:lineRule="exact"/>
        <w:rPr>
          <w:sz w:val="20"/>
          <w:szCs w:val="20"/>
          <w:color w:val="auto"/>
        </w:rPr>
      </w:pPr>
    </w:p>
    <w:p>
      <w:pPr>
        <w:ind w:right="400"/>
        <w:spacing w:after="0" w:line="238" w:lineRule="auto"/>
        <w:rPr>
          <w:sz w:val="20"/>
          <w:szCs w:val="20"/>
          <w:color w:val="auto"/>
        </w:rPr>
      </w:pPr>
      <w:r>
        <w:rPr>
          <w:rFonts w:ascii="Verdana" w:cs="Verdana" w:eastAsia="Verdana" w:hAnsi="Verdana"/>
          <w:sz w:val="16"/>
          <w:szCs w:val="16"/>
          <w:color w:val="auto"/>
        </w:rPr>
        <w:t xml:space="preserve">development focused on key trends like sustainable materials and electrification; and policies, procedures and practices that ensure alignment with our core value to </w:t>
      </w:r>
      <w:r>
        <w:rPr>
          <w:rFonts w:ascii="Verdana" w:cs="Verdana" w:eastAsia="Verdana" w:hAnsi="Verdana"/>
          <w:sz w:val="16"/>
          <w:szCs w:val="16"/>
          <w:i w:val="1"/>
          <w:iCs w:val="1"/>
          <w:color w:val="auto"/>
        </w:rPr>
        <w:t>Get Results the Right Way</w:t>
      </w:r>
      <w:r>
        <w:rPr>
          <w:rFonts w:ascii="Verdana" w:cs="Verdana" w:eastAsia="Verdana" w:hAnsi="Verdana"/>
          <w:sz w:val="16"/>
          <w:szCs w:val="16"/>
          <w:color w:val="auto"/>
        </w:rPr>
        <w:t>. In addition, we value transparency in communication. In 2024, Lear released our annual Sustainability Report that includes disclosures with reference to the GRI standards, as well as reporting with the</w:t>
      </w:r>
    </w:p>
    <w:p>
      <w:pPr>
        <w:spacing w:after="0" w:line="2"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SASB and TCFD recommendations. Lear is a participant in the United Nations Global Compact, and we align our sustainability efforts with the ten principles on human rights, labor, environment, and anti-corruption, along with the Sustainable Development Goals. To</w:t>
      </w:r>
    </w:p>
    <w:p>
      <w:pPr>
        <w:spacing w:after="0" w:line="1" w:lineRule="exact"/>
        <w:rPr>
          <w:sz w:val="20"/>
          <w:szCs w:val="20"/>
          <w:color w:val="auto"/>
        </w:rPr>
      </w:pPr>
    </w:p>
    <w:p>
      <w:pPr>
        <w:ind w:right="640"/>
        <w:spacing w:after="0" w:line="253" w:lineRule="auto"/>
        <w:rPr>
          <w:sz w:val="20"/>
          <w:szCs w:val="20"/>
          <w:color w:val="auto"/>
        </w:rPr>
      </w:pPr>
      <w:r>
        <w:rPr>
          <w:rFonts w:ascii="Verdana" w:cs="Verdana" w:eastAsia="Verdana" w:hAnsi="Verdana"/>
          <w:sz w:val="16"/>
          <w:szCs w:val="16"/>
          <w:color w:val="auto"/>
        </w:rPr>
        <w:t>learn more, see Lear’s Sustainability Report: www.lear.com/sustainability. The information on our website is not part of this proxy statement and is not deemed to be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26"/>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ind w:righ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Environmental Efforts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We are committed to advancing sustainability in our products and operations. Our core value of innovation helps us not only to create</w:t>
      </w:r>
    </w:p>
    <w:p>
      <w:pPr>
        <w:spacing w:after="0" w:line="8" w:lineRule="exact"/>
        <w:rPr>
          <w:sz w:val="20"/>
          <w:szCs w:val="20"/>
          <w:color w:val="auto"/>
        </w:rPr>
      </w:pPr>
    </w:p>
    <w:p>
      <w:pPr>
        <w:ind w:right="520"/>
        <w:spacing w:after="0" w:line="243" w:lineRule="auto"/>
        <w:rPr>
          <w:sz w:val="20"/>
          <w:szCs w:val="20"/>
          <w:color w:val="auto"/>
        </w:rPr>
      </w:pPr>
      <w:r>
        <w:rPr>
          <w:rFonts w:ascii="Verdana" w:cs="Verdana" w:eastAsia="Verdana" w:hAnsi="Verdana"/>
          <w:sz w:val="16"/>
          <w:szCs w:val="16"/>
          <w:color w:val="auto"/>
        </w:rPr>
        <w:t>and use environmentally friendly materials, but also to develop advanced technologies that facilitate sustainable, longer-term automotive industry megatrends. At the same time, our core capability of operational excellence drives us to focus continuously on improving energy efficiency and reducing our consumption of natural resources and creation of waste. More specifically:</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Our innovative technologies enable electrification and use renewable materials</w:t>
      </w:r>
    </w:p>
    <w:p>
      <w:pPr>
        <w:spacing w:after="0" w:line="157" w:lineRule="exact"/>
        <w:rPr>
          <w:sz w:val="20"/>
          <w:szCs w:val="20"/>
          <w:color w:val="auto"/>
        </w:rPr>
      </w:pPr>
    </w:p>
    <w:p>
      <w:pPr>
        <w:jc w:val="both"/>
        <w:ind w:left="180" w:right="260" w:hanging="172"/>
        <w:spacing w:after="0" w:line="243" w:lineRule="auto"/>
        <w:tabs>
          <w:tab w:leader="none" w:pos="174" w:val="left"/>
        </w:tabs>
        <w:numPr>
          <w:ilvl w:val="0"/>
          <w:numId w:val="27"/>
        </w:numPr>
        <w:rPr>
          <w:rFonts w:ascii="Verdana" w:cs="Verdana" w:eastAsia="Verdana" w:hAnsi="Verdana"/>
          <w:sz w:val="16"/>
          <w:szCs w:val="16"/>
          <w:color w:val="auto"/>
        </w:rPr>
      </w:pPr>
      <w:r>
        <w:rPr>
          <w:rFonts w:ascii="Verdana" w:cs="Verdana" w:eastAsia="Verdana" w:hAnsi="Verdana"/>
          <w:sz w:val="16"/>
          <w:szCs w:val="16"/>
          <w:color w:val="auto"/>
        </w:rPr>
        <w:t>Our vertical integration capabilities, together with our lightweight seat recliners, tracks, latches and other components, can facilitate weight reductions and other performance efficiencies in our products, in turn enabling enhanced fuel efficiency, lower emissions and increased battery driving range.</w:t>
      </w:r>
    </w:p>
    <w:p>
      <w:pPr>
        <w:spacing w:after="0" w:line="97" w:lineRule="exact"/>
        <w:rPr>
          <w:rFonts w:ascii="Verdana" w:cs="Verdana" w:eastAsia="Verdana" w:hAnsi="Verdana"/>
          <w:sz w:val="16"/>
          <w:szCs w:val="16"/>
          <w:color w:val="auto"/>
        </w:rPr>
      </w:pPr>
    </w:p>
    <w:p>
      <w:pPr>
        <w:ind w:left="180" w:right="500" w:hanging="172"/>
        <w:spacing w:after="0" w:line="192" w:lineRule="auto"/>
        <w:tabs>
          <w:tab w:leader="none" w:pos="174" w:val="left"/>
        </w:tabs>
        <w:numPr>
          <w:ilvl w:val="0"/>
          <w:numId w:val="27"/>
        </w:numPr>
        <w:rPr>
          <w:rFonts w:ascii="Verdana" w:cs="Verdana" w:eastAsia="Verdana" w:hAnsi="Verdana"/>
          <w:sz w:val="16"/>
          <w:szCs w:val="16"/>
          <w:color w:val="auto"/>
        </w:rPr>
      </w:pPr>
      <w:r>
        <w:rPr>
          <w:rFonts w:ascii="Verdana" w:cs="Verdana" w:eastAsia="Verdana" w:hAnsi="Verdana"/>
          <w:sz w:val="16"/>
          <w:szCs w:val="16"/>
          <w:color w:val="auto"/>
        </w:rPr>
        <w:t>We are leveraging available technology to create more sustainable alternatives, such as FlexAir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our 100% recyclable non-foam alternative that reduces CO</w:t>
      </w:r>
      <w:r>
        <w:rPr>
          <w:rFonts w:ascii="Verdana" w:cs="Verdana" w:eastAsia="Verdana" w:hAnsi="Verdana"/>
          <w:sz w:val="21"/>
          <w:szCs w:val="21"/>
          <w:color w:val="auto"/>
          <w:vertAlign w:val="subscript"/>
        </w:rPr>
        <w:t>2</w:t>
      </w:r>
      <w:r>
        <w:rPr>
          <w:rFonts w:ascii="Verdana" w:cs="Verdana" w:eastAsia="Verdana" w:hAnsi="Verdana"/>
          <w:sz w:val="16"/>
          <w:szCs w:val="16"/>
          <w:color w:val="auto"/>
        </w:rPr>
        <w:t xml:space="preserve"> emissions and mass compared to traditional foam offerings.</w:t>
      </w:r>
    </w:p>
    <w:p>
      <w:pPr>
        <w:spacing w:after="0" w:line="77" w:lineRule="exact"/>
        <w:rPr>
          <w:rFonts w:ascii="Verdana" w:cs="Verdana" w:eastAsia="Verdana" w:hAnsi="Verdana"/>
          <w:sz w:val="16"/>
          <w:szCs w:val="16"/>
          <w:color w:val="auto"/>
        </w:rPr>
      </w:pPr>
    </w:p>
    <w:p>
      <w:pPr>
        <w:ind w:left="180" w:right="180" w:hanging="172"/>
        <w:spacing w:after="0" w:line="224" w:lineRule="auto"/>
        <w:tabs>
          <w:tab w:leader="none" w:pos="174" w:val="left"/>
        </w:tabs>
        <w:numPr>
          <w:ilvl w:val="0"/>
          <w:numId w:val="27"/>
        </w:numPr>
        <w:rPr>
          <w:rFonts w:ascii="Verdana" w:cs="Verdana" w:eastAsia="Verdana" w:hAnsi="Verdana"/>
          <w:sz w:val="16"/>
          <w:szCs w:val="16"/>
          <w:color w:val="auto"/>
        </w:rPr>
      </w:pPr>
      <w:r>
        <w:rPr>
          <w:rFonts w:ascii="Verdana" w:cs="Verdana" w:eastAsia="Verdana" w:hAnsi="Verdana"/>
          <w:sz w:val="16"/>
          <w:szCs w:val="16"/>
          <w:color w:val="auto"/>
        </w:rPr>
        <w:t>We have developed and are commercializing a range of fabrics that contain recycled, renewable or recyclable yarns, including our ReNewKnit</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sustainable sueded alternative material, which is a first-to-market automotive textile that is fully recyclable at its end of life and composed of 100% recycled plastic bottles.</w:t>
      </w:r>
    </w:p>
    <w:p>
      <w:pPr>
        <w:spacing w:after="0" w:line="100" w:lineRule="exact"/>
        <w:rPr>
          <w:rFonts w:ascii="Verdana" w:cs="Verdana" w:eastAsia="Verdana" w:hAnsi="Verdana"/>
          <w:sz w:val="16"/>
          <w:szCs w:val="16"/>
          <w:color w:val="auto"/>
        </w:rPr>
      </w:pPr>
    </w:p>
    <w:p>
      <w:pPr>
        <w:ind w:left="180" w:right="80" w:hanging="172"/>
        <w:spacing w:after="0" w:line="243" w:lineRule="auto"/>
        <w:tabs>
          <w:tab w:leader="none" w:pos="174" w:val="left"/>
        </w:tabs>
        <w:numPr>
          <w:ilvl w:val="0"/>
          <w:numId w:val="27"/>
        </w:numPr>
        <w:rPr>
          <w:rFonts w:ascii="Verdana" w:cs="Verdana" w:eastAsia="Verdana" w:hAnsi="Verdana"/>
          <w:sz w:val="16"/>
          <w:szCs w:val="16"/>
          <w:color w:val="auto"/>
        </w:rPr>
      </w:pPr>
      <w:r>
        <w:rPr>
          <w:rFonts w:ascii="Verdana" w:cs="Verdana" w:eastAsia="Verdana" w:hAnsi="Verdana"/>
          <w:sz w:val="16"/>
          <w:szCs w:val="16"/>
          <w:color w:val="auto"/>
        </w:rPr>
        <w:t>Lear’s ComfortFlex™ and ComfortMax Seat™ modules improve vehicle efficiency by streamlining design and enhancing comfort. These technologies integrate heating, ventilation, lumbar support and massage directly into our seat covers. By reducing components by up to 50% and boosting airflow to occupants by up to 40%, they make vehicles both lighter and more efficient.</w:t>
      </w:r>
    </w:p>
    <w:p>
      <w:pPr>
        <w:spacing w:after="0" w:line="97" w:lineRule="exact"/>
        <w:rPr>
          <w:rFonts w:ascii="Verdana" w:cs="Verdana" w:eastAsia="Verdana" w:hAnsi="Verdana"/>
          <w:sz w:val="16"/>
          <w:szCs w:val="16"/>
          <w:color w:val="auto"/>
        </w:rPr>
      </w:pPr>
    </w:p>
    <w:p>
      <w:pPr>
        <w:ind w:left="180" w:right="40" w:hanging="172"/>
        <w:spacing w:after="0" w:line="253" w:lineRule="auto"/>
        <w:tabs>
          <w:tab w:leader="none" w:pos="174" w:val="left"/>
        </w:tabs>
        <w:numPr>
          <w:ilvl w:val="0"/>
          <w:numId w:val="27"/>
        </w:numPr>
        <w:rPr>
          <w:rFonts w:ascii="Verdana" w:cs="Verdana" w:eastAsia="Verdana" w:hAnsi="Verdana"/>
          <w:sz w:val="16"/>
          <w:szCs w:val="16"/>
          <w:color w:val="auto"/>
        </w:rPr>
      </w:pPr>
      <w:r>
        <w:rPr>
          <w:rFonts w:ascii="Verdana" w:cs="Verdana" w:eastAsia="Verdana" w:hAnsi="Verdana"/>
          <w:sz w:val="16"/>
          <w:szCs w:val="16"/>
          <w:color w:val="auto"/>
        </w:rPr>
        <w:t>We have products that are aligned with the continuing shift to electrification, such as our electrical distribution and connection systems and BDUs, which control all electrical energy flowing into and out of the high voltage battery on electrified vehicles.</w:t>
      </w:r>
    </w:p>
    <w:p>
      <w:pPr>
        <w:spacing w:after="0" w:line="117" w:lineRule="exact"/>
        <w:rPr>
          <w:sz w:val="20"/>
          <w:szCs w:val="20"/>
          <w:color w:val="auto"/>
        </w:rPr>
      </w:pPr>
    </w:p>
    <w:p>
      <w:pPr>
        <w:ind w:right="80"/>
        <w:spacing w:after="0" w:line="270" w:lineRule="auto"/>
        <w:rPr>
          <w:sz w:val="20"/>
          <w:szCs w:val="20"/>
          <w:color w:val="auto"/>
        </w:rPr>
      </w:pPr>
      <w:r>
        <w:rPr>
          <w:rFonts w:ascii="Verdana" w:cs="Verdana" w:eastAsia="Verdana" w:hAnsi="Verdana"/>
          <w:sz w:val="16"/>
          <w:szCs w:val="16"/>
          <w:b w:val="1"/>
          <w:bCs w:val="1"/>
          <w:i w:val="1"/>
          <w:iCs w:val="1"/>
          <w:color w:val="auto"/>
        </w:rPr>
        <w:t>We have set carbon reduction goals against a 2019 baseline and continue to implement a multifaceted strategy to achieve these goals</w:t>
      </w:r>
    </w:p>
    <w:p>
      <w:pPr>
        <w:spacing w:after="0" w:line="102" w:lineRule="exact"/>
        <w:rPr>
          <w:sz w:val="20"/>
          <w:szCs w:val="20"/>
          <w:color w:val="auto"/>
        </w:rPr>
      </w:pPr>
    </w:p>
    <w:p>
      <w:pPr>
        <w:ind w:left="180" w:right="220" w:hanging="172"/>
        <w:spacing w:after="0" w:line="243" w:lineRule="auto"/>
        <w:tabs>
          <w:tab w:leader="none" w:pos="174" w:val="left"/>
        </w:tabs>
        <w:numPr>
          <w:ilvl w:val="0"/>
          <w:numId w:val="28"/>
        </w:numPr>
        <w:rPr>
          <w:rFonts w:ascii="Verdana" w:cs="Verdana" w:eastAsia="Verdana" w:hAnsi="Verdana"/>
          <w:sz w:val="16"/>
          <w:szCs w:val="16"/>
          <w:color w:val="auto"/>
        </w:rPr>
      </w:pPr>
      <w:r>
        <w:rPr>
          <w:rFonts w:ascii="Verdana" w:cs="Verdana" w:eastAsia="Verdana" w:hAnsi="Verdana"/>
          <w:sz w:val="16"/>
          <w:szCs w:val="16"/>
          <w:color w:val="auto"/>
        </w:rPr>
        <w:t>In 2024, our near-term goals (50% reduction in carbon emissions at our facilities by 2030, 100% usage of renewable energy for electric power consumed at our facilities by 2030 and 35% reduction in our Scope 3 emissions or indirect upstream and downstream greenhouse emissions by 2033) were validated by the SBTi.</w:t>
      </w:r>
    </w:p>
    <w:p>
      <w:pPr>
        <w:spacing w:after="0" w:line="97" w:lineRule="exact"/>
        <w:rPr>
          <w:rFonts w:ascii="Verdana" w:cs="Verdana" w:eastAsia="Verdana" w:hAnsi="Verdana"/>
          <w:sz w:val="16"/>
          <w:szCs w:val="16"/>
          <w:color w:val="auto"/>
        </w:rPr>
      </w:pPr>
    </w:p>
    <w:p>
      <w:pPr>
        <w:ind w:left="160" w:hanging="152"/>
        <w:spacing w:after="0"/>
        <w:tabs>
          <w:tab w:leader="none" w:pos="160" w:val="left"/>
        </w:tabs>
        <w:numPr>
          <w:ilvl w:val="0"/>
          <w:numId w:val="28"/>
        </w:numPr>
        <w:rPr>
          <w:rFonts w:ascii="Verdana" w:cs="Verdana" w:eastAsia="Verdana" w:hAnsi="Verdana"/>
          <w:sz w:val="16"/>
          <w:szCs w:val="16"/>
          <w:color w:val="auto"/>
        </w:rPr>
      </w:pPr>
      <w:r>
        <w:rPr>
          <w:rFonts w:ascii="Verdana" w:cs="Verdana" w:eastAsia="Verdana" w:hAnsi="Verdana"/>
          <w:sz w:val="16"/>
          <w:szCs w:val="16"/>
          <w:color w:val="auto"/>
        </w:rPr>
        <w:t>We aspire to achieve net zero emissions at our facilities, both upstream and downstream where we have influence, by 2050.</w:t>
      </w:r>
    </w:p>
    <w:p>
      <w:pPr>
        <w:spacing w:after="0" w:line="102" w:lineRule="exact"/>
        <w:rPr>
          <w:rFonts w:ascii="Verdana" w:cs="Verdana" w:eastAsia="Verdana" w:hAnsi="Verdana"/>
          <w:sz w:val="16"/>
          <w:szCs w:val="16"/>
          <w:color w:val="auto"/>
        </w:rPr>
      </w:pPr>
    </w:p>
    <w:p>
      <w:pPr>
        <w:ind w:left="180" w:right="380" w:hanging="172"/>
        <w:spacing w:after="0" w:line="251" w:lineRule="auto"/>
        <w:tabs>
          <w:tab w:leader="none" w:pos="174" w:val="left"/>
        </w:tabs>
        <w:numPr>
          <w:ilvl w:val="0"/>
          <w:numId w:val="28"/>
        </w:numPr>
        <w:rPr>
          <w:rFonts w:ascii="Verdana" w:cs="Verdana" w:eastAsia="Verdana" w:hAnsi="Verdana"/>
          <w:sz w:val="16"/>
          <w:szCs w:val="16"/>
          <w:color w:val="auto"/>
        </w:rPr>
      </w:pPr>
      <w:r>
        <w:rPr>
          <w:rFonts w:ascii="Verdana" w:cs="Verdana" w:eastAsia="Verdana" w:hAnsi="Verdana"/>
          <w:sz w:val="16"/>
          <w:szCs w:val="16"/>
          <w:color w:val="auto"/>
        </w:rPr>
        <w:t>We continue to implement our renewable energy strategy, which includes on-site renewable energy generation at certain sites, the purchase of energy attribution certificates in certain locations on an ongoing basis, and the execution of virtual power purchase agreements to support new renewable energy projects.</w:t>
      </w:r>
    </w:p>
    <w:p>
      <w:pPr>
        <w:spacing w:after="0" w:line="78" w:lineRule="exact"/>
        <w:rPr>
          <w:rFonts w:ascii="Verdana" w:cs="Verdana" w:eastAsia="Verdana" w:hAnsi="Verdana"/>
          <w:sz w:val="16"/>
          <w:szCs w:val="16"/>
          <w:color w:val="auto"/>
        </w:rPr>
      </w:pPr>
    </w:p>
    <w:p>
      <w:pPr>
        <w:ind w:left="160" w:hanging="152"/>
        <w:spacing w:after="0"/>
        <w:tabs>
          <w:tab w:leader="none" w:pos="160" w:val="left"/>
        </w:tabs>
        <w:numPr>
          <w:ilvl w:val="0"/>
          <w:numId w:val="28"/>
        </w:numPr>
        <w:rPr>
          <w:rFonts w:ascii="Verdana" w:cs="Verdana" w:eastAsia="Verdana" w:hAnsi="Verdana"/>
          <w:sz w:val="16"/>
          <w:szCs w:val="16"/>
          <w:color w:val="auto"/>
        </w:rPr>
      </w:pPr>
      <w:r>
        <w:rPr>
          <w:rFonts w:ascii="Verdana" w:cs="Verdana" w:eastAsia="Verdana" w:hAnsi="Verdana"/>
          <w:sz w:val="16"/>
          <w:szCs w:val="16"/>
          <w:color w:val="auto"/>
        </w:rPr>
        <w:t>Twenty on-site solar array installations in seven countries are providing a portion of the electricity we consume.</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28"/>
        </w:numPr>
        <w:rPr>
          <w:rFonts w:ascii="Verdana" w:cs="Verdana" w:eastAsia="Verdana" w:hAnsi="Verdana"/>
          <w:sz w:val="16"/>
          <w:szCs w:val="16"/>
          <w:color w:val="auto"/>
        </w:rPr>
      </w:pPr>
      <w:r>
        <w:rPr>
          <w:rFonts w:ascii="Verdana" w:cs="Verdana" w:eastAsia="Verdana" w:hAnsi="Verdana"/>
          <w:sz w:val="16"/>
          <w:szCs w:val="16"/>
          <w:color w:val="auto"/>
        </w:rPr>
        <w:t>We source renewable energy for all Lear facilities in the United Kingdom, Germany, Spain, Portugal, Brazil and Argentina.</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are reducing emissions, saving energy and conserving natural resources in our operations</w:t>
      </w:r>
    </w:p>
    <w:p>
      <w:pPr>
        <w:spacing w:after="0" w:line="143" w:lineRule="exact"/>
        <w:rPr>
          <w:sz w:val="20"/>
          <w:szCs w:val="20"/>
          <w:color w:val="auto"/>
        </w:rPr>
      </w:pPr>
    </w:p>
    <w:p>
      <w:pPr>
        <w:ind w:left="180" w:right="20" w:hanging="172"/>
        <w:spacing w:after="0" w:line="253" w:lineRule="auto"/>
        <w:tabs>
          <w:tab w:leader="none" w:pos="174" w:val="left"/>
        </w:tabs>
        <w:numPr>
          <w:ilvl w:val="0"/>
          <w:numId w:val="29"/>
        </w:numPr>
        <w:rPr>
          <w:rFonts w:ascii="Verdana" w:cs="Verdana" w:eastAsia="Verdana" w:hAnsi="Verdana"/>
          <w:sz w:val="16"/>
          <w:szCs w:val="16"/>
          <w:color w:val="auto"/>
        </w:rPr>
      </w:pPr>
      <w:r>
        <w:rPr>
          <w:rFonts w:ascii="Verdana" w:cs="Verdana" w:eastAsia="Verdana" w:hAnsi="Verdana"/>
          <w:sz w:val="16"/>
          <w:szCs w:val="16"/>
          <w:color w:val="auto"/>
        </w:rPr>
        <w:t>Our Energy Efficiency Playbook, first released in 2021, continues to be leveraged at our global manufacturing sites on an ongoing basis to improve energy efficiency and reduce energy usage.</w:t>
      </w:r>
    </w:p>
    <w:p>
      <w:pPr>
        <w:spacing w:after="0" w:line="89" w:lineRule="exact"/>
        <w:rPr>
          <w:rFonts w:ascii="Verdana" w:cs="Verdana" w:eastAsia="Verdana" w:hAnsi="Verdana"/>
          <w:sz w:val="16"/>
          <w:szCs w:val="16"/>
          <w:color w:val="auto"/>
        </w:rPr>
      </w:pPr>
    </w:p>
    <w:p>
      <w:pPr>
        <w:ind w:left="180" w:right="540" w:hanging="172"/>
        <w:spacing w:after="0" w:line="243" w:lineRule="auto"/>
        <w:tabs>
          <w:tab w:leader="none" w:pos="174" w:val="left"/>
        </w:tabs>
        <w:numPr>
          <w:ilvl w:val="0"/>
          <w:numId w:val="29"/>
        </w:numPr>
        <w:rPr>
          <w:rFonts w:ascii="Verdana" w:cs="Verdana" w:eastAsia="Verdana" w:hAnsi="Verdana"/>
          <w:sz w:val="16"/>
          <w:szCs w:val="16"/>
          <w:color w:val="auto"/>
        </w:rPr>
      </w:pPr>
      <w:r>
        <w:rPr>
          <w:rFonts w:ascii="Verdana" w:cs="Verdana" w:eastAsia="Verdana" w:hAnsi="Verdana"/>
          <w:sz w:val="16"/>
          <w:szCs w:val="16"/>
          <w:color w:val="auto"/>
        </w:rPr>
        <w:t>In 2023, we implemented additional playbooks specific to waste generation and water usage which, like the Energy Efficiency Playbook, are focused on promoting sustainable operating practices within our global facilities, while at the same time increasing operational efficiency and potentially reducing costs.</w:t>
      </w:r>
    </w:p>
    <w:p>
      <w:pPr>
        <w:spacing w:after="0" w:line="97" w:lineRule="exact"/>
        <w:rPr>
          <w:rFonts w:ascii="Verdana" w:cs="Verdana" w:eastAsia="Verdana" w:hAnsi="Verdana"/>
          <w:sz w:val="16"/>
          <w:szCs w:val="16"/>
          <w:color w:val="auto"/>
        </w:rPr>
      </w:pPr>
    </w:p>
    <w:p>
      <w:pPr>
        <w:ind w:left="180" w:right="40" w:hanging="172"/>
        <w:spacing w:after="0" w:line="253" w:lineRule="auto"/>
        <w:tabs>
          <w:tab w:leader="none" w:pos="174" w:val="left"/>
        </w:tabs>
        <w:numPr>
          <w:ilvl w:val="0"/>
          <w:numId w:val="29"/>
        </w:numPr>
        <w:rPr>
          <w:rFonts w:ascii="Verdana" w:cs="Verdana" w:eastAsia="Verdana" w:hAnsi="Verdana"/>
          <w:sz w:val="16"/>
          <w:szCs w:val="16"/>
          <w:color w:val="auto"/>
        </w:rPr>
      </w:pPr>
      <w:r>
        <w:rPr>
          <w:rFonts w:ascii="Verdana" w:cs="Verdana" w:eastAsia="Verdana" w:hAnsi="Verdana"/>
          <w:sz w:val="16"/>
          <w:szCs w:val="16"/>
          <w:color w:val="auto"/>
        </w:rPr>
        <w:t>In 2024, 150 of our global sites conducted "energy treasure hunts" and identified more than 800 projects with a total potential savings of 32 million kilowatt hours of energy (enough energy to power more than 3,000 homes for a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23</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Human Capital Management</w:t>
      </w:r>
    </w:p>
    <w:p>
      <w:pPr>
        <w:spacing w:after="0" w:line="239"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We deliver the highest quality products and services by maintaining a work environment that prioritizes safety and fosters collaboration, inclusion, tolerance and respect. More specifically:</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create meaningful employment and focus on development opportunities for our team members around the world</w:t>
      </w:r>
    </w:p>
    <w:p>
      <w:pPr>
        <w:spacing w:after="0" w:line="143" w:lineRule="exact"/>
        <w:rPr>
          <w:sz w:val="20"/>
          <w:szCs w:val="20"/>
          <w:color w:val="auto"/>
        </w:rPr>
      </w:pPr>
    </w:p>
    <w:p>
      <w:pPr>
        <w:ind w:left="180" w:right="100" w:hanging="172"/>
        <w:spacing w:after="0" w:line="270" w:lineRule="auto"/>
        <w:tabs>
          <w:tab w:leader="none" w:pos="174" w:val="left"/>
        </w:tabs>
        <w:numPr>
          <w:ilvl w:val="0"/>
          <w:numId w:val="30"/>
        </w:numPr>
        <w:rPr>
          <w:rFonts w:ascii="Verdana" w:cs="Verdana" w:eastAsia="Verdana" w:hAnsi="Verdana"/>
          <w:sz w:val="16"/>
          <w:szCs w:val="16"/>
          <w:color w:val="auto"/>
        </w:rPr>
      </w:pPr>
      <w:r>
        <w:rPr>
          <w:rFonts w:ascii="Verdana" w:cs="Verdana" w:eastAsia="Verdana" w:hAnsi="Verdana"/>
          <w:sz w:val="16"/>
          <w:szCs w:val="16"/>
          <w:color w:val="auto"/>
        </w:rPr>
        <w:t>Our approximately 152,000 hourly employees receive competitive pay and benefits such as transportation, meals, medical leave, paid holidays and health care.</w:t>
      </w:r>
    </w:p>
    <w:p>
      <w:pPr>
        <w:spacing w:after="0" w:line="61" w:lineRule="exact"/>
        <w:rPr>
          <w:rFonts w:ascii="Verdana" w:cs="Verdana" w:eastAsia="Verdana" w:hAnsi="Verdana"/>
          <w:sz w:val="16"/>
          <w:szCs w:val="16"/>
          <w:color w:val="auto"/>
        </w:rPr>
      </w:pPr>
    </w:p>
    <w:p>
      <w:pPr>
        <w:ind w:left="180" w:right="820" w:hanging="172"/>
        <w:spacing w:after="0" w:line="270" w:lineRule="auto"/>
        <w:tabs>
          <w:tab w:leader="none" w:pos="174" w:val="left"/>
        </w:tabs>
        <w:numPr>
          <w:ilvl w:val="0"/>
          <w:numId w:val="30"/>
        </w:numPr>
        <w:rPr>
          <w:rFonts w:ascii="Verdana" w:cs="Verdana" w:eastAsia="Verdana" w:hAnsi="Verdana"/>
          <w:sz w:val="16"/>
          <w:szCs w:val="16"/>
          <w:color w:val="auto"/>
        </w:rPr>
      </w:pPr>
      <w:r>
        <w:rPr>
          <w:rFonts w:ascii="Verdana" w:cs="Verdana" w:eastAsia="Verdana" w:hAnsi="Verdana"/>
          <w:sz w:val="16"/>
          <w:szCs w:val="16"/>
          <w:color w:val="auto"/>
        </w:rPr>
        <w:t>In 2024, we delivered more than 6.4 million hours of safety, development, leadership, quality, continuous improvement, lean manufacturing, and ISO and International Automotive Task Force certification training.</w:t>
      </w:r>
    </w:p>
    <w:p>
      <w:pPr>
        <w:spacing w:after="0" w:line="61" w:lineRule="exact"/>
        <w:rPr>
          <w:rFonts w:ascii="Verdana" w:cs="Verdana" w:eastAsia="Verdana" w:hAnsi="Verdana"/>
          <w:sz w:val="16"/>
          <w:szCs w:val="16"/>
          <w:color w:val="auto"/>
        </w:rPr>
      </w:pPr>
    </w:p>
    <w:p>
      <w:pPr>
        <w:ind w:left="180" w:right="40" w:hanging="172"/>
        <w:spacing w:after="0" w:line="251" w:lineRule="auto"/>
        <w:tabs>
          <w:tab w:leader="none" w:pos="174" w:val="left"/>
        </w:tabs>
        <w:numPr>
          <w:ilvl w:val="0"/>
          <w:numId w:val="30"/>
        </w:numPr>
        <w:rPr>
          <w:rFonts w:ascii="Verdana" w:cs="Verdana" w:eastAsia="Verdana" w:hAnsi="Verdana"/>
          <w:sz w:val="16"/>
          <w:szCs w:val="16"/>
          <w:color w:val="auto"/>
        </w:rPr>
      </w:pPr>
      <w:r>
        <w:rPr>
          <w:rFonts w:ascii="Verdana" w:cs="Verdana" w:eastAsia="Verdana" w:hAnsi="Verdana"/>
          <w:sz w:val="16"/>
          <w:szCs w:val="16"/>
          <w:color w:val="auto"/>
        </w:rPr>
        <w:t>Our health and safety management system is compliant with the ISO 45001:2015 standard, and we are continuing to implement a more comprehensive health and safety program which combines ISO 14001:2015 and 45001:2018 requirements to improve efficiency and performance. Nearly 70% of Lear sites are now ISO 45001:2018 certified.</w:t>
      </w:r>
    </w:p>
    <w:p>
      <w:pPr>
        <w:spacing w:after="0" w:line="78" w:lineRule="exact"/>
        <w:rPr>
          <w:rFonts w:ascii="Verdana" w:cs="Verdana" w:eastAsia="Verdana" w:hAnsi="Verdana"/>
          <w:sz w:val="16"/>
          <w:szCs w:val="16"/>
          <w:color w:val="auto"/>
        </w:rPr>
      </w:pPr>
    </w:p>
    <w:p>
      <w:pPr>
        <w:ind w:left="160" w:hanging="152"/>
        <w:spacing w:after="0"/>
        <w:tabs>
          <w:tab w:leader="none" w:pos="160" w:val="left"/>
        </w:tabs>
        <w:numPr>
          <w:ilvl w:val="0"/>
          <w:numId w:val="30"/>
        </w:numPr>
        <w:rPr>
          <w:rFonts w:ascii="Verdana" w:cs="Verdana" w:eastAsia="Verdana" w:hAnsi="Verdana"/>
          <w:sz w:val="16"/>
          <w:szCs w:val="16"/>
          <w:color w:val="auto"/>
        </w:rPr>
      </w:pPr>
      <w:r>
        <w:rPr>
          <w:rFonts w:ascii="Verdana" w:cs="Verdana" w:eastAsia="Verdana" w:hAnsi="Verdana"/>
          <w:sz w:val="16"/>
          <w:szCs w:val="16"/>
          <w:color w:val="auto"/>
        </w:rPr>
        <w:t>In 2024, 213 of our 255 sites had zero lost time injury/illness cases.</w:t>
      </w:r>
    </w:p>
    <w:p>
      <w:pPr>
        <w:spacing w:after="0" w:line="116" w:lineRule="exact"/>
        <w:rPr>
          <w:rFonts w:ascii="Verdana" w:cs="Verdana" w:eastAsia="Verdana" w:hAnsi="Verdana"/>
          <w:sz w:val="16"/>
          <w:szCs w:val="16"/>
          <w:color w:val="auto"/>
        </w:rPr>
      </w:pPr>
    </w:p>
    <w:p>
      <w:pPr>
        <w:ind w:left="180" w:right="200" w:hanging="172"/>
        <w:spacing w:after="0" w:line="243" w:lineRule="auto"/>
        <w:tabs>
          <w:tab w:leader="none" w:pos="174" w:val="left"/>
        </w:tabs>
        <w:numPr>
          <w:ilvl w:val="0"/>
          <w:numId w:val="30"/>
        </w:numPr>
        <w:rPr>
          <w:rFonts w:ascii="Verdana" w:cs="Verdana" w:eastAsia="Verdana" w:hAnsi="Verdana"/>
          <w:sz w:val="16"/>
          <w:szCs w:val="16"/>
          <w:color w:val="auto"/>
        </w:rPr>
      </w:pPr>
      <w:r>
        <w:rPr>
          <w:rFonts w:ascii="Verdana" w:cs="Verdana" w:eastAsia="Verdana" w:hAnsi="Verdana"/>
          <w:sz w:val="16"/>
          <w:szCs w:val="16"/>
          <w:color w:val="auto"/>
        </w:rPr>
        <w:t xml:space="preserve">Launched in 2017, Lear’s </w:t>
      </w:r>
      <w:r>
        <w:rPr>
          <w:rFonts w:ascii="Verdana" w:cs="Verdana" w:eastAsia="Verdana" w:hAnsi="Verdana"/>
          <w:sz w:val="16"/>
          <w:szCs w:val="16"/>
          <w:i w:val="1"/>
          <w:iCs w:val="1"/>
          <w:color w:val="auto"/>
        </w:rPr>
        <w:t>Together We Win</w:t>
      </w:r>
      <w:r>
        <w:rPr>
          <w:rFonts w:ascii="Verdana" w:cs="Verdana" w:eastAsia="Verdana" w:hAnsi="Verdana"/>
          <w:sz w:val="16"/>
          <w:szCs w:val="16"/>
          <w:color w:val="auto"/>
        </w:rPr>
        <w:t xml:space="preserve"> program is a global employee engagement program focused on driving cultural change in our operations by providing best practices and a roadmap for our plants to improve in the areas of leadership, work environment, employee involvement and team empowerment to ensure a best-in-class employee experience.</w:t>
      </w:r>
    </w:p>
    <w:p>
      <w:pPr>
        <w:spacing w:after="0" w:line="97" w:lineRule="exact"/>
        <w:rPr>
          <w:rFonts w:ascii="Verdana" w:cs="Verdana" w:eastAsia="Verdana" w:hAnsi="Verdana"/>
          <w:sz w:val="16"/>
          <w:szCs w:val="16"/>
          <w:color w:val="auto"/>
        </w:rPr>
      </w:pPr>
    </w:p>
    <w:p>
      <w:pPr>
        <w:ind w:left="180" w:hanging="172"/>
        <w:spacing w:after="0" w:line="251" w:lineRule="auto"/>
        <w:tabs>
          <w:tab w:leader="none" w:pos="174" w:val="left"/>
        </w:tabs>
        <w:numPr>
          <w:ilvl w:val="0"/>
          <w:numId w:val="30"/>
        </w:numPr>
        <w:rPr>
          <w:rFonts w:ascii="Verdana" w:cs="Verdana" w:eastAsia="Verdana" w:hAnsi="Verdana"/>
          <w:sz w:val="16"/>
          <w:szCs w:val="16"/>
          <w:color w:val="auto"/>
        </w:rPr>
      </w:pPr>
      <w:r>
        <w:rPr>
          <w:rFonts w:ascii="Verdana" w:cs="Verdana" w:eastAsia="Verdana" w:hAnsi="Verdana"/>
          <w:sz w:val="16"/>
          <w:szCs w:val="16"/>
          <w:color w:val="auto"/>
        </w:rPr>
        <w:t xml:space="preserve">Our </w:t>
      </w:r>
      <w:r>
        <w:rPr>
          <w:rFonts w:ascii="Verdana" w:cs="Verdana" w:eastAsia="Verdana" w:hAnsi="Verdana"/>
          <w:sz w:val="16"/>
          <w:szCs w:val="16"/>
          <w:i w:val="1"/>
          <w:iCs w:val="1"/>
          <w:color w:val="auto"/>
        </w:rPr>
        <w:t>Driving Wellness</w:t>
      </w:r>
      <w:r>
        <w:rPr>
          <w:rFonts w:ascii="Verdana" w:cs="Verdana" w:eastAsia="Verdana" w:hAnsi="Verdana"/>
          <w:sz w:val="16"/>
          <w:szCs w:val="16"/>
          <w:color w:val="auto"/>
        </w:rPr>
        <w:t xml:space="preserve"> campaign promotes well-being in mind, body, nutrition and balance for our employees, including training mental health first aiders to help coworkers cope with stress, anxiety and depression. We also provide financial training, conflict resolution and other wellness initiatives.</w:t>
      </w:r>
    </w:p>
    <w:p>
      <w:pPr>
        <w:spacing w:after="0" w:line="78" w:lineRule="exact"/>
        <w:rPr>
          <w:rFonts w:ascii="Verdana" w:cs="Verdana" w:eastAsia="Verdana" w:hAnsi="Verdana"/>
          <w:sz w:val="16"/>
          <w:szCs w:val="16"/>
          <w:color w:val="auto"/>
        </w:rPr>
      </w:pPr>
    </w:p>
    <w:p>
      <w:pPr>
        <w:ind w:left="160" w:hanging="152"/>
        <w:spacing w:after="0"/>
        <w:tabs>
          <w:tab w:leader="none" w:pos="160" w:val="left"/>
        </w:tabs>
        <w:numPr>
          <w:ilvl w:val="0"/>
          <w:numId w:val="30"/>
        </w:numPr>
        <w:rPr>
          <w:rFonts w:ascii="Verdana" w:cs="Verdana" w:eastAsia="Verdana" w:hAnsi="Verdana"/>
          <w:sz w:val="16"/>
          <w:szCs w:val="16"/>
          <w:color w:val="auto"/>
        </w:rPr>
      </w:pPr>
      <w:r>
        <w:rPr>
          <w:rFonts w:ascii="Verdana" w:cs="Verdana" w:eastAsia="Verdana" w:hAnsi="Verdana"/>
          <w:sz w:val="16"/>
          <w:szCs w:val="16"/>
          <w:color w:val="auto"/>
        </w:rPr>
        <w:t>Our Global Wellness Council leverages our various well-being programs where possible for our employees.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value diversity, collaboration, inclusion, equity, tolerance and respect</w:t>
      </w:r>
    </w:p>
    <w:p>
      <w:pPr>
        <w:spacing w:after="0" w:line="143" w:lineRule="exact"/>
        <w:rPr>
          <w:sz w:val="20"/>
          <w:szCs w:val="20"/>
          <w:color w:val="auto"/>
        </w:rPr>
      </w:pPr>
    </w:p>
    <w:p>
      <w:pPr>
        <w:ind w:left="180" w:right="20" w:hanging="172"/>
        <w:spacing w:after="0" w:line="251" w:lineRule="auto"/>
        <w:tabs>
          <w:tab w:leader="none" w:pos="174" w:val="left"/>
        </w:tabs>
        <w:numPr>
          <w:ilvl w:val="0"/>
          <w:numId w:val="31"/>
        </w:numPr>
        <w:rPr>
          <w:rFonts w:ascii="Verdana" w:cs="Verdana" w:eastAsia="Verdana" w:hAnsi="Verdana"/>
          <w:sz w:val="16"/>
          <w:szCs w:val="16"/>
          <w:color w:val="auto"/>
        </w:rPr>
      </w:pPr>
      <w:r>
        <w:rPr>
          <w:rFonts w:ascii="Verdana" w:cs="Verdana" w:eastAsia="Verdana" w:hAnsi="Verdana"/>
          <w:sz w:val="16"/>
          <w:szCs w:val="16"/>
          <w:color w:val="auto"/>
        </w:rPr>
        <w:t xml:space="preserve">In 2024, we enhanced our </w:t>
      </w:r>
      <w:r>
        <w:rPr>
          <w:rFonts w:ascii="Verdana" w:cs="Verdana" w:eastAsia="Verdana" w:hAnsi="Verdana"/>
          <w:sz w:val="16"/>
          <w:szCs w:val="16"/>
          <w:i w:val="1"/>
          <w:iCs w:val="1"/>
          <w:color w:val="auto"/>
        </w:rPr>
        <w:t>Expect Respect / Expect Inclusion</w:t>
      </w:r>
      <w:r>
        <w:rPr>
          <w:rFonts w:ascii="Verdana" w:cs="Verdana" w:eastAsia="Verdana" w:hAnsi="Verdana"/>
          <w:sz w:val="16"/>
          <w:szCs w:val="16"/>
          <w:color w:val="auto"/>
        </w:rPr>
        <w:t xml:space="preserve"> anti-harassment training for our global workforce with training completed at all locations by end of first quarter 2025. Lear’s </w:t>
      </w:r>
      <w:r>
        <w:rPr>
          <w:rFonts w:ascii="Verdana" w:cs="Verdana" w:eastAsia="Verdana" w:hAnsi="Verdana"/>
          <w:sz w:val="16"/>
          <w:szCs w:val="16"/>
          <w:i w:val="1"/>
          <w:iCs w:val="1"/>
          <w:color w:val="auto"/>
        </w:rPr>
        <w:t>Together We Belong</w:t>
      </w:r>
      <w:r>
        <w:rPr>
          <w:rFonts w:ascii="Verdana" w:cs="Verdana" w:eastAsia="Verdana" w:hAnsi="Verdana"/>
          <w:sz w:val="16"/>
          <w:szCs w:val="16"/>
          <w:color w:val="auto"/>
        </w:rPr>
        <w:t xml:space="preserve"> program encompasses our internal initiatives and education programs to help our employees increase their understanding of their unique differences and the importance of an inclusive culture.</w:t>
      </w:r>
    </w:p>
    <w:p>
      <w:pPr>
        <w:spacing w:after="0" w:line="78" w:lineRule="exact"/>
        <w:rPr>
          <w:rFonts w:ascii="Verdana" w:cs="Verdana" w:eastAsia="Verdana" w:hAnsi="Verdana"/>
          <w:sz w:val="16"/>
          <w:szCs w:val="16"/>
          <w:color w:val="auto"/>
        </w:rPr>
      </w:pPr>
    </w:p>
    <w:p>
      <w:pPr>
        <w:ind w:left="180" w:right="160" w:hanging="172"/>
        <w:spacing w:after="0" w:line="251" w:lineRule="auto"/>
        <w:tabs>
          <w:tab w:leader="none" w:pos="174" w:val="left"/>
        </w:tabs>
        <w:numPr>
          <w:ilvl w:val="0"/>
          <w:numId w:val="31"/>
        </w:numPr>
        <w:rPr>
          <w:rFonts w:ascii="Verdana" w:cs="Verdana" w:eastAsia="Verdana" w:hAnsi="Verdana"/>
          <w:sz w:val="16"/>
          <w:szCs w:val="16"/>
          <w:color w:val="auto"/>
        </w:rPr>
      </w:pPr>
      <w:r>
        <w:rPr>
          <w:rFonts w:ascii="Verdana" w:cs="Verdana" w:eastAsia="Verdana" w:hAnsi="Verdana"/>
          <w:sz w:val="16"/>
          <w:szCs w:val="16"/>
          <w:color w:val="auto"/>
        </w:rPr>
        <w:t xml:space="preserve">In 2024, we expanded our </w:t>
      </w:r>
      <w:r>
        <w:rPr>
          <w:rFonts w:ascii="Verdana" w:cs="Verdana" w:eastAsia="Verdana" w:hAnsi="Verdana"/>
          <w:sz w:val="16"/>
          <w:szCs w:val="16"/>
          <w:i w:val="1"/>
          <w:iCs w:val="1"/>
          <w:color w:val="auto"/>
        </w:rPr>
        <w:t>Together We Grow</w:t>
      </w:r>
      <w:r>
        <w:rPr>
          <w:rFonts w:ascii="Verdana" w:cs="Verdana" w:eastAsia="Verdana" w:hAnsi="Verdana"/>
          <w:sz w:val="16"/>
          <w:szCs w:val="16"/>
          <w:color w:val="auto"/>
        </w:rPr>
        <w:t xml:space="preserve"> merit-based program to include cohorts in Europe, Mexico and Honduras. The program was launched in 2021 to help diverse high-potential future leaders build their networks and careers at Lear with an emphasis on engagement and relationship development.</w:t>
      </w:r>
    </w:p>
    <w:p>
      <w:pPr>
        <w:spacing w:after="0" w:line="78" w:lineRule="exact"/>
        <w:rPr>
          <w:rFonts w:ascii="Verdana" w:cs="Verdana" w:eastAsia="Verdana" w:hAnsi="Verdana"/>
          <w:sz w:val="16"/>
          <w:szCs w:val="16"/>
          <w:color w:val="auto"/>
        </w:rPr>
      </w:pPr>
    </w:p>
    <w:p>
      <w:pPr>
        <w:ind w:left="180" w:hanging="172"/>
        <w:spacing w:after="0" w:line="251" w:lineRule="auto"/>
        <w:tabs>
          <w:tab w:leader="none" w:pos="174" w:val="left"/>
        </w:tabs>
        <w:numPr>
          <w:ilvl w:val="0"/>
          <w:numId w:val="31"/>
        </w:numPr>
        <w:rPr>
          <w:rFonts w:ascii="Verdana" w:cs="Verdana" w:eastAsia="Verdana" w:hAnsi="Verdana"/>
          <w:sz w:val="16"/>
          <w:szCs w:val="16"/>
          <w:color w:val="auto"/>
        </w:rPr>
      </w:pPr>
      <w:r>
        <w:rPr>
          <w:rFonts w:ascii="Verdana" w:cs="Verdana" w:eastAsia="Verdana" w:hAnsi="Verdana"/>
          <w:sz w:val="16"/>
          <w:szCs w:val="16"/>
          <w:color w:val="auto"/>
        </w:rPr>
        <w:t>We support six employee-led resource groups (“ERGs”) spanning 23 countries; each group is supported by an executive sponsor and is open to all employees. Lear’s ERGs build community, a sense of belonging, and a culture where everyone in our diverse and global workforce feels heard, accepted and valued.</w:t>
      </w:r>
    </w:p>
    <w:p>
      <w:pPr>
        <w:spacing w:after="0" w:line="91" w:lineRule="exact"/>
        <w:rPr>
          <w:rFonts w:ascii="Verdana" w:cs="Verdana" w:eastAsia="Verdana" w:hAnsi="Verdana"/>
          <w:sz w:val="16"/>
          <w:szCs w:val="16"/>
          <w:color w:val="auto"/>
        </w:rPr>
      </w:pPr>
    </w:p>
    <w:p>
      <w:pPr>
        <w:ind w:left="160" w:hanging="152"/>
        <w:spacing w:after="0"/>
        <w:tabs>
          <w:tab w:leader="none" w:pos="160" w:val="left"/>
        </w:tabs>
        <w:numPr>
          <w:ilvl w:val="0"/>
          <w:numId w:val="31"/>
        </w:numPr>
        <w:rPr>
          <w:rFonts w:ascii="Verdana" w:cs="Verdana" w:eastAsia="Verdana" w:hAnsi="Verdana"/>
          <w:sz w:val="16"/>
          <w:szCs w:val="16"/>
          <w:color w:val="auto"/>
        </w:rPr>
      </w:pPr>
      <w:r>
        <w:rPr>
          <w:rFonts w:ascii="Verdana" w:cs="Verdana" w:eastAsia="Verdana" w:hAnsi="Verdana"/>
          <w:sz w:val="16"/>
          <w:szCs w:val="16"/>
          <w:color w:val="auto"/>
        </w:rPr>
        <w:t>We completed a global annual pay equity review and fewer than 1% of employees were recommended for adjustment.</w:t>
      </w:r>
    </w:p>
    <w:p>
      <w:pPr>
        <w:spacing w:after="0" w:line="102" w:lineRule="exact"/>
        <w:rPr>
          <w:rFonts w:ascii="Verdana" w:cs="Verdana" w:eastAsia="Verdana" w:hAnsi="Verdana"/>
          <w:sz w:val="16"/>
          <w:szCs w:val="16"/>
          <w:color w:val="auto"/>
        </w:rPr>
      </w:pPr>
    </w:p>
    <w:p>
      <w:pPr>
        <w:ind w:left="180" w:right="240" w:hanging="172"/>
        <w:spacing w:after="0" w:line="253" w:lineRule="auto"/>
        <w:tabs>
          <w:tab w:leader="none" w:pos="174" w:val="left"/>
        </w:tabs>
        <w:numPr>
          <w:ilvl w:val="0"/>
          <w:numId w:val="31"/>
        </w:numPr>
        <w:rPr>
          <w:rFonts w:ascii="Verdana" w:cs="Verdana" w:eastAsia="Verdana" w:hAnsi="Verdana"/>
          <w:sz w:val="16"/>
          <w:szCs w:val="16"/>
          <w:color w:val="auto"/>
        </w:rPr>
      </w:pPr>
      <w:r>
        <w:rPr>
          <w:rFonts w:ascii="Verdana" w:cs="Verdana" w:eastAsia="Verdana" w:hAnsi="Verdana"/>
          <w:sz w:val="16"/>
          <w:szCs w:val="16"/>
          <w:color w:val="auto"/>
        </w:rPr>
        <w:t>We published on our website our annual consolidated EEO-1 summary data as submitted to the U.S. Equal Employment Opportunity Commission.</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Lear employees dedicate themselves to supporting the global communities where they live and work</w:t>
      </w:r>
    </w:p>
    <w:p>
      <w:pPr>
        <w:spacing w:after="0" w:line="143" w:lineRule="exact"/>
        <w:rPr>
          <w:sz w:val="20"/>
          <w:szCs w:val="20"/>
          <w:color w:val="auto"/>
        </w:rPr>
      </w:pPr>
    </w:p>
    <w:p>
      <w:pPr>
        <w:ind w:left="180" w:right="20" w:hanging="172"/>
        <w:spacing w:after="0" w:line="251" w:lineRule="auto"/>
        <w:tabs>
          <w:tab w:leader="none" w:pos="174" w:val="left"/>
        </w:tabs>
        <w:numPr>
          <w:ilvl w:val="0"/>
          <w:numId w:val="32"/>
        </w:numPr>
        <w:rPr>
          <w:rFonts w:ascii="Verdana" w:cs="Verdana" w:eastAsia="Verdana" w:hAnsi="Verdana"/>
          <w:sz w:val="16"/>
          <w:szCs w:val="16"/>
          <w:color w:val="auto"/>
        </w:rPr>
      </w:pPr>
      <w:r>
        <w:rPr>
          <w:rFonts w:ascii="Verdana" w:cs="Verdana" w:eastAsia="Verdana" w:hAnsi="Verdana"/>
          <w:sz w:val="16"/>
          <w:szCs w:val="16"/>
          <w:color w:val="auto"/>
        </w:rPr>
        <w:t>In 2024, we were especially proud of our employees' efforts to support our global communities. Through our Operation GIVE campaign at our Southfield, Michigan headquarters, more than $750,000 in employee contributions benefited local programs focused on economic well-being, education and the environment. In addition, our teams completed numerous volunteer projects to support the global communities where we live and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0" w:hanging="534"/>
        <w:spacing w:after="0"/>
        <w:tabs>
          <w:tab w:leader="none" w:pos="560" w:val="left"/>
        </w:tabs>
        <w:numPr>
          <w:ilvl w:val="0"/>
          <w:numId w:val="33"/>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Governance</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Governance at Lear is driven by our commitment to </w:t>
      </w:r>
      <w:r>
        <w:rPr>
          <w:rFonts w:ascii="Verdana" w:cs="Verdana" w:eastAsia="Verdana" w:hAnsi="Verdana"/>
          <w:sz w:val="16"/>
          <w:szCs w:val="16"/>
          <w:i w:val="1"/>
          <w:iCs w:val="1"/>
          <w:color w:val="auto"/>
        </w:rPr>
        <w:t>Get Results the Right Way</w:t>
      </w:r>
      <w:r>
        <w:rPr>
          <w:rFonts w:ascii="Verdana" w:cs="Verdana" w:eastAsia="Verdana" w:hAnsi="Verdana"/>
          <w:sz w:val="16"/>
          <w:szCs w:val="16"/>
          <w:color w:val="auto"/>
        </w:rPr>
        <w:t>. This means not only developing systems and processes</w:t>
      </w:r>
    </w:p>
    <w:p>
      <w:pPr>
        <w:spacing w:after="0" w:line="8"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to ensure compliance with regulations and company policies, but also creating a culture of ethics and integrity in everything we do. We expect our vendors and supply chain partners to share and demonstrate the same commitment, and we work with them to reinforce this expectation.</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partner with our suppliers to ensure sustainability throughout the supply chain</w:t>
      </w:r>
    </w:p>
    <w:p>
      <w:pPr>
        <w:spacing w:after="0" w:line="157" w:lineRule="exact"/>
        <w:rPr>
          <w:sz w:val="20"/>
          <w:szCs w:val="20"/>
          <w:color w:val="auto"/>
        </w:rPr>
      </w:pPr>
    </w:p>
    <w:p>
      <w:pPr>
        <w:ind w:left="180" w:right="300" w:hanging="172"/>
        <w:spacing w:after="0" w:line="253" w:lineRule="auto"/>
        <w:tabs>
          <w:tab w:leader="none" w:pos="174" w:val="left"/>
        </w:tabs>
        <w:numPr>
          <w:ilvl w:val="0"/>
          <w:numId w:val="34"/>
        </w:numPr>
        <w:rPr>
          <w:rFonts w:ascii="Verdana" w:cs="Verdana" w:eastAsia="Verdana" w:hAnsi="Verdana"/>
          <w:sz w:val="16"/>
          <w:szCs w:val="16"/>
          <w:color w:val="auto"/>
        </w:rPr>
      </w:pPr>
      <w:r>
        <w:rPr>
          <w:rFonts w:ascii="Verdana" w:cs="Verdana" w:eastAsia="Verdana" w:hAnsi="Verdana"/>
          <w:sz w:val="16"/>
          <w:szCs w:val="16"/>
          <w:color w:val="auto"/>
        </w:rPr>
        <w:t>We require suppliers to comply with our Supplier Sustainability Policy, which includes commitments to human rights, environmental standards, safe working conditions and responsible sourcing.</w:t>
      </w:r>
    </w:p>
    <w:p>
      <w:pPr>
        <w:spacing w:after="0" w:line="76" w:lineRule="exact"/>
        <w:rPr>
          <w:rFonts w:ascii="Verdana" w:cs="Verdana" w:eastAsia="Verdana" w:hAnsi="Verdana"/>
          <w:sz w:val="16"/>
          <w:szCs w:val="16"/>
          <w:color w:val="auto"/>
        </w:rPr>
      </w:pPr>
    </w:p>
    <w:p>
      <w:pPr>
        <w:ind w:left="180" w:right="120" w:hanging="172"/>
        <w:spacing w:after="0" w:line="270" w:lineRule="auto"/>
        <w:tabs>
          <w:tab w:leader="none" w:pos="174" w:val="left"/>
        </w:tabs>
        <w:numPr>
          <w:ilvl w:val="0"/>
          <w:numId w:val="34"/>
        </w:numPr>
        <w:rPr>
          <w:rFonts w:ascii="Verdana" w:cs="Verdana" w:eastAsia="Verdana" w:hAnsi="Verdana"/>
          <w:sz w:val="16"/>
          <w:szCs w:val="16"/>
          <w:color w:val="auto"/>
        </w:rPr>
      </w:pPr>
      <w:r>
        <w:rPr>
          <w:rFonts w:ascii="Verdana" w:cs="Verdana" w:eastAsia="Verdana" w:hAnsi="Verdana"/>
          <w:sz w:val="16"/>
          <w:szCs w:val="16"/>
          <w:color w:val="auto"/>
        </w:rPr>
        <w:t>We provide our suppliers with training on critical sustainability topics, including our supplier sustainability minimum requirements and sustainability assessment validation criteria.</w:t>
      </w:r>
    </w:p>
    <w:p>
      <w:pPr>
        <w:spacing w:after="0" w:line="61" w:lineRule="exact"/>
        <w:rPr>
          <w:rFonts w:ascii="Verdana" w:cs="Verdana" w:eastAsia="Verdana" w:hAnsi="Verdana"/>
          <w:sz w:val="16"/>
          <w:szCs w:val="16"/>
          <w:color w:val="auto"/>
        </w:rPr>
      </w:pPr>
    </w:p>
    <w:p>
      <w:pPr>
        <w:ind w:left="180" w:right="540" w:hanging="172"/>
        <w:spacing w:after="0" w:line="253" w:lineRule="auto"/>
        <w:tabs>
          <w:tab w:leader="none" w:pos="174" w:val="left"/>
        </w:tabs>
        <w:numPr>
          <w:ilvl w:val="0"/>
          <w:numId w:val="34"/>
        </w:numPr>
        <w:rPr>
          <w:rFonts w:ascii="Verdana" w:cs="Verdana" w:eastAsia="Verdana" w:hAnsi="Verdana"/>
          <w:sz w:val="16"/>
          <w:szCs w:val="16"/>
          <w:color w:val="auto"/>
        </w:rPr>
      </w:pPr>
      <w:r>
        <w:rPr>
          <w:rFonts w:ascii="Verdana" w:cs="Verdana" w:eastAsia="Verdana" w:hAnsi="Verdana"/>
          <w:sz w:val="16"/>
          <w:szCs w:val="16"/>
          <w:color w:val="auto"/>
        </w:rPr>
        <w:t>Leveraging a third-party supply chain evaluation partner, we continue to assess global production suppliers against sustainability criteria, including environmental stewardship and human rights, using a risk-based approach.</w:t>
      </w:r>
    </w:p>
    <w:p>
      <w:pPr>
        <w:spacing w:after="0" w:line="89" w:lineRule="exact"/>
        <w:rPr>
          <w:rFonts w:ascii="Verdana" w:cs="Verdana" w:eastAsia="Verdana" w:hAnsi="Verdana"/>
          <w:sz w:val="16"/>
          <w:szCs w:val="16"/>
          <w:color w:val="auto"/>
        </w:rPr>
      </w:pPr>
    </w:p>
    <w:p>
      <w:pPr>
        <w:ind w:left="180" w:right="500" w:hanging="172"/>
        <w:spacing w:after="0" w:line="253" w:lineRule="auto"/>
        <w:tabs>
          <w:tab w:leader="none" w:pos="174" w:val="left"/>
        </w:tabs>
        <w:numPr>
          <w:ilvl w:val="0"/>
          <w:numId w:val="34"/>
        </w:numPr>
        <w:rPr>
          <w:rFonts w:ascii="Verdana" w:cs="Verdana" w:eastAsia="Verdana" w:hAnsi="Verdana"/>
          <w:sz w:val="16"/>
          <w:szCs w:val="16"/>
          <w:color w:val="auto"/>
        </w:rPr>
      </w:pPr>
      <w:r>
        <w:rPr>
          <w:rFonts w:ascii="Verdana" w:cs="Verdana" w:eastAsia="Verdana" w:hAnsi="Verdana"/>
          <w:sz w:val="16"/>
          <w:szCs w:val="16"/>
          <w:color w:val="auto"/>
        </w:rPr>
        <w:t>Lear’s Supplier Portal provides access to our policies and commitments, along with resources and awareness materials on certain sustainability topics, such as human rights, and forced and child labor.</w:t>
      </w:r>
    </w:p>
    <w:p>
      <w:pPr>
        <w:spacing w:after="0" w:line="89" w:lineRule="exact"/>
        <w:rPr>
          <w:rFonts w:ascii="Verdana" w:cs="Verdana" w:eastAsia="Verdana" w:hAnsi="Verdana"/>
          <w:sz w:val="16"/>
          <w:szCs w:val="16"/>
          <w:color w:val="auto"/>
        </w:rPr>
      </w:pPr>
    </w:p>
    <w:p>
      <w:pPr>
        <w:ind w:left="180" w:right="140" w:hanging="172"/>
        <w:spacing w:after="0" w:line="253" w:lineRule="auto"/>
        <w:tabs>
          <w:tab w:leader="none" w:pos="174" w:val="left"/>
        </w:tabs>
        <w:numPr>
          <w:ilvl w:val="0"/>
          <w:numId w:val="34"/>
        </w:numPr>
        <w:rPr>
          <w:rFonts w:ascii="Verdana" w:cs="Verdana" w:eastAsia="Verdana" w:hAnsi="Verdana"/>
          <w:sz w:val="16"/>
          <w:szCs w:val="16"/>
          <w:color w:val="auto"/>
        </w:rPr>
      </w:pPr>
      <w:r>
        <w:rPr>
          <w:rFonts w:ascii="Verdana" w:cs="Verdana" w:eastAsia="Verdana" w:hAnsi="Verdana"/>
          <w:sz w:val="16"/>
          <w:szCs w:val="16"/>
          <w:color w:val="auto"/>
        </w:rPr>
        <w:t>In 2024, we conducted training for non-production suppliers in Europe, Africa, Brazil and China on Lear's Code of Business Conduct &amp; Ethics, anti-bribery and anti-corruption policy, and purchasing policies and processes.</w:t>
      </w:r>
    </w:p>
    <w:p>
      <w:pPr>
        <w:spacing w:after="0" w:line="76" w:lineRule="exact"/>
        <w:rPr>
          <w:rFonts w:ascii="Verdana" w:cs="Verdana" w:eastAsia="Verdana" w:hAnsi="Verdana"/>
          <w:sz w:val="16"/>
          <w:szCs w:val="16"/>
          <w:color w:val="auto"/>
        </w:rPr>
      </w:pPr>
    </w:p>
    <w:p>
      <w:pPr>
        <w:ind w:left="180" w:right="540" w:hanging="172"/>
        <w:spacing w:after="0" w:line="270" w:lineRule="auto"/>
        <w:tabs>
          <w:tab w:leader="none" w:pos="174" w:val="left"/>
        </w:tabs>
        <w:numPr>
          <w:ilvl w:val="0"/>
          <w:numId w:val="34"/>
        </w:numPr>
        <w:rPr>
          <w:rFonts w:ascii="Verdana" w:cs="Verdana" w:eastAsia="Verdana" w:hAnsi="Verdana"/>
          <w:sz w:val="16"/>
          <w:szCs w:val="16"/>
          <w:color w:val="auto"/>
        </w:rPr>
      </w:pPr>
      <w:r>
        <w:rPr>
          <w:rFonts w:ascii="Verdana" w:cs="Verdana" w:eastAsia="Verdana" w:hAnsi="Verdana"/>
          <w:sz w:val="16"/>
          <w:szCs w:val="16"/>
          <w:color w:val="auto"/>
        </w:rPr>
        <w:t>In 2024, we launched a comprehensive training program designed to educate our internal supply chain purchasing teams on our sustainability policies, requirements and strategy, as well as key sustainability practices and principles.</w:t>
      </w:r>
    </w:p>
    <w:p>
      <w:pPr>
        <w:spacing w:after="0" w:line="61" w:lineRule="exact"/>
        <w:rPr>
          <w:rFonts w:ascii="Verdana" w:cs="Verdana" w:eastAsia="Verdana" w:hAnsi="Verdana"/>
          <w:sz w:val="16"/>
          <w:szCs w:val="16"/>
          <w:color w:val="auto"/>
        </w:rPr>
      </w:pPr>
    </w:p>
    <w:p>
      <w:pPr>
        <w:ind w:left="180" w:right="20" w:hanging="172"/>
        <w:spacing w:after="0" w:line="270" w:lineRule="auto"/>
        <w:tabs>
          <w:tab w:leader="none" w:pos="174" w:val="left"/>
        </w:tabs>
        <w:numPr>
          <w:ilvl w:val="0"/>
          <w:numId w:val="34"/>
        </w:numPr>
        <w:rPr>
          <w:rFonts w:ascii="Verdana" w:cs="Verdana" w:eastAsia="Verdana" w:hAnsi="Verdana"/>
          <w:sz w:val="16"/>
          <w:szCs w:val="16"/>
          <w:color w:val="auto"/>
        </w:rPr>
      </w:pPr>
      <w:r>
        <w:rPr>
          <w:rFonts w:ascii="Verdana" w:cs="Verdana" w:eastAsia="Verdana" w:hAnsi="Verdana"/>
          <w:sz w:val="16"/>
          <w:szCs w:val="16"/>
          <w:color w:val="auto"/>
        </w:rPr>
        <w:t>Our No Deforestation Policy requires that all materials supplied to us are from legal sources, that land is not clear-cut or burned for production or development, and that our suppliers comply with governmental laws, regulations and guidelines regarding deforestation.</w:t>
      </w:r>
    </w:p>
    <w:p>
      <w:pPr>
        <w:spacing w:after="0" w:line="102"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Our cybersecurity efforts protect our products, our customers and our enterprise</w:t>
      </w:r>
    </w:p>
    <w:p>
      <w:pPr>
        <w:spacing w:after="0" w:line="143" w:lineRule="exact"/>
        <w:rPr>
          <w:sz w:val="20"/>
          <w:szCs w:val="20"/>
          <w:color w:val="auto"/>
        </w:rPr>
      </w:pPr>
    </w:p>
    <w:p>
      <w:pPr>
        <w:ind w:left="180" w:right="60" w:hanging="172"/>
        <w:spacing w:after="0" w:line="242" w:lineRule="auto"/>
        <w:tabs>
          <w:tab w:leader="none" w:pos="174" w:val="left"/>
        </w:tabs>
        <w:numPr>
          <w:ilvl w:val="0"/>
          <w:numId w:val="35"/>
        </w:numPr>
        <w:rPr>
          <w:rFonts w:ascii="Verdana" w:cs="Verdana" w:eastAsia="Verdana" w:hAnsi="Verdana"/>
          <w:sz w:val="16"/>
          <w:szCs w:val="16"/>
          <w:color w:val="auto"/>
        </w:rPr>
      </w:pPr>
      <w:r>
        <w:rPr>
          <w:rFonts w:ascii="Verdana" w:cs="Verdana" w:eastAsia="Verdana" w:hAnsi="Verdana"/>
          <w:sz w:val="16"/>
          <w:szCs w:val="16"/>
          <w:color w:val="auto"/>
        </w:rPr>
        <w:t>Our information security team, led by our Chief Information Officer and Chief Information Security Officer, is comprised of cybersecurity specialists with extensive experience and relevant certifications. We have implemented and maintain multiple layers of physical, administrative and technical security processes designed to protect our manufacturing facilities from disruptions that may result from cybersecurity incidents, as well as safeguard the confidentiality of our critical systems and data residing on those systems, including employee data, customer data and intellectual property.</w:t>
      </w:r>
    </w:p>
    <w:p>
      <w:pPr>
        <w:spacing w:after="0" w:line="12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have an experienced and diverse Board of Directors</w:t>
      </w:r>
    </w:p>
    <w:p>
      <w:pPr>
        <w:spacing w:after="0" w:line="143" w:lineRule="exact"/>
        <w:rPr>
          <w:sz w:val="20"/>
          <w:szCs w:val="20"/>
          <w:color w:val="auto"/>
        </w:rPr>
      </w:pPr>
    </w:p>
    <w:p>
      <w:pPr>
        <w:ind w:left="160" w:hanging="152"/>
        <w:spacing w:after="0"/>
        <w:tabs>
          <w:tab w:leader="none" w:pos="160" w:val="left"/>
        </w:tabs>
        <w:numPr>
          <w:ilvl w:val="0"/>
          <w:numId w:val="36"/>
        </w:numPr>
        <w:rPr>
          <w:rFonts w:ascii="Verdana" w:cs="Verdana" w:eastAsia="Verdana" w:hAnsi="Verdana"/>
          <w:sz w:val="16"/>
          <w:szCs w:val="16"/>
          <w:color w:val="auto"/>
        </w:rPr>
      </w:pPr>
      <w:r>
        <w:rPr>
          <w:rFonts w:ascii="Verdana" w:cs="Verdana" w:eastAsia="Verdana" w:hAnsi="Verdana"/>
          <w:sz w:val="16"/>
          <w:szCs w:val="16"/>
          <w:color w:val="auto"/>
        </w:rPr>
        <w:t xml:space="preserve">See page </w:t>
      </w:r>
      <w:r>
        <w:rPr>
          <w:rFonts w:ascii="Verdana" w:cs="Verdana" w:eastAsia="Verdana" w:hAnsi="Verdana"/>
          <w:sz w:val="16"/>
          <w:szCs w:val="16"/>
          <w:u w:val="single" w:color="auto"/>
          <w:color w:val="0000FF"/>
        </w:rPr>
        <w:t>19</w:t>
      </w:r>
      <w:r>
        <w:rPr>
          <w:rFonts w:ascii="Verdana" w:cs="Verdana" w:eastAsia="Verdana" w:hAnsi="Verdana"/>
          <w:sz w:val="16"/>
          <w:szCs w:val="16"/>
          <w:color w:val="auto"/>
        </w:rPr>
        <w:t xml:space="preserve"> for a description of director skills and experiences.</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36"/>
        </w:numPr>
        <w:rPr>
          <w:rFonts w:ascii="Verdana" w:cs="Verdana" w:eastAsia="Verdana" w:hAnsi="Verdana"/>
          <w:sz w:val="16"/>
          <w:szCs w:val="16"/>
          <w:color w:val="auto"/>
        </w:rPr>
      </w:pPr>
      <w:r>
        <w:rPr>
          <w:rFonts w:ascii="Verdana" w:cs="Verdana" w:eastAsia="Verdana" w:hAnsi="Verdana"/>
          <w:sz w:val="16"/>
          <w:szCs w:val="16"/>
          <w:color w:val="auto"/>
        </w:rPr>
        <w:t>42% of our directors are diverse by ethnicity and/or gender.</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36"/>
        </w:numPr>
        <w:rPr>
          <w:rFonts w:ascii="Verdana" w:cs="Verdana" w:eastAsia="Verdana" w:hAnsi="Verdana"/>
          <w:sz w:val="16"/>
          <w:szCs w:val="16"/>
          <w:color w:val="auto"/>
        </w:rPr>
      </w:pPr>
      <w:r>
        <w:rPr>
          <w:rFonts w:ascii="Verdana" w:cs="Verdana" w:eastAsia="Verdana" w:hAnsi="Verdana"/>
          <w:sz w:val="16"/>
          <w:szCs w:val="16"/>
          <w:color w:val="auto"/>
        </w:rPr>
        <w:t>66% of our committee chairs are diverse.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Other key aspects of our corporate governance efforts include:</w:t>
      </w:r>
    </w:p>
    <w:p>
      <w:pPr>
        <w:spacing w:after="0" w:line="143" w:lineRule="exact"/>
        <w:rPr>
          <w:sz w:val="20"/>
          <w:szCs w:val="20"/>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All of our director nominees are independent, except our President and CEO;</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We have a Non-Executive Chairman of the Board;</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We have a majority voting standard with a director resignation policy for uncontested director elections;</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We have robust stock ownership guidelines for our directors and executive officers;</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Risk oversight is conducted by the full Board and its committees;</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All directors are elected annually;</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Executive sessions of independent directors are held at regularly scheduled Board meetings;</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Excellent track record of attendance at all Board and committee meetings in 2024;</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Board and its committees complete annual formal written self-evaluations and participate in oral evaluations; and</w:t>
      </w:r>
    </w:p>
    <w:p>
      <w:pPr>
        <w:spacing w:after="0" w:line="116" w:lineRule="exact"/>
        <w:rPr>
          <w:rFonts w:ascii="Verdana" w:cs="Verdana" w:eastAsia="Verdana" w:hAnsi="Verdana"/>
          <w:sz w:val="16"/>
          <w:szCs w:val="16"/>
          <w:color w:val="auto"/>
        </w:rPr>
      </w:pPr>
    </w:p>
    <w:p>
      <w:pPr>
        <w:ind w:left="180" w:right="280" w:hanging="172"/>
        <w:spacing w:after="0" w:line="253" w:lineRule="auto"/>
        <w:tabs>
          <w:tab w:leader="none" w:pos="174" w:val="left"/>
        </w:tabs>
        <w:numPr>
          <w:ilvl w:val="0"/>
          <w:numId w:val="37"/>
        </w:numPr>
        <w:rPr>
          <w:rFonts w:ascii="Verdana" w:cs="Verdana" w:eastAsia="Verdana" w:hAnsi="Verdana"/>
          <w:sz w:val="16"/>
          <w:szCs w:val="16"/>
          <w:color w:val="auto"/>
        </w:rPr>
      </w:pPr>
      <w:r>
        <w:rPr>
          <w:rFonts w:ascii="Verdana" w:cs="Verdana" w:eastAsia="Verdana" w:hAnsi="Verdana"/>
          <w:sz w:val="16"/>
          <w:szCs w:val="16"/>
          <w:color w:val="auto"/>
        </w:rPr>
        <w:t>In 2024, directors completed board effectiveness surveys, which included in-depth director interviews conducted by an independent third-party firm.</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0" w:name="page31"/>
    <w:bookmarkEnd w:id="3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The Board has approved Corporate Governance Guidelines, as well as a Code of Business Conduct &amp; Ethics. Our corporate governance documents, including the Corporate Governance Guidelines, the Code of Business Conduct &amp; Ethics and committee charters, are</w:t>
      </w:r>
    </w:p>
    <w:p>
      <w:pPr>
        <w:spacing w:after="0" w:line="1"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available on our website at www.lear.com or in printed form upon request by contacting Lear Corporation at 21557 Telegraph Road, Southfield, Michigan 48033, Attention: Investor Relations. The Board regularly reviews corporate governance developments and modifies</w:t>
      </w:r>
    </w:p>
    <w:p>
      <w:pPr>
        <w:spacing w:after="0" w:line="1"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these documents as warranted. Any modifications will be reflected on our website. The information on our website is not part of this proxy statement and is not deemed to be incorporated by reference herein.</w:t>
      </w:r>
    </w:p>
    <w:p>
      <w:pPr>
        <w:spacing w:after="0" w:line="110"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Other Board Information</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Leadership Structure of the Board</w:t>
      </w:r>
    </w:p>
    <w:p>
      <w:pPr>
        <w:spacing w:after="0" w:line="144"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Greg C. Smith is our Non-Executive Chairman of the Board and has served in that role since May 2020. Our Board has decided to maintain separate Chairperson and CEO roles to allow our CEO to focus on the execution of our business strategy, growth and development, while allowing the Chairperson to lead the Board in its fundamental role of providing advice to, and independent oversight</w:t>
      </w:r>
    </w:p>
    <w:p>
      <w:pPr>
        <w:spacing w:after="0" w:line="2"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of, management, as well as oversight of Board meetings. The Board recognizes the time, effort and energy that the CEO is required to devote to his position in the current business environment, as well as the commitment required to serve as our Chairperson. While our</w:t>
      </w:r>
    </w:p>
    <w:p>
      <w:pPr>
        <w:spacing w:after="0" w:line="1"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Bylaws and Corporate Governance Guidelines do not require that our Chairperson and CEO positions be separate, the Board believes that having separate positions and having an independent director serve as Non-Executive Chairperson is the appropriate leadership structure for the Company at this time.</w:t>
      </w:r>
    </w:p>
    <w:p>
      <w:pPr>
        <w:spacing w:after="0" w:line="12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Board Meetings</w:t>
      </w:r>
    </w:p>
    <w:p>
      <w:pPr>
        <w:spacing w:after="0" w:line="144"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In 2024, our Board held nine meetings. In addition to our Board meetings, our directors attend meetings of committees established by our Board. Each of Lear’s directors attended at least 75% of the meetings of our Board and the committees on which he or she served</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during 2024. Our directors are encouraged to attend all annual and special meetings of our shareholders. In 2024, our annual meeting of shareholders was held on May 16, 2024, in virtual format, and all directors attended.</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Meetings of Non-Employee Directors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In accordance with our Corporate Governance Guidelines and the listing standards of the NYSE, our non-employee directors meet</w:t>
      </w:r>
    </w:p>
    <w:p>
      <w:pPr>
        <w:spacing w:after="0" w:line="8"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regularly in executive sessions of the Board without management present. Mr. Smith, our Non-Executive Chairman, presided over these executive sessions in 2024.</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Committees of the Board</w:t>
      </w:r>
    </w:p>
    <w:p>
      <w:pPr>
        <w:spacing w:after="0" w:line="131" w:lineRule="exact"/>
        <w:rPr>
          <w:sz w:val="20"/>
          <w:szCs w:val="20"/>
          <w:color w:val="auto"/>
        </w:rPr>
      </w:pPr>
    </w:p>
    <w:p>
      <w:pPr>
        <w:ind w:right="180"/>
        <w:spacing w:after="0" w:line="270" w:lineRule="auto"/>
        <w:rPr>
          <w:sz w:val="20"/>
          <w:szCs w:val="20"/>
          <w:color w:val="auto"/>
        </w:rPr>
      </w:pPr>
      <w:r>
        <w:rPr>
          <w:rFonts w:ascii="Verdana" w:cs="Verdana" w:eastAsia="Verdana" w:hAnsi="Verdana"/>
          <w:sz w:val="16"/>
          <w:szCs w:val="16"/>
          <w:color w:val="auto"/>
        </w:rPr>
        <w:t>The Board has three standing committees: the Audit Committee, the P&amp;C Committee and the G&amp;S Committee. The following chart sets forth the non-employee directors who currently serve as members of each of the Board committees.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3360" w:type="dxa"/>
            <w:vAlign w:val="bottom"/>
          </w:tcPr>
          <w:p>
            <w:pPr>
              <w:jc w:val="center"/>
              <w:ind w:left="1957"/>
              <w:spacing w:after="0"/>
              <w:rPr>
                <w:sz w:val="20"/>
                <w:szCs w:val="20"/>
                <w:color w:val="auto"/>
              </w:rPr>
            </w:pPr>
            <w:r>
              <w:rPr>
                <w:rFonts w:ascii="Verdana" w:cs="Verdana" w:eastAsia="Verdana" w:hAnsi="Verdana"/>
                <w:sz w:val="13"/>
                <w:szCs w:val="13"/>
                <w:b w:val="1"/>
                <w:bCs w:val="1"/>
                <w:color w:val="307FE2"/>
                <w:w w:val="97"/>
              </w:rPr>
              <w:t>Audit</w:t>
            </w:r>
          </w:p>
        </w:tc>
        <w:tc>
          <w:tcPr>
            <w:tcW w:w="1380" w:type="dxa"/>
            <w:vAlign w:val="bottom"/>
          </w:tcPr>
          <w:p>
            <w:pPr>
              <w:jc w:val="center"/>
              <w:spacing w:after="0"/>
              <w:rPr>
                <w:sz w:val="20"/>
                <w:szCs w:val="20"/>
                <w:color w:val="auto"/>
              </w:rPr>
            </w:pPr>
            <w:r>
              <w:rPr>
                <w:rFonts w:ascii="Verdana" w:cs="Verdana" w:eastAsia="Verdana" w:hAnsi="Verdana"/>
                <w:sz w:val="13"/>
                <w:szCs w:val="13"/>
                <w:b w:val="1"/>
                <w:bCs w:val="1"/>
                <w:color w:val="307FE2"/>
                <w:w w:val="99"/>
              </w:rPr>
              <w:t>P&amp;C</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G&amp;S</w:t>
            </w:r>
          </w:p>
        </w:tc>
      </w:tr>
      <w:tr>
        <w:trPr>
          <w:trHeight w:val="203"/>
        </w:trPr>
        <w:tc>
          <w:tcPr>
            <w:tcW w:w="420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307FE2"/>
              </w:rPr>
              <w:t>Non-employee Directors</w:t>
            </w:r>
            <w:r>
              <w:rPr>
                <w:rFonts w:ascii="Verdana" w:cs="Verdana" w:eastAsia="Verdana" w:hAnsi="Verdana"/>
                <w:sz w:val="16"/>
                <w:szCs w:val="16"/>
                <w:b w:val="1"/>
                <w:bCs w:val="1"/>
                <w:color w:val="307FE2"/>
                <w:vertAlign w:val="superscript"/>
              </w:rPr>
              <w:t>(1)</w:t>
            </w:r>
          </w:p>
        </w:tc>
        <w:tc>
          <w:tcPr>
            <w:tcW w:w="3360" w:type="dxa"/>
            <w:vAlign w:val="bottom"/>
            <w:tcBorders>
              <w:bottom w:val="single" w:sz="8" w:color="auto"/>
            </w:tcBorders>
          </w:tcPr>
          <w:p>
            <w:pPr>
              <w:jc w:val="center"/>
              <w:ind w:left="1957"/>
              <w:spacing w:after="0"/>
              <w:rPr>
                <w:sz w:val="20"/>
                <w:szCs w:val="20"/>
                <w:color w:val="auto"/>
              </w:rPr>
            </w:pPr>
            <w:r>
              <w:rPr>
                <w:rFonts w:ascii="Verdana" w:cs="Verdana" w:eastAsia="Verdana" w:hAnsi="Verdana"/>
                <w:sz w:val="13"/>
                <w:szCs w:val="13"/>
                <w:b w:val="1"/>
                <w:bCs w:val="1"/>
                <w:color w:val="307FE2"/>
                <w:w w:val="98"/>
              </w:rPr>
              <w:t>Committee</w:t>
            </w:r>
          </w:p>
        </w:tc>
        <w:tc>
          <w:tcPr>
            <w:tcW w:w="13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307FE2"/>
                <w:w w:val="98"/>
              </w:rPr>
              <w:t>Committee</w:t>
            </w:r>
          </w:p>
        </w:tc>
        <w:tc>
          <w:tcPr>
            <w:tcW w:w="136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307FE2"/>
                <w:w w:val="98"/>
              </w:rPr>
              <w:t>Committee</w:t>
            </w:r>
          </w:p>
        </w:tc>
      </w:tr>
      <w:tr>
        <w:trPr>
          <w:trHeight w:val="196"/>
        </w:trPr>
        <w:tc>
          <w:tcPr>
            <w:tcW w:w="420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Mei-Wei Cheng</w:t>
            </w:r>
          </w:p>
        </w:tc>
        <w:tc>
          <w:tcPr>
            <w:tcW w:w="3360" w:type="dxa"/>
            <w:vAlign w:val="bottom"/>
            <w:shd w:val="clear" w:color="auto" w:fill="D6E5F9"/>
          </w:tcPr>
          <w:p>
            <w:pPr>
              <w:jc w:val="center"/>
              <w:ind w:left="1937"/>
              <w:spacing w:after="0"/>
              <w:rPr>
                <w:sz w:val="20"/>
                <w:szCs w:val="20"/>
                <w:color w:val="auto"/>
              </w:rPr>
            </w:pPr>
            <w:r>
              <w:rPr>
                <w:rFonts w:ascii="Verdana" w:cs="Verdana" w:eastAsia="Verdana" w:hAnsi="Verdana"/>
                <w:sz w:val="13"/>
                <w:szCs w:val="13"/>
                <w:color w:val="auto"/>
                <w:w w:val="88"/>
              </w:rPr>
              <w:t>X</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shd w:val="clear" w:color="auto" w:fill="D6E5F9"/>
          </w:tcPr>
          <w:p>
            <w:pPr>
              <w:spacing w:after="0"/>
              <w:rPr>
                <w:sz w:val="17"/>
                <w:szCs w:val="17"/>
                <w:color w:val="auto"/>
              </w:rPr>
            </w:pPr>
          </w:p>
        </w:tc>
      </w:tr>
      <w:tr>
        <w:trPr>
          <w:trHeight w:val="195"/>
        </w:trPr>
        <w:tc>
          <w:tcPr>
            <w:tcW w:w="4200" w:type="dxa"/>
            <w:vAlign w:val="bottom"/>
          </w:tcPr>
          <w:p>
            <w:pPr>
              <w:ind w:left="20"/>
              <w:spacing w:after="0"/>
              <w:rPr>
                <w:sz w:val="20"/>
                <w:szCs w:val="20"/>
                <w:color w:val="auto"/>
              </w:rPr>
            </w:pPr>
            <w:r>
              <w:rPr>
                <w:rFonts w:ascii="Verdana" w:cs="Verdana" w:eastAsia="Verdana" w:hAnsi="Verdana"/>
                <w:sz w:val="13"/>
                <w:szCs w:val="13"/>
                <w:color w:val="auto"/>
              </w:rPr>
              <w:t>Jonathan F. Foster</w:t>
            </w:r>
          </w:p>
        </w:tc>
        <w:tc>
          <w:tcPr>
            <w:tcW w:w="3360" w:type="dxa"/>
            <w:vAlign w:val="bottom"/>
          </w:tcPr>
          <w:p>
            <w:pPr>
              <w:jc w:val="center"/>
              <w:ind w:left="1937"/>
              <w:spacing w:after="0"/>
              <w:rPr>
                <w:sz w:val="20"/>
                <w:szCs w:val="20"/>
                <w:color w:val="auto"/>
              </w:rPr>
            </w:pPr>
            <w:r>
              <w:rPr>
                <w:rFonts w:ascii="Verdana" w:cs="Verdana" w:eastAsia="Verdana" w:hAnsi="Verdana"/>
                <w:sz w:val="13"/>
                <w:szCs w:val="13"/>
                <w:color w:val="auto"/>
                <w:w w:val="88"/>
              </w:rPr>
              <w:t>X</w:t>
            </w:r>
          </w:p>
        </w:tc>
        <w:tc>
          <w:tcPr>
            <w:tcW w:w="1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Verdana" w:cs="Verdana" w:eastAsia="Verdana" w:hAnsi="Verdana"/>
                <w:sz w:val="13"/>
                <w:szCs w:val="13"/>
                <w:color w:val="auto"/>
                <w:w w:val="88"/>
              </w:rPr>
              <w:t>X</w:t>
            </w:r>
          </w:p>
        </w:tc>
      </w:tr>
      <w:tr>
        <w:trPr>
          <w:trHeight w:val="210"/>
        </w:trPr>
        <w:tc>
          <w:tcPr>
            <w:tcW w:w="420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Bradley M. Halverson</w:t>
            </w:r>
          </w:p>
        </w:tc>
        <w:tc>
          <w:tcPr>
            <w:tcW w:w="3360" w:type="dxa"/>
            <w:vAlign w:val="bottom"/>
            <w:shd w:val="clear" w:color="auto" w:fill="D6E5F9"/>
          </w:tcPr>
          <w:p>
            <w:pPr>
              <w:jc w:val="center"/>
              <w:ind w:left="1957"/>
              <w:spacing w:after="0"/>
              <w:rPr>
                <w:sz w:val="20"/>
                <w:szCs w:val="20"/>
                <w:color w:val="auto"/>
              </w:rPr>
            </w:pPr>
            <w:r>
              <w:rPr>
                <w:rFonts w:ascii="Verdana" w:cs="Verdana" w:eastAsia="Verdana" w:hAnsi="Verdana"/>
                <w:sz w:val="13"/>
                <w:szCs w:val="13"/>
                <w:color w:val="auto"/>
              </w:rPr>
              <w:t>C</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shd w:val="clear" w:color="auto" w:fill="D6E5F9"/>
          </w:tcPr>
          <w:p>
            <w:pPr>
              <w:spacing w:after="0"/>
              <w:rPr>
                <w:sz w:val="18"/>
                <w:szCs w:val="18"/>
                <w:color w:val="auto"/>
              </w:rPr>
            </w:pPr>
          </w:p>
        </w:tc>
      </w:tr>
      <w:tr>
        <w:trPr>
          <w:trHeight w:val="195"/>
        </w:trPr>
        <w:tc>
          <w:tcPr>
            <w:tcW w:w="4200" w:type="dxa"/>
            <w:vAlign w:val="bottom"/>
          </w:tcPr>
          <w:p>
            <w:pPr>
              <w:ind w:left="20"/>
              <w:spacing w:after="0"/>
              <w:rPr>
                <w:sz w:val="20"/>
                <w:szCs w:val="20"/>
                <w:color w:val="auto"/>
              </w:rPr>
            </w:pPr>
            <w:r>
              <w:rPr>
                <w:rFonts w:ascii="Verdana" w:cs="Verdana" w:eastAsia="Verdana" w:hAnsi="Verdana"/>
                <w:sz w:val="13"/>
                <w:szCs w:val="13"/>
                <w:color w:val="auto"/>
              </w:rPr>
              <w:t>Mary Lou Jepsen</w:t>
            </w:r>
          </w:p>
        </w:tc>
        <w:tc>
          <w:tcPr>
            <w:tcW w:w="33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tcPr>
          <w:p>
            <w:pPr>
              <w:jc w:val="center"/>
              <w:spacing w:after="0"/>
              <w:rPr>
                <w:sz w:val="20"/>
                <w:szCs w:val="20"/>
                <w:color w:val="auto"/>
              </w:rPr>
            </w:pPr>
            <w:r>
              <w:rPr>
                <w:rFonts w:ascii="Verdana" w:cs="Verdana" w:eastAsia="Verdana" w:hAnsi="Verdana"/>
                <w:sz w:val="13"/>
                <w:szCs w:val="13"/>
                <w:color w:val="auto"/>
                <w:w w:val="88"/>
              </w:rPr>
              <w:t>X</w:t>
            </w:r>
          </w:p>
        </w:tc>
      </w:tr>
      <w:tr>
        <w:trPr>
          <w:trHeight w:val="210"/>
        </w:trPr>
        <w:tc>
          <w:tcPr>
            <w:tcW w:w="420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Roger A. Krone</w:t>
            </w:r>
          </w:p>
        </w:tc>
        <w:tc>
          <w:tcPr>
            <w:tcW w:w="3360" w:type="dxa"/>
            <w:vAlign w:val="bottom"/>
            <w:shd w:val="clear" w:color="auto" w:fill="D6E5F9"/>
          </w:tcPr>
          <w:p>
            <w:pPr>
              <w:jc w:val="center"/>
              <w:ind w:left="1937"/>
              <w:spacing w:after="0"/>
              <w:rPr>
                <w:sz w:val="20"/>
                <w:szCs w:val="20"/>
                <w:color w:val="auto"/>
              </w:rPr>
            </w:pPr>
            <w:r>
              <w:rPr>
                <w:rFonts w:ascii="Verdana" w:cs="Verdana" w:eastAsia="Verdana" w:hAnsi="Verdana"/>
                <w:sz w:val="13"/>
                <w:szCs w:val="13"/>
                <w:color w:val="auto"/>
                <w:w w:val="88"/>
              </w:rPr>
              <w:t>X</w:t>
            </w:r>
          </w:p>
        </w:tc>
        <w:tc>
          <w:tcPr>
            <w:tcW w:w="1380" w:type="dxa"/>
            <w:vAlign w:val="bottom"/>
            <w:shd w:val="clear" w:color="auto" w:fill="D6E5F9"/>
          </w:tcPr>
          <w:p>
            <w:pPr>
              <w:spacing w:after="0"/>
              <w:rPr>
                <w:sz w:val="18"/>
                <w:szCs w:val="18"/>
                <w:color w:val="auto"/>
              </w:rPr>
            </w:pPr>
          </w:p>
        </w:tc>
        <w:tc>
          <w:tcPr>
            <w:tcW w:w="136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88"/>
              </w:rPr>
              <w:t>X</w:t>
            </w:r>
          </w:p>
        </w:tc>
      </w:tr>
      <w:tr>
        <w:trPr>
          <w:trHeight w:val="195"/>
        </w:trPr>
        <w:tc>
          <w:tcPr>
            <w:tcW w:w="4200" w:type="dxa"/>
            <w:vAlign w:val="bottom"/>
          </w:tcPr>
          <w:p>
            <w:pPr>
              <w:ind w:left="20"/>
              <w:spacing w:after="0"/>
              <w:rPr>
                <w:sz w:val="20"/>
                <w:szCs w:val="20"/>
                <w:color w:val="auto"/>
              </w:rPr>
            </w:pPr>
            <w:r>
              <w:rPr>
                <w:rFonts w:ascii="Verdana" w:cs="Verdana" w:eastAsia="Verdana" w:hAnsi="Verdana"/>
                <w:sz w:val="13"/>
                <w:szCs w:val="13"/>
                <w:color w:val="auto"/>
              </w:rPr>
              <w:t>Patricia L. Lewis</w:t>
            </w:r>
          </w:p>
        </w:tc>
        <w:tc>
          <w:tcPr>
            <w:tcW w:w="33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Verdana" w:cs="Verdana" w:eastAsia="Verdana" w:hAnsi="Verdana"/>
                <w:sz w:val="13"/>
                <w:szCs w:val="13"/>
                <w:color w:val="auto"/>
              </w:rPr>
              <w:t>C</w:t>
            </w:r>
          </w:p>
        </w:tc>
        <w:tc>
          <w:tcPr>
            <w:tcW w:w="1360" w:type="dxa"/>
            <w:vAlign w:val="bottom"/>
          </w:tcPr>
          <w:p>
            <w:pPr>
              <w:jc w:val="center"/>
              <w:spacing w:after="0"/>
              <w:rPr>
                <w:sz w:val="20"/>
                <w:szCs w:val="20"/>
                <w:color w:val="auto"/>
              </w:rPr>
            </w:pPr>
            <w:r>
              <w:rPr>
                <w:rFonts w:ascii="Verdana" w:cs="Verdana" w:eastAsia="Verdana" w:hAnsi="Verdana"/>
                <w:sz w:val="13"/>
                <w:szCs w:val="13"/>
                <w:color w:val="auto"/>
                <w:w w:val="88"/>
              </w:rPr>
              <w:t>X</w:t>
            </w:r>
          </w:p>
        </w:tc>
      </w:tr>
      <w:tr>
        <w:trPr>
          <w:trHeight w:val="210"/>
        </w:trPr>
        <w:tc>
          <w:tcPr>
            <w:tcW w:w="420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Kathleen A. Ligocki</w:t>
            </w:r>
          </w:p>
        </w:tc>
        <w:tc>
          <w:tcPr>
            <w:tcW w:w="3360" w:type="dxa"/>
            <w:vAlign w:val="bottom"/>
            <w:shd w:val="clear" w:color="auto" w:fill="D6E5F9"/>
          </w:tcPr>
          <w:p>
            <w:pPr>
              <w:spacing w:after="0"/>
              <w:rPr>
                <w:sz w:val="18"/>
                <w:szCs w:val="18"/>
                <w:color w:val="auto"/>
              </w:rPr>
            </w:pP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88"/>
              </w:rPr>
              <w:t>X</w:t>
            </w:r>
          </w:p>
        </w:tc>
      </w:tr>
      <w:tr>
        <w:trPr>
          <w:trHeight w:val="195"/>
        </w:trPr>
        <w:tc>
          <w:tcPr>
            <w:tcW w:w="4200" w:type="dxa"/>
            <w:vAlign w:val="bottom"/>
          </w:tcPr>
          <w:p>
            <w:pPr>
              <w:ind w:left="20"/>
              <w:spacing w:after="0"/>
              <w:rPr>
                <w:sz w:val="20"/>
                <w:szCs w:val="20"/>
                <w:color w:val="auto"/>
              </w:rPr>
            </w:pPr>
            <w:r>
              <w:rPr>
                <w:rFonts w:ascii="Verdana" w:cs="Verdana" w:eastAsia="Verdana" w:hAnsi="Verdana"/>
                <w:sz w:val="13"/>
                <w:szCs w:val="13"/>
                <w:color w:val="auto"/>
              </w:rPr>
              <w:t>Conrad L. Mallett, Jr.</w:t>
            </w:r>
          </w:p>
        </w:tc>
        <w:tc>
          <w:tcPr>
            <w:tcW w:w="3360" w:type="dxa"/>
            <w:vAlign w:val="bottom"/>
          </w:tcPr>
          <w:p>
            <w:pPr>
              <w:jc w:val="center"/>
              <w:ind w:left="1937"/>
              <w:spacing w:after="0"/>
              <w:rPr>
                <w:sz w:val="20"/>
                <w:szCs w:val="20"/>
                <w:color w:val="auto"/>
              </w:rPr>
            </w:pPr>
            <w:r>
              <w:rPr>
                <w:rFonts w:ascii="Verdana" w:cs="Verdana" w:eastAsia="Verdana" w:hAnsi="Verdana"/>
                <w:sz w:val="13"/>
                <w:szCs w:val="13"/>
                <w:color w:val="auto"/>
                <w:w w:val="88"/>
              </w:rPr>
              <w:t>X</w:t>
            </w:r>
          </w:p>
        </w:tc>
        <w:tc>
          <w:tcPr>
            <w:tcW w:w="1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Verdana" w:cs="Verdana" w:eastAsia="Verdana" w:hAnsi="Verdana"/>
                <w:sz w:val="13"/>
                <w:szCs w:val="13"/>
                <w:color w:val="auto"/>
              </w:rPr>
              <w:t>C</w:t>
            </w:r>
          </w:p>
        </w:tc>
      </w:tr>
      <w:tr>
        <w:trPr>
          <w:trHeight w:val="204"/>
        </w:trPr>
        <w:tc>
          <w:tcPr>
            <w:tcW w:w="4200" w:type="dxa"/>
            <w:vAlign w:val="bottom"/>
            <w:tcBorders>
              <w:bottom w:val="single" w:sz="8" w:color="auto"/>
            </w:tcBorders>
            <w:shd w:val="clear" w:color="auto" w:fill="D6E5F9"/>
          </w:tcPr>
          <w:p>
            <w:pPr>
              <w:ind w:left="20"/>
              <w:spacing w:after="0"/>
              <w:rPr>
                <w:sz w:val="20"/>
                <w:szCs w:val="20"/>
                <w:color w:val="auto"/>
              </w:rPr>
            </w:pPr>
            <w:r>
              <w:rPr>
                <w:rFonts w:ascii="Verdana" w:cs="Verdana" w:eastAsia="Verdana" w:hAnsi="Verdana"/>
                <w:sz w:val="13"/>
                <w:szCs w:val="13"/>
                <w:color w:val="auto"/>
              </w:rPr>
              <w:t>Greg C. Smith*</w:t>
            </w:r>
          </w:p>
        </w:tc>
        <w:tc>
          <w:tcPr>
            <w:tcW w:w="3360" w:type="dxa"/>
            <w:vAlign w:val="bottom"/>
            <w:tcBorders>
              <w:bottom w:val="single" w:sz="8" w:color="auto"/>
            </w:tcBorders>
            <w:shd w:val="clear" w:color="auto" w:fill="D6E5F9"/>
          </w:tcPr>
          <w:p>
            <w:pPr>
              <w:jc w:val="center"/>
              <w:ind w:left="1937"/>
              <w:spacing w:after="0"/>
              <w:rPr>
                <w:sz w:val="20"/>
                <w:szCs w:val="20"/>
                <w:color w:val="auto"/>
              </w:rPr>
            </w:pPr>
            <w:r>
              <w:rPr>
                <w:rFonts w:ascii="Verdana" w:cs="Verdana" w:eastAsia="Verdana" w:hAnsi="Verdana"/>
                <w:sz w:val="13"/>
                <w:szCs w:val="13"/>
                <w:color w:val="auto"/>
                <w:w w:val="96"/>
              </w:rPr>
              <w:t>E</w:t>
            </w:r>
          </w:p>
        </w:tc>
        <w:tc>
          <w:tcPr>
            <w:tcW w:w="1380" w:type="dxa"/>
            <w:vAlign w:val="bottom"/>
            <w:tcBorders>
              <w:bottom w:val="single" w:sz="8" w:color="auto"/>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E</w:t>
            </w:r>
          </w:p>
        </w:tc>
        <w:tc>
          <w:tcPr>
            <w:tcW w:w="1360" w:type="dxa"/>
            <w:vAlign w:val="bottom"/>
            <w:tcBorders>
              <w:bottom w:val="single" w:sz="8" w:color="auto"/>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E</w:t>
            </w:r>
          </w:p>
        </w:tc>
      </w:tr>
    </w:tbl>
    <w:p>
      <w:pPr>
        <w:spacing w:after="0" w:line="193" w:lineRule="exact"/>
        <w:rPr>
          <w:sz w:val="20"/>
          <w:szCs w:val="20"/>
          <w:color w:val="auto"/>
        </w:rPr>
      </w:pPr>
    </w:p>
    <w:p>
      <w:pPr>
        <w:ind w:right="7940" w:firstLine="8"/>
        <w:spacing w:after="0" w:line="317" w:lineRule="auto"/>
        <w:tabs>
          <w:tab w:leader="none" w:pos="321" w:val="left"/>
        </w:tabs>
        <w:numPr>
          <w:ilvl w:val="0"/>
          <w:numId w:val="38"/>
        </w:numPr>
        <w:rPr>
          <w:rFonts w:ascii="Verdana" w:cs="Verdana" w:eastAsia="Verdana" w:hAnsi="Verdana"/>
          <w:sz w:val="14"/>
          <w:szCs w:val="14"/>
          <w:color w:val="auto"/>
        </w:rPr>
      </w:pPr>
      <w:r>
        <w:rPr>
          <w:rFonts w:ascii="Verdana" w:cs="Verdana" w:eastAsia="Verdana" w:hAnsi="Verdana"/>
          <w:sz w:val="14"/>
          <w:szCs w:val="14"/>
          <w:color w:val="auto"/>
        </w:rPr>
        <w:t>Non-Executive Chairman of the Board "C" Denotes member and chair of committee "X" Denotes member</w:t>
      </w:r>
    </w:p>
    <w:p>
      <w:pPr>
        <w:spacing w:after="0"/>
        <w:rPr>
          <w:rFonts w:ascii="Verdana" w:cs="Verdana" w:eastAsia="Verdana" w:hAnsi="Verdana"/>
          <w:sz w:val="14"/>
          <w:szCs w:val="14"/>
          <w:color w:val="auto"/>
        </w:rPr>
      </w:pPr>
      <w:r>
        <w:rPr>
          <w:rFonts w:ascii="Verdana" w:cs="Verdana" w:eastAsia="Verdana" w:hAnsi="Verdana"/>
          <w:sz w:val="14"/>
          <w:szCs w:val="14"/>
          <w:color w:val="auto"/>
        </w:rPr>
        <w:t>"E" Denotes Ex Officio member</w:t>
      </w:r>
    </w:p>
    <w:p>
      <w:pPr>
        <w:spacing w:after="0" w:line="113" w:lineRule="exact"/>
        <w:rPr>
          <w:sz w:val="20"/>
          <w:szCs w:val="20"/>
          <w:color w:val="auto"/>
        </w:rPr>
      </w:pPr>
    </w:p>
    <w:p>
      <w:pPr>
        <w:jc w:val="both"/>
        <w:ind w:firstLine="8"/>
        <w:spacing w:after="0" w:line="270" w:lineRule="auto"/>
        <w:tabs>
          <w:tab w:leader="none" w:pos="273" w:val="left"/>
        </w:tabs>
        <w:numPr>
          <w:ilvl w:val="0"/>
          <w:numId w:val="39"/>
        </w:numPr>
        <w:rPr>
          <w:rFonts w:ascii="Verdana" w:cs="Verdana" w:eastAsia="Verdana" w:hAnsi="Verdana"/>
          <w:sz w:val="14"/>
          <w:szCs w:val="14"/>
          <w:color w:val="auto"/>
        </w:rPr>
      </w:pPr>
      <w:r>
        <w:rPr>
          <w:rFonts w:ascii="Verdana" w:cs="Verdana" w:eastAsia="Verdana" w:hAnsi="Verdana"/>
          <w:sz w:val="14"/>
          <w:szCs w:val="14"/>
          <w:color w:val="auto"/>
        </w:rPr>
        <w:t>Messrs. Blissett and Lache do not currently serve on any committees of the Board. In accordance with Board practice, new non-employee directors are not appointed to any committees of the Board in their first year of service on the Board to allow such directors to gain more familiarity with the Company.</w:t>
      </w:r>
    </w:p>
    <w:p>
      <w:pPr>
        <w:spacing w:after="0" w:line="200" w:lineRule="exact"/>
        <w:rPr>
          <w:sz w:val="20"/>
          <w:szCs w:val="20"/>
          <w:color w:val="auto"/>
        </w:rPr>
      </w:pPr>
    </w:p>
    <w:p>
      <w:pPr>
        <w:spacing w:after="0" w:line="299" w:lineRule="exact"/>
        <w:rPr>
          <w:sz w:val="20"/>
          <w:szCs w:val="20"/>
          <w:color w:val="auto"/>
        </w:rPr>
      </w:pPr>
    </w:p>
    <w:p>
      <w:pPr>
        <w:ind w:left="560" w:hanging="534"/>
        <w:spacing w:after="0"/>
        <w:tabs>
          <w:tab w:leader="none" w:pos="560" w:val="left"/>
        </w:tabs>
        <w:numPr>
          <w:ilvl w:val="0"/>
          <w:numId w:val="40"/>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Audit Committee</w:t>
      </w:r>
    </w:p>
    <w:p>
      <w:pPr>
        <w:spacing w:after="0" w:line="137" w:lineRule="exact"/>
        <w:rPr>
          <w:sz w:val="20"/>
          <w:szCs w:val="20"/>
          <w:color w:val="auto"/>
        </w:rPr>
      </w:pPr>
    </w:p>
    <w:p>
      <w:pPr>
        <w:ind w:right="380"/>
        <w:spacing w:after="0" w:line="238" w:lineRule="auto"/>
        <w:rPr>
          <w:sz w:val="20"/>
          <w:szCs w:val="20"/>
          <w:color w:val="auto"/>
        </w:rPr>
      </w:pPr>
      <w:r>
        <w:rPr>
          <w:rFonts w:ascii="Verdana" w:cs="Verdana" w:eastAsia="Verdana" w:hAnsi="Verdana"/>
          <w:sz w:val="16"/>
          <w:szCs w:val="16"/>
          <w:color w:val="auto"/>
        </w:rPr>
        <w:t>In 2024, the Audit Committee held nine meetings. Each member of the Audit Committee is a non-employee director. In addition, the Board has determined that all of the members of the Audit Committee are independent, financially literate and financial experts, as further discussed in “Audit Committee Report.” For a description of the Audit Committee’s responsibilities and findings and additional</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information about the Audit Committee, see “Audit Committee Report.”</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A copy of the current Audit Committee charter is available on our website at https://ir.lear.com/ or in printed form upon request.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People and Compensation Committee</w:t>
      </w:r>
    </w:p>
    <w:p>
      <w:pPr>
        <w:spacing w:after="0" w:line="137"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In 2024, the P&amp;C Committee held eight meetings. Each member of the P&amp;C Committee is a non-employee director. In addition, the Board has determined that all of the members of the P&amp;C Committee are independent as defined in the listing standards of the NYSE,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including the independence standards applicable to compensation committees.</w:t>
      </w:r>
    </w:p>
    <w:p>
      <w:pPr>
        <w:spacing w:after="0" w:line="103" w:lineRule="exact"/>
        <w:rPr>
          <w:sz w:val="20"/>
          <w:szCs w:val="20"/>
          <w:color w:val="auto"/>
        </w:rPr>
      </w:pPr>
    </w:p>
    <w:p>
      <w:pPr>
        <w:jc w:val="both"/>
        <w:ind w:right="560"/>
        <w:spacing w:after="0" w:line="241" w:lineRule="auto"/>
        <w:rPr>
          <w:sz w:val="20"/>
          <w:szCs w:val="20"/>
          <w:color w:val="auto"/>
        </w:rPr>
      </w:pPr>
      <w:r>
        <w:rPr>
          <w:rFonts w:ascii="Verdana" w:cs="Verdana" w:eastAsia="Verdana" w:hAnsi="Verdana"/>
          <w:sz w:val="16"/>
          <w:szCs w:val="16"/>
          <w:color w:val="auto"/>
        </w:rPr>
        <w:t>The P&amp;C Committee has overall responsibility for approving and evaluating director and officer compensation plans, policies and programs of the Company and reviewing the disclosure of such plans, policies and programs to our shareholders in the Company's</w:t>
      </w:r>
    </w:p>
    <w:p>
      <w:pPr>
        <w:spacing w:after="0" w:line="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annual proxy statement. The P&amp;C Committee also supports initiatives pertaining to human capital management, including talent development and retention, the employee experience and timely succession planning for the CEO and senior executive officers. The P&amp;C</w:t>
      </w:r>
    </w:p>
    <w:p>
      <w:pPr>
        <w:spacing w:after="0" w:line="1" w:lineRule="exact"/>
        <w:rPr>
          <w:sz w:val="20"/>
          <w:szCs w:val="20"/>
          <w:color w:val="auto"/>
        </w:rPr>
      </w:pPr>
    </w:p>
    <w:p>
      <w:pPr>
        <w:jc w:val="both"/>
        <w:ind w:right="580"/>
        <w:spacing w:after="0" w:line="243" w:lineRule="auto"/>
        <w:rPr>
          <w:sz w:val="20"/>
          <w:szCs w:val="20"/>
          <w:color w:val="auto"/>
        </w:rPr>
      </w:pPr>
      <w:r>
        <w:rPr>
          <w:rFonts w:ascii="Verdana" w:cs="Verdana" w:eastAsia="Verdana" w:hAnsi="Verdana"/>
          <w:sz w:val="16"/>
          <w:szCs w:val="16"/>
          <w:color w:val="auto"/>
        </w:rPr>
        <w:t>Committee utilizes an independent compensation consultant to assist it in its duties. The P&amp;C Committee operates under a written charter setting forth its functions and responsibilities. A copy of the current P&amp;C Committee charter is available on our website at https://ir.lear.com/ or in printed form upon request.</w:t>
      </w:r>
    </w:p>
    <w:p>
      <w:pPr>
        <w:spacing w:after="0" w:line="9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In consultation with the Company’s management, the P&amp;C Committee establishes the general policies relating to senior management compensation and oversees the development and administration of such compensation programs. Our human resources executives and</w:t>
      </w:r>
    </w:p>
    <w:p>
      <w:pPr>
        <w:spacing w:after="0" w:line="1" w:lineRule="exact"/>
        <w:rPr>
          <w:sz w:val="20"/>
          <w:szCs w:val="20"/>
          <w:color w:val="auto"/>
        </w:rPr>
      </w:pPr>
    </w:p>
    <w:p>
      <w:pPr>
        <w:jc w:val="both"/>
        <w:ind w:right="120"/>
        <w:spacing w:after="0" w:line="238" w:lineRule="auto"/>
        <w:rPr>
          <w:sz w:val="20"/>
          <w:szCs w:val="20"/>
          <w:color w:val="auto"/>
        </w:rPr>
      </w:pPr>
      <w:r>
        <w:rPr>
          <w:rFonts w:ascii="Verdana" w:cs="Verdana" w:eastAsia="Verdana" w:hAnsi="Verdana"/>
          <w:sz w:val="16"/>
          <w:szCs w:val="16"/>
          <w:color w:val="auto"/>
        </w:rPr>
        <w:t>staff support the P&amp;C Committee in its work. These members of management work with compensation consultants whose engagements have been approved by the P&amp;C Committee, accountants and legal counsel, as necessary, to implement the P&amp;C Committee’s decisions, to monitor evolving competitive practices.The P&amp;C Committee has final authority to approve, modify or reject the independent</w:t>
      </w:r>
    </w:p>
    <w:p>
      <w:pPr>
        <w:spacing w:after="0" w:line="2"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consultant's recommendations and to make its decisions in executive session. The P&amp;C Committee approves all compensation of our executive officers, including equity awards. Under our equity award policy, an aggregate equity award pool to non-executive officers may</w:t>
      </w:r>
    </w:p>
    <w:p>
      <w:pPr>
        <w:spacing w:after="0" w:line="1"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be approved by the P&amp;C Committee and allocated to individuals by the CEO. The policy also allows the P&amp;C Committee to delegate to the CEO the ability to grant equity awards to non-executive officer employees who are newly hired or promoted or deemed to be deserving of special retention or recognition awards.</w:t>
      </w:r>
    </w:p>
    <w:p>
      <w:pPr>
        <w:spacing w:after="0" w:line="98"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Pay Governance LLC (“Pay Governance”) is the P&amp;C Committee's independent compensation consultant. Pay Governance reports directly to the P&amp;C Committee, including with respect to management’s recommendations of compensation programs and awards. The P&amp;C</w:t>
      </w:r>
    </w:p>
    <w:p>
      <w:pPr>
        <w:spacing w:after="0" w:line="1" w:lineRule="exact"/>
        <w:rPr>
          <w:sz w:val="20"/>
          <w:szCs w:val="20"/>
          <w:color w:val="auto"/>
        </w:rPr>
      </w:pPr>
    </w:p>
    <w:p>
      <w:pPr>
        <w:jc w:val="both"/>
        <w:ind w:right="20"/>
        <w:spacing w:after="0" w:line="238" w:lineRule="auto"/>
        <w:rPr>
          <w:sz w:val="20"/>
          <w:szCs w:val="20"/>
          <w:color w:val="auto"/>
        </w:rPr>
      </w:pPr>
      <w:r>
        <w:rPr>
          <w:rFonts w:ascii="Verdana" w:cs="Verdana" w:eastAsia="Verdana" w:hAnsi="Verdana"/>
          <w:sz w:val="16"/>
          <w:szCs w:val="16"/>
          <w:color w:val="auto"/>
        </w:rPr>
        <w:t>Committee has the sole authority to approve the scope and terms of the engagement of such compensation consultant and to terminate such engagement. The mandate of Pay Governance is to serve the Company and work with the P&amp;C Committee in its review of executive and director compensation practices, including the competitiveness of pay levels, program design, market trends and technical</w:t>
      </w:r>
    </w:p>
    <w:p>
      <w:pPr>
        <w:spacing w:after="0" w:line="2"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considerations. Pay Governance has assisted the P&amp;C Committee with the development of competitive market data and a related assessment of the Company’s executive and director compensation levels, evaluation of annual and long-term incentive compensation strategy and compilation and review of total compensation data and pay tally sheets (including data for certain termination and change</w:t>
      </w:r>
    </w:p>
    <w:p>
      <w:pPr>
        <w:spacing w:after="0" w:line="2" w:lineRule="exact"/>
        <w:rPr>
          <w:sz w:val="20"/>
          <w:szCs w:val="20"/>
          <w:color w:val="auto"/>
        </w:rPr>
      </w:pPr>
    </w:p>
    <w:p>
      <w:pPr>
        <w:ind w:right="360"/>
        <w:spacing w:after="0" w:line="241" w:lineRule="auto"/>
        <w:rPr>
          <w:sz w:val="20"/>
          <w:szCs w:val="20"/>
          <w:color w:val="auto"/>
        </w:rPr>
      </w:pPr>
      <w:r>
        <w:rPr>
          <w:rFonts w:ascii="Verdana" w:cs="Verdana" w:eastAsia="Verdana" w:hAnsi="Verdana"/>
          <w:sz w:val="16"/>
          <w:szCs w:val="16"/>
          <w:color w:val="auto"/>
        </w:rPr>
        <w:t>in control scenarios) for the Company’s NEOs. As part of this process, the P&amp;C Committee also reviewed a comprehensive analysis of peer group companies provided by Pay Governance. See “Compensation Discussion and Analysis — Decision-Making Framework —</w:t>
      </w:r>
    </w:p>
    <w:p>
      <w:pPr>
        <w:spacing w:after="0" w:line="1"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color w:val="auto"/>
        </w:rPr>
        <w:t>Benchmarking Methodology and Peer Group Selection.” Other than with respect to consulting on executive and director compensation matters, Pay Governance has performed no other services for the P&amp;C Committee or the Company.</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Company and the P&amp;C Committee reviewed the independence of Pay Governance in light of SEC rules and NYSE listing standards</w:t>
      </w:r>
    </w:p>
    <w:p>
      <w:pPr>
        <w:spacing w:after="0" w:line="8" w:lineRule="exact"/>
        <w:rPr>
          <w:sz w:val="20"/>
          <w:szCs w:val="20"/>
          <w:color w:val="auto"/>
        </w:rPr>
      </w:pPr>
    </w:p>
    <w:p>
      <w:pPr>
        <w:ind w:right="400"/>
        <w:spacing w:after="0" w:line="253" w:lineRule="auto"/>
        <w:rPr>
          <w:sz w:val="20"/>
          <w:szCs w:val="20"/>
          <w:color w:val="auto"/>
        </w:rPr>
      </w:pPr>
      <w:r>
        <w:rPr>
          <w:rFonts w:ascii="Verdana" w:cs="Verdana" w:eastAsia="Verdana" w:hAnsi="Verdana"/>
          <w:sz w:val="16"/>
          <w:szCs w:val="16"/>
          <w:color w:val="auto"/>
        </w:rPr>
        <w:t>regarding compensation consultants and has concluded that the work performed by Pay Governance does not constitute a conflict of interest.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Governance and Sustainability Committee</w:t>
      </w:r>
    </w:p>
    <w:p>
      <w:pPr>
        <w:spacing w:after="0" w:line="137"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In 2024, the G&amp;S Committee held five meetings. Each of the members of the G&amp;S Committee is a non-employee director. In addition, the Board has determined that all of the members of the G&amp;S Committee are independent as defined in the listing standards of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NYSE.</w:t>
      </w:r>
    </w:p>
    <w:p>
      <w:pPr>
        <w:spacing w:after="0" w:line="103"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The G&amp;S Committee is responsible for, among other things: (i) Board succession planning and identifying individuals qualified to become members of the Board, consistent with criteria approved by the Board; (ii) recommending director nominees to the Board for election at</w:t>
      </w:r>
    </w:p>
    <w:p>
      <w:pPr>
        <w:spacing w:after="0" w:line="1" w:lineRule="exact"/>
        <w:rPr>
          <w:sz w:val="20"/>
          <w:szCs w:val="20"/>
          <w:color w:val="auto"/>
        </w:rPr>
      </w:pPr>
    </w:p>
    <w:p>
      <w:pPr>
        <w:ind w:right="240"/>
        <w:spacing w:after="0" w:line="253" w:lineRule="auto"/>
        <w:rPr>
          <w:sz w:val="20"/>
          <w:szCs w:val="20"/>
          <w:color w:val="auto"/>
        </w:rPr>
      </w:pPr>
      <w:r>
        <w:rPr>
          <w:rFonts w:ascii="Verdana" w:cs="Verdana" w:eastAsia="Verdana" w:hAnsi="Verdana"/>
          <w:sz w:val="16"/>
          <w:szCs w:val="16"/>
          <w:color w:val="auto"/>
        </w:rPr>
        <w:t>the next annual meeting of the shareholders of the Company; (iii) in the event of a vacancy on or an increase in the size of the Board, recommending director nominees to the Board to fill such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27</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Verdana" w:cs="Verdana" w:eastAsia="Verdana" w:hAnsi="Verdana"/>
          <w:sz w:val="16"/>
          <w:szCs w:val="16"/>
          <w:color w:val="auto"/>
        </w:rPr>
        <w:t>vacancy or newly established Board seat; (iv) recommending directors to the Board for membership on each committee of the Board;</w:t>
      </w:r>
    </w:p>
    <w:p>
      <w:pPr>
        <w:ind w:right="100" w:firstLine="8"/>
        <w:spacing w:after="0" w:line="251" w:lineRule="auto"/>
        <w:tabs>
          <w:tab w:leader="none" w:pos="300"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establishing and reviewing annually our Corporate Governance Guidelines; (vi) reviewing potential conflicts of interest involving our executive officers; and (vii) overseeing sustainability issues, including as they pertain to environmental, human rights and other corporate social responsibility matters. The G&amp;S Committee operates under a written charter setting forth its functions and responsibilities.</w:t>
      </w:r>
    </w:p>
    <w:p>
      <w:pPr>
        <w:spacing w:after="0" w:line="78" w:lineRule="exact"/>
        <w:rPr>
          <w:sz w:val="20"/>
          <w:szCs w:val="20"/>
          <w:color w:val="auto"/>
        </w:rPr>
      </w:pPr>
    </w:p>
    <w:p>
      <w:pPr>
        <w:spacing w:after="0"/>
        <w:rPr>
          <w:sz w:val="20"/>
          <w:szCs w:val="20"/>
          <w:color w:val="auto"/>
        </w:rPr>
      </w:pPr>
      <w:r>
        <w:rPr>
          <w:rFonts w:ascii="Verdana" w:cs="Verdana" w:eastAsia="Verdana" w:hAnsi="Verdana"/>
          <w:sz w:val="16"/>
          <w:szCs w:val="16"/>
          <w:color w:val="auto"/>
        </w:rPr>
        <w:t>A copy of the current G&amp;S Committee charter is available on our website at https://ir.lear.com/ or in printed form upon request.</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Communications to the Board</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Shareholders and interested parties can contact the Board (including the Non-Executive Chairman and non-employee directors) through</w:t>
      </w:r>
    </w:p>
    <w:p>
      <w:pPr>
        <w:spacing w:after="0" w:line="8"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written communication sent to Lear Corporation, 21557 Telegraph Road, Southfield, Michigan 48033, Attention: Amanda J. Pontes, Vice President, General Counsel and Corporate Secretary. Our General Counsel reviews all written communications and forwards to the Board a summary and/or copies of any such correspondence that is directed to the Board or that, in the opinion of the General Counsel, deals</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with the functions of the Board or its committees or that she otherwise determines requires the Board’s or any Board committee’s attention. Concerns relating to accounting, internal accounting controls or auditing matters are immediately brought to the attention of</w:t>
      </w:r>
    </w:p>
    <w:p>
      <w:pPr>
        <w:spacing w:after="0" w:line="1" w:lineRule="exact"/>
        <w:rPr>
          <w:sz w:val="20"/>
          <w:szCs w:val="20"/>
          <w:color w:val="auto"/>
        </w:rPr>
      </w:pPr>
    </w:p>
    <w:p>
      <w:pPr>
        <w:jc w:val="both"/>
        <w:ind w:right="460"/>
        <w:spacing w:after="0" w:line="243" w:lineRule="auto"/>
        <w:rPr>
          <w:sz w:val="20"/>
          <w:szCs w:val="20"/>
          <w:color w:val="auto"/>
        </w:rPr>
      </w:pPr>
      <w:r>
        <w:rPr>
          <w:rFonts w:ascii="Verdana" w:cs="Verdana" w:eastAsia="Verdana" w:hAnsi="Verdana"/>
          <w:sz w:val="16"/>
          <w:szCs w:val="16"/>
          <w:color w:val="auto"/>
        </w:rPr>
        <w:t>our internal audit department and handled in accordance with procedures established by the Audit Committee with respect to such matters. From time to time, the Board may change the process by which shareholders may communicate with the Board. Any such changes will be reflected in our Corporate Governance Guidelines, which are posted on our website at https://ir.lear.com/.</w:t>
      </w:r>
    </w:p>
    <w:p>
      <w:pPr>
        <w:spacing w:after="0" w:line="98"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w:t>
      </w:r>
    </w:p>
    <w:p>
      <w:pPr>
        <w:spacing w:after="0" w:line="2" w:lineRule="exact"/>
        <w:rPr>
          <w:sz w:val="20"/>
          <w:szCs w:val="20"/>
          <w:color w:val="auto"/>
        </w:rPr>
      </w:pPr>
    </w:p>
    <w:p>
      <w:pPr>
        <w:ind w:right="380"/>
        <w:spacing w:after="0" w:line="241" w:lineRule="auto"/>
        <w:rPr>
          <w:sz w:val="20"/>
          <w:szCs w:val="20"/>
          <w:color w:val="auto"/>
        </w:rPr>
      </w:pPr>
      <w:r>
        <w:rPr>
          <w:rFonts w:ascii="Verdana" w:cs="Verdana" w:eastAsia="Verdana" w:hAnsi="Verdana"/>
          <w:sz w:val="16"/>
          <w:szCs w:val="16"/>
          <w:color w:val="auto"/>
        </w:rPr>
        <w:t>other procedures set forth from time to time in our Corporate Governance Guidelines, which are posted on our website at https://ir.lear.com/. Any submission should contain, to the extent possible, a full and complete description of the matter, the parties</w:t>
      </w:r>
    </w:p>
    <w:p>
      <w:pPr>
        <w:spacing w:after="0" w:line="1"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 w:hanging="534"/>
        <w:spacing w:after="0"/>
        <w:tabs>
          <w:tab w:leader="none" w:pos="560" w:val="left"/>
        </w:tabs>
        <w:numPr>
          <w:ilvl w:val="0"/>
          <w:numId w:val="42"/>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3" w:name="page34"/>
    <w:bookmarkEnd w:id="3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Director Compensation</w:t>
      </w:r>
    </w:p>
    <w:p>
      <w:pPr>
        <w:spacing w:after="0" w:line="26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Overview</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In order to attract and retain highly qualified directors to represent our shareholders, our philosophy is to set compensation within a</w:t>
      </w:r>
    </w:p>
    <w:p>
      <w:pPr>
        <w:spacing w:after="0" w:line="8" w:lineRule="exact"/>
        <w:rPr>
          <w:sz w:val="20"/>
          <w:szCs w:val="20"/>
          <w:color w:val="auto"/>
        </w:rPr>
      </w:pPr>
    </w:p>
    <w:p>
      <w:pPr>
        <w:ind w:right="440"/>
        <w:spacing w:after="0" w:line="238" w:lineRule="auto"/>
        <w:rPr>
          <w:sz w:val="20"/>
          <w:szCs w:val="20"/>
          <w:color w:val="auto"/>
        </w:rPr>
      </w:pPr>
      <w:r>
        <w:rPr>
          <w:rFonts w:ascii="Verdana" w:cs="Verdana" w:eastAsia="Verdana" w:hAnsi="Verdana"/>
          <w:sz w:val="16"/>
          <w:szCs w:val="16"/>
          <w:color w:val="auto"/>
        </w:rPr>
        <w:t xml:space="preserve">competitive range of non-employee director pay at comparable companies. At least every two years, the independent compensation consultant presents an analysis of director pay levels among our Comparator Group (described in “Compensation Discussion and Analysis — Benchmarking” beginning on page </w:t>
      </w:r>
      <w:r>
        <w:rPr>
          <w:rFonts w:ascii="Verdana" w:cs="Verdana" w:eastAsia="Verdana" w:hAnsi="Verdana"/>
          <w:sz w:val="16"/>
          <w:szCs w:val="16"/>
          <w:u w:val="single" w:color="auto"/>
          <w:color w:val="0000FF"/>
        </w:rPr>
        <w:t>38</w:t>
      </w:r>
      <w:r>
        <w:rPr>
          <w:rFonts w:ascii="Verdana" w:cs="Verdana" w:eastAsia="Verdana" w:hAnsi="Verdana"/>
          <w:sz w:val="16"/>
          <w:szCs w:val="16"/>
          <w:color w:val="auto"/>
        </w:rPr>
        <w:t>) and a broader set of large companies. We use the same Comparator Group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process to review and set director pay as is used for our NEOs.</w:t>
      </w:r>
    </w:p>
    <w:p>
      <w:pPr>
        <w:spacing w:after="0" w:line="103"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As a result of the competitive pay review that was conducted in September 2023, we increased the annual cash retainer payable to all non-employee directors by $20,000 and increased the incremental fees payable to the chairs of the Audit Committee, the G&amp;S</w:t>
      </w:r>
    </w:p>
    <w:p>
      <w:pPr>
        <w:spacing w:after="0" w:line="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Committee and the P&amp;C Committee by $10,000, $10,000 and $5,000, respectively, effective May 16, 2024. This was the first increase to non-employee director compensation since June 2022.</w:t>
      </w:r>
    </w:p>
    <w:p>
      <w:pPr>
        <w:spacing w:after="0" w:line="90"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The following table summarizes the compensation that each non-employee director is entitled to receive as part of the Outside Directors Compensation Plan, as amended effective May 16,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gridSpan w:val="2"/>
            <w:shd w:val="clear" w:color="auto" w:fill="1D428A"/>
          </w:tcPr>
          <w:p>
            <w:pPr>
              <w:ind w:left="1680"/>
              <w:spacing w:after="0"/>
              <w:rPr>
                <w:sz w:val="20"/>
                <w:szCs w:val="20"/>
                <w:color w:val="auto"/>
              </w:rPr>
            </w:pPr>
            <w:r>
              <w:rPr>
                <w:rFonts w:ascii="Verdana" w:cs="Verdana" w:eastAsia="Verdana" w:hAnsi="Verdana"/>
                <w:sz w:val="13"/>
                <w:szCs w:val="13"/>
                <w:b w:val="1"/>
                <w:bCs w:val="1"/>
                <w:color w:val="FFFFFF"/>
                <w:w w:val="99"/>
              </w:rPr>
              <w:t>Outside Directors Compensation Plan</w:t>
            </w:r>
          </w:p>
        </w:tc>
        <w:tc>
          <w:tcPr>
            <w:tcW w:w="1580" w:type="dxa"/>
            <w:vAlign w:val="bottom"/>
            <w:shd w:val="clear" w:color="auto" w:fill="1D428A"/>
          </w:tcPr>
          <w:p>
            <w:pPr>
              <w:spacing w:after="0"/>
              <w:rPr>
                <w:sz w:val="17"/>
                <w:szCs w:val="17"/>
                <w:color w:val="auto"/>
              </w:rPr>
            </w:pPr>
          </w:p>
        </w:tc>
      </w:tr>
      <w:tr>
        <w:trPr>
          <w:trHeight w:val="196"/>
        </w:trPr>
        <w:tc>
          <w:tcPr>
            <w:tcW w:w="2320" w:type="dxa"/>
            <w:vAlign w:val="bottom"/>
            <w:tcBorders>
              <w:bottom w:val="single" w:sz="8" w:color="696158"/>
            </w:tcBorders>
          </w:tcPr>
          <w:p>
            <w:pPr>
              <w:spacing w:after="0"/>
              <w:rPr>
                <w:sz w:val="17"/>
                <w:szCs w:val="17"/>
                <w:color w:val="auto"/>
              </w:rPr>
            </w:pPr>
          </w:p>
        </w:tc>
        <w:tc>
          <w:tcPr>
            <w:tcW w:w="2100" w:type="dxa"/>
            <w:vAlign w:val="bottom"/>
            <w:tcBorders>
              <w:bottom w:val="single" w:sz="8" w:color="696158"/>
            </w:tcBorders>
          </w:tcPr>
          <w:p>
            <w:pPr>
              <w:ind w:left="480"/>
              <w:spacing w:after="0"/>
              <w:rPr>
                <w:sz w:val="20"/>
                <w:szCs w:val="20"/>
                <w:color w:val="auto"/>
              </w:rPr>
            </w:pPr>
            <w:r>
              <w:rPr>
                <w:rFonts w:ascii="Verdana" w:cs="Verdana" w:eastAsia="Verdana" w:hAnsi="Verdana"/>
                <w:sz w:val="13"/>
                <w:szCs w:val="13"/>
                <w:b w:val="1"/>
                <w:bCs w:val="1"/>
                <w:color w:val="307FE2"/>
              </w:rPr>
              <w:t>Annual Cash Retainer</w:t>
            </w:r>
          </w:p>
        </w:tc>
        <w:tc>
          <w:tcPr>
            <w:tcW w:w="1580" w:type="dxa"/>
            <w:vAlign w:val="bottom"/>
            <w:tcBorders>
              <w:bottom w:val="single" w:sz="8" w:color="696158"/>
            </w:tcBorders>
          </w:tcPr>
          <w:p>
            <w:pPr>
              <w:jc w:val="center"/>
              <w:spacing w:after="0"/>
              <w:rPr>
                <w:sz w:val="20"/>
                <w:szCs w:val="20"/>
                <w:color w:val="auto"/>
              </w:rPr>
            </w:pPr>
            <w:r>
              <w:rPr>
                <w:rFonts w:ascii="Verdana" w:cs="Verdana" w:eastAsia="Verdana" w:hAnsi="Verdana"/>
                <w:sz w:val="13"/>
                <w:szCs w:val="13"/>
                <w:b w:val="1"/>
                <w:bCs w:val="1"/>
                <w:color w:val="307FE2"/>
                <w:w w:val="96"/>
              </w:rPr>
              <w:t>Annual RSU Award</w:t>
            </w:r>
          </w:p>
        </w:tc>
      </w:tr>
      <w:tr>
        <w:trPr>
          <w:trHeight w:val="203"/>
        </w:trPr>
        <w:tc>
          <w:tcPr>
            <w:tcW w:w="232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Annual Board Retainer</w:t>
            </w:r>
          </w:p>
        </w:tc>
        <w:tc>
          <w:tcPr>
            <w:tcW w:w="2100" w:type="dxa"/>
            <w:vAlign w:val="bottom"/>
            <w:shd w:val="clear" w:color="auto" w:fill="D6E5F9"/>
          </w:tcPr>
          <w:p>
            <w:pPr>
              <w:jc w:val="center"/>
              <w:ind w:left="297"/>
              <w:spacing w:after="0"/>
              <w:rPr>
                <w:sz w:val="20"/>
                <w:szCs w:val="20"/>
                <w:color w:val="auto"/>
              </w:rPr>
            </w:pPr>
            <w:r>
              <w:rPr>
                <w:rFonts w:ascii="Verdana" w:cs="Verdana" w:eastAsia="Verdana" w:hAnsi="Verdana"/>
                <w:sz w:val="13"/>
                <w:szCs w:val="13"/>
                <w:color w:val="auto"/>
                <w:w w:val="98"/>
              </w:rPr>
              <w:t>$135,000</w:t>
            </w:r>
          </w:p>
        </w:tc>
        <w:tc>
          <w:tcPr>
            <w:tcW w:w="15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$175,000</w:t>
            </w:r>
          </w:p>
        </w:tc>
      </w:tr>
      <w:tr>
        <w:trPr>
          <w:trHeight w:val="194"/>
        </w:trPr>
        <w:tc>
          <w:tcPr>
            <w:tcW w:w="2320" w:type="dxa"/>
            <w:vAlign w:val="bottom"/>
          </w:tcPr>
          <w:p>
            <w:pPr>
              <w:ind w:left="20"/>
              <w:spacing w:after="0"/>
              <w:rPr>
                <w:sz w:val="20"/>
                <w:szCs w:val="20"/>
                <w:color w:val="auto"/>
              </w:rPr>
            </w:pPr>
            <w:r>
              <w:rPr>
                <w:rFonts w:ascii="Verdana" w:cs="Verdana" w:eastAsia="Verdana" w:hAnsi="Verdana"/>
                <w:sz w:val="13"/>
                <w:szCs w:val="13"/>
                <w:color w:val="auto"/>
              </w:rPr>
              <w:t>Additional Position Amounts:</w:t>
            </w:r>
          </w:p>
        </w:tc>
        <w:tc>
          <w:tcPr>
            <w:tcW w:w="2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1"/>
        </w:trPr>
        <w:tc>
          <w:tcPr>
            <w:tcW w:w="2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Non-Executive Chair</w:t>
            </w:r>
          </w:p>
        </w:tc>
        <w:tc>
          <w:tcPr>
            <w:tcW w:w="2100" w:type="dxa"/>
            <w:vAlign w:val="bottom"/>
            <w:shd w:val="clear" w:color="auto" w:fill="D6E5F9"/>
          </w:tcPr>
          <w:p>
            <w:pPr>
              <w:jc w:val="center"/>
              <w:ind w:left="297"/>
              <w:spacing w:after="0"/>
              <w:rPr>
                <w:sz w:val="20"/>
                <w:szCs w:val="20"/>
                <w:color w:val="auto"/>
              </w:rPr>
            </w:pPr>
            <w:r>
              <w:rPr>
                <w:rFonts w:ascii="Verdana" w:cs="Verdana" w:eastAsia="Verdana" w:hAnsi="Verdana"/>
                <w:sz w:val="13"/>
                <w:szCs w:val="13"/>
                <w:color w:val="auto"/>
                <w:w w:val="99"/>
              </w:rPr>
              <w:t>$80,000</w:t>
            </w:r>
          </w:p>
        </w:tc>
        <w:tc>
          <w:tcPr>
            <w:tcW w:w="15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$120,000</w:t>
            </w:r>
          </w:p>
        </w:tc>
      </w:tr>
      <w:tr>
        <w:trPr>
          <w:trHeight w:val="194"/>
        </w:trPr>
        <w:tc>
          <w:tcPr>
            <w:tcW w:w="2320" w:type="dxa"/>
            <w:vAlign w:val="bottom"/>
          </w:tcPr>
          <w:p>
            <w:pPr>
              <w:ind w:left="100"/>
              <w:spacing w:after="0"/>
              <w:rPr>
                <w:sz w:val="20"/>
                <w:szCs w:val="20"/>
                <w:color w:val="auto"/>
              </w:rPr>
            </w:pPr>
            <w:r>
              <w:rPr>
                <w:rFonts w:ascii="Verdana" w:cs="Verdana" w:eastAsia="Verdana" w:hAnsi="Verdana"/>
                <w:sz w:val="13"/>
                <w:szCs w:val="13"/>
                <w:color w:val="auto"/>
              </w:rPr>
              <w:t>Audit Committee Chair</w:t>
            </w:r>
          </w:p>
        </w:tc>
        <w:tc>
          <w:tcPr>
            <w:tcW w:w="2100" w:type="dxa"/>
            <w:vAlign w:val="bottom"/>
          </w:tcPr>
          <w:p>
            <w:pPr>
              <w:jc w:val="center"/>
              <w:ind w:left="297"/>
              <w:spacing w:after="0"/>
              <w:rPr>
                <w:sz w:val="20"/>
                <w:szCs w:val="20"/>
                <w:color w:val="auto"/>
              </w:rPr>
            </w:pPr>
            <w:r>
              <w:rPr>
                <w:rFonts w:ascii="Verdana" w:cs="Verdana" w:eastAsia="Verdana" w:hAnsi="Verdana"/>
                <w:sz w:val="13"/>
                <w:szCs w:val="13"/>
                <w:color w:val="auto"/>
                <w:w w:val="99"/>
              </w:rPr>
              <w:t>$30,000</w:t>
            </w:r>
          </w:p>
        </w:tc>
        <w:tc>
          <w:tcPr>
            <w:tcW w:w="1580" w:type="dxa"/>
            <w:vAlign w:val="bottom"/>
          </w:tcPr>
          <w:p>
            <w:pPr>
              <w:spacing w:after="0"/>
              <w:rPr>
                <w:sz w:val="16"/>
                <w:szCs w:val="16"/>
                <w:color w:val="auto"/>
              </w:rPr>
            </w:pPr>
          </w:p>
        </w:tc>
      </w:tr>
      <w:tr>
        <w:trPr>
          <w:trHeight w:val="211"/>
        </w:trPr>
        <w:tc>
          <w:tcPr>
            <w:tcW w:w="2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G&amp;S Committee Chair</w:t>
            </w:r>
          </w:p>
        </w:tc>
        <w:tc>
          <w:tcPr>
            <w:tcW w:w="2100" w:type="dxa"/>
            <w:vAlign w:val="bottom"/>
            <w:shd w:val="clear" w:color="auto" w:fill="D6E5F9"/>
          </w:tcPr>
          <w:p>
            <w:pPr>
              <w:jc w:val="center"/>
              <w:ind w:left="297"/>
              <w:spacing w:after="0"/>
              <w:rPr>
                <w:sz w:val="20"/>
                <w:szCs w:val="20"/>
                <w:color w:val="auto"/>
              </w:rPr>
            </w:pPr>
            <w:r>
              <w:rPr>
                <w:rFonts w:ascii="Verdana" w:cs="Verdana" w:eastAsia="Verdana" w:hAnsi="Verdana"/>
                <w:sz w:val="13"/>
                <w:szCs w:val="13"/>
                <w:color w:val="auto"/>
                <w:w w:val="99"/>
              </w:rPr>
              <w:t>$25,000</w:t>
            </w:r>
          </w:p>
        </w:tc>
        <w:tc>
          <w:tcPr>
            <w:tcW w:w="1580" w:type="dxa"/>
            <w:vAlign w:val="bottom"/>
            <w:shd w:val="clear" w:color="auto" w:fill="D6E5F9"/>
          </w:tcPr>
          <w:p>
            <w:pPr>
              <w:spacing w:after="0"/>
              <w:rPr>
                <w:sz w:val="18"/>
                <w:szCs w:val="18"/>
                <w:color w:val="auto"/>
              </w:rPr>
            </w:pPr>
          </w:p>
        </w:tc>
      </w:tr>
      <w:tr>
        <w:trPr>
          <w:trHeight w:val="194"/>
        </w:trPr>
        <w:tc>
          <w:tcPr>
            <w:tcW w:w="2320" w:type="dxa"/>
            <w:vAlign w:val="bottom"/>
          </w:tcPr>
          <w:p>
            <w:pPr>
              <w:ind w:left="100"/>
              <w:spacing w:after="0"/>
              <w:rPr>
                <w:sz w:val="20"/>
                <w:szCs w:val="20"/>
                <w:color w:val="auto"/>
              </w:rPr>
            </w:pPr>
            <w:r>
              <w:rPr>
                <w:rFonts w:ascii="Verdana" w:cs="Verdana" w:eastAsia="Verdana" w:hAnsi="Verdana"/>
                <w:sz w:val="13"/>
                <w:szCs w:val="13"/>
                <w:color w:val="auto"/>
              </w:rPr>
              <w:t>P&amp;C Committee Chair</w:t>
            </w:r>
          </w:p>
        </w:tc>
        <w:tc>
          <w:tcPr>
            <w:tcW w:w="2100" w:type="dxa"/>
            <w:vAlign w:val="bottom"/>
          </w:tcPr>
          <w:p>
            <w:pPr>
              <w:jc w:val="center"/>
              <w:ind w:left="297"/>
              <w:spacing w:after="0"/>
              <w:rPr>
                <w:sz w:val="20"/>
                <w:szCs w:val="20"/>
                <w:color w:val="auto"/>
              </w:rPr>
            </w:pPr>
            <w:r>
              <w:rPr>
                <w:rFonts w:ascii="Verdana" w:cs="Verdana" w:eastAsia="Verdana" w:hAnsi="Verdana"/>
                <w:sz w:val="13"/>
                <w:szCs w:val="13"/>
                <w:color w:val="auto"/>
                <w:w w:val="99"/>
              </w:rPr>
              <w:t>$25,000</w:t>
            </w:r>
          </w:p>
        </w:tc>
        <w:tc>
          <w:tcPr>
            <w:tcW w:w="1580" w:type="dxa"/>
            <w:vAlign w:val="bottom"/>
          </w:tcPr>
          <w:p>
            <w:pPr>
              <w:spacing w:after="0"/>
              <w:rPr>
                <w:sz w:val="16"/>
                <w:szCs w:val="16"/>
                <w:color w:val="auto"/>
              </w:rPr>
            </w:pPr>
          </w:p>
        </w:tc>
      </w:tr>
      <w:tr>
        <w:trPr>
          <w:trHeight w:val="211"/>
        </w:trPr>
        <w:tc>
          <w:tcPr>
            <w:tcW w:w="2320" w:type="dxa"/>
            <w:vAlign w:val="bottom"/>
            <w:tcBorders>
              <w:bottom w:val="single" w:sz="8" w:color="696158"/>
            </w:tcBorders>
            <w:shd w:val="clear" w:color="auto" w:fill="D6E5F9"/>
          </w:tcPr>
          <w:p>
            <w:pPr>
              <w:ind w:left="100"/>
              <w:spacing w:after="0"/>
              <w:rPr>
                <w:sz w:val="20"/>
                <w:szCs w:val="20"/>
                <w:color w:val="auto"/>
              </w:rPr>
            </w:pPr>
            <w:r>
              <w:rPr>
                <w:rFonts w:ascii="Verdana" w:cs="Verdana" w:eastAsia="Verdana" w:hAnsi="Verdana"/>
                <w:sz w:val="13"/>
                <w:szCs w:val="13"/>
                <w:color w:val="auto"/>
              </w:rPr>
              <w:t>Presiding Director</w:t>
            </w:r>
            <w:r>
              <w:rPr>
                <w:rFonts w:ascii="Verdana" w:cs="Verdana" w:eastAsia="Verdana" w:hAnsi="Verdana"/>
                <w:sz w:val="16"/>
                <w:szCs w:val="16"/>
                <w:color w:val="auto"/>
                <w:vertAlign w:val="superscript"/>
              </w:rPr>
              <w:t>(1)</w:t>
            </w:r>
          </w:p>
        </w:tc>
        <w:tc>
          <w:tcPr>
            <w:tcW w:w="2100" w:type="dxa"/>
            <w:vAlign w:val="bottom"/>
            <w:tcBorders>
              <w:bottom w:val="single" w:sz="8" w:color="696158"/>
            </w:tcBorders>
            <w:shd w:val="clear" w:color="auto" w:fill="D6E5F9"/>
          </w:tcPr>
          <w:p>
            <w:pPr>
              <w:jc w:val="center"/>
              <w:ind w:left="297"/>
              <w:spacing w:after="0"/>
              <w:rPr>
                <w:sz w:val="20"/>
                <w:szCs w:val="20"/>
                <w:color w:val="auto"/>
              </w:rPr>
            </w:pPr>
            <w:r>
              <w:rPr>
                <w:rFonts w:ascii="Verdana" w:cs="Verdana" w:eastAsia="Verdana" w:hAnsi="Verdana"/>
                <w:sz w:val="13"/>
                <w:szCs w:val="13"/>
                <w:color w:val="auto"/>
                <w:w w:val="99"/>
              </w:rPr>
              <w:t>$10,000</w:t>
            </w:r>
          </w:p>
        </w:tc>
        <w:tc>
          <w:tcPr>
            <w:tcW w:w="1580" w:type="dxa"/>
            <w:vAlign w:val="bottom"/>
            <w:tcBorders>
              <w:bottom w:val="single" w:sz="8" w:color="696158"/>
            </w:tcBorders>
            <w:shd w:val="clear" w:color="auto" w:fill="D6E5F9"/>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Verdana" w:cs="Verdana" w:eastAsia="Verdana" w:hAnsi="Verdana"/>
          <w:sz w:val="14"/>
          <w:szCs w:val="14"/>
          <w:color w:val="auto"/>
        </w:rPr>
        <w:t>(1) Because we have an independent Non-Executive Chair, we do not have a Presiding Director.</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General</w:t>
      </w:r>
    </w:p>
    <w:p>
      <w:pPr>
        <w:spacing w:after="0" w:line="123" w:lineRule="exact"/>
        <w:rPr>
          <w:sz w:val="20"/>
          <w:szCs w:val="20"/>
          <w:color w:val="auto"/>
        </w:rPr>
      </w:pPr>
    </w:p>
    <w:p>
      <w:pPr>
        <w:ind w:right="660"/>
        <w:spacing w:after="0" w:line="270" w:lineRule="auto"/>
        <w:rPr>
          <w:sz w:val="20"/>
          <w:szCs w:val="20"/>
          <w:color w:val="auto"/>
        </w:rPr>
      </w:pPr>
      <w:r>
        <w:rPr>
          <w:rFonts w:ascii="Verdana" w:cs="Verdana" w:eastAsia="Verdana" w:hAnsi="Verdana"/>
          <w:sz w:val="16"/>
          <w:szCs w:val="16"/>
          <w:color w:val="auto"/>
        </w:rPr>
        <w:t>Directors who are also our employees receive no compensation for their services as directors, except reimbursement of expenses incurred in attending meetings of our Board or its committees.</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Annual Cash Retainer</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annual cash retainer for each non-employee director is paid in advance in equal installments on the last business day of the month.</w:t>
      </w:r>
    </w:p>
    <w:p>
      <w:pPr>
        <w:spacing w:after="0" w:line="116" w:lineRule="exact"/>
        <w:rPr>
          <w:sz w:val="20"/>
          <w:szCs w:val="20"/>
          <w:color w:val="auto"/>
        </w:rPr>
      </w:pPr>
    </w:p>
    <w:p>
      <w:pPr>
        <w:ind w:right="560"/>
        <w:spacing w:after="0" w:line="253" w:lineRule="auto"/>
        <w:rPr>
          <w:sz w:val="20"/>
          <w:szCs w:val="20"/>
          <w:color w:val="auto"/>
        </w:rPr>
      </w:pPr>
      <w:r>
        <w:rPr>
          <w:rFonts w:ascii="Verdana" w:cs="Verdana" w:eastAsia="Verdana" w:hAnsi="Verdana"/>
          <w:sz w:val="16"/>
          <w:szCs w:val="16"/>
          <w:color w:val="auto"/>
        </w:rPr>
        <w:t>Non-employee directors generally do not receive Board or Board committee meeting fees; however, each non-employee director is eligible to receive $1,500 for each Board meeting in excess of twelve that he or she attends in a calendar year.</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Annual RSU Award</w:t>
      </w:r>
    </w:p>
    <w:p>
      <w:pPr>
        <w:spacing w:after="0" w:line="137" w:lineRule="exact"/>
        <w:rPr>
          <w:sz w:val="20"/>
          <w:szCs w:val="20"/>
          <w:color w:val="auto"/>
        </w:rPr>
      </w:pPr>
    </w:p>
    <w:p>
      <w:pPr>
        <w:ind w:right="500"/>
        <w:spacing w:after="0" w:line="241" w:lineRule="auto"/>
        <w:rPr>
          <w:sz w:val="20"/>
          <w:szCs w:val="20"/>
          <w:color w:val="auto"/>
        </w:rPr>
      </w:pPr>
      <w:r>
        <w:rPr>
          <w:rFonts w:ascii="Verdana" w:cs="Verdana" w:eastAsia="Verdana" w:hAnsi="Verdana"/>
          <w:sz w:val="16"/>
          <w:szCs w:val="16"/>
          <w:color w:val="auto"/>
        </w:rPr>
        <w:t>Each non-employee director is granted RSUs on the date of the annual meeting of shareholders at which a director is elected or re-elected to serve on the Board. Non-employee directors receive RSUs with a grant date value of approximately $175,000 (with an</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additional $120,000 granted to the Non-Executive Chair). The RSU awards vest on the earlier of the first anniversary of the grant date and the date of the next annual meeting of shareholders that is at least 50 weeks following the immediately preceding year’s annual meeting, subject to forfeiture in the event that a director’s service on the Board ceases for any reason prior to the vesting date. If a non-</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employee director joins the Board other than on the date of the annual meeting, a pro-rated RSU award is granted.</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Deferrals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A non-employee director may elect to defer receipt of all or a portion of the annual retainer and any meeting fees. To the extent that any</w:t>
      </w:r>
    </w:p>
    <w:p>
      <w:pPr>
        <w:spacing w:after="0" w:line="8"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such cash payments are deferred, they are credited to a notional account and bear interest at an annual rate equal to the prime rate (as defined in the Outside Directors Compensation Plan). Non-employee directors may also elect to defer all or a portion of the annual RSU</w:t>
      </w:r>
    </w:p>
    <w:p>
      <w:pPr>
        <w:spacing w:after="0" w:line="1"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grant into a stock account where, subject to and following satisfaction of the applicable vesting requirements, notional stock units are credited until distribution in the form of shares of common stock at pre-selected 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29</w:t>
            </w:r>
          </w:p>
        </w:tc>
      </w:tr>
      <w:tr>
        <w:trPr>
          <w:trHeight w:val="318"/>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Verdana" w:cs="Verdana" w:eastAsia="Verdana" w:hAnsi="Verdana"/>
          <w:sz w:val="16"/>
          <w:szCs w:val="16"/>
          <w:color w:val="auto"/>
        </w:rPr>
        <w:t>In general, and subject to Section 409A of the Internal Revenue Code, amounts deferred are paid upon the earliest of:</w:t>
      </w:r>
    </w:p>
    <w:p>
      <w:pPr>
        <w:spacing w:after="0" w:line="103" w:lineRule="exact"/>
        <w:rPr>
          <w:sz w:val="20"/>
          <w:szCs w:val="20"/>
          <w:color w:val="auto"/>
        </w:rPr>
      </w:pPr>
    </w:p>
    <w:p>
      <w:pPr>
        <w:ind w:left="160" w:hanging="152"/>
        <w:spacing w:after="0"/>
        <w:tabs>
          <w:tab w:leader="none" w:pos="160" w:val="left"/>
        </w:tabs>
        <w:numPr>
          <w:ilvl w:val="0"/>
          <w:numId w:val="43"/>
        </w:numPr>
        <w:rPr>
          <w:rFonts w:ascii="Verdana" w:cs="Verdana" w:eastAsia="Verdana" w:hAnsi="Verdana"/>
          <w:sz w:val="16"/>
          <w:szCs w:val="16"/>
          <w:color w:val="auto"/>
        </w:rPr>
      </w:pPr>
      <w:r>
        <w:rPr>
          <w:rFonts w:ascii="Verdana" w:cs="Verdana" w:eastAsia="Verdana" w:hAnsi="Verdana"/>
          <w:sz w:val="16"/>
          <w:szCs w:val="16"/>
          <w:color w:val="auto"/>
        </w:rPr>
        <w:t>the date selected by such director;</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43"/>
        </w:numPr>
        <w:rPr>
          <w:rFonts w:ascii="Verdana" w:cs="Verdana" w:eastAsia="Verdana" w:hAnsi="Verdana"/>
          <w:sz w:val="16"/>
          <w:szCs w:val="16"/>
          <w:color w:val="auto"/>
        </w:rPr>
      </w:pPr>
      <w:r>
        <w:rPr>
          <w:rFonts w:ascii="Verdana" w:cs="Verdana" w:eastAsia="Verdana" w:hAnsi="Verdana"/>
          <w:sz w:val="16"/>
          <w:szCs w:val="16"/>
          <w:color w:val="auto"/>
        </w:rPr>
        <w:t>the date the director ceases to be a director; or</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43"/>
        </w:numPr>
        <w:rPr>
          <w:rFonts w:ascii="Verdana" w:cs="Verdana" w:eastAsia="Verdana" w:hAnsi="Verdana"/>
          <w:sz w:val="16"/>
          <w:szCs w:val="16"/>
          <w:color w:val="auto"/>
        </w:rPr>
      </w:pPr>
      <w:r>
        <w:rPr>
          <w:rFonts w:ascii="Verdana" w:cs="Verdana" w:eastAsia="Verdana" w:hAnsi="Verdana"/>
          <w:sz w:val="16"/>
          <w:szCs w:val="16"/>
          <w:color w:val="auto"/>
        </w:rPr>
        <w:t>the date of a change in control (as defined in the Outside Directors Compensation Plan).</w:t>
      </w:r>
    </w:p>
    <w:p>
      <w:pPr>
        <w:spacing w:after="0" w:line="116"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Cash amounts that are deferred are paid in cash in a lump sum payment or installments in accordance with the director’s election. RSUs that are deferred are paid in shares of common stock in a lump sum or installments in accordance with the director’s election.</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2024 Director Compensation Table</w:t>
      </w:r>
    </w:p>
    <w:p>
      <w:pPr>
        <w:spacing w:after="0" w:line="137" w:lineRule="exact"/>
        <w:rPr>
          <w:sz w:val="20"/>
          <w:szCs w:val="20"/>
          <w:color w:val="auto"/>
        </w:rPr>
      </w:pPr>
    </w:p>
    <w:p>
      <w:pPr>
        <w:ind w:right="260"/>
        <w:spacing w:after="0" w:line="243" w:lineRule="auto"/>
        <w:rPr>
          <w:sz w:val="20"/>
          <w:szCs w:val="20"/>
          <w:color w:val="auto"/>
        </w:rPr>
      </w:pPr>
      <w:r>
        <w:rPr>
          <w:rFonts w:ascii="Verdana" w:cs="Verdana" w:eastAsia="Verdana" w:hAnsi="Verdana"/>
          <w:sz w:val="16"/>
          <w:szCs w:val="16"/>
          <w:color w:val="auto"/>
        </w:rPr>
        <w:t>The following table provides information on the compensation paid to our non-employee directors for 2024. Mr. Scott, who is also an employee, receives no additional compensation for his services as a director. Mr. Blissett does not appear below because he joined the Board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04888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48885" cy="137160"/>
                    </a:xfrm>
                    <a:prstGeom prst="rect">
                      <a:avLst/>
                    </a:prstGeom>
                    <a:noFill/>
                  </pic:spPr>
                </pic:pic>
              </a:graphicData>
            </a:graphic>
          </wp:anchor>
        </w:drawing>
      </w:r>
    </w:p>
    <w:p>
      <w:pPr>
        <w:spacing w:after="0" w:line="155" w:lineRule="exact"/>
        <w:rPr>
          <w:sz w:val="20"/>
          <w:szCs w:val="20"/>
          <w:color w:val="auto"/>
        </w:rPr>
      </w:pPr>
    </w:p>
    <w:p>
      <w:pPr>
        <w:ind w:left="2980"/>
        <w:spacing w:after="0"/>
        <w:rPr>
          <w:sz w:val="20"/>
          <w:szCs w:val="20"/>
          <w:color w:val="auto"/>
        </w:rPr>
      </w:pPr>
      <w:r>
        <w:rPr>
          <w:rFonts w:ascii="Verdana" w:cs="Verdana" w:eastAsia="Verdana" w:hAnsi="Verdana"/>
          <w:sz w:val="13"/>
          <w:szCs w:val="13"/>
          <w:b w:val="1"/>
          <w:bCs w:val="1"/>
          <w:color w:val="FFFFFF"/>
        </w:rPr>
        <w:t>2024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488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80" w:type="dxa"/>
            <w:vAlign w:val="bottom"/>
          </w:tcPr>
          <w:p>
            <w:pPr>
              <w:spacing w:after="0"/>
              <w:rPr>
                <w:sz w:val="14"/>
                <w:szCs w:val="14"/>
                <w:color w:val="auto"/>
              </w:rPr>
            </w:pPr>
          </w:p>
        </w:tc>
        <w:tc>
          <w:tcPr>
            <w:tcW w:w="2380" w:type="dxa"/>
            <w:vAlign w:val="bottom"/>
          </w:tcPr>
          <w:p>
            <w:pPr>
              <w:jc w:val="center"/>
              <w:ind w:left="437"/>
              <w:spacing w:after="0"/>
              <w:rPr>
                <w:sz w:val="20"/>
                <w:szCs w:val="20"/>
                <w:color w:val="auto"/>
              </w:rPr>
            </w:pPr>
            <w:r>
              <w:rPr>
                <w:rFonts w:ascii="Verdana" w:cs="Verdana" w:eastAsia="Verdana" w:hAnsi="Verdana"/>
                <w:sz w:val="13"/>
                <w:szCs w:val="13"/>
                <w:b w:val="1"/>
                <w:bCs w:val="1"/>
                <w:color w:val="307FE2"/>
                <w:w w:val="96"/>
              </w:rPr>
              <w:t>Fees Earned or Paid</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5"/>
        </w:trPr>
        <w:tc>
          <w:tcPr>
            <w:tcW w:w="2180" w:type="dxa"/>
            <w:vAlign w:val="bottom"/>
            <w:tcBorders>
              <w:bottom w:val="single" w:sz="8" w:color="696158"/>
            </w:tcBorders>
          </w:tcPr>
          <w:p>
            <w:pPr>
              <w:ind w:left="100"/>
              <w:spacing w:after="0"/>
              <w:rPr>
                <w:sz w:val="20"/>
                <w:szCs w:val="20"/>
                <w:color w:val="auto"/>
              </w:rPr>
            </w:pPr>
            <w:r>
              <w:rPr>
                <w:rFonts w:ascii="Verdana" w:cs="Verdana" w:eastAsia="Verdana" w:hAnsi="Verdana"/>
                <w:sz w:val="13"/>
                <w:szCs w:val="13"/>
                <w:b w:val="1"/>
                <w:bCs w:val="1"/>
                <w:color w:val="307FE2"/>
              </w:rPr>
              <w:t>Name</w:t>
            </w:r>
          </w:p>
        </w:tc>
        <w:tc>
          <w:tcPr>
            <w:tcW w:w="2380" w:type="dxa"/>
            <w:vAlign w:val="bottom"/>
            <w:tcBorders>
              <w:bottom w:val="single" w:sz="8" w:color="696158"/>
            </w:tcBorders>
          </w:tcPr>
          <w:p>
            <w:pPr>
              <w:jc w:val="center"/>
              <w:ind w:left="457"/>
              <w:spacing w:after="0"/>
              <w:rPr>
                <w:sz w:val="20"/>
                <w:szCs w:val="20"/>
                <w:color w:val="auto"/>
              </w:rPr>
            </w:pPr>
            <w:r>
              <w:rPr>
                <w:rFonts w:ascii="Verdana" w:cs="Verdana" w:eastAsia="Verdana" w:hAnsi="Verdana"/>
                <w:sz w:val="13"/>
                <w:szCs w:val="13"/>
                <w:b w:val="1"/>
                <w:bCs w:val="1"/>
                <w:color w:val="307FE2"/>
                <w:w w:val="91"/>
              </w:rPr>
              <w:t>in Cash</w:t>
            </w:r>
            <w:r>
              <w:rPr>
                <w:rFonts w:ascii="Verdana" w:cs="Verdana" w:eastAsia="Verdana" w:hAnsi="Verdana"/>
                <w:sz w:val="16"/>
                <w:szCs w:val="16"/>
                <w:b w:val="1"/>
                <w:bCs w:val="1"/>
                <w:color w:val="307FE2"/>
                <w:w w:val="91"/>
                <w:vertAlign w:val="superscript"/>
              </w:rPr>
              <w:t>(1)</w:t>
            </w:r>
          </w:p>
        </w:tc>
        <w:tc>
          <w:tcPr>
            <w:tcW w:w="1780" w:type="dxa"/>
            <w:vAlign w:val="bottom"/>
            <w:tcBorders>
              <w:bottom w:val="single" w:sz="8" w:color="696158"/>
            </w:tcBorders>
          </w:tcPr>
          <w:p>
            <w:pPr>
              <w:jc w:val="center"/>
              <w:ind w:right="117"/>
              <w:spacing w:after="0"/>
              <w:rPr>
                <w:sz w:val="20"/>
                <w:szCs w:val="20"/>
                <w:color w:val="auto"/>
              </w:rPr>
            </w:pPr>
            <w:r>
              <w:rPr>
                <w:rFonts w:ascii="Verdana" w:cs="Verdana" w:eastAsia="Verdana" w:hAnsi="Verdana"/>
                <w:sz w:val="13"/>
                <w:szCs w:val="13"/>
                <w:b w:val="1"/>
                <w:bCs w:val="1"/>
                <w:color w:val="307FE2"/>
                <w:w w:val="94"/>
              </w:rPr>
              <w:t>Stock Awards</w:t>
            </w:r>
            <w:r>
              <w:rPr>
                <w:rFonts w:ascii="Verdana" w:cs="Verdana" w:eastAsia="Verdana" w:hAnsi="Verdana"/>
                <w:sz w:val="16"/>
                <w:szCs w:val="16"/>
                <w:b w:val="1"/>
                <w:bCs w:val="1"/>
                <w:color w:val="307FE2"/>
                <w:w w:val="94"/>
                <w:vertAlign w:val="superscript"/>
              </w:rPr>
              <w:t>(3)</w:t>
            </w:r>
          </w:p>
        </w:tc>
        <w:tc>
          <w:tcPr>
            <w:tcW w:w="1620" w:type="dxa"/>
            <w:vAlign w:val="bottom"/>
            <w:tcBorders>
              <w:bottom w:val="single" w:sz="8" w:color="696158"/>
            </w:tcBorders>
          </w:tcPr>
          <w:p>
            <w:pPr>
              <w:jc w:val="center"/>
              <w:ind w:right="57"/>
              <w:spacing w:after="0"/>
              <w:rPr>
                <w:sz w:val="20"/>
                <w:szCs w:val="20"/>
                <w:color w:val="auto"/>
              </w:rPr>
            </w:pPr>
            <w:r>
              <w:rPr>
                <w:rFonts w:ascii="Verdana" w:cs="Verdana" w:eastAsia="Verdana" w:hAnsi="Verdana"/>
                <w:sz w:val="13"/>
                <w:szCs w:val="13"/>
                <w:b w:val="1"/>
                <w:bCs w:val="1"/>
                <w:color w:val="307FE2"/>
                <w:w w:val="91"/>
              </w:rPr>
              <w:t>Total</w:t>
            </w:r>
          </w:p>
        </w:tc>
      </w:tr>
      <w:tr>
        <w:trPr>
          <w:trHeight w:val="196"/>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Mei-Wei Cheng</w:t>
            </w:r>
            <w:r>
              <w:rPr>
                <w:rFonts w:ascii="Verdana" w:cs="Verdana" w:eastAsia="Verdana" w:hAnsi="Verdana"/>
                <w:sz w:val="16"/>
                <w:szCs w:val="16"/>
                <w:color w:val="auto"/>
                <w:vertAlign w:val="superscript"/>
              </w:rPr>
              <w:t>(2)</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$128,333</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$303,226</w:t>
            </w:r>
          </w:p>
        </w:tc>
      </w:tr>
      <w:tr>
        <w:trPr>
          <w:trHeight w:val="195"/>
        </w:trPr>
        <w:tc>
          <w:tcPr>
            <w:tcW w:w="2180" w:type="dxa"/>
            <w:vAlign w:val="bottom"/>
          </w:tcPr>
          <w:p>
            <w:pPr>
              <w:ind w:left="100"/>
              <w:spacing w:after="0"/>
              <w:rPr>
                <w:sz w:val="20"/>
                <w:szCs w:val="20"/>
                <w:color w:val="auto"/>
              </w:rPr>
            </w:pPr>
            <w:r>
              <w:rPr>
                <w:rFonts w:ascii="Verdana" w:cs="Verdana" w:eastAsia="Verdana" w:hAnsi="Verdana"/>
                <w:sz w:val="13"/>
                <w:szCs w:val="13"/>
                <w:color w:val="auto"/>
              </w:rPr>
              <w:t>Jonathan F. Foster</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$152,500</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$327,393</w:t>
            </w:r>
          </w:p>
        </w:tc>
      </w:tr>
      <w:tr>
        <w:trPr>
          <w:trHeight w:val="210"/>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Bradley M. Halverson</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$133,333</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$308,226</w:t>
            </w:r>
          </w:p>
        </w:tc>
      </w:tr>
      <w:tr>
        <w:trPr>
          <w:trHeight w:val="195"/>
        </w:trPr>
        <w:tc>
          <w:tcPr>
            <w:tcW w:w="2180" w:type="dxa"/>
            <w:vAlign w:val="bottom"/>
          </w:tcPr>
          <w:p>
            <w:pPr>
              <w:ind w:left="100"/>
              <w:spacing w:after="0"/>
              <w:rPr>
                <w:sz w:val="20"/>
                <w:szCs w:val="20"/>
                <w:color w:val="auto"/>
              </w:rPr>
            </w:pPr>
            <w:r>
              <w:rPr>
                <w:rFonts w:ascii="Verdana" w:cs="Verdana" w:eastAsia="Verdana" w:hAnsi="Verdana"/>
                <w:sz w:val="13"/>
                <w:szCs w:val="13"/>
                <w:color w:val="auto"/>
              </w:rPr>
              <w:t>Mary Lou Jepsen</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$128,333</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$303,226</w:t>
            </w:r>
          </w:p>
        </w:tc>
      </w:tr>
      <w:tr>
        <w:trPr>
          <w:trHeight w:val="210"/>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Roger A. Krone</w:t>
            </w:r>
            <w:r>
              <w:rPr>
                <w:rFonts w:ascii="Verdana" w:cs="Verdana" w:eastAsia="Verdana" w:hAnsi="Verdana"/>
                <w:sz w:val="16"/>
                <w:szCs w:val="16"/>
                <w:color w:val="auto"/>
                <w:vertAlign w:val="superscript"/>
              </w:rPr>
              <w:t>(2)</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$128,333</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$303,226</w:t>
            </w:r>
          </w:p>
        </w:tc>
      </w:tr>
      <w:tr>
        <w:trPr>
          <w:trHeight w:val="203"/>
        </w:trPr>
        <w:tc>
          <w:tcPr>
            <w:tcW w:w="2180" w:type="dxa"/>
            <w:vAlign w:val="bottom"/>
          </w:tcPr>
          <w:p>
            <w:pPr>
              <w:ind w:left="100"/>
              <w:spacing w:after="0"/>
              <w:rPr>
                <w:sz w:val="20"/>
                <w:szCs w:val="20"/>
                <w:color w:val="auto"/>
              </w:rPr>
            </w:pPr>
            <w:r>
              <w:rPr>
                <w:rFonts w:ascii="Verdana" w:cs="Verdana" w:eastAsia="Verdana" w:hAnsi="Verdana"/>
                <w:sz w:val="13"/>
                <w:szCs w:val="13"/>
                <w:color w:val="auto"/>
              </w:rPr>
              <w:t xml:space="preserve">Rod A. Lache </w:t>
            </w:r>
            <w:r>
              <w:rPr>
                <w:rFonts w:ascii="Verdana" w:cs="Verdana" w:eastAsia="Verdana" w:hAnsi="Verdana"/>
                <w:sz w:val="16"/>
                <w:szCs w:val="16"/>
                <w:color w:val="auto"/>
                <w:vertAlign w:val="superscript"/>
              </w:rPr>
              <w:t>(4)</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$56,250</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$131,200</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$187,450</w:t>
            </w:r>
          </w:p>
        </w:tc>
      </w:tr>
      <w:tr>
        <w:trPr>
          <w:trHeight w:val="203"/>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Patricia L. Lewis</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$145,000</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$319,893</w:t>
            </w:r>
          </w:p>
        </w:tc>
      </w:tr>
      <w:tr>
        <w:trPr>
          <w:trHeight w:val="195"/>
        </w:trPr>
        <w:tc>
          <w:tcPr>
            <w:tcW w:w="2180" w:type="dxa"/>
            <w:vAlign w:val="bottom"/>
          </w:tcPr>
          <w:p>
            <w:pPr>
              <w:ind w:left="100"/>
              <w:spacing w:after="0"/>
              <w:rPr>
                <w:sz w:val="20"/>
                <w:szCs w:val="20"/>
                <w:color w:val="auto"/>
              </w:rPr>
            </w:pPr>
            <w:r>
              <w:rPr>
                <w:rFonts w:ascii="Verdana" w:cs="Verdana" w:eastAsia="Verdana" w:hAnsi="Verdana"/>
                <w:sz w:val="13"/>
                <w:szCs w:val="13"/>
                <w:color w:val="auto"/>
              </w:rPr>
              <w:t>Kathleen A. Ligocki</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$137,083</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$311,976</w:t>
            </w:r>
          </w:p>
        </w:tc>
      </w:tr>
      <w:tr>
        <w:trPr>
          <w:trHeight w:val="210"/>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Conrad L. Mallett, Jr.</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$150,000</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$174,893</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$324,893</w:t>
            </w:r>
          </w:p>
        </w:tc>
      </w:tr>
      <w:tr>
        <w:trPr>
          <w:trHeight w:val="196"/>
        </w:trPr>
        <w:tc>
          <w:tcPr>
            <w:tcW w:w="2180" w:type="dxa"/>
            <w:vAlign w:val="bottom"/>
            <w:tcBorders>
              <w:bottom w:val="single" w:sz="8" w:color="696158"/>
            </w:tcBorders>
          </w:tcPr>
          <w:p>
            <w:pPr>
              <w:ind w:left="100"/>
              <w:spacing w:after="0"/>
              <w:rPr>
                <w:sz w:val="20"/>
                <w:szCs w:val="20"/>
                <w:color w:val="auto"/>
              </w:rPr>
            </w:pPr>
            <w:r>
              <w:rPr>
                <w:rFonts w:ascii="Verdana" w:cs="Verdana" w:eastAsia="Verdana" w:hAnsi="Verdana"/>
                <w:sz w:val="13"/>
                <w:szCs w:val="13"/>
                <w:color w:val="auto"/>
              </w:rPr>
              <w:t>Greg C. Smith</w:t>
            </w:r>
          </w:p>
        </w:tc>
        <w:tc>
          <w:tcPr>
            <w:tcW w:w="2380" w:type="dxa"/>
            <w:vAlign w:val="bottom"/>
            <w:tcBorders>
              <w:bottom w:val="single" w:sz="8" w:color="696158"/>
            </w:tcBorders>
          </w:tcPr>
          <w:p>
            <w:pPr>
              <w:jc w:val="center"/>
              <w:ind w:left="437"/>
              <w:spacing w:after="0"/>
              <w:rPr>
                <w:sz w:val="20"/>
                <w:szCs w:val="20"/>
                <w:color w:val="auto"/>
              </w:rPr>
            </w:pPr>
            <w:r>
              <w:rPr>
                <w:rFonts w:ascii="Verdana" w:cs="Verdana" w:eastAsia="Verdana" w:hAnsi="Verdana"/>
                <w:sz w:val="13"/>
                <w:szCs w:val="13"/>
                <w:color w:val="auto"/>
                <w:w w:val="95"/>
              </w:rPr>
              <w:t>$208,333</w:t>
            </w:r>
          </w:p>
        </w:tc>
        <w:tc>
          <w:tcPr>
            <w:tcW w:w="1780" w:type="dxa"/>
            <w:vAlign w:val="bottom"/>
            <w:tcBorders>
              <w:bottom w:val="single" w:sz="8" w:color="696158"/>
            </w:tcBorders>
          </w:tcPr>
          <w:p>
            <w:pPr>
              <w:jc w:val="center"/>
              <w:ind w:right="117"/>
              <w:spacing w:after="0"/>
              <w:rPr>
                <w:sz w:val="20"/>
                <w:szCs w:val="20"/>
                <w:color w:val="auto"/>
              </w:rPr>
            </w:pPr>
            <w:r>
              <w:rPr>
                <w:rFonts w:ascii="Verdana" w:cs="Verdana" w:eastAsia="Verdana" w:hAnsi="Verdana"/>
                <w:sz w:val="13"/>
                <w:szCs w:val="13"/>
                <w:color w:val="auto"/>
                <w:w w:val="95"/>
              </w:rPr>
              <w:t>$294,977</w:t>
            </w:r>
          </w:p>
        </w:tc>
        <w:tc>
          <w:tcPr>
            <w:tcW w:w="1620" w:type="dxa"/>
            <w:vAlign w:val="bottom"/>
            <w:tcBorders>
              <w:bottom w:val="single" w:sz="8" w:color="696158"/>
            </w:tcBorders>
          </w:tcPr>
          <w:p>
            <w:pPr>
              <w:jc w:val="center"/>
              <w:ind w:right="57"/>
              <w:spacing w:after="0"/>
              <w:rPr>
                <w:sz w:val="20"/>
                <w:szCs w:val="20"/>
                <w:color w:val="auto"/>
              </w:rPr>
            </w:pPr>
            <w:r>
              <w:rPr>
                <w:rFonts w:ascii="Verdana" w:cs="Verdana" w:eastAsia="Verdana" w:hAnsi="Verdana"/>
                <w:sz w:val="13"/>
                <w:szCs w:val="13"/>
                <w:color w:val="auto"/>
                <w:w w:val="98"/>
              </w:rPr>
              <w:t>$503,310</w:t>
            </w:r>
          </w:p>
        </w:tc>
      </w:tr>
    </w:tbl>
    <w:p>
      <w:pPr>
        <w:spacing w:after="0" w:line="179" w:lineRule="exact"/>
        <w:rPr>
          <w:sz w:val="20"/>
          <w:szCs w:val="20"/>
          <w:color w:val="auto"/>
        </w:rPr>
      </w:pPr>
    </w:p>
    <w:p>
      <w:pPr>
        <w:ind w:left="320" w:hanging="312"/>
        <w:spacing w:after="0"/>
        <w:tabs>
          <w:tab w:leader="none" w:pos="320" w:val="left"/>
        </w:tabs>
        <w:numPr>
          <w:ilvl w:val="0"/>
          <w:numId w:val="44"/>
        </w:numPr>
        <w:rPr>
          <w:rFonts w:ascii="Verdana" w:cs="Verdana" w:eastAsia="Verdana" w:hAnsi="Verdana"/>
          <w:sz w:val="14"/>
          <w:szCs w:val="14"/>
          <w:color w:val="auto"/>
        </w:rPr>
      </w:pPr>
      <w:r>
        <w:rPr>
          <w:rFonts w:ascii="Verdana" w:cs="Verdana" w:eastAsia="Verdana" w:hAnsi="Verdana"/>
          <w:sz w:val="14"/>
          <w:szCs w:val="14"/>
          <w:color w:val="auto"/>
        </w:rPr>
        <w:t>Includes cash retainer and other fees earned for service as directors in 2024.</w:t>
      </w:r>
    </w:p>
    <w:p>
      <w:pPr>
        <w:spacing w:after="0" w:line="5" w:lineRule="exact"/>
        <w:rPr>
          <w:rFonts w:ascii="Verdana" w:cs="Verdana" w:eastAsia="Verdana" w:hAnsi="Verdana"/>
          <w:sz w:val="14"/>
          <w:szCs w:val="14"/>
          <w:color w:val="auto"/>
        </w:rPr>
      </w:pPr>
    </w:p>
    <w:p>
      <w:pPr>
        <w:ind w:left="320" w:hanging="312"/>
        <w:spacing w:after="0"/>
        <w:tabs>
          <w:tab w:leader="none" w:pos="320" w:val="left"/>
        </w:tabs>
        <w:numPr>
          <w:ilvl w:val="0"/>
          <w:numId w:val="44"/>
        </w:numPr>
        <w:rPr>
          <w:rFonts w:ascii="Verdana" w:cs="Verdana" w:eastAsia="Verdana" w:hAnsi="Verdana"/>
          <w:sz w:val="14"/>
          <w:szCs w:val="14"/>
          <w:color w:val="auto"/>
        </w:rPr>
      </w:pPr>
      <w:r>
        <w:rPr>
          <w:rFonts w:ascii="Verdana" w:cs="Verdana" w:eastAsia="Verdana" w:hAnsi="Verdana"/>
          <w:sz w:val="14"/>
          <w:szCs w:val="14"/>
          <w:color w:val="auto"/>
        </w:rPr>
        <w:t>Mr. Cheng elected to defer $128,333 and Mr. Krone elected to defer $9,583 of their 2024 cash retainers.</w:t>
      </w:r>
    </w:p>
    <w:p>
      <w:pPr>
        <w:spacing w:after="0" w:line="5" w:lineRule="exact"/>
        <w:rPr>
          <w:rFonts w:ascii="Verdana" w:cs="Verdana" w:eastAsia="Verdana" w:hAnsi="Verdana"/>
          <w:sz w:val="14"/>
          <w:szCs w:val="14"/>
          <w:color w:val="auto"/>
        </w:rPr>
      </w:pPr>
    </w:p>
    <w:p>
      <w:pPr>
        <w:ind w:left="340" w:hanging="332"/>
        <w:spacing w:after="0" w:line="243" w:lineRule="auto"/>
        <w:tabs>
          <w:tab w:leader="none" w:pos="332" w:val="left"/>
        </w:tabs>
        <w:numPr>
          <w:ilvl w:val="0"/>
          <w:numId w:val="44"/>
        </w:numPr>
        <w:rPr>
          <w:rFonts w:ascii="Verdana" w:cs="Verdana" w:eastAsia="Verdana" w:hAnsi="Verdana"/>
          <w:sz w:val="14"/>
          <w:szCs w:val="14"/>
          <w:color w:val="auto"/>
        </w:rPr>
      </w:pPr>
      <w:r>
        <w:rPr>
          <w:rFonts w:ascii="Verdana" w:cs="Verdana" w:eastAsia="Verdana" w:hAnsi="Verdana"/>
          <w:sz w:val="14"/>
          <w:szCs w:val="14"/>
          <w:color w:val="auto"/>
        </w:rPr>
        <w:t>As described in “Equity Compensation” below, on May 16, 2024, each of our non-employee directors who were members of the Board on the date of the 2024 annual meeting of shareholders received a RSU grant that vests on the earlier of the first anniversary of the grant date and the date of the next annual meeting of shareholders that is at least 50 weeks following the immediately preceding year’s annual meeting of shareholders, subject to each director’s continued service on the Board. The amounts reported in this column reflect the aggregate grant date fair value determined in accordance with Accounting Standards Codification (“ASC”) 718, “Compensation-Stock Compensation.” As of December 31, 2024, each of our non-employee directors who were members of the Board on such date held the following outstanding and unvested RSUs: Messrs. Cheng, Foster, Halverson, Krone and Mallett, along with Dr. Jepsen and Mses. Lewis and Ligocki – 1,337; Mr. Lache - 1,205; and Mr. Smith – 2,255. Mr. Cheng and Ms. Ligocki elected to defer 100% of their 2024 RSU grants; Mr. Mallett elected to defer 5% of his 2024 RSU grant (in each case, subject to vesting of the RSUs).</w:t>
      </w:r>
    </w:p>
    <w:p>
      <w:pPr>
        <w:spacing w:after="0" w:line="174" w:lineRule="exact"/>
        <w:rPr>
          <w:rFonts w:ascii="Verdana" w:cs="Verdana" w:eastAsia="Verdana" w:hAnsi="Verdana"/>
          <w:sz w:val="14"/>
          <w:szCs w:val="14"/>
          <w:color w:val="auto"/>
        </w:rPr>
      </w:pPr>
    </w:p>
    <w:p>
      <w:pPr>
        <w:ind w:left="320" w:hanging="312"/>
        <w:spacing w:after="0"/>
        <w:tabs>
          <w:tab w:leader="none" w:pos="320" w:val="left"/>
        </w:tabs>
        <w:numPr>
          <w:ilvl w:val="0"/>
          <w:numId w:val="44"/>
        </w:numPr>
        <w:rPr>
          <w:rFonts w:ascii="Verdana" w:cs="Verdana" w:eastAsia="Verdana" w:hAnsi="Verdana"/>
          <w:sz w:val="14"/>
          <w:szCs w:val="14"/>
          <w:color w:val="auto"/>
        </w:rPr>
      </w:pPr>
      <w:r>
        <w:rPr>
          <w:rFonts w:ascii="Verdana" w:cs="Verdana" w:eastAsia="Verdana" w:hAnsi="Verdana"/>
          <w:sz w:val="14"/>
          <w:szCs w:val="14"/>
          <w:color w:val="auto"/>
        </w:rPr>
        <w:t>Mr. Lache was appointed to the Board in August 2024 and received a pro-rated RSU grant.</w:t>
      </w:r>
    </w:p>
    <w:p>
      <w:pPr>
        <w:spacing w:after="0" w:line="200" w:lineRule="exact"/>
        <w:rPr>
          <w:sz w:val="20"/>
          <w:szCs w:val="20"/>
          <w:color w:val="auto"/>
        </w:rPr>
      </w:pPr>
    </w:p>
    <w:p>
      <w:pPr>
        <w:spacing w:after="0" w:line="260"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must hold</w:t>
      </w:r>
    </w:p>
    <w:p>
      <w:pPr>
        <w:spacing w:after="0" w:line="1" w:lineRule="exact"/>
        <w:rPr>
          <w:sz w:val="20"/>
          <w:szCs w:val="20"/>
          <w:color w:val="auto"/>
        </w:rPr>
      </w:pPr>
    </w:p>
    <w:p>
      <w:pPr>
        <w:ind w:right="560"/>
        <w:spacing w:after="0" w:line="241" w:lineRule="auto"/>
        <w:rPr>
          <w:sz w:val="20"/>
          <w:szCs w:val="20"/>
          <w:color w:val="auto"/>
        </w:rPr>
      </w:pPr>
      <w:r>
        <w:rPr>
          <w:rFonts w:ascii="Verdana" w:cs="Verdana" w:eastAsia="Verdana" w:hAnsi="Verdana"/>
          <w:sz w:val="16"/>
          <w:szCs w:val="16"/>
          <w:color w:val="auto"/>
        </w:rPr>
        <w:t>50% of the net shares from their annual stock grants received until they are in compliance with these guidelines. As of our latest measurement date (December 31, 2024), all of our non-employee directors who were directors on the measurement date met the</w:t>
      </w:r>
    </w:p>
    <w:p>
      <w:pPr>
        <w:spacing w:after="0" w:line="1"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required ownership level (other than Mr. Halverson, who joined the Board in June 2020, Mr. Krone and Ms. Lewis, who joined the Board in November 2020, and Mr. Lache, who joined the Board in August 2024, each of whom is in compliance with the 50% hold requirement). Mr. Blissett, who joined the Board in February 2025, will be reviewed for compliance with the ownership guidelines at the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end of 2025.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 w:hanging="534"/>
        <w:spacing w:after="0"/>
        <w:tabs>
          <w:tab w:leader="none" w:pos="560" w:val="left"/>
        </w:tabs>
        <w:numPr>
          <w:ilvl w:val="0"/>
          <w:numId w:val="45"/>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Security Ownership of Certain Beneficial Owners, Directors and Management</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The following table sets forth, as of March 18, 2025 (except as indicated below), beneficial ownership, as defined by SEC rules, of our</w:t>
      </w:r>
    </w:p>
    <w:p>
      <w:pPr>
        <w:spacing w:after="0" w:line="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common stock (including shares of common stock subject to stock options that are currently exercisable or exercisable within 60 days of March 18, 2025) and restricted stock units ("RSUs") held by the persons or groups specified. Each of the persons listed below has sole voting and investment power with respect to the beneficially owned shares listed unless otherwise indicated. The percentage calculations</w:t>
      </w:r>
    </w:p>
    <w:p>
      <w:pPr>
        <w:spacing w:after="0" w:line="2" w:lineRule="exact"/>
        <w:rPr>
          <w:sz w:val="20"/>
          <w:szCs w:val="20"/>
          <w:color w:val="auto"/>
        </w:rPr>
      </w:pPr>
    </w:p>
    <w:p>
      <w:pPr>
        <w:ind w:right="640"/>
        <w:spacing w:after="0" w:line="253" w:lineRule="auto"/>
        <w:rPr>
          <w:sz w:val="20"/>
          <w:szCs w:val="20"/>
          <w:color w:val="auto"/>
        </w:rPr>
      </w:pPr>
      <w:r>
        <w:rPr>
          <w:rFonts w:ascii="Verdana" w:cs="Verdana" w:eastAsia="Verdana" w:hAnsi="Verdana"/>
          <w:sz w:val="16"/>
          <w:szCs w:val="16"/>
          <w:color w:val="auto"/>
        </w:rPr>
        <w:t>set forth in the table are based on 53,540,555 shares of common stock outstanding on March 18, 2025, rather than based on the percentages set forth in shareholders’ Schedules 13G or 13D, as applicable, filed with the SEC.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20" w:type="dxa"/>
            <w:vAlign w:val="bottom"/>
          </w:tcPr>
          <w:p>
            <w:pPr>
              <w:spacing w:after="0"/>
              <w:rPr>
                <w:sz w:val="13"/>
                <w:szCs w:val="13"/>
                <w:color w:val="auto"/>
              </w:rPr>
            </w:pPr>
          </w:p>
        </w:tc>
        <w:tc>
          <w:tcPr>
            <w:tcW w:w="3640" w:type="dxa"/>
            <w:vAlign w:val="bottom"/>
            <w:gridSpan w:val="2"/>
          </w:tcPr>
          <w:p>
            <w:pPr>
              <w:ind w:left="980"/>
              <w:spacing w:after="0"/>
              <w:rPr>
                <w:sz w:val="20"/>
                <w:szCs w:val="20"/>
                <w:color w:val="auto"/>
              </w:rPr>
            </w:pPr>
            <w:r>
              <w:rPr>
                <w:rFonts w:ascii="Verdana" w:cs="Verdana" w:eastAsia="Verdana" w:hAnsi="Verdana"/>
                <w:sz w:val="13"/>
                <w:szCs w:val="13"/>
                <w:b w:val="1"/>
                <w:bCs w:val="1"/>
                <w:color w:val="307FE2"/>
              </w:rPr>
              <w:t>Number of Shares Percentage of</w:t>
            </w:r>
          </w:p>
        </w:tc>
        <w:tc>
          <w:tcPr>
            <w:tcW w:w="1340" w:type="dxa"/>
            <w:vAlign w:val="bottom"/>
          </w:tcPr>
          <w:p>
            <w:pPr>
              <w:spacing w:after="0"/>
              <w:rPr>
                <w:sz w:val="13"/>
                <w:szCs w:val="13"/>
                <w:color w:val="auto"/>
              </w:rPr>
            </w:pPr>
          </w:p>
        </w:tc>
      </w:tr>
      <w:tr>
        <w:trPr>
          <w:trHeight w:val="148"/>
        </w:trPr>
        <w:tc>
          <w:tcPr>
            <w:tcW w:w="5320" w:type="dxa"/>
            <w:vAlign w:val="bottom"/>
          </w:tcPr>
          <w:p>
            <w:pPr>
              <w:spacing w:after="0"/>
              <w:rPr>
                <w:sz w:val="12"/>
                <w:szCs w:val="12"/>
                <w:color w:val="auto"/>
              </w:rPr>
            </w:pPr>
          </w:p>
        </w:tc>
        <w:tc>
          <w:tcPr>
            <w:tcW w:w="2260" w:type="dxa"/>
            <w:vAlign w:val="bottom"/>
          </w:tcPr>
          <w:p>
            <w:pPr>
              <w:ind w:left="980"/>
              <w:spacing w:after="0" w:line="149" w:lineRule="exact"/>
              <w:rPr>
                <w:sz w:val="20"/>
                <w:szCs w:val="20"/>
                <w:color w:val="auto"/>
              </w:rPr>
            </w:pPr>
            <w:r>
              <w:rPr>
                <w:rFonts w:ascii="Verdana" w:cs="Verdana" w:eastAsia="Verdana" w:hAnsi="Verdana"/>
                <w:sz w:val="13"/>
                <w:szCs w:val="13"/>
                <w:b w:val="1"/>
                <w:bCs w:val="1"/>
                <w:color w:val="307FE2"/>
                <w:w w:val="98"/>
              </w:rPr>
              <w:t>of Common Stock</w:t>
            </w:r>
          </w:p>
        </w:tc>
        <w:tc>
          <w:tcPr>
            <w:tcW w:w="1380" w:type="dxa"/>
            <w:vAlign w:val="bottom"/>
          </w:tcPr>
          <w:p>
            <w:pPr>
              <w:ind w:left="40"/>
              <w:spacing w:after="0" w:line="149" w:lineRule="exact"/>
              <w:rPr>
                <w:sz w:val="20"/>
                <w:szCs w:val="20"/>
                <w:color w:val="auto"/>
              </w:rPr>
            </w:pPr>
            <w:r>
              <w:rPr>
                <w:rFonts w:ascii="Verdana" w:cs="Verdana" w:eastAsia="Verdana" w:hAnsi="Verdana"/>
                <w:sz w:val="13"/>
                <w:szCs w:val="13"/>
                <w:b w:val="1"/>
                <w:bCs w:val="1"/>
                <w:color w:val="307FE2"/>
              </w:rPr>
              <w:t>Common Stock</w:t>
            </w:r>
          </w:p>
        </w:tc>
        <w:tc>
          <w:tcPr>
            <w:tcW w:w="134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8"/>
              </w:rPr>
              <w:t>Number of</w:t>
            </w:r>
          </w:p>
        </w:tc>
      </w:tr>
      <w:tr>
        <w:trPr>
          <w:trHeight w:val="148"/>
        </w:trPr>
        <w:tc>
          <w:tcPr>
            <w:tcW w:w="5320" w:type="dxa"/>
            <w:vAlign w:val="bottom"/>
          </w:tcPr>
          <w:p>
            <w:pPr>
              <w:spacing w:after="0"/>
              <w:rPr>
                <w:sz w:val="12"/>
                <w:szCs w:val="12"/>
                <w:color w:val="auto"/>
              </w:rPr>
            </w:pPr>
          </w:p>
        </w:tc>
        <w:tc>
          <w:tcPr>
            <w:tcW w:w="2260" w:type="dxa"/>
            <w:vAlign w:val="bottom"/>
          </w:tcPr>
          <w:p>
            <w:pPr>
              <w:ind w:left="980"/>
              <w:spacing w:after="0" w:line="149" w:lineRule="exact"/>
              <w:rPr>
                <w:sz w:val="20"/>
                <w:szCs w:val="20"/>
                <w:color w:val="auto"/>
              </w:rPr>
            </w:pPr>
            <w:r>
              <w:rPr>
                <w:rFonts w:ascii="Verdana" w:cs="Verdana" w:eastAsia="Verdana" w:hAnsi="Verdana"/>
                <w:sz w:val="13"/>
                <w:szCs w:val="13"/>
                <w:b w:val="1"/>
                <w:bCs w:val="1"/>
                <w:color w:val="307FE2"/>
              </w:rPr>
              <w:t>Owned</w:t>
            </w:r>
          </w:p>
        </w:tc>
        <w:tc>
          <w:tcPr>
            <w:tcW w:w="1380" w:type="dxa"/>
            <w:vAlign w:val="bottom"/>
          </w:tcPr>
          <w:p>
            <w:pPr>
              <w:ind w:left="40"/>
              <w:spacing w:after="0" w:line="149" w:lineRule="exact"/>
              <w:rPr>
                <w:sz w:val="20"/>
                <w:szCs w:val="20"/>
                <w:color w:val="auto"/>
              </w:rPr>
            </w:pPr>
            <w:r>
              <w:rPr>
                <w:rFonts w:ascii="Verdana" w:cs="Verdana" w:eastAsia="Verdana" w:hAnsi="Verdana"/>
                <w:sz w:val="13"/>
                <w:szCs w:val="13"/>
                <w:b w:val="1"/>
                <w:bCs w:val="1"/>
                <w:color w:val="307FE2"/>
              </w:rPr>
              <w:t>Owned</w:t>
            </w:r>
          </w:p>
        </w:tc>
        <w:tc>
          <w:tcPr>
            <w:tcW w:w="134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5"/>
              </w:rPr>
              <w:t>RSUs</w:t>
            </w:r>
          </w:p>
        </w:tc>
      </w:tr>
      <w:tr>
        <w:trPr>
          <w:trHeight w:val="201"/>
        </w:trPr>
        <w:tc>
          <w:tcPr>
            <w:tcW w:w="5320" w:type="dxa"/>
            <w:vAlign w:val="bottom"/>
            <w:tcBorders>
              <w:bottom w:val="single" w:sz="8" w:color="696158"/>
            </w:tcBorders>
          </w:tcPr>
          <w:p>
            <w:pPr>
              <w:spacing w:after="0"/>
              <w:rPr>
                <w:sz w:val="17"/>
                <w:szCs w:val="17"/>
                <w:color w:val="auto"/>
              </w:rPr>
            </w:pPr>
          </w:p>
        </w:tc>
        <w:tc>
          <w:tcPr>
            <w:tcW w:w="2260" w:type="dxa"/>
            <w:vAlign w:val="bottom"/>
            <w:tcBorders>
              <w:bottom w:val="single" w:sz="8" w:color="696158"/>
            </w:tcBorders>
          </w:tcPr>
          <w:p>
            <w:pPr>
              <w:ind w:left="980"/>
              <w:spacing w:after="0"/>
              <w:rPr>
                <w:sz w:val="20"/>
                <w:szCs w:val="20"/>
                <w:color w:val="auto"/>
              </w:rPr>
            </w:pPr>
            <w:r>
              <w:rPr>
                <w:rFonts w:ascii="Verdana" w:cs="Verdana" w:eastAsia="Verdana" w:hAnsi="Verdana"/>
                <w:sz w:val="13"/>
                <w:szCs w:val="13"/>
                <w:b w:val="1"/>
                <w:bCs w:val="1"/>
                <w:color w:val="307FE2"/>
              </w:rPr>
              <w:t>Beneficially</w:t>
            </w:r>
          </w:p>
        </w:tc>
        <w:tc>
          <w:tcPr>
            <w:tcW w:w="1380" w:type="dxa"/>
            <w:vAlign w:val="bottom"/>
            <w:tcBorders>
              <w:bottom w:val="single" w:sz="8" w:color="696158"/>
            </w:tcBorders>
          </w:tcPr>
          <w:p>
            <w:pPr>
              <w:ind w:left="40"/>
              <w:spacing w:after="0"/>
              <w:rPr>
                <w:sz w:val="20"/>
                <w:szCs w:val="20"/>
                <w:color w:val="auto"/>
              </w:rPr>
            </w:pPr>
            <w:r>
              <w:rPr>
                <w:rFonts w:ascii="Verdana" w:cs="Verdana" w:eastAsia="Verdana" w:hAnsi="Verdana"/>
                <w:sz w:val="13"/>
                <w:szCs w:val="13"/>
                <w:b w:val="1"/>
                <w:bCs w:val="1"/>
                <w:color w:val="307FE2"/>
              </w:rPr>
              <w:t>Beneficially</w:t>
            </w:r>
          </w:p>
        </w:tc>
        <w:tc>
          <w:tcPr>
            <w:tcW w:w="1340" w:type="dxa"/>
            <w:vAlign w:val="bottom"/>
            <w:tcBorders>
              <w:bottom w:val="single" w:sz="8" w:color="696158"/>
            </w:tcBorders>
          </w:tcPr>
          <w:p>
            <w:pPr>
              <w:jc w:val="center"/>
              <w:spacing w:after="0"/>
              <w:rPr>
                <w:sz w:val="20"/>
                <w:szCs w:val="20"/>
                <w:color w:val="auto"/>
              </w:rPr>
            </w:pPr>
            <w:r>
              <w:rPr>
                <w:rFonts w:ascii="Verdana" w:cs="Verdana" w:eastAsia="Verdana" w:hAnsi="Verdana"/>
                <w:sz w:val="13"/>
                <w:szCs w:val="13"/>
                <w:b w:val="1"/>
                <w:bCs w:val="1"/>
                <w:color w:val="307FE2"/>
                <w:w w:val="86"/>
              </w:rPr>
              <w:t>Held</w:t>
            </w:r>
            <w:r>
              <w:rPr>
                <w:rFonts w:ascii="Verdana" w:cs="Verdana" w:eastAsia="Verdana" w:hAnsi="Verdana"/>
                <w:sz w:val="16"/>
                <w:szCs w:val="16"/>
                <w:b w:val="1"/>
                <w:bCs w:val="1"/>
                <w:color w:val="307FE2"/>
                <w:w w:val="86"/>
                <w:vertAlign w:val="superscript"/>
              </w:rPr>
              <w:t>(17)</w:t>
            </w:r>
          </w:p>
        </w:tc>
      </w:tr>
      <w:tr>
        <w:trPr>
          <w:trHeight w:val="20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b w:val="1"/>
                <w:bCs w:val="1"/>
                <w:color w:val="auto"/>
              </w:rPr>
              <w:t>5% Beneficial Owners:</w:t>
            </w:r>
          </w:p>
        </w:tc>
        <w:tc>
          <w:tcPr>
            <w:tcW w:w="2260" w:type="dxa"/>
            <w:vAlign w:val="bottom"/>
            <w:shd w:val="clear" w:color="auto" w:fill="D6E5F9"/>
          </w:tcPr>
          <w:p>
            <w:pPr>
              <w:spacing w:after="0"/>
              <w:rPr>
                <w:sz w:val="17"/>
                <w:szCs w:val="17"/>
                <w:color w:val="auto"/>
              </w:rPr>
            </w:pPr>
          </w:p>
        </w:tc>
        <w:tc>
          <w:tcPr>
            <w:tcW w:w="1380" w:type="dxa"/>
            <w:vAlign w:val="bottom"/>
            <w:shd w:val="clear" w:color="auto" w:fill="D6E5F9"/>
          </w:tcPr>
          <w:p>
            <w:pPr>
              <w:spacing w:after="0"/>
              <w:rPr>
                <w:sz w:val="17"/>
                <w:szCs w:val="17"/>
                <w:color w:val="auto"/>
              </w:rPr>
            </w:pPr>
          </w:p>
        </w:tc>
        <w:tc>
          <w:tcPr>
            <w:tcW w:w="1340" w:type="dxa"/>
            <w:vAlign w:val="bottom"/>
            <w:shd w:val="clear" w:color="auto" w:fill="D6E5F9"/>
          </w:tcPr>
          <w:p>
            <w:pPr>
              <w:spacing w:after="0"/>
              <w:rPr>
                <w:sz w:val="17"/>
                <w:szCs w:val="17"/>
                <w:color w:val="auto"/>
              </w:rPr>
            </w:pP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BlackRock, Inc.</w:t>
            </w:r>
            <w:r>
              <w:rPr>
                <w:rFonts w:ascii="Verdana" w:cs="Verdana" w:eastAsia="Verdana" w:hAnsi="Verdana"/>
                <w:sz w:val="16"/>
                <w:szCs w:val="16"/>
                <w:color w:val="auto"/>
                <w:vertAlign w:val="superscript"/>
              </w:rPr>
              <w:t>(1)</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4"/>
              </w:rPr>
              <w:t>7,539,684</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6"/>
              </w:rPr>
              <w:t>14.1%</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Pzena Investment Management, LLC</w:t>
            </w:r>
            <w:r>
              <w:rPr>
                <w:rFonts w:ascii="Verdana" w:cs="Verdana" w:eastAsia="Verdana" w:hAnsi="Verdana"/>
                <w:sz w:val="16"/>
                <w:szCs w:val="16"/>
                <w:color w:val="auto"/>
                <w:vertAlign w:val="superscript"/>
              </w:rPr>
              <w:t>(2)</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4"/>
              </w:rPr>
              <w:t>7,764,912</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6"/>
              </w:rPr>
              <w:t>14.5%</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The Vanguard Group</w:t>
            </w:r>
            <w:r>
              <w:rPr>
                <w:rFonts w:ascii="Verdana" w:cs="Verdana" w:eastAsia="Verdana" w:hAnsi="Verdana"/>
                <w:sz w:val="16"/>
                <w:szCs w:val="16"/>
                <w:color w:val="auto"/>
                <w:vertAlign w:val="superscript"/>
              </w:rPr>
              <w:t>(3)</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4"/>
              </w:rPr>
              <w:t>6,491,850</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6"/>
              </w:rPr>
              <w:t>12.1%</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0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b w:val="1"/>
                <w:bCs w:val="1"/>
                <w:color w:val="auto"/>
              </w:rPr>
              <w:t>NEOs and Directors:</w:t>
            </w:r>
          </w:p>
        </w:tc>
        <w:tc>
          <w:tcPr>
            <w:tcW w:w="2260" w:type="dxa"/>
            <w:vAlign w:val="bottom"/>
            <w:shd w:val="clear" w:color="auto" w:fill="D6E5F9"/>
          </w:tcPr>
          <w:p>
            <w:pPr>
              <w:spacing w:after="0"/>
              <w:rPr>
                <w:sz w:val="17"/>
                <w:szCs w:val="17"/>
                <w:color w:val="auto"/>
              </w:rPr>
            </w:pPr>
          </w:p>
        </w:tc>
        <w:tc>
          <w:tcPr>
            <w:tcW w:w="1380" w:type="dxa"/>
            <w:vAlign w:val="bottom"/>
            <w:shd w:val="clear" w:color="auto" w:fill="D6E5F9"/>
          </w:tcPr>
          <w:p>
            <w:pPr>
              <w:spacing w:after="0"/>
              <w:rPr>
                <w:sz w:val="17"/>
                <w:szCs w:val="17"/>
                <w:color w:val="auto"/>
              </w:rPr>
            </w:pPr>
          </w:p>
        </w:tc>
        <w:tc>
          <w:tcPr>
            <w:tcW w:w="1340" w:type="dxa"/>
            <w:vAlign w:val="bottom"/>
            <w:shd w:val="clear" w:color="auto" w:fill="D6E5F9"/>
          </w:tcPr>
          <w:p>
            <w:pPr>
              <w:spacing w:after="0"/>
              <w:rPr>
                <w:sz w:val="17"/>
                <w:szCs w:val="17"/>
                <w:color w:val="auto"/>
              </w:rPr>
            </w:pP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Raymond E. Scott</w:t>
            </w:r>
            <w:r>
              <w:rPr>
                <w:rFonts w:ascii="Verdana" w:cs="Verdana" w:eastAsia="Verdana" w:hAnsi="Verdana"/>
                <w:sz w:val="16"/>
                <w:szCs w:val="16"/>
                <w:color w:val="auto"/>
                <w:vertAlign w:val="superscript"/>
              </w:rPr>
              <w:t>(4)(5)(6)</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5"/>
              </w:rPr>
              <w:t>250,077</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42,312</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Jason M. Cardew</w:t>
            </w:r>
            <w:r>
              <w:rPr>
                <w:rFonts w:ascii="Verdana" w:cs="Verdana" w:eastAsia="Verdana" w:hAnsi="Verdana"/>
                <w:sz w:val="16"/>
                <w:szCs w:val="16"/>
                <w:color w:val="auto"/>
                <w:vertAlign w:val="superscript"/>
              </w:rPr>
              <w:t>(4)(7)</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5"/>
              </w:rPr>
              <w:t>49,600</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62,144</w:t>
            </w: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Frank C. Orsini</w:t>
            </w:r>
            <w:r>
              <w:rPr>
                <w:rFonts w:ascii="Verdana" w:cs="Verdana" w:eastAsia="Verdana" w:hAnsi="Verdana"/>
                <w:sz w:val="16"/>
                <w:szCs w:val="16"/>
                <w:color w:val="auto"/>
                <w:vertAlign w:val="superscript"/>
              </w:rPr>
              <w:t>(4)(7)</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5"/>
              </w:rPr>
              <w:t>52,704</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79,610</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Carl A. Esposito</w:t>
            </w:r>
            <w:r>
              <w:rPr>
                <w:rFonts w:ascii="Verdana" w:cs="Verdana" w:eastAsia="Verdana" w:hAnsi="Verdana"/>
                <w:sz w:val="16"/>
                <w:szCs w:val="16"/>
                <w:color w:val="auto"/>
                <w:vertAlign w:val="superscript"/>
              </w:rPr>
              <w:t>(4)(7)(16)</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5"/>
              </w:rPr>
              <w:t>52,610</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30,967</w:t>
            </w: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Harry A. Kemp</w:t>
            </w:r>
            <w:r>
              <w:rPr>
                <w:rFonts w:ascii="Verdana" w:cs="Verdana" w:eastAsia="Verdana" w:hAnsi="Verdana"/>
                <w:sz w:val="16"/>
                <w:szCs w:val="16"/>
                <w:color w:val="auto"/>
                <w:vertAlign w:val="superscript"/>
              </w:rPr>
              <w:t>(4)(7)</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5"/>
              </w:rPr>
              <w:t>15,277</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26,439</w:t>
            </w:r>
          </w:p>
        </w:tc>
      </w:tr>
      <w:tr>
        <w:trPr>
          <w:trHeight w:val="20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Alicia J. Davis</w:t>
            </w:r>
            <w:r>
              <w:rPr>
                <w:rFonts w:ascii="Verdana" w:cs="Verdana" w:eastAsia="Verdana" w:hAnsi="Verdana"/>
                <w:sz w:val="16"/>
                <w:szCs w:val="16"/>
                <w:color w:val="auto"/>
                <w:vertAlign w:val="superscript"/>
              </w:rPr>
              <w:t>(4)(7)</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5"/>
              </w:rPr>
              <w:t>10,261</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18,656</w:t>
            </w:r>
          </w:p>
        </w:tc>
      </w:tr>
      <w:tr>
        <w:trPr>
          <w:trHeight w:val="203"/>
        </w:trPr>
        <w:tc>
          <w:tcPr>
            <w:tcW w:w="5320" w:type="dxa"/>
            <w:vAlign w:val="bottom"/>
          </w:tcPr>
          <w:p>
            <w:pPr>
              <w:ind w:left="40"/>
              <w:spacing w:after="0"/>
              <w:rPr>
                <w:sz w:val="20"/>
                <w:szCs w:val="20"/>
                <w:color w:val="auto"/>
              </w:rPr>
            </w:pPr>
            <w:r>
              <w:rPr>
                <w:rFonts w:ascii="Verdana" w:cs="Verdana" w:eastAsia="Verdana" w:hAnsi="Verdana"/>
                <w:sz w:val="13"/>
                <w:szCs w:val="13"/>
                <w:color w:val="auto"/>
              </w:rPr>
              <w:t>Julian G. Blissett</w:t>
            </w:r>
            <w:r>
              <w:rPr>
                <w:rFonts w:ascii="Verdana" w:cs="Verdana" w:eastAsia="Verdana" w:hAnsi="Verdana"/>
                <w:sz w:val="16"/>
                <w:szCs w:val="16"/>
                <w:color w:val="auto"/>
                <w:vertAlign w:val="superscript"/>
              </w:rPr>
              <w:t>(6)(8)</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6"/>
              </w:rPr>
              <w:t>448</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Mei-Wei Cheng</w:t>
            </w:r>
            <w:r>
              <w:rPr>
                <w:rFonts w:ascii="Verdana" w:cs="Verdana" w:eastAsia="Verdana" w:hAnsi="Verdana"/>
                <w:sz w:val="16"/>
                <w:szCs w:val="16"/>
                <w:color w:val="auto"/>
                <w:vertAlign w:val="superscript"/>
              </w:rPr>
              <w:t>(6)(9)</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4"/>
              </w:rPr>
              <w:t>8,001</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Jonathan F. Foster</w:t>
            </w:r>
            <w:r>
              <w:rPr>
                <w:rFonts w:ascii="Verdana" w:cs="Verdana" w:eastAsia="Verdana" w:hAnsi="Verdana"/>
                <w:sz w:val="16"/>
                <w:szCs w:val="16"/>
                <w:color w:val="auto"/>
                <w:vertAlign w:val="superscript"/>
              </w:rPr>
              <w:t>(6)(10)</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5"/>
              </w:rPr>
              <w:t>13,782</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Bradley M. Halverson</w:t>
            </w:r>
            <w:r>
              <w:rPr>
                <w:rFonts w:ascii="Verdana" w:cs="Verdana" w:eastAsia="Verdana" w:hAnsi="Verdana"/>
                <w:sz w:val="16"/>
                <w:szCs w:val="16"/>
                <w:color w:val="auto"/>
                <w:vertAlign w:val="superscript"/>
              </w:rPr>
              <w:t>(6)(10)</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4"/>
              </w:rPr>
              <w:t>6,312</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Mary Lou Jepsen</w:t>
            </w:r>
            <w:r>
              <w:rPr>
                <w:rFonts w:ascii="Verdana" w:cs="Verdana" w:eastAsia="Verdana" w:hAnsi="Verdana"/>
                <w:sz w:val="16"/>
                <w:szCs w:val="16"/>
                <w:color w:val="auto"/>
                <w:vertAlign w:val="superscript"/>
              </w:rPr>
              <w:t>(6)(10)</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5"/>
              </w:rPr>
              <w:t>11,034</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Roger A. Krone</w:t>
            </w:r>
            <w:r>
              <w:rPr>
                <w:rFonts w:ascii="Verdana" w:cs="Verdana" w:eastAsia="Verdana" w:hAnsi="Verdana"/>
                <w:sz w:val="16"/>
                <w:szCs w:val="16"/>
                <w:color w:val="auto"/>
                <w:vertAlign w:val="superscript"/>
              </w:rPr>
              <w:t>(6)(11)</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4"/>
              </w:rPr>
              <w:t>5,527</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r>
      <w:tr>
        <w:trPr>
          <w:trHeight w:val="203"/>
        </w:trPr>
        <w:tc>
          <w:tcPr>
            <w:tcW w:w="5320" w:type="dxa"/>
            <w:vAlign w:val="bottom"/>
          </w:tcPr>
          <w:p>
            <w:pPr>
              <w:ind w:left="40"/>
              <w:spacing w:after="0"/>
              <w:rPr>
                <w:sz w:val="20"/>
                <w:szCs w:val="20"/>
                <w:color w:val="auto"/>
              </w:rPr>
            </w:pPr>
            <w:r>
              <w:rPr>
                <w:rFonts w:ascii="Verdana" w:cs="Verdana" w:eastAsia="Verdana" w:hAnsi="Verdana"/>
                <w:sz w:val="13"/>
                <w:szCs w:val="13"/>
                <w:color w:val="auto"/>
              </w:rPr>
              <w:t>Rod A. Lache</w:t>
            </w:r>
            <w:r>
              <w:rPr>
                <w:rFonts w:ascii="Verdana" w:cs="Verdana" w:eastAsia="Verdana" w:hAnsi="Verdana"/>
                <w:sz w:val="16"/>
                <w:szCs w:val="16"/>
                <w:color w:val="auto"/>
                <w:vertAlign w:val="superscript"/>
              </w:rPr>
              <w:t>(6)(12)</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4"/>
              </w:rPr>
              <w:t>3,383</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Patricia L. Lewis</w:t>
            </w:r>
            <w:r>
              <w:rPr>
                <w:rFonts w:ascii="Verdana" w:cs="Verdana" w:eastAsia="Verdana" w:hAnsi="Verdana"/>
                <w:sz w:val="16"/>
                <w:szCs w:val="16"/>
                <w:color w:val="auto"/>
                <w:vertAlign w:val="superscript"/>
              </w:rPr>
              <w:t>(6)(10)</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4"/>
              </w:rPr>
              <w:t>5,527</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Kathleen A. Ligocki</w:t>
            </w:r>
            <w:r>
              <w:rPr>
                <w:rFonts w:ascii="Verdana" w:cs="Verdana" w:eastAsia="Verdana" w:hAnsi="Verdana"/>
                <w:sz w:val="16"/>
                <w:szCs w:val="16"/>
                <w:color w:val="auto"/>
                <w:vertAlign w:val="superscript"/>
              </w:rPr>
              <w:t>(6)(13)</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5"/>
              </w:rPr>
              <w:t>20,494</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color w:val="auto"/>
              </w:rPr>
              <w:t>Conrad L. Mallett, Jr.</w:t>
            </w:r>
            <w:r>
              <w:rPr>
                <w:rFonts w:ascii="Verdana" w:cs="Verdana" w:eastAsia="Verdana" w:hAnsi="Verdana"/>
                <w:sz w:val="16"/>
                <w:szCs w:val="16"/>
                <w:color w:val="auto"/>
                <w:vertAlign w:val="superscript"/>
              </w:rPr>
              <w:t>(6)(14)</w:t>
            </w:r>
          </w:p>
        </w:tc>
        <w:tc>
          <w:tcPr>
            <w:tcW w:w="2260" w:type="dxa"/>
            <w:vAlign w:val="bottom"/>
            <w:shd w:val="clear" w:color="auto" w:fill="D6E5F9"/>
          </w:tcPr>
          <w:p>
            <w:pPr>
              <w:jc w:val="center"/>
              <w:ind w:left="917"/>
              <w:spacing w:after="0"/>
              <w:rPr>
                <w:sz w:val="20"/>
                <w:szCs w:val="20"/>
                <w:color w:val="auto"/>
              </w:rPr>
            </w:pPr>
            <w:r>
              <w:rPr>
                <w:rFonts w:ascii="Verdana" w:cs="Verdana" w:eastAsia="Verdana" w:hAnsi="Verdana"/>
                <w:sz w:val="13"/>
                <w:szCs w:val="13"/>
                <w:color w:val="auto"/>
                <w:w w:val="95"/>
              </w:rPr>
              <w:t>12,985</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r>
      <w:tr>
        <w:trPr>
          <w:trHeight w:val="243"/>
        </w:trPr>
        <w:tc>
          <w:tcPr>
            <w:tcW w:w="5320" w:type="dxa"/>
            <w:vAlign w:val="bottom"/>
          </w:tcPr>
          <w:p>
            <w:pPr>
              <w:ind w:left="40"/>
              <w:spacing w:after="0"/>
              <w:rPr>
                <w:sz w:val="20"/>
                <w:szCs w:val="20"/>
                <w:color w:val="auto"/>
              </w:rPr>
            </w:pPr>
            <w:r>
              <w:rPr>
                <w:rFonts w:ascii="Verdana" w:cs="Verdana" w:eastAsia="Verdana" w:hAnsi="Verdana"/>
                <w:sz w:val="13"/>
                <w:szCs w:val="13"/>
                <w:color w:val="auto"/>
              </w:rPr>
              <w:t>Greg C. Smith</w:t>
            </w:r>
            <w:r>
              <w:rPr>
                <w:rFonts w:ascii="Verdana" w:cs="Verdana" w:eastAsia="Verdana" w:hAnsi="Verdana"/>
                <w:sz w:val="16"/>
                <w:szCs w:val="16"/>
                <w:color w:val="auto"/>
                <w:vertAlign w:val="superscript"/>
              </w:rPr>
              <w:t>(6)(15)</w:t>
            </w:r>
          </w:p>
        </w:tc>
        <w:tc>
          <w:tcPr>
            <w:tcW w:w="2260" w:type="dxa"/>
            <w:vAlign w:val="bottom"/>
          </w:tcPr>
          <w:p>
            <w:pPr>
              <w:jc w:val="center"/>
              <w:ind w:left="917"/>
              <w:spacing w:after="0"/>
              <w:rPr>
                <w:sz w:val="20"/>
                <w:szCs w:val="20"/>
                <w:color w:val="auto"/>
              </w:rPr>
            </w:pPr>
            <w:r>
              <w:rPr>
                <w:rFonts w:ascii="Verdana" w:cs="Verdana" w:eastAsia="Verdana" w:hAnsi="Verdana"/>
                <w:sz w:val="13"/>
                <w:szCs w:val="13"/>
                <w:color w:val="auto"/>
                <w:w w:val="95"/>
              </w:rPr>
              <w:t>16,146</w:t>
            </w:r>
          </w:p>
        </w:tc>
        <w:tc>
          <w:tcPr>
            <w:tcW w:w="1380" w:type="dxa"/>
            <w:vAlign w:val="bottom"/>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Pr>
          <w:p>
            <w:pPr>
              <w:jc w:val="right"/>
              <w:spacing w:after="0"/>
              <w:rPr>
                <w:sz w:val="20"/>
                <w:szCs w:val="20"/>
                <w:color w:val="auto"/>
              </w:rPr>
            </w:pPr>
            <w:r>
              <w:rPr>
                <w:rFonts w:ascii="Verdana" w:cs="Verdana" w:eastAsia="Verdana" w:hAnsi="Verdana"/>
                <w:sz w:val="13"/>
                <w:szCs w:val="13"/>
                <w:color w:val="auto"/>
              </w:rPr>
              <w:t>0</w:t>
            </w:r>
          </w:p>
        </w:tc>
      </w:tr>
      <w:tr>
        <w:trPr>
          <w:trHeight w:val="250"/>
        </w:trPr>
        <w:tc>
          <w:tcPr>
            <w:tcW w:w="5320" w:type="dxa"/>
            <w:vAlign w:val="bottom"/>
            <w:tcBorders>
              <w:bottom w:val="single" w:sz="8" w:color="696158"/>
            </w:tcBorders>
            <w:shd w:val="clear" w:color="auto" w:fill="D6E5F9"/>
          </w:tcPr>
          <w:p>
            <w:pPr>
              <w:ind w:left="40"/>
              <w:spacing w:after="0"/>
              <w:rPr>
                <w:sz w:val="20"/>
                <w:szCs w:val="20"/>
                <w:color w:val="auto"/>
              </w:rPr>
            </w:pPr>
            <w:r>
              <w:rPr>
                <w:rFonts w:ascii="Verdana" w:cs="Verdana" w:eastAsia="Verdana" w:hAnsi="Verdana"/>
                <w:sz w:val="13"/>
                <w:szCs w:val="13"/>
                <w:color w:val="auto"/>
              </w:rPr>
              <w:t>Total Executive Officers and Directors as a Group (19 individuals)</w:t>
            </w:r>
            <w:r>
              <w:rPr>
                <w:rFonts w:ascii="Verdana" w:cs="Verdana" w:eastAsia="Verdana" w:hAnsi="Verdana"/>
                <w:sz w:val="16"/>
                <w:szCs w:val="16"/>
                <w:color w:val="auto"/>
                <w:vertAlign w:val="superscript"/>
              </w:rPr>
              <w:t>(16)</w:t>
            </w:r>
          </w:p>
        </w:tc>
        <w:tc>
          <w:tcPr>
            <w:tcW w:w="2260" w:type="dxa"/>
            <w:vAlign w:val="bottom"/>
            <w:tcBorders>
              <w:bottom w:val="single" w:sz="8" w:color="696158"/>
            </w:tcBorders>
            <w:shd w:val="clear" w:color="auto" w:fill="D6E5F9"/>
          </w:tcPr>
          <w:p>
            <w:pPr>
              <w:jc w:val="center"/>
              <w:ind w:left="917"/>
              <w:spacing w:after="0"/>
              <w:rPr>
                <w:sz w:val="20"/>
                <w:szCs w:val="20"/>
                <w:color w:val="auto"/>
              </w:rPr>
            </w:pPr>
            <w:r>
              <w:rPr>
                <w:rFonts w:ascii="Verdana" w:cs="Verdana" w:eastAsia="Verdana" w:hAnsi="Verdana"/>
                <w:sz w:val="13"/>
                <w:szCs w:val="13"/>
                <w:color w:val="auto"/>
                <w:w w:val="95"/>
              </w:rPr>
              <w:t>489,079</w:t>
            </w:r>
          </w:p>
        </w:tc>
        <w:tc>
          <w:tcPr>
            <w:tcW w:w="1380" w:type="dxa"/>
            <w:vAlign w:val="bottom"/>
            <w:tcBorders>
              <w:bottom w:val="single" w:sz="8" w:color="696158"/>
            </w:tcBorders>
            <w:shd w:val="clear" w:color="auto" w:fill="D6E5F9"/>
          </w:tcPr>
          <w:p>
            <w:pPr>
              <w:jc w:val="center"/>
              <w:spacing w:after="0"/>
              <w:rPr>
                <w:sz w:val="20"/>
                <w:szCs w:val="20"/>
                <w:color w:val="auto"/>
              </w:rPr>
            </w:pPr>
            <w:r>
              <w:rPr>
                <w:rFonts w:ascii="Verdana" w:cs="Verdana" w:eastAsia="Verdana" w:hAnsi="Verdana"/>
                <w:sz w:val="13"/>
                <w:szCs w:val="13"/>
                <w:color w:val="auto"/>
                <w:w w:val="95"/>
              </w:rPr>
              <w:t>*</w:t>
            </w:r>
          </w:p>
        </w:tc>
        <w:tc>
          <w:tcPr>
            <w:tcW w:w="1340" w:type="dxa"/>
            <w:vAlign w:val="bottom"/>
            <w:tcBorders>
              <w:bottom w:val="single" w:sz="8" w:color="696158"/>
            </w:tcBorders>
            <w:shd w:val="clear" w:color="auto" w:fill="D6E5F9"/>
          </w:tcPr>
          <w:p>
            <w:pPr>
              <w:jc w:val="right"/>
              <w:spacing w:after="0"/>
              <w:rPr>
                <w:sz w:val="20"/>
                <w:szCs w:val="20"/>
                <w:color w:val="auto"/>
              </w:rPr>
            </w:pPr>
            <w:r>
              <w:rPr>
                <w:rFonts w:ascii="Verdana" w:cs="Verdana" w:eastAsia="Verdana" w:hAnsi="Verdana"/>
                <w:sz w:val="13"/>
                <w:szCs w:val="13"/>
                <w:color w:val="auto"/>
              </w:rPr>
              <w:t>253,018</w:t>
            </w:r>
          </w:p>
        </w:tc>
      </w:tr>
    </w:tbl>
    <w:p>
      <w:pPr>
        <w:spacing w:after="0" w:line="193" w:lineRule="exact"/>
        <w:rPr>
          <w:sz w:val="20"/>
          <w:szCs w:val="20"/>
          <w:color w:val="auto"/>
        </w:rPr>
      </w:pPr>
    </w:p>
    <w:p>
      <w:pPr>
        <w:ind w:left="400" w:hanging="149"/>
        <w:spacing w:after="0"/>
        <w:tabs>
          <w:tab w:leader="none" w:pos="400" w:val="left"/>
        </w:tabs>
        <w:numPr>
          <w:ilvl w:val="1"/>
          <w:numId w:val="46"/>
        </w:numPr>
        <w:rPr>
          <w:rFonts w:ascii="Verdana" w:cs="Verdana" w:eastAsia="Verdana" w:hAnsi="Verdana"/>
          <w:sz w:val="14"/>
          <w:szCs w:val="14"/>
          <w:color w:val="auto"/>
        </w:rPr>
      </w:pPr>
      <w:r>
        <w:rPr>
          <w:rFonts w:ascii="Verdana" w:cs="Verdana" w:eastAsia="Verdana" w:hAnsi="Verdana"/>
          <w:sz w:val="14"/>
          <w:szCs w:val="14"/>
          <w:color w:val="auto"/>
        </w:rPr>
        <w:t>Less than 1%.</w:t>
      </w:r>
    </w:p>
    <w:p>
      <w:pPr>
        <w:spacing w:after="0" w:line="59" w:lineRule="exact"/>
        <w:rPr>
          <w:rFonts w:ascii="Verdana" w:cs="Verdana" w:eastAsia="Verdana" w:hAnsi="Verdana"/>
          <w:sz w:val="14"/>
          <w:szCs w:val="14"/>
          <w:color w:val="auto"/>
        </w:rPr>
      </w:pPr>
    </w:p>
    <w:p>
      <w:pPr>
        <w:ind w:left="340" w:hanging="332"/>
        <w:spacing w:after="0" w:line="243" w:lineRule="auto"/>
        <w:tabs>
          <w:tab w:leader="none" w:pos="332" w:val="left"/>
        </w:tabs>
        <w:numPr>
          <w:ilvl w:val="0"/>
          <w:numId w:val="46"/>
        </w:numPr>
        <w:rPr>
          <w:rFonts w:ascii="Verdana" w:cs="Verdana" w:eastAsia="Verdana" w:hAnsi="Verdana"/>
          <w:sz w:val="13"/>
          <w:szCs w:val="13"/>
          <w:color w:val="auto"/>
        </w:rPr>
      </w:pPr>
      <w:r>
        <w:rPr>
          <w:rFonts w:ascii="Verdana" w:cs="Verdana" w:eastAsia="Verdana" w:hAnsi="Verdana"/>
          <w:sz w:val="14"/>
          <w:szCs w:val="14"/>
          <w:color w:val="auto"/>
        </w:rPr>
        <w:t>Information contained in the table above and this footnote is based on a report on Schedule 13G/A filed with the SEC on January 23, 2024, by BlackRock, Inc. (“BlackRock”). BlackRock is the beneficial owner of 7,539,684 shares, with sole dispositive power as to all such shares and sole voting power as to 7,098,522 such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50 Hudson Yards, New York, New York 10001.</w:t>
      </w:r>
    </w:p>
    <w:p>
      <w:pPr>
        <w:spacing w:after="0" w:line="2" w:lineRule="exact"/>
        <w:rPr>
          <w:rFonts w:ascii="Verdana" w:cs="Verdana" w:eastAsia="Verdana" w:hAnsi="Verdana"/>
          <w:sz w:val="13"/>
          <w:szCs w:val="13"/>
          <w:color w:val="auto"/>
        </w:rPr>
      </w:pPr>
    </w:p>
    <w:p>
      <w:pPr>
        <w:ind w:left="340" w:right="60" w:hanging="332"/>
        <w:spacing w:after="0" w:line="241" w:lineRule="auto"/>
        <w:tabs>
          <w:tab w:leader="none" w:pos="332" w:val="left"/>
        </w:tabs>
        <w:numPr>
          <w:ilvl w:val="0"/>
          <w:numId w:val="46"/>
        </w:numPr>
        <w:rPr>
          <w:rFonts w:ascii="Verdana" w:cs="Verdana" w:eastAsia="Verdana" w:hAnsi="Verdana"/>
          <w:sz w:val="13"/>
          <w:szCs w:val="13"/>
          <w:color w:val="auto"/>
        </w:rPr>
      </w:pPr>
      <w:r>
        <w:rPr>
          <w:rFonts w:ascii="Verdana" w:cs="Verdana" w:eastAsia="Verdana" w:hAnsi="Verdana"/>
          <w:sz w:val="14"/>
          <w:szCs w:val="14"/>
          <w:color w:val="auto"/>
        </w:rPr>
        <w:t>Information contained in the table above and this footnote is based on a report on Schedule 13G filed with the SEC on October 7, 2024, by Pzena Investment Management, LLC (“Pzena”). Pzena is the beneficial owner of 7,764,912 shares, with sole dispositive power as to all such shares and sole voting power as to 6,617,051 such shares. Pzena’s principal place of business is 320 Park Avenue, 8th Floor, New York, New York 10022.</w:t>
      </w:r>
    </w:p>
    <w:p>
      <w:pPr>
        <w:ind w:left="340" w:hanging="332"/>
        <w:spacing w:after="0" w:line="242" w:lineRule="auto"/>
        <w:tabs>
          <w:tab w:leader="none" w:pos="332" w:val="left"/>
        </w:tabs>
        <w:numPr>
          <w:ilvl w:val="0"/>
          <w:numId w:val="46"/>
        </w:numPr>
        <w:rPr>
          <w:rFonts w:ascii="Verdana" w:cs="Verdana" w:eastAsia="Verdana" w:hAnsi="Verdana"/>
          <w:sz w:val="13"/>
          <w:szCs w:val="13"/>
          <w:color w:val="auto"/>
        </w:rPr>
      </w:pPr>
      <w:r>
        <w:rPr>
          <w:rFonts w:ascii="Verdana" w:cs="Verdana" w:eastAsia="Verdana" w:hAnsi="Verdana"/>
          <w:sz w:val="14"/>
          <w:szCs w:val="14"/>
          <w:color w:val="auto"/>
        </w:rPr>
        <w:t>Information contained in the table above and this footnote is based on a report on Schedule 13G/A filed with the SEC on January 31, 2025, by The Vanguard Group (“Vanguard”). Vanguard is the beneficial owner of 6,491,850 shares, with sole dispositive power as to 6,388,423 such shares, shared dispositive power as to 103,427 such shares and shared voting power as to 32,327 such shares. Vanguard’s principal place of business is 100 Vanguard Blvd., Malvern, Pennsylvania 19355.</w:t>
      </w:r>
    </w:p>
    <w:p>
      <w:pPr>
        <w:spacing w:after="0" w:line="2" w:lineRule="exact"/>
        <w:rPr>
          <w:rFonts w:ascii="Verdana" w:cs="Verdana" w:eastAsia="Verdana" w:hAnsi="Verdana"/>
          <w:sz w:val="13"/>
          <w:szCs w:val="13"/>
          <w:color w:val="auto"/>
        </w:rPr>
      </w:pPr>
    </w:p>
    <w:p>
      <w:pPr>
        <w:ind w:left="320" w:hanging="312"/>
        <w:spacing w:after="0"/>
        <w:tabs>
          <w:tab w:leader="none" w:pos="320" w:val="left"/>
        </w:tabs>
        <w:numPr>
          <w:ilvl w:val="0"/>
          <w:numId w:val="46"/>
        </w:numPr>
        <w:rPr>
          <w:rFonts w:ascii="Verdana" w:cs="Verdana" w:eastAsia="Verdana" w:hAnsi="Verdana"/>
          <w:sz w:val="13"/>
          <w:szCs w:val="13"/>
          <w:color w:val="auto"/>
        </w:rPr>
      </w:pPr>
      <w:r>
        <w:rPr>
          <w:rFonts w:ascii="Verdana" w:cs="Verdana" w:eastAsia="Verdana" w:hAnsi="Verdana"/>
          <w:sz w:val="14"/>
          <w:szCs w:val="14"/>
          <w:color w:val="auto"/>
        </w:rPr>
        <w:t>The individual is a NEO.</w:t>
      </w:r>
    </w:p>
    <w:p>
      <w:pPr>
        <w:spacing w:after="0" w:line="5" w:lineRule="exact"/>
        <w:rPr>
          <w:rFonts w:ascii="Verdana" w:cs="Verdana" w:eastAsia="Verdana" w:hAnsi="Verdana"/>
          <w:sz w:val="13"/>
          <w:szCs w:val="13"/>
          <w:color w:val="auto"/>
        </w:rPr>
      </w:pPr>
    </w:p>
    <w:p>
      <w:pPr>
        <w:ind w:left="340" w:right="200" w:hanging="332"/>
        <w:spacing w:after="0" w:line="270" w:lineRule="auto"/>
        <w:tabs>
          <w:tab w:leader="none" w:pos="332" w:val="left"/>
        </w:tabs>
        <w:numPr>
          <w:ilvl w:val="0"/>
          <w:numId w:val="46"/>
        </w:numPr>
        <w:rPr>
          <w:rFonts w:ascii="Verdana" w:cs="Verdana" w:eastAsia="Verdana" w:hAnsi="Verdana"/>
          <w:sz w:val="13"/>
          <w:szCs w:val="13"/>
          <w:color w:val="auto"/>
        </w:rPr>
      </w:pPr>
      <w:r>
        <w:rPr>
          <w:rFonts w:ascii="Verdana" w:cs="Verdana" w:eastAsia="Verdana" w:hAnsi="Verdana"/>
          <w:sz w:val="14"/>
          <w:szCs w:val="14"/>
          <w:color w:val="auto"/>
        </w:rPr>
        <w:t>Mr. Scott is retirement-eligible and therefore qualifies for accelerated vesting of all of his Career Shares and RSUs that would vest within 24 months of his retirement on any given date. As a result, Mr. Scott’s share ownership includes 60,533 Career</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31</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40" w:right="60"/>
        <w:spacing w:after="0" w:line="241" w:lineRule="auto"/>
        <w:rPr>
          <w:sz w:val="20"/>
          <w:szCs w:val="20"/>
          <w:color w:val="auto"/>
        </w:rPr>
      </w:pPr>
      <w:r>
        <w:rPr>
          <w:rFonts w:ascii="Verdana" w:cs="Verdana" w:eastAsia="Verdana" w:hAnsi="Verdana"/>
          <w:sz w:val="14"/>
          <w:szCs w:val="14"/>
          <w:color w:val="auto"/>
        </w:rPr>
        <w:t>Shares and 42,854 unvested RSUs (all Career Shares and RSUs awarded more than one year prior to the record date). Mr. Scott's Career Shares and unvested RSUs would be forfeited only if he were terminated for “cause” pursuant to the terms of his employment agreement. Mr. Scott's share ownership also includes 102,961 shares of common stock that he has the right to acquire pursuant to stock options that are currently exercisable.</w:t>
      </w:r>
    </w:p>
    <w:p>
      <w:pPr>
        <w:ind w:left="320" w:hanging="312"/>
        <w:spacing w:after="0"/>
        <w:tabs>
          <w:tab w:leader="none" w:pos="320"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The individual is a director.</w:t>
      </w:r>
    </w:p>
    <w:p>
      <w:pPr>
        <w:spacing w:after="0" w:line="5" w:lineRule="exact"/>
        <w:rPr>
          <w:rFonts w:ascii="Verdana" w:cs="Verdana" w:eastAsia="Verdana" w:hAnsi="Verdana"/>
          <w:sz w:val="13"/>
          <w:szCs w:val="13"/>
          <w:color w:val="auto"/>
        </w:rPr>
      </w:pPr>
    </w:p>
    <w:p>
      <w:pPr>
        <w:ind w:left="340" w:right="20" w:hanging="332"/>
        <w:spacing w:after="0" w:line="243" w:lineRule="auto"/>
        <w:tabs>
          <w:tab w:leader="none" w:pos="332"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Messrs. Cardew, Orsini, Esposito and Kemp and Ms. Davis are not yet retirement-eligible, and thus, their share ownership does not include any Career Shares or unvested RSUs. If they remain employed by the Company, Messrs. Cardew, Orsini, Esposito and Kemp and Ms. Davis will become retirement-eligible on June 29, 2025, April 2, 2027, May 19, 2026, September 15, 2030, and April 26, 2027, respectively. Messrs. Cardew, Orsini and Esposito's respective share ownership also includes 24,356; 29,419; and 21,512 shares of common stock, respectively, that each person has the right to acquire pursuant to stock options that are currently exercisable.</w:t>
      </w:r>
    </w:p>
    <w:p>
      <w:pPr>
        <w:spacing w:after="0" w:line="2" w:lineRule="exact"/>
        <w:rPr>
          <w:rFonts w:ascii="Verdana" w:cs="Verdana" w:eastAsia="Verdana" w:hAnsi="Verdana"/>
          <w:sz w:val="13"/>
          <w:szCs w:val="13"/>
          <w:color w:val="auto"/>
        </w:rPr>
      </w:pPr>
    </w:p>
    <w:p>
      <w:pPr>
        <w:ind w:left="320" w:hanging="312"/>
        <w:spacing w:after="0"/>
        <w:tabs>
          <w:tab w:leader="none" w:pos="320"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For Mr. Blissett, the information contained in the table above includes 448 RSUs vesting on May 16, 2025, within 60 days following the record date.</w:t>
      </w:r>
    </w:p>
    <w:p>
      <w:pPr>
        <w:spacing w:after="0" w:line="5" w:lineRule="exact"/>
        <w:rPr>
          <w:rFonts w:ascii="Verdana" w:cs="Verdana" w:eastAsia="Verdana" w:hAnsi="Verdana"/>
          <w:sz w:val="13"/>
          <w:szCs w:val="13"/>
          <w:color w:val="auto"/>
        </w:rPr>
      </w:pPr>
    </w:p>
    <w:p>
      <w:pPr>
        <w:ind w:left="340" w:right="180" w:hanging="332"/>
        <w:spacing w:after="0" w:line="241" w:lineRule="auto"/>
        <w:tabs>
          <w:tab w:leader="none" w:pos="332"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For Mr. Cheng, the information contained in the table above includes 4,546 deferred stock units, which are fully vested and convert into shares of common stock on a 1-for-1 basis upon pre-established dates selected by the director. The table also includes 1,337 RSUs vesting on May 16, 2025, within 60 days following the record date, which will be deferred upon vesting in accordance with the director’s election.</w:t>
      </w:r>
    </w:p>
    <w:p>
      <w:pPr>
        <w:ind w:left="320" w:hanging="312"/>
        <w:spacing w:after="0"/>
        <w:tabs>
          <w:tab w:leader="none" w:pos="320"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The information contained in the table above includes 1,337 RSUs vesting on May 16, 2025, within 60 days following the record date.</w:t>
      </w:r>
    </w:p>
    <w:p>
      <w:pPr>
        <w:spacing w:after="0" w:line="5" w:lineRule="exact"/>
        <w:rPr>
          <w:rFonts w:ascii="Verdana" w:cs="Verdana" w:eastAsia="Verdana" w:hAnsi="Verdana"/>
          <w:sz w:val="13"/>
          <w:szCs w:val="13"/>
          <w:color w:val="auto"/>
        </w:rPr>
      </w:pPr>
    </w:p>
    <w:p>
      <w:pPr>
        <w:ind w:left="340" w:hanging="332"/>
        <w:spacing w:after="0" w:line="242" w:lineRule="auto"/>
        <w:tabs>
          <w:tab w:leader="none" w:pos="331"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For Mr. Krone, the information contained in the table above includes 3,611 deferred stock units, which are fully vested and convert into shares of common stock on a 1-for-1 basis upon the earliest of the director’s departure from the Board, a change in control or the pre-established date selected by the director. The table also includes 1,337 RSUs vesting on May 16, 2025, within 60 days following the record date, which will be deferred upon vesting in accordance with the director’s election.</w:t>
      </w:r>
    </w:p>
    <w:p>
      <w:pPr>
        <w:spacing w:after="0" w:line="2" w:lineRule="exact"/>
        <w:rPr>
          <w:rFonts w:ascii="Verdana" w:cs="Verdana" w:eastAsia="Verdana" w:hAnsi="Verdana"/>
          <w:sz w:val="13"/>
          <w:szCs w:val="13"/>
          <w:color w:val="auto"/>
        </w:rPr>
      </w:pPr>
    </w:p>
    <w:p>
      <w:pPr>
        <w:ind w:left="320" w:hanging="312"/>
        <w:spacing w:after="0"/>
        <w:tabs>
          <w:tab w:leader="none" w:pos="320"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For Mr. Lache, the information contained in the table above includes 1,205 RSUs vesting on May 16, 2025, within 60 days following the record date.</w:t>
      </w:r>
    </w:p>
    <w:p>
      <w:pPr>
        <w:spacing w:after="0" w:line="5" w:lineRule="exact"/>
        <w:rPr>
          <w:rFonts w:ascii="Verdana" w:cs="Verdana" w:eastAsia="Verdana" w:hAnsi="Verdana"/>
          <w:sz w:val="13"/>
          <w:szCs w:val="13"/>
          <w:color w:val="auto"/>
        </w:rPr>
      </w:pPr>
    </w:p>
    <w:p>
      <w:pPr>
        <w:ind w:left="340" w:hanging="332"/>
        <w:spacing w:after="0" w:line="242" w:lineRule="auto"/>
        <w:tabs>
          <w:tab w:leader="none" w:pos="331"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For Ms. Ligocki, the information contained in the table above includes 15,532 deferred stock units, which are fully vested and convert into shares of common stock on a 1-for-1 basis upon the earliest of the director’s departure from the Board, a change in control or the pre-established date selected by the director. The table also includes 1,337 RSUs vesting on May 16, 2025, within 60 days following the record date, which will be deferred upon vesting in accordance with the director’s election.</w:t>
      </w:r>
    </w:p>
    <w:p>
      <w:pPr>
        <w:spacing w:after="0" w:line="2" w:lineRule="exact"/>
        <w:rPr>
          <w:rFonts w:ascii="Verdana" w:cs="Verdana" w:eastAsia="Verdana" w:hAnsi="Verdana"/>
          <w:sz w:val="13"/>
          <w:szCs w:val="13"/>
          <w:color w:val="auto"/>
        </w:rPr>
      </w:pPr>
    </w:p>
    <w:p>
      <w:pPr>
        <w:ind w:left="340" w:hanging="332"/>
        <w:spacing w:after="0" w:line="247" w:lineRule="auto"/>
        <w:tabs>
          <w:tab w:leader="none" w:pos="331"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For Mr. Mallett, the information contained in the table above includes 11,648 deferred stock units, which are fully vested and convert into shares of common stock on a 1-for-1 basis upon the earliest of the director’s departure from the Board, a change in control or the pre-established date selected by the director. The table also includes 1,337 RSUs vesting on May 16, 2025, within 60 days following the record date, a portion of which will be deferred upon vesting in accordance with the director’s election.</w:t>
      </w:r>
    </w:p>
    <w:p>
      <w:pPr>
        <w:spacing w:after="0" w:line="1" w:lineRule="exact"/>
        <w:rPr>
          <w:rFonts w:ascii="Verdana" w:cs="Verdana" w:eastAsia="Verdana" w:hAnsi="Verdana"/>
          <w:sz w:val="13"/>
          <w:szCs w:val="13"/>
          <w:color w:val="auto"/>
        </w:rPr>
      </w:pPr>
    </w:p>
    <w:p>
      <w:pPr>
        <w:ind w:left="340" w:right="160" w:hanging="332"/>
        <w:spacing w:after="0" w:line="241" w:lineRule="auto"/>
        <w:tabs>
          <w:tab w:leader="none" w:pos="331"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For Mr. Smith, the information contained in the table above includes 2,255 RSUs vesting on May 16, 2025, within 60 days following the record date. The table also includes 13,891 shares of common stock held in Ann Cournoyer Smith Irrev Trust for the benefit of Mr. Smith’s children of which Mr. Smith is the trustee.</w:t>
      </w:r>
    </w:p>
    <w:p>
      <w:pPr>
        <w:ind w:left="340" w:right="200" w:hanging="332"/>
        <w:spacing w:after="0" w:line="247" w:lineRule="auto"/>
        <w:tabs>
          <w:tab w:leader="none" w:pos="331"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Includes Amy Doyle, Nicholas Roelli and Marianne Vidershain. Mr. Esposito's ownership is not included because he no longer serves as an executive officer.</w:t>
      </w:r>
    </w:p>
    <w:p>
      <w:pPr>
        <w:ind w:left="340" w:right="540" w:hanging="332"/>
        <w:spacing w:after="0" w:line="249" w:lineRule="auto"/>
        <w:tabs>
          <w:tab w:leader="none" w:pos="331"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Includes, as of March 18, 2025, Career Shares and unvested RSUs held by our executive officers. These Career Shares and unvested RSUs are subject to all of the economic risks of stock ownership but may not be voted or sold and are subject to vesting provisions as set forth in the respective grant agreements.</w:t>
      </w:r>
    </w:p>
    <w:p>
      <w:pPr>
        <w:spacing w:after="0" w:line="120"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Delinquent Section 16(a) Reports</w:t>
      </w:r>
    </w:p>
    <w:p>
      <w:pPr>
        <w:spacing w:after="0" w:line="146"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Based upon our review of reports filed with the SEC and written representations that no other reports were required, we believe that all of our directors, executive officers and beneficial owners of more than ten percent of our equity securities complied with the reporting</w:t>
      </w:r>
    </w:p>
    <w:p>
      <w:pPr>
        <w:spacing w:after="0" w:line="234" w:lineRule="auto"/>
        <w:rPr>
          <w:sz w:val="20"/>
          <w:szCs w:val="20"/>
          <w:color w:val="auto"/>
        </w:rPr>
      </w:pPr>
      <w:r>
        <w:rPr>
          <w:rFonts w:ascii="Verdana" w:cs="Verdana" w:eastAsia="Verdana" w:hAnsi="Verdana"/>
          <w:sz w:val="16"/>
          <w:szCs w:val="16"/>
          <w:color w:val="auto"/>
        </w:rPr>
        <w:t>requirements of Section 16(a) of the Exchange Act during 2024, with the exception of one late Form 4 filed on May 28, 2024, for Mr.</w:t>
      </w:r>
    </w:p>
    <w:p>
      <w:pPr>
        <w:spacing w:after="0"/>
        <w:rPr>
          <w:sz w:val="20"/>
          <w:szCs w:val="20"/>
          <w:color w:val="auto"/>
        </w:rPr>
      </w:pPr>
      <w:r>
        <w:rPr>
          <w:rFonts w:ascii="Verdana" w:cs="Verdana" w:eastAsia="Verdana" w:hAnsi="Verdana"/>
          <w:sz w:val="16"/>
          <w:szCs w:val="16"/>
          <w:color w:val="auto"/>
        </w:rPr>
        <w:t>Krone reporting one transaction. This report was late due to an inadvertent administrative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 w:hanging="534"/>
        <w:spacing w:after="0"/>
        <w:tabs>
          <w:tab w:leader="none" w:pos="560" w:val="left"/>
        </w:tabs>
        <w:numPr>
          <w:ilvl w:val="0"/>
          <w:numId w:val="48"/>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Verdana" w:cs="Verdana" w:eastAsia="Verdana" w:hAnsi="Verdana"/>
          <w:sz w:val="25"/>
          <w:szCs w:val="25"/>
          <w:b w:val="1"/>
          <w:bCs w:val="1"/>
          <w:u w:val="single" w:color="auto"/>
          <w:color w:val="0C2340"/>
        </w:rPr>
        <w:t>COMPENSATION DISCUSSION AND ANALYSIS ("CD&amp;A")</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0980" w:type="dxa"/>
            <w:vAlign w:val="bottom"/>
            <w:gridSpan w:val="8"/>
          </w:tcPr>
          <w:p>
            <w:pPr>
              <w:spacing w:after="0"/>
              <w:rPr>
                <w:sz w:val="20"/>
                <w:szCs w:val="20"/>
                <w:color w:val="auto"/>
              </w:rPr>
            </w:pPr>
            <w:r>
              <w:rPr>
                <w:rFonts w:ascii="Verdana" w:cs="Verdana" w:eastAsia="Verdana" w:hAnsi="Verdana"/>
                <w:sz w:val="16"/>
                <w:szCs w:val="16"/>
                <w:b w:val="1"/>
                <w:bCs w:val="1"/>
                <w:color w:val="1D428A"/>
              </w:rPr>
              <w:t>CD&amp;A Executive Summary</w:t>
            </w:r>
          </w:p>
        </w:tc>
        <w:tc>
          <w:tcPr>
            <w:tcW w:w="220" w:type="dxa"/>
            <w:vAlign w:val="bottom"/>
          </w:tcPr>
          <w:p>
            <w:pPr>
              <w:jc w:val="right"/>
              <w:spacing w:after="0"/>
              <w:rPr>
                <w:sz w:val="20"/>
                <w:szCs w:val="20"/>
                <w:color w:val="auto"/>
              </w:rPr>
            </w:pPr>
            <w:r>
              <w:rPr>
                <w:rFonts w:ascii="Verdana" w:cs="Verdana" w:eastAsia="Verdana" w:hAnsi="Verdana"/>
                <w:sz w:val="16"/>
                <w:szCs w:val="16"/>
                <w:b w:val="1"/>
                <w:bCs w:val="1"/>
                <w:color w:val="1D428A"/>
                <w:w w:val="87"/>
              </w:rPr>
              <w:t>34</w:t>
            </w:r>
          </w:p>
        </w:tc>
      </w:tr>
      <w:tr>
        <w:trPr>
          <w:trHeight w:val="20"/>
        </w:trPr>
        <w:tc>
          <w:tcPr>
            <w:tcW w:w="1800" w:type="dxa"/>
            <w:vAlign w:val="bottom"/>
            <w:shd w:val="clear" w:color="auto" w:fill="1D428A"/>
          </w:tcPr>
          <w:p>
            <w:pPr>
              <w:spacing w:after="0" w:line="20" w:lineRule="exact"/>
              <w:rPr>
                <w:sz w:val="1"/>
                <w:szCs w:val="1"/>
                <w:color w:val="auto"/>
              </w:rPr>
            </w:pPr>
          </w:p>
        </w:tc>
        <w:tc>
          <w:tcPr>
            <w:tcW w:w="580" w:type="dxa"/>
            <w:vAlign w:val="bottom"/>
            <w:shd w:val="clear" w:color="auto" w:fill="1D428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shd w:val="clear" w:color="auto" w:fill="1D428A"/>
          </w:tcPr>
          <w:p>
            <w:pPr>
              <w:spacing w:after="0" w:line="20" w:lineRule="exact"/>
              <w:rPr>
                <w:sz w:val="1"/>
                <w:szCs w:val="1"/>
                <w:color w:val="auto"/>
              </w:rPr>
            </w:pP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Letter from the People and Compensation Committee</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34</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About Lear</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35</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2024 Financial Performance Highlights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35</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Named Executive Officers ("NEOs")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35</w:t>
            </w:r>
          </w:p>
        </w:tc>
      </w:tr>
      <w:tr>
        <w:trPr>
          <w:trHeight w:val="215"/>
        </w:trPr>
        <w:tc>
          <w:tcPr>
            <w:tcW w:w="3500" w:type="dxa"/>
            <w:vAlign w:val="bottom"/>
            <w:tcBorders>
              <w:bottom w:val="single" w:sz="8" w:color="1D428A"/>
            </w:tcBorders>
            <w:gridSpan w:val="5"/>
          </w:tcPr>
          <w:p>
            <w:pPr>
              <w:spacing w:after="0"/>
              <w:rPr>
                <w:sz w:val="20"/>
                <w:szCs w:val="20"/>
                <w:color w:val="auto"/>
              </w:rPr>
            </w:pPr>
            <w:r>
              <w:rPr>
                <w:rFonts w:ascii="Verdana" w:cs="Verdana" w:eastAsia="Verdana" w:hAnsi="Verdana"/>
                <w:sz w:val="16"/>
                <w:szCs w:val="16"/>
                <w:b w:val="1"/>
                <w:bCs w:val="1"/>
                <w:color w:val="1D428A"/>
              </w:rPr>
              <w:t>Summary of NEO Pay Results for 2024</w:t>
            </w:r>
          </w:p>
        </w:tc>
        <w:tc>
          <w:tcPr>
            <w:tcW w:w="7480" w:type="dxa"/>
            <w:vAlign w:val="bottom"/>
            <w:gridSpan w:val="3"/>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36</w:t>
            </w:r>
          </w:p>
        </w:tc>
      </w:tr>
      <w:tr>
        <w:trPr>
          <w:trHeight w:val="223"/>
        </w:trPr>
        <w:tc>
          <w:tcPr>
            <w:tcW w:w="2600" w:type="dxa"/>
            <w:vAlign w:val="bottom"/>
            <w:tcBorders>
              <w:bottom w:val="single" w:sz="8" w:color="1D428A"/>
            </w:tcBorders>
            <w:gridSpan w:val="3"/>
          </w:tcPr>
          <w:p>
            <w:pPr>
              <w:spacing w:after="0"/>
              <w:rPr>
                <w:sz w:val="20"/>
                <w:szCs w:val="20"/>
                <w:color w:val="auto"/>
              </w:rPr>
            </w:pPr>
            <w:r>
              <w:rPr>
                <w:rFonts w:ascii="Verdana" w:cs="Verdana" w:eastAsia="Verdana" w:hAnsi="Verdana"/>
                <w:sz w:val="16"/>
                <w:szCs w:val="16"/>
                <w:b w:val="1"/>
                <w:bCs w:val="1"/>
                <w:color w:val="1D428A"/>
              </w:rPr>
              <w:t>Decision-Making Framework</w:t>
            </w:r>
          </w:p>
        </w:tc>
        <w:tc>
          <w:tcPr>
            <w:tcW w:w="8380" w:type="dxa"/>
            <w:vAlign w:val="bottom"/>
            <w:gridSpan w:val="5"/>
          </w:tcPr>
          <w:p>
            <w:pPr>
              <w:spacing w:after="0"/>
              <w:rPr>
                <w:sz w:val="19"/>
                <w:szCs w:val="19"/>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36</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Total Rewards Philosophy and Compensation Principles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36</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Governance</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36</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Total Compensation Process and Review</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37</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Authority of P&amp;C Committee Under Incentive Plans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38</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Benchmarking Methodology and Peer Group Selection</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38</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Lear Versus 2024 Comparator Group</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39</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Pay Setting Process and Cycles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40</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Tally Sheets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40</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Say-on-Pay Results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40</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Alignment with Shareholders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40</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Engaging with Shareholders to Continue to Enhance our Compensation Program</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41</w:t>
            </w:r>
          </w:p>
        </w:tc>
      </w:tr>
      <w:tr>
        <w:trPr>
          <w:trHeight w:val="214"/>
        </w:trPr>
        <w:tc>
          <w:tcPr>
            <w:tcW w:w="5560" w:type="dxa"/>
            <w:vAlign w:val="bottom"/>
            <w:tcBorders>
              <w:bottom w:val="single" w:sz="8" w:color="1D428A"/>
            </w:tcBorders>
            <w:gridSpan w:val="7"/>
          </w:tcPr>
          <w:p>
            <w:pPr>
              <w:spacing w:after="0"/>
              <w:rPr>
                <w:sz w:val="20"/>
                <w:szCs w:val="20"/>
                <w:color w:val="auto"/>
              </w:rPr>
            </w:pPr>
            <w:r>
              <w:rPr>
                <w:rFonts w:ascii="Verdana" w:cs="Verdana" w:eastAsia="Verdana" w:hAnsi="Verdana"/>
                <w:sz w:val="16"/>
                <w:szCs w:val="16"/>
                <w:b w:val="1"/>
                <w:bCs w:val="1"/>
                <w:color w:val="1D428A"/>
              </w:rPr>
              <w:t>What We Pay and Why: Elements of Executive Compensation</w:t>
            </w:r>
          </w:p>
        </w:tc>
        <w:tc>
          <w:tcPr>
            <w:tcW w:w="5420" w:type="dxa"/>
            <w:vAlign w:val="bottom"/>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41</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Executive Compensation Objectives and Core Elements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41</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Pay for Performance</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42</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Mix</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43</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Target Pay Mix for CEO and Other NEOs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43</w:t>
            </w:r>
          </w:p>
        </w:tc>
      </w:tr>
      <w:tr>
        <w:trPr>
          <w:trHeight w:val="215"/>
        </w:trPr>
        <w:tc>
          <w:tcPr>
            <w:tcW w:w="5080" w:type="dxa"/>
            <w:vAlign w:val="bottom"/>
            <w:tcBorders>
              <w:bottom w:val="single" w:sz="8" w:color="1D428A"/>
            </w:tcBorders>
            <w:gridSpan w:val="6"/>
          </w:tcPr>
          <w:p>
            <w:pPr>
              <w:spacing w:after="0"/>
              <w:rPr>
                <w:sz w:val="20"/>
                <w:szCs w:val="20"/>
                <w:color w:val="auto"/>
              </w:rPr>
            </w:pPr>
            <w:r>
              <w:rPr>
                <w:rFonts w:ascii="Verdana" w:cs="Verdana" w:eastAsia="Verdana" w:hAnsi="Verdana"/>
                <w:sz w:val="16"/>
                <w:szCs w:val="16"/>
                <w:b w:val="1"/>
                <w:bCs w:val="1"/>
                <w:color w:val="1D428A"/>
              </w:rPr>
              <w:t>2024 Performance Results and Compensation Decisions</w:t>
            </w:r>
          </w:p>
        </w:tc>
        <w:tc>
          <w:tcPr>
            <w:tcW w:w="5900" w:type="dxa"/>
            <w:vAlign w:val="bottom"/>
            <w:gridSpan w:val="2"/>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44</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Base Salary</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44</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Annual Incentive Plan (AIP)</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45</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2024 Award Opportunity</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45</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2024 Financial Performance Measures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45</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New 2024 Strategic Scorecard Modifier (+/- 10%)</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45</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2024 Performance Goals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46</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2024 Performance Results and Corresponding Payouts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47</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Long-Term Stock Incentive Plan ("LTI") Compensation</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47</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2022-2024 Performance Results and Corresponding Payouts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48</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2024-2026 Long-Term Incentive Award Opportunity</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48</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2024-2026 Performance Measures and Goals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49</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Summary of Outstanding Performance Periods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50</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Special RSU Awards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51</w:t>
            </w:r>
          </w:p>
        </w:tc>
      </w:tr>
      <w:tr>
        <w:trPr>
          <w:trHeight w:val="215"/>
        </w:trPr>
        <w:tc>
          <w:tcPr>
            <w:tcW w:w="10980" w:type="dxa"/>
            <w:vAlign w:val="bottom"/>
            <w:gridSpan w:val="8"/>
          </w:tcPr>
          <w:p>
            <w:pPr>
              <w:spacing w:after="0"/>
              <w:rPr>
                <w:sz w:val="20"/>
                <w:szCs w:val="20"/>
                <w:color w:val="auto"/>
              </w:rPr>
            </w:pPr>
            <w:r>
              <w:rPr>
                <w:rFonts w:ascii="Verdana" w:cs="Verdana" w:eastAsia="Verdana" w:hAnsi="Verdana"/>
                <w:sz w:val="16"/>
                <w:szCs w:val="16"/>
                <w:b w:val="1"/>
                <w:bCs w:val="1"/>
                <w:color w:val="1D428A"/>
              </w:rPr>
              <w:t>Other Pay Elements</w:t>
            </w:r>
          </w:p>
        </w:tc>
        <w:tc>
          <w:tcPr>
            <w:tcW w:w="220" w:type="dxa"/>
            <w:vAlign w:val="bottom"/>
          </w:tcPr>
          <w:p>
            <w:pPr>
              <w:jc w:val="right"/>
              <w:spacing w:after="0"/>
              <w:rPr>
                <w:sz w:val="20"/>
                <w:szCs w:val="20"/>
                <w:color w:val="auto"/>
              </w:rPr>
            </w:pPr>
            <w:r>
              <w:rPr>
                <w:rFonts w:ascii="Verdana" w:cs="Verdana" w:eastAsia="Verdana" w:hAnsi="Verdana"/>
                <w:sz w:val="16"/>
                <w:szCs w:val="16"/>
                <w:b w:val="1"/>
                <w:bCs w:val="1"/>
                <w:color w:val="1D428A"/>
                <w:w w:val="87"/>
              </w:rPr>
              <w:t>51</w:t>
            </w:r>
          </w:p>
        </w:tc>
      </w:tr>
      <w:tr>
        <w:trPr>
          <w:trHeight w:val="238"/>
        </w:trPr>
        <w:tc>
          <w:tcPr>
            <w:tcW w:w="1800" w:type="dxa"/>
            <w:vAlign w:val="bottom"/>
            <w:tcBorders>
              <w:top w:val="single" w:sz="8" w:color="1D428A"/>
            </w:tcBorders>
          </w:tcPr>
          <w:p>
            <w:pPr>
              <w:ind w:left="220"/>
              <w:spacing w:after="0"/>
              <w:rPr>
                <w:sz w:val="20"/>
                <w:szCs w:val="20"/>
                <w:color w:val="auto"/>
              </w:rPr>
            </w:pPr>
            <w:r>
              <w:rPr>
                <w:rFonts w:ascii="Verdana" w:cs="Verdana" w:eastAsia="Verdana" w:hAnsi="Verdana"/>
                <w:sz w:val="14"/>
                <w:szCs w:val="14"/>
                <w:color w:val="auto"/>
              </w:rPr>
              <w:t>Perquisites</w:t>
            </w:r>
          </w:p>
        </w:tc>
        <w:tc>
          <w:tcPr>
            <w:tcW w:w="9180" w:type="dxa"/>
            <w:vAlign w:val="bottom"/>
            <w:gridSpan w:val="7"/>
          </w:tcPr>
          <w:p>
            <w:pPr>
              <w:spacing w:after="0"/>
              <w:rPr>
                <w:sz w:val="20"/>
                <w:szCs w:val="20"/>
                <w:color w:val="auto"/>
              </w:rPr>
            </w:pPr>
          </w:p>
        </w:tc>
        <w:tc>
          <w:tcPr>
            <w:tcW w:w="220" w:type="dxa"/>
            <w:vAlign w:val="bottom"/>
            <w:tcBorders>
              <w:top w:val="single" w:sz="8" w:color="1D428A"/>
            </w:tcBorders>
          </w:tcPr>
          <w:p>
            <w:pPr>
              <w:jc w:val="right"/>
              <w:spacing w:after="0"/>
              <w:rPr>
                <w:sz w:val="20"/>
                <w:szCs w:val="20"/>
                <w:color w:val="auto"/>
              </w:rPr>
            </w:pPr>
            <w:r>
              <w:rPr>
                <w:rFonts w:ascii="Verdana" w:cs="Verdana" w:eastAsia="Verdana" w:hAnsi="Verdana"/>
                <w:sz w:val="14"/>
                <w:szCs w:val="14"/>
                <w:color w:val="auto"/>
              </w:rPr>
              <w:t>51</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Retirement Benefits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51</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Career Shares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14"/>
        </w:trPr>
        <w:tc>
          <w:tcPr>
            <w:tcW w:w="3120" w:type="dxa"/>
            <w:vAlign w:val="bottom"/>
            <w:tcBorders>
              <w:bottom w:val="single" w:sz="8" w:color="1D428A"/>
            </w:tcBorders>
            <w:gridSpan w:val="4"/>
          </w:tcPr>
          <w:p>
            <w:pPr>
              <w:spacing w:after="0"/>
              <w:rPr>
                <w:sz w:val="20"/>
                <w:szCs w:val="20"/>
                <w:color w:val="auto"/>
              </w:rPr>
            </w:pPr>
            <w:r>
              <w:rPr>
                <w:rFonts w:ascii="Verdana" w:cs="Verdana" w:eastAsia="Verdana" w:hAnsi="Verdana"/>
                <w:sz w:val="16"/>
                <w:szCs w:val="16"/>
                <w:b w:val="1"/>
                <w:bCs w:val="1"/>
                <w:color w:val="1D428A"/>
              </w:rPr>
              <w:t>Governance Policies and Practices</w:t>
            </w:r>
          </w:p>
        </w:tc>
        <w:tc>
          <w:tcPr>
            <w:tcW w:w="7860" w:type="dxa"/>
            <w:vAlign w:val="bottom"/>
            <w:gridSpan w:val="4"/>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52</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Equity Award Policy</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Employment Agreements/Termination/Change in Control Benefits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and Risk</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53</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Stock Ownership Guidelines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53</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Insider Trading Policy</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54</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Clawback Policies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54</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Tax Treatment of Executive Compensation</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55</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Accounting Treatment</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55</w:t>
            </w: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8" w:name="page39"/>
    <w:bookmarkEnd w:id="3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CD&amp;A Executive Summary</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Letter from the People and Compensation Committee</w:t>
      </w:r>
    </w:p>
    <w:p>
      <w:pPr>
        <w:spacing w:after="0" w:line="212" w:lineRule="exact"/>
        <w:rPr>
          <w:sz w:val="20"/>
          <w:szCs w:val="20"/>
          <w:color w:val="auto"/>
        </w:rPr>
      </w:pPr>
    </w:p>
    <w:p>
      <w:pPr>
        <w:spacing w:after="0"/>
        <w:rPr>
          <w:sz w:val="20"/>
          <w:szCs w:val="20"/>
          <w:color w:val="auto"/>
        </w:rPr>
      </w:pPr>
      <w:r>
        <w:rPr>
          <w:rFonts w:ascii="Verdana" w:cs="Verdana" w:eastAsia="Verdana" w:hAnsi="Verdana"/>
          <w:sz w:val="16"/>
          <w:szCs w:val="16"/>
          <w:color w:val="auto"/>
        </w:rPr>
        <w:t>Dear Shareholders:</w:t>
      </w:r>
    </w:p>
    <w:p>
      <w:pPr>
        <w:spacing w:after="0" w:line="211" w:lineRule="exact"/>
        <w:rPr>
          <w:sz w:val="20"/>
          <w:szCs w:val="20"/>
          <w:color w:val="auto"/>
        </w:rPr>
      </w:pPr>
    </w:p>
    <w:p>
      <w:pPr>
        <w:ind w:right="360"/>
        <w:spacing w:after="0" w:line="241" w:lineRule="auto"/>
        <w:rPr>
          <w:sz w:val="20"/>
          <w:szCs w:val="20"/>
          <w:color w:val="auto"/>
        </w:rPr>
      </w:pPr>
      <w:r>
        <w:rPr>
          <w:rFonts w:ascii="Verdana" w:cs="Verdana" w:eastAsia="Verdana" w:hAnsi="Verdana"/>
          <w:sz w:val="16"/>
          <w:szCs w:val="16"/>
          <w:color w:val="auto"/>
        </w:rPr>
        <w:t>In 2024, Lear continued its strong performance despite a challenging economic environment, reduced production volumes, wage inflation and lower than anticipated demand for electric vehicles. Through our strong operational performance, we were able to meet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these challenges and deliver revenue of $23.3 billion, very near our record 2023 revenue.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On behalf of Lear's P&amp;C Committee, thank you for your continuing support of Lear's executive compensation program. The P&amp;C</w:t>
      </w:r>
    </w:p>
    <w:p>
      <w:pPr>
        <w:spacing w:after="0" w:line="8"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Committee represents our shareholders and diligently works to ensure that the Company's executive compensation program aligns with the interests of our shareholders and long-term value creation, while serving to attract, retain and reward our talented workforce.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on behalf of the Board, prioritizes responsiveness to your views on executive compensation. We especially want to</w:t>
      </w:r>
    </w:p>
    <w:p>
      <w:pPr>
        <w:spacing w:after="0" w:line="8" w:lineRule="exact"/>
        <w:rPr>
          <w:sz w:val="20"/>
          <w:szCs w:val="20"/>
          <w:color w:val="auto"/>
        </w:rPr>
      </w:pPr>
    </w:p>
    <w:p>
      <w:pPr>
        <w:ind w:right="760"/>
        <w:spacing w:after="0" w:line="253" w:lineRule="auto"/>
        <w:rPr>
          <w:sz w:val="20"/>
          <w:szCs w:val="20"/>
          <w:color w:val="auto"/>
        </w:rPr>
      </w:pPr>
      <w:r>
        <w:rPr>
          <w:rFonts w:ascii="Verdana" w:cs="Verdana" w:eastAsia="Verdana" w:hAnsi="Verdana"/>
          <w:sz w:val="16"/>
          <w:szCs w:val="16"/>
          <w:color w:val="auto"/>
        </w:rPr>
        <w:t>thank those shareholders who have provided feedback to us over the course of the last year. We were pleased to hear favorable feedback about our program.</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At Lear, our executive incentive compensation plans reflect:</w:t>
      </w:r>
    </w:p>
    <w:p>
      <w:pPr>
        <w:spacing w:after="0" w:line="103" w:lineRule="exact"/>
        <w:rPr>
          <w:sz w:val="20"/>
          <w:szCs w:val="20"/>
          <w:color w:val="auto"/>
        </w:rPr>
      </w:pPr>
    </w:p>
    <w:p>
      <w:pPr>
        <w:ind w:left="660" w:right="280" w:hanging="328"/>
        <w:spacing w:after="0" w:line="253" w:lineRule="auto"/>
        <w:tabs>
          <w:tab w:leader="none" w:pos="654" w:val="left"/>
        </w:tabs>
        <w:numPr>
          <w:ilvl w:val="0"/>
          <w:numId w:val="49"/>
        </w:numPr>
        <w:rPr>
          <w:rFonts w:ascii="Verdana" w:cs="Verdana" w:eastAsia="Verdana" w:hAnsi="Verdana"/>
          <w:sz w:val="16"/>
          <w:szCs w:val="16"/>
          <w:color w:val="auto"/>
        </w:rPr>
      </w:pPr>
      <w:r>
        <w:rPr>
          <w:rFonts w:ascii="Verdana" w:cs="Verdana" w:eastAsia="Verdana" w:hAnsi="Verdana"/>
          <w:sz w:val="16"/>
          <w:szCs w:val="16"/>
          <w:color w:val="auto"/>
        </w:rPr>
        <w:t>our actual and relative business results, using financial measures such as adjusted operating income, free cash flow, adjusted pretax income, adjusted ROIC improvement and relative total shareholder return;</w:t>
      </w:r>
    </w:p>
    <w:p>
      <w:pPr>
        <w:spacing w:after="0" w:line="89" w:lineRule="exact"/>
        <w:rPr>
          <w:rFonts w:ascii="Verdana" w:cs="Verdana" w:eastAsia="Verdana" w:hAnsi="Verdana"/>
          <w:sz w:val="16"/>
          <w:szCs w:val="16"/>
          <w:color w:val="auto"/>
        </w:rPr>
      </w:pPr>
    </w:p>
    <w:p>
      <w:pPr>
        <w:ind w:left="640" w:hanging="308"/>
        <w:spacing w:after="0"/>
        <w:tabs>
          <w:tab w:leader="none" w:pos="640" w:val="left"/>
        </w:tabs>
        <w:numPr>
          <w:ilvl w:val="0"/>
          <w:numId w:val="49"/>
        </w:numPr>
        <w:rPr>
          <w:rFonts w:ascii="Verdana" w:cs="Verdana" w:eastAsia="Verdana" w:hAnsi="Verdana"/>
          <w:sz w:val="16"/>
          <w:szCs w:val="16"/>
          <w:color w:val="auto"/>
        </w:rPr>
      </w:pPr>
      <w:r>
        <w:rPr>
          <w:rFonts w:ascii="Verdana" w:cs="Verdana" w:eastAsia="Verdana" w:hAnsi="Verdana"/>
          <w:sz w:val="16"/>
          <w:szCs w:val="16"/>
          <w:color w:val="auto"/>
        </w:rPr>
        <w:t>a focus on product and process innovation;</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49"/>
        </w:numPr>
        <w:rPr>
          <w:rFonts w:ascii="Verdana" w:cs="Verdana" w:eastAsia="Verdana" w:hAnsi="Verdana"/>
          <w:sz w:val="16"/>
          <w:szCs w:val="16"/>
          <w:color w:val="auto"/>
        </w:rPr>
      </w:pPr>
      <w:r>
        <w:rPr>
          <w:rFonts w:ascii="Verdana" w:cs="Verdana" w:eastAsia="Verdana" w:hAnsi="Verdana"/>
          <w:sz w:val="16"/>
          <w:szCs w:val="16"/>
          <w:color w:val="auto"/>
        </w:rPr>
        <w:t>our sustainable long-term focus with multi-year timeframes, consistent structures and focus on meaningful stock ownership; and</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49"/>
        </w:numPr>
        <w:rPr>
          <w:rFonts w:ascii="Verdana" w:cs="Verdana" w:eastAsia="Verdana" w:hAnsi="Verdana"/>
          <w:sz w:val="16"/>
          <w:szCs w:val="16"/>
          <w:color w:val="auto"/>
        </w:rPr>
      </w:pPr>
      <w:r>
        <w:rPr>
          <w:rFonts w:ascii="Verdana" w:cs="Verdana" w:eastAsia="Verdana" w:hAnsi="Verdana"/>
          <w:sz w:val="16"/>
          <w:szCs w:val="16"/>
          <w:color w:val="auto"/>
        </w:rPr>
        <w:t>our emphasis on human capital, values and leadership.</w:t>
      </w:r>
    </w:p>
    <w:p>
      <w:pPr>
        <w:spacing w:after="0" w:line="103"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As we look forward, we will continue to face new challenges as automakers rethink their product launches in the face of an evolving macroeconomic and geopolitical environment and uncertainties in consumer powertrain demand. Amid these challenges, we will continue</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to focus on what we can control to position Lear for future success. We are confident that these efforts, particularly our focus on innovation, automation and the use of artificial intelligence, will allow us to deliver differentiated, higher quality and lower cost products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for our customers and lead to future success.</w:t>
      </w:r>
    </w:p>
    <w:p>
      <w:pPr>
        <w:spacing w:after="0" w:line="103" w:lineRule="exact"/>
        <w:rPr>
          <w:sz w:val="20"/>
          <w:szCs w:val="20"/>
          <w:color w:val="auto"/>
        </w:rPr>
      </w:pPr>
    </w:p>
    <w:p>
      <w:pPr>
        <w:jc w:val="both"/>
        <w:ind w:right="40"/>
        <w:spacing w:after="0" w:line="241" w:lineRule="auto"/>
        <w:rPr>
          <w:sz w:val="20"/>
          <w:szCs w:val="20"/>
          <w:color w:val="auto"/>
        </w:rPr>
      </w:pPr>
      <w:r>
        <w:rPr>
          <w:rFonts w:ascii="Verdana" w:cs="Verdana" w:eastAsia="Verdana" w:hAnsi="Verdana"/>
          <w:sz w:val="16"/>
          <w:szCs w:val="16"/>
          <w:color w:val="auto"/>
        </w:rPr>
        <w:t>The "Compensation Discussion and Analysis" that follows summarizes the alignment between the Company's demonstrated performance and the compensation outcomes for the NEOs. When determining incentive performance and payout results, the P&amp;C Committee uses a</w:t>
      </w:r>
    </w:p>
    <w:p>
      <w:pPr>
        <w:spacing w:after="0" w:line="1" w:lineRule="exact"/>
        <w:rPr>
          <w:sz w:val="20"/>
          <w:szCs w:val="20"/>
          <w:color w:val="auto"/>
        </w:rPr>
      </w:pPr>
    </w:p>
    <w:p>
      <w:pPr>
        <w:jc w:val="both"/>
        <w:ind w:right="40"/>
        <w:spacing w:after="0" w:line="243" w:lineRule="auto"/>
        <w:rPr>
          <w:sz w:val="20"/>
          <w:szCs w:val="20"/>
          <w:color w:val="auto"/>
        </w:rPr>
      </w:pPr>
      <w:r>
        <w:rPr>
          <w:rFonts w:ascii="Verdana" w:cs="Verdana" w:eastAsia="Verdana" w:hAnsi="Verdana"/>
          <w:sz w:val="16"/>
          <w:szCs w:val="16"/>
          <w:color w:val="auto"/>
        </w:rPr>
        <w:t xml:space="preserve">rigorous process against pre-established financial measures. The 2024 pay results for our NEOs are summarized on page </w:t>
      </w:r>
      <w:r>
        <w:rPr>
          <w:rFonts w:ascii="Verdana" w:cs="Verdana" w:eastAsia="Verdana" w:hAnsi="Verdana"/>
          <w:sz w:val="16"/>
          <w:szCs w:val="16"/>
          <w:u w:val="single" w:color="auto"/>
          <w:color w:val="0000FF"/>
        </w:rPr>
        <w:t>36</w:t>
      </w:r>
      <w:r>
        <w:rPr>
          <w:rFonts w:ascii="Verdana" w:cs="Verdana" w:eastAsia="Verdana" w:hAnsi="Verdana"/>
          <w:sz w:val="16"/>
          <w:szCs w:val="16"/>
          <w:color w:val="auto"/>
        </w:rPr>
        <w:t>. We believe our executive compensation program demonstrates our commitment to linking executive compensation to the Company's near-term and long-term strategies while being responsive to shareholder feedback.</w:t>
      </w:r>
    </w:p>
    <w:p>
      <w:pPr>
        <w:spacing w:after="0" w:line="9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P&amp;C Committee encourages management to make decisions that drive long-term value creation. We look forward to your feedback to ensure continued alignment between our executive compensation program and shareholder interests, while allowing the Company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attract and retain the talent we need to execute the Company's strategy.</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0195" cy="4972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601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16"/>
          <w:szCs w:val="16"/>
          <w:color w:val="auto"/>
        </w:rPr>
        <w:t>Patricia L. Lewis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People and Compensation Committee Chair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 w:hanging="534"/>
        <w:spacing w:after="0"/>
        <w:tabs>
          <w:tab w:leader="none" w:pos="560" w:val="left"/>
        </w:tabs>
        <w:numPr>
          <w:ilvl w:val="0"/>
          <w:numId w:val="50"/>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About Lear</w:t>
      </w:r>
    </w:p>
    <w:p>
      <w:pPr>
        <w:spacing w:after="0" w:line="131"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Lear Corporation is a global automotive technology leader in Seating and E-Systems, enabling superior in-vehicle experiences for consumers around the world. We supply complete seat systems, key seat components, complete electrical distribution and connection</w:t>
      </w:r>
    </w:p>
    <w:p>
      <w:pPr>
        <w:spacing w:after="0" w:line="1" w:lineRule="exact"/>
        <w:rPr>
          <w:sz w:val="20"/>
          <w:szCs w:val="20"/>
          <w:color w:val="auto"/>
        </w:rPr>
      </w:pPr>
    </w:p>
    <w:p>
      <w:pPr>
        <w:ind w:right="120"/>
        <w:spacing w:after="0" w:line="219" w:lineRule="auto"/>
        <w:rPr>
          <w:sz w:val="20"/>
          <w:szCs w:val="20"/>
          <w:color w:val="auto"/>
        </w:rPr>
      </w:pPr>
      <w:r>
        <w:rPr>
          <w:rFonts w:ascii="Verdana" w:cs="Verdana" w:eastAsia="Verdana" w:hAnsi="Verdana"/>
          <w:sz w:val="16"/>
          <w:szCs w:val="16"/>
          <w:color w:val="auto"/>
        </w:rPr>
        <w:t xml:space="preserve">systems, high-voltage power distribution products, including BDUs, low-voltage power distribution products and electronic controllers to all of the world's major automotive manufacturers. At Lear, we are </w:t>
      </w:r>
      <w:r>
        <w:rPr>
          <w:rFonts w:ascii="Verdana" w:cs="Verdana" w:eastAsia="Verdana" w:hAnsi="Verdana"/>
          <w:sz w:val="16"/>
          <w:szCs w:val="16"/>
          <w:i w:val="1"/>
          <w:iCs w:val="1"/>
          <w:color w:val="auto"/>
        </w:rPr>
        <w:t>Making every drive better</w:t>
      </w:r>
      <w:r>
        <w:rPr>
          <w:rFonts w:ascii="Verdana" w:cs="Verdana" w:eastAsia="Verdana" w:hAnsi="Verdana"/>
          <w:sz w:val="21"/>
          <w:szCs w:val="21"/>
          <w:i w:val="1"/>
          <w:iCs w:val="1"/>
          <w:color w:val="auto"/>
          <w:vertAlign w:val="superscript"/>
        </w:rPr>
        <w:t>TM</w:t>
      </w:r>
      <w:r>
        <w:rPr>
          <w:rFonts w:ascii="Verdana" w:cs="Verdana" w:eastAsia="Verdana" w:hAnsi="Verdana"/>
          <w:sz w:val="16"/>
          <w:szCs w:val="16"/>
          <w:color w:val="auto"/>
        </w:rPr>
        <w:t xml:space="preserve"> by providing technology for safer, smarter and more comfortable journeys, while adhering to our values — </w:t>
      </w:r>
      <w:r>
        <w:rPr>
          <w:rFonts w:ascii="Verdana" w:cs="Verdana" w:eastAsia="Verdana" w:hAnsi="Verdana"/>
          <w:sz w:val="16"/>
          <w:szCs w:val="16"/>
          <w:i w:val="1"/>
          <w:iCs w:val="1"/>
          <w:color w:val="auto"/>
        </w:rPr>
        <w:t>Be Inclusive. Be Inventive. Get Results the Right Way</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73025</wp:posOffset>
            </wp:positionV>
            <wp:extent cx="5760720" cy="12687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6072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40"/>
        <w:spacing w:after="0" w:line="243" w:lineRule="auto"/>
        <w:rPr>
          <w:sz w:val="20"/>
          <w:szCs w:val="20"/>
          <w:color w:val="auto"/>
        </w:rPr>
      </w:pPr>
      <w:r>
        <w:rPr>
          <w:rFonts w:ascii="Verdana" w:cs="Verdana" w:eastAsia="Verdana" w:hAnsi="Verdana"/>
          <w:sz w:val="16"/>
          <w:szCs w:val="16"/>
          <w:color w:val="auto"/>
        </w:rPr>
        <w:t>Our business is organized under two reporting segments: Seating and E-Systems. Each of these segments has a varied product and technology portfolio across a number of component categories. We continuously evaluate this portfolio, aligning it with industry trends while balancing risk-adjusted returns, which allows us to offer value-added solutions to our customers.</w:t>
      </w:r>
    </w:p>
    <w:p>
      <w:pPr>
        <w:spacing w:after="0" w:line="12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2024 Financial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100330</wp:posOffset>
            </wp:positionV>
            <wp:extent cx="5589270" cy="1465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8927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right="280" w:hanging="332"/>
        <w:spacing w:after="0" w:line="270" w:lineRule="auto"/>
        <w:tabs>
          <w:tab w:leader="none" w:pos="335" w:val="left"/>
        </w:tabs>
        <w:numPr>
          <w:ilvl w:val="0"/>
          <w:numId w:val="51"/>
        </w:numPr>
        <w:rPr>
          <w:rFonts w:ascii="Verdana" w:cs="Verdana" w:eastAsia="Verdana" w:hAnsi="Verdana"/>
          <w:sz w:val="16"/>
          <w:szCs w:val="16"/>
          <w:i w:val="1"/>
          <w:iCs w:val="1"/>
          <w:color w:val="auto"/>
        </w:rPr>
      </w:pPr>
      <w:r>
        <w:rPr>
          <w:rFonts w:ascii="Verdana" w:cs="Verdana" w:eastAsia="Verdana" w:hAnsi="Verdana"/>
          <w:sz w:val="16"/>
          <w:szCs w:val="16"/>
          <w:i w:val="1"/>
          <w:iCs w:val="1"/>
          <w:color w:val="auto"/>
        </w:rPr>
        <w:t xml:space="preserve">See page </w:t>
      </w:r>
      <w:r>
        <w:rPr>
          <w:rFonts w:ascii="Verdana" w:cs="Verdana" w:eastAsia="Verdana" w:hAnsi="Verdana"/>
          <w:sz w:val="16"/>
          <w:szCs w:val="16"/>
          <w:i w:val="1"/>
          <w:iCs w:val="1"/>
          <w:u w:val="single" w:color="auto"/>
          <w:color w:val="0000FF"/>
        </w:rPr>
        <w:t>3</w:t>
      </w:r>
      <w:r>
        <w:rPr>
          <w:rFonts w:ascii="Verdana" w:cs="Verdana" w:eastAsia="Verdana" w:hAnsi="Verdana"/>
          <w:sz w:val="16"/>
          <w:szCs w:val="16"/>
          <w:i w:val="1"/>
          <w:iCs w:val="1"/>
          <w:color w:val="auto"/>
        </w:rPr>
        <w:t xml:space="preserve"> and Appendix A “Reconciliation of Non-GAAP Financial Measures” on page </w:t>
      </w:r>
      <w:r>
        <w:rPr>
          <w:rFonts w:ascii="Verdana" w:cs="Verdana" w:eastAsia="Verdana" w:hAnsi="Verdana"/>
          <w:sz w:val="16"/>
          <w:szCs w:val="16"/>
          <w:i w:val="1"/>
          <w:iCs w:val="1"/>
          <w:u w:val="single" w:color="auto"/>
          <w:color w:val="0000FF"/>
        </w:rPr>
        <w:t>90</w:t>
      </w:r>
      <w:r>
        <w:rPr>
          <w:rFonts w:ascii="Verdana" w:cs="Verdana" w:eastAsia="Verdana" w:hAnsi="Verdana"/>
          <w:sz w:val="16"/>
          <w:szCs w:val="16"/>
          <w:i w:val="1"/>
          <w:iCs w:val="1"/>
          <w:color w:val="auto"/>
        </w:rPr>
        <w:t xml:space="preserve"> for more information on these non-GAAP financial measures and how they are used.</w:t>
      </w:r>
    </w:p>
    <w:p>
      <w:pPr>
        <w:spacing w:after="0" w:line="10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Named Executive Officers ("NEOs")</w:t>
      </w:r>
    </w:p>
    <w:p>
      <w:pPr>
        <w:spacing w:after="0" w:line="131"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The CD&amp;A and Executive Compensation Tables outline Lear Corporation's executive compensation program and process for determining pay as it applies to the NEOs. For 2024, Lear's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172200" cy="12515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Verdana" w:cs="Verdana" w:eastAsia="Verdana" w:hAnsi="Verdana"/>
          <w:sz w:val="14"/>
          <w:szCs w:val="14"/>
          <w:i w:val="1"/>
          <w:iCs w:val="1"/>
          <w:color w:val="auto"/>
        </w:rPr>
        <w:t>Mr. Esposito served as SVP &amp; President, E-Systems until May 16, 2024, and currently serves as SVP, IDEA by Lear in a non-executive officer capacity.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35</w:t>
            </w:r>
          </w:p>
        </w:tc>
      </w:tr>
      <w:tr>
        <w:trPr>
          <w:trHeight w:val="318"/>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Summary of NEO Pay Results for 2024</w:t>
      </w:r>
    </w:p>
    <w:p>
      <w:pPr>
        <w:spacing w:after="0" w:line="146" w:lineRule="exact"/>
        <w:rPr>
          <w:sz w:val="20"/>
          <w:szCs w:val="20"/>
          <w:color w:val="auto"/>
        </w:rPr>
      </w:pPr>
    </w:p>
    <w:p>
      <w:pPr>
        <w:jc w:val="both"/>
        <w:ind w:left="660" w:right="20" w:hanging="328"/>
        <w:spacing w:after="0" w:line="251" w:lineRule="auto"/>
        <w:tabs>
          <w:tab w:leader="none" w:pos="654"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Annual Incentive Plan (AIP) payout at 89% of target for results below the stretch financial goals (the Adjusted Operating Income target was 26% higher than the target set in the 2023 AIP and the Free Cash Flow target was 39% higher than the target set in the 2023 AIP).</w:t>
      </w:r>
    </w:p>
    <w:p>
      <w:pPr>
        <w:spacing w:after="0" w:line="78" w:lineRule="exact"/>
        <w:rPr>
          <w:rFonts w:ascii="Verdana" w:cs="Verdana" w:eastAsia="Verdana" w:hAnsi="Verdana"/>
          <w:sz w:val="16"/>
          <w:szCs w:val="16"/>
          <w:color w:val="auto"/>
        </w:rPr>
      </w:pPr>
    </w:p>
    <w:p>
      <w:pPr>
        <w:ind w:left="660" w:right="260" w:hanging="328"/>
        <w:spacing w:after="0" w:line="270" w:lineRule="auto"/>
        <w:tabs>
          <w:tab w:leader="none" w:pos="654"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Performance Shares for the 2022-2024 performance cycle paid at 112% of target (3-year cumulative Adjusted Pretax Income target was 12% higher than the target set in the 2021-2023 performance cycle).</w:t>
      </w:r>
    </w:p>
    <w:p>
      <w:pPr>
        <w:spacing w:after="0" w:line="61" w:lineRule="exact"/>
        <w:rPr>
          <w:rFonts w:ascii="Verdana" w:cs="Verdana" w:eastAsia="Verdana" w:hAnsi="Verdana"/>
          <w:sz w:val="16"/>
          <w:szCs w:val="16"/>
          <w:color w:val="auto"/>
        </w:rPr>
      </w:pPr>
    </w:p>
    <w:p>
      <w:pPr>
        <w:ind w:left="660" w:right="420" w:hanging="328"/>
        <w:spacing w:after="0" w:line="253" w:lineRule="auto"/>
        <w:tabs>
          <w:tab w:leader="none" w:pos="654"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Base salaries were increased effective September 1, 2024, with increases ranging from 3.5 to 7.1%; it had been 21 months since the last increase.</w:t>
      </w:r>
    </w:p>
    <w:p>
      <w:pPr>
        <w:spacing w:after="0" w:line="12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Decision-Making Framework</w:t>
      </w:r>
    </w:p>
    <w:p>
      <w:pPr>
        <w:spacing w:after="0" w:line="146" w:lineRule="exact"/>
        <w:rPr>
          <w:sz w:val="20"/>
          <w:szCs w:val="20"/>
          <w:color w:val="auto"/>
        </w:rPr>
      </w:pPr>
    </w:p>
    <w:p>
      <w:pPr>
        <w:jc w:val="both"/>
        <w:ind w:right="80"/>
        <w:spacing w:after="0" w:line="241" w:lineRule="auto"/>
        <w:rPr>
          <w:sz w:val="20"/>
          <w:szCs w:val="20"/>
          <w:color w:val="auto"/>
        </w:rPr>
      </w:pPr>
      <w:r>
        <w:rPr>
          <w:rFonts w:ascii="Verdana" w:cs="Verdana" w:eastAsia="Verdana" w:hAnsi="Verdana"/>
          <w:sz w:val="16"/>
          <w:szCs w:val="16"/>
          <w:color w:val="auto"/>
        </w:rPr>
        <w:t>Our executive compensation program is designed to reward financial performance, strong leadership and operational excellence, all of which are key elements in driving sustainable growth and shareholder value. This program allows us to compete for top talent and build</w:t>
      </w:r>
    </w:p>
    <w:p>
      <w:pPr>
        <w:spacing w:after="0" w:line="1" w:lineRule="exact"/>
        <w:rPr>
          <w:sz w:val="20"/>
          <w:szCs w:val="20"/>
          <w:color w:val="auto"/>
        </w:rPr>
      </w:pPr>
    </w:p>
    <w:p>
      <w:pPr>
        <w:jc w:val="both"/>
        <w:ind w:right="80"/>
        <w:spacing w:after="0" w:line="253" w:lineRule="auto"/>
        <w:rPr>
          <w:sz w:val="20"/>
          <w:szCs w:val="20"/>
          <w:color w:val="auto"/>
        </w:rPr>
      </w:pPr>
      <w:r>
        <w:rPr>
          <w:rFonts w:ascii="Verdana" w:cs="Verdana" w:eastAsia="Verdana" w:hAnsi="Verdana"/>
          <w:sz w:val="16"/>
          <w:szCs w:val="16"/>
          <w:color w:val="auto"/>
        </w:rPr>
        <w:t>a management team that is well positioned to drive Lear's performance. The basic foundational concepts of our executive compensation program are grounded in best practices.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Total Rewards Philosophy and Compensation Principles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Our underlying total rewards philosophy is to provide performance-based and market competitive programs tied to performance and</w:t>
      </w:r>
    </w:p>
    <w:p>
      <w:pPr>
        <w:spacing w:after="0" w:line="8"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aligned with the interests of our shareholders. Our objective is to attract, motivate and retain the caliber of executive officers and other key employees necessary to deliver sustained long-term performance for our shareholders in a challenging and dynamic industry. The</w:t>
      </w:r>
    </w:p>
    <w:p>
      <w:pPr>
        <w:spacing w:after="0" w:line="1" w:lineRule="exact"/>
        <w:rPr>
          <w:sz w:val="20"/>
          <w:szCs w:val="20"/>
          <w:color w:val="auto"/>
        </w:rPr>
      </w:pPr>
    </w:p>
    <w:p>
      <w:pPr>
        <w:jc w:val="both"/>
        <w:ind w:right="80"/>
        <w:spacing w:after="0" w:line="243" w:lineRule="auto"/>
        <w:rPr>
          <w:sz w:val="20"/>
          <w:szCs w:val="20"/>
          <w:color w:val="auto"/>
        </w:rPr>
      </w:pPr>
      <w:r>
        <w:rPr>
          <w:rFonts w:ascii="Verdana" w:cs="Verdana" w:eastAsia="Verdana" w:hAnsi="Verdana"/>
          <w:sz w:val="16"/>
          <w:szCs w:val="16"/>
          <w:color w:val="auto"/>
        </w:rPr>
        <w:t>P&amp;C Committee strives to create a pay-for-performance culture and strongly believes that executive compensation should be tied to the successful execution of our long-term corporate strategy. Our total rewards programs are an important part of delivering on this overall value proposition.</w:t>
      </w:r>
    </w:p>
    <w:p>
      <w:pPr>
        <w:spacing w:after="0" w:line="98" w:lineRule="exact"/>
        <w:rPr>
          <w:sz w:val="20"/>
          <w:szCs w:val="20"/>
          <w:color w:val="auto"/>
        </w:rPr>
      </w:pPr>
    </w:p>
    <w:p>
      <w:pPr>
        <w:spacing w:after="0"/>
        <w:rPr>
          <w:sz w:val="20"/>
          <w:szCs w:val="20"/>
          <w:color w:val="auto"/>
        </w:rPr>
      </w:pPr>
      <w:r>
        <w:rPr>
          <w:rFonts w:ascii="Verdana" w:cs="Verdana" w:eastAsia="Verdana" w:hAnsi="Verdana"/>
          <w:sz w:val="16"/>
          <w:szCs w:val="16"/>
          <w:color w:val="auto"/>
        </w:rPr>
        <w:t>Our pay-for-performance structure and the resulting compensation provided to our executives are guided by the following principles:</w:t>
      </w:r>
    </w:p>
    <w:p>
      <w:pPr>
        <w:spacing w:after="0" w:line="103" w:lineRule="exact"/>
        <w:rPr>
          <w:sz w:val="20"/>
          <w:szCs w:val="20"/>
          <w:color w:val="auto"/>
        </w:rPr>
      </w:pPr>
    </w:p>
    <w:p>
      <w:pPr>
        <w:ind w:left="660" w:right="420" w:hanging="328"/>
        <w:spacing w:after="0" w:line="270" w:lineRule="auto"/>
        <w:tabs>
          <w:tab w:leader="none" w:pos="654" w:val="left"/>
        </w:tabs>
        <w:numPr>
          <w:ilvl w:val="0"/>
          <w:numId w:val="53"/>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Align with Our Shareholders: </w:t>
      </w:r>
      <w:r>
        <w:rPr>
          <w:rFonts w:ascii="Verdana" w:cs="Verdana" w:eastAsia="Verdana" w:hAnsi="Verdana"/>
          <w:sz w:val="16"/>
          <w:szCs w:val="16"/>
          <w:color w:val="000000"/>
        </w:rPr>
        <w:t>Our incentive plans and resulting compensation paid are designed to align directly with the</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long-term interests of our shareholders.</w:t>
      </w:r>
    </w:p>
    <w:p>
      <w:pPr>
        <w:spacing w:after="0" w:line="61" w:lineRule="exact"/>
        <w:rPr>
          <w:rFonts w:ascii="Verdana" w:cs="Verdana" w:eastAsia="Verdana" w:hAnsi="Verdana"/>
          <w:sz w:val="16"/>
          <w:szCs w:val="16"/>
          <w:color w:val="auto"/>
        </w:rPr>
      </w:pPr>
    </w:p>
    <w:p>
      <w:pPr>
        <w:ind w:left="660" w:right="480" w:hanging="328"/>
        <w:spacing w:after="0" w:line="253" w:lineRule="auto"/>
        <w:tabs>
          <w:tab w:leader="none" w:pos="654" w:val="left"/>
        </w:tabs>
        <w:numPr>
          <w:ilvl w:val="0"/>
          <w:numId w:val="53"/>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Enable Company Strategy: </w:t>
      </w:r>
      <w:r>
        <w:rPr>
          <w:rFonts w:ascii="Verdana" w:cs="Verdana" w:eastAsia="Verdana" w:hAnsi="Verdana"/>
          <w:sz w:val="16"/>
          <w:szCs w:val="16"/>
          <w:color w:val="000000"/>
        </w:rPr>
        <w:t>Compensation earned is based on the achievement of stretch goals that drive the Company's</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strategies both for the near-term and the long-term.</w:t>
      </w:r>
    </w:p>
    <w:p>
      <w:pPr>
        <w:spacing w:after="0" w:line="89" w:lineRule="exact"/>
        <w:rPr>
          <w:rFonts w:ascii="Verdana" w:cs="Verdana" w:eastAsia="Verdana" w:hAnsi="Verdana"/>
          <w:sz w:val="16"/>
          <w:szCs w:val="16"/>
          <w:color w:val="auto"/>
        </w:rPr>
      </w:pPr>
    </w:p>
    <w:p>
      <w:pPr>
        <w:ind w:left="660" w:right="100" w:hanging="328"/>
        <w:spacing w:after="0" w:line="242" w:lineRule="auto"/>
        <w:tabs>
          <w:tab w:leader="none" w:pos="654" w:val="left"/>
        </w:tabs>
        <w:numPr>
          <w:ilvl w:val="0"/>
          <w:numId w:val="53"/>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Drive Business Performance: </w:t>
      </w:r>
      <w:r>
        <w:rPr>
          <w:rFonts w:ascii="Verdana" w:cs="Verdana" w:eastAsia="Verdana" w:hAnsi="Verdana"/>
          <w:sz w:val="16"/>
          <w:szCs w:val="16"/>
          <w:color w:val="000000"/>
        </w:rPr>
        <w:t>The performance measures in our incentive plans are selected and weighted based on our</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strategy to drive and reward annual and long-term business performance. As a result, incentive payouts and the resulting total realized or potentially realized pay are commensurate with the Company's performance relative to goals set prior to the start of the respective performance periods, and the value of equity awards, which represent the majority of our executives' total compensation, directly aligns with the experience of our shareholders.</w:t>
      </w:r>
    </w:p>
    <w:p>
      <w:pPr>
        <w:spacing w:after="0" w:line="99" w:lineRule="exact"/>
        <w:rPr>
          <w:rFonts w:ascii="Verdana" w:cs="Verdana" w:eastAsia="Verdana" w:hAnsi="Verdana"/>
          <w:sz w:val="16"/>
          <w:szCs w:val="16"/>
          <w:color w:val="auto"/>
        </w:rPr>
      </w:pPr>
    </w:p>
    <w:p>
      <w:pPr>
        <w:jc w:val="both"/>
        <w:ind w:left="660" w:right="320" w:hanging="328"/>
        <w:spacing w:after="0" w:line="243" w:lineRule="auto"/>
        <w:tabs>
          <w:tab w:leader="none" w:pos="654" w:val="left"/>
        </w:tabs>
        <w:numPr>
          <w:ilvl w:val="0"/>
          <w:numId w:val="53"/>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Avoid Excessive Risk-Taking: </w:t>
      </w:r>
      <w:r>
        <w:rPr>
          <w:rFonts w:ascii="Verdana" w:cs="Verdana" w:eastAsia="Verdana" w:hAnsi="Verdana"/>
          <w:sz w:val="16"/>
          <w:szCs w:val="16"/>
          <w:color w:val="000000"/>
        </w:rPr>
        <w:t>Our incentive compensation plans have an appropriate mix of short-term and long-term pay</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components with varying performance measures, weightings and goal ranges, and other elements. Our governance practices help us avoid risks that are reasonably likely to have a material adverse effect on the Company.</w:t>
      </w:r>
    </w:p>
    <w:p>
      <w:pPr>
        <w:spacing w:after="0" w:line="97" w:lineRule="exact"/>
        <w:rPr>
          <w:rFonts w:ascii="Verdana" w:cs="Verdana" w:eastAsia="Verdana" w:hAnsi="Verdana"/>
          <w:sz w:val="16"/>
          <w:szCs w:val="16"/>
          <w:color w:val="auto"/>
        </w:rPr>
      </w:pPr>
    </w:p>
    <w:p>
      <w:pPr>
        <w:ind w:left="660" w:hanging="328"/>
        <w:spacing w:after="0" w:line="251" w:lineRule="auto"/>
        <w:tabs>
          <w:tab w:leader="none" w:pos="654" w:val="left"/>
        </w:tabs>
        <w:numPr>
          <w:ilvl w:val="0"/>
          <w:numId w:val="53"/>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Be Market Competitive: </w:t>
      </w:r>
      <w:r>
        <w:rPr>
          <w:rFonts w:ascii="Verdana" w:cs="Verdana" w:eastAsia="Verdana" w:hAnsi="Verdana"/>
          <w:sz w:val="16"/>
          <w:szCs w:val="16"/>
          <w:color w:val="000000"/>
        </w:rPr>
        <w:t>Target compensation opportunities and the resulting compensation earned are competitive with that</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provided to executives at peer companies so as to attract, motivate and retain key talent and be reflective of our global business structure and market conditions.</w:t>
      </w:r>
    </w:p>
    <w:p>
      <w:pPr>
        <w:spacing w:after="0" w:line="12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Governance</w:t>
      </w:r>
    </w:p>
    <w:p>
      <w:pPr>
        <w:spacing w:after="0" w:line="131"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We believe our executive compensation practices drive performance and serve our shareholders’ long-term interests. We avoid certain practices that do not adhere to our compensation principles or further our shareholders’ interests. The following table summarizes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key governance and design features of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hanging="534"/>
        <w:spacing w:after="0"/>
        <w:tabs>
          <w:tab w:leader="none" w:pos="560" w:val="left"/>
        </w:tabs>
        <w:numPr>
          <w:ilvl w:val="0"/>
          <w:numId w:val="54"/>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1" w:name="page42"/>
    <w:bookmarkEnd w:id="4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5740" w:val="left"/>
        </w:tabs>
        <w:rPr>
          <w:sz w:val="20"/>
          <w:szCs w:val="20"/>
          <w:color w:val="auto"/>
        </w:rPr>
      </w:pPr>
      <w:r>
        <w:rPr>
          <w:rFonts w:ascii="Verdana" w:cs="Verdana" w:eastAsia="Verdana" w:hAnsi="Verdana"/>
          <w:sz w:val="22"/>
          <w:szCs w:val="22"/>
          <w:b w:val="1"/>
          <w:bCs w:val="1"/>
          <w:color w:val="1D428A"/>
        </w:rPr>
        <w:t>What We Do</w:t>
      </w:r>
      <w:r>
        <w:rPr>
          <w:sz w:val="20"/>
          <w:szCs w:val="20"/>
          <w:color w:val="auto"/>
        </w:rPr>
        <w:tab/>
      </w:r>
      <w:r>
        <w:rPr>
          <w:rFonts w:ascii="Verdana" w:cs="Verdana" w:eastAsia="Verdana" w:hAnsi="Verdana"/>
          <w:sz w:val="21"/>
          <w:szCs w:val="21"/>
          <w:b w:val="1"/>
          <w:bCs w:val="1"/>
          <w:color w:val="1D428A"/>
        </w:rPr>
        <w:t>What We Do Not Do</w:t>
      </w:r>
    </w:p>
    <w:p>
      <w:pPr>
        <w:sectPr>
          <w:pgSz w:w="11900" w:h="16838" w:orient="portrait"/>
          <w:cols w:equalWidth="0" w:num="1">
            <w:col w:w="11240"/>
          </w:cols>
          <w:pgMar w:left="320" w:top="130" w:right="339" w:bottom="1440" w:gutter="0" w:footer="0" w:header="0"/>
        </w:sectPr>
      </w:pPr>
    </w:p>
    <w:p>
      <w:pPr>
        <w:ind w:left="380" w:hanging="354"/>
        <w:spacing w:after="0" w:line="183" w:lineRule="auto"/>
        <w:tabs>
          <w:tab w:leader="none" w:pos="380" w:val="left"/>
        </w:tabs>
        <w:numPr>
          <w:ilvl w:val="0"/>
          <w:numId w:val="55"/>
        </w:numPr>
        <w:rPr>
          <w:rFonts w:ascii="MS PGothic" w:cs="MS PGothic" w:eastAsia="MS PGothic" w:hAnsi="MS PGothic"/>
          <w:sz w:val="35"/>
          <w:szCs w:val="35"/>
          <w:color w:val="auto"/>
          <w:vertAlign w:val="subscript"/>
          <w:shd w:val="clear" w:color="auto" w:fill="0F7F40"/>
        </w:rPr>
      </w:pPr>
      <w:r>
        <w:rPr>
          <w:rFonts w:ascii="Arial" w:cs="Arial" w:eastAsia="Arial" w:hAnsi="Arial"/>
          <w:sz w:val="14"/>
          <w:szCs w:val="14"/>
          <w:color w:val="auto"/>
        </w:rPr>
        <w:t>Pay program aligned with business strategy</w:t>
      </w:r>
    </w:p>
    <w:p>
      <w:pPr>
        <w:spacing w:after="0" w:line="235" w:lineRule="exact"/>
        <w:rPr>
          <w:rFonts w:ascii="MS PGothic" w:cs="MS PGothic" w:eastAsia="MS PGothic" w:hAnsi="MS PGothic"/>
          <w:sz w:val="35"/>
          <w:szCs w:val="35"/>
          <w:color w:val="auto"/>
          <w:vertAlign w:val="subscript"/>
          <w:shd w:val="clear" w:color="auto" w:fill="0F7F40"/>
        </w:rPr>
      </w:pPr>
    </w:p>
    <w:p>
      <w:pPr>
        <w:ind w:left="380" w:hanging="354"/>
        <w:spacing w:after="0" w:line="180" w:lineRule="auto"/>
        <w:tabs>
          <w:tab w:leader="none" w:pos="380" w:val="left"/>
        </w:tabs>
        <w:numPr>
          <w:ilvl w:val="0"/>
          <w:numId w:val="55"/>
        </w:numPr>
        <w:rPr>
          <w:rFonts w:ascii="MS PGothic" w:cs="MS PGothic" w:eastAsia="MS PGothic" w:hAnsi="MS PGothic"/>
          <w:sz w:val="28"/>
          <w:szCs w:val="28"/>
          <w:color w:val="auto"/>
          <w:vertAlign w:val="subscript"/>
          <w:shd w:val="clear" w:color="auto" w:fill="0F7F40"/>
        </w:rPr>
      </w:pPr>
      <w:r>
        <w:rPr>
          <w:rFonts w:ascii="Arial" w:cs="Arial" w:eastAsia="Arial" w:hAnsi="Arial"/>
          <w:sz w:val="13"/>
          <w:szCs w:val="13"/>
          <w:color w:val="auto"/>
        </w:rPr>
        <w:t>Balanced mix of performance measures</w:t>
      </w:r>
    </w:p>
    <w:p>
      <w:pPr>
        <w:spacing w:after="0" w:line="235" w:lineRule="exact"/>
        <w:rPr>
          <w:rFonts w:ascii="MS PGothic" w:cs="MS PGothic" w:eastAsia="MS PGothic" w:hAnsi="MS PGothic"/>
          <w:sz w:val="28"/>
          <w:szCs w:val="28"/>
          <w:color w:val="auto"/>
          <w:vertAlign w:val="subscript"/>
          <w:shd w:val="clear" w:color="auto" w:fill="0F7F40"/>
        </w:rPr>
      </w:pPr>
    </w:p>
    <w:p>
      <w:pPr>
        <w:ind w:left="380" w:hanging="354"/>
        <w:spacing w:after="0" w:line="180" w:lineRule="auto"/>
        <w:tabs>
          <w:tab w:leader="none" w:pos="380" w:val="left"/>
        </w:tabs>
        <w:numPr>
          <w:ilvl w:val="0"/>
          <w:numId w:val="55"/>
        </w:numPr>
        <w:rPr>
          <w:rFonts w:ascii="MS PGothic" w:cs="MS PGothic" w:eastAsia="MS PGothic" w:hAnsi="MS PGothic"/>
          <w:sz w:val="28"/>
          <w:szCs w:val="28"/>
          <w:color w:val="auto"/>
          <w:vertAlign w:val="subscript"/>
          <w:shd w:val="clear" w:color="auto" w:fill="0F7F40"/>
        </w:rPr>
      </w:pPr>
      <w:r>
        <w:rPr>
          <w:rFonts w:ascii="Arial" w:cs="Arial" w:eastAsia="Arial" w:hAnsi="Arial"/>
          <w:sz w:val="13"/>
          <w:szCs w:val="13"/>
          <w:color w:val="auto"/>
        </w:rPr>
        <w:t> High percentage of performance-based pay</w:t>
      </w:r>
    </w:p>
    <w:p>
      <w:pPr>
        <w:spacing w:after="0" w:line="235" w:lineRule="exact"/>
        <w:rPr>
          <w:rFonts w:ascii="MS PGothic" w:cs="MS PGothic" w:eastAsia="MS PGothic" w:hAnsi="MS PGothic"/>
          <w:sz w:val="28"/>
          <w:szCs w:val="28"/>
          <w:color w:val="auto"/>
          <w:vertAlign w:val="subscript"/>
          <w:shd w:val="clear" w:color="auto" w:fill="0F7F40"/>
        </w:rPr>
      </w:pPr>
    </w:p>
    <w:p>
      <w:pPr>
        <w:ind w:left="380" w:hanging="354"/>
        <w:spacing w:after="0" w:line="180" w:lineRule="auto"/>
        <w:tabs>
          <w:tab w:leader="none" w:pos="380" w:val="left"/>
        </w:tabs>
        <w:numPr>
          <w:ilvl w:val="0"/>
          <w:numId w:val="55"/>
        </w:numPr>
        <w:rPr>
          <w:rFonts w:ascii="MS PGothic" w:cs="MS PGothic" w:eastAsia="MS PGothic" w:hAnsi="MS PGothic"/>
          <w:sz w:val="28"/>
          <w:szCs w:val="28"/>
          <w:color w:val="auto"/>
          <w:vertAlign w:val="subscript"/>
          <w:shd w:val="clear" w:color="auto" w:fill="0F7F40"/>
        </w:rPr>
      </w:pPr>
      <w:r>
        <w:rPr>
          <w:rFonts w:ascii="Arial" w:cs="Arial" w:eastAsia="Arial" w:hAnsi="Arial"/>
          <w:sz w:val="13"/>
          <w:szCs w:val="13"/>
          <w:color w:val="auto"/>
        </w:rPr>
        <w:t>Individual incentive compensation payouts are capped</w:t>
      </w:r>
    </w:p>
    <w:p>
      <w:pPr>
        <w:spacing w:after="0" w:line="235" w:lineRule="exact"/>
        <w:rPr>
          <w:rFonts w:ascii="MS PGothic" w:cs="MS PGothic" w:eastAsia="MS PGothic" w:hAnsi="MS PGothic"/>
          <w:sz w:val="28"/>
          <w:szCs w:val="28"/>
          <w:color w:val="auto"/>
          <w:vertAlign w:val="subscript"/>
          <w:shd w:val="clear" w:color="auto" w:fill="0F7F40"/>
        </w:rPr>
      </w:pPr>
    </w:p>
    <w:p>
      <w:pPr>
        <w:ind w:left="380" w:right="1080" w:hanging="354"/>
        <w:spacing w:after="0" w:line="180" w:lineRule="auto"/>
        <w:tabs>
          <w:tab w:leader="none" w:pos="380" w:val="left"/>
        </w:tabs>
        <w:numPr>
          <w:ilvl w:val="0"/>
          <w:numId w:val="55"/>
        </w:numPr>
        <w:rPr>
          <w:rFonts w:ascii="MS PGothic" w:cs="MS PGothic" w:eastAsia="MS PGothic" w:hAnsi="MS PGothic"/>
          <w:sz w:val="37"/>
          <w:szCs w:val="37"/>
          <w:color w:val="auto"/>
          <w:vertAlign w:val="subscript"/>
          <w:shd w:val="clear" w:color="auto" w:fill="0F7F40"/>
        </w:rPr>
      </w:pPr>
      <w:r>
        <w:rPr>
          <w:rFonts w:ascii="Arial" w:cs="Arial" w:eastAsia="Arial" w:hAnsi="Arial"/>
          <w:sz w:val="14"/>
          <w:szCs w:val="14"/>
          <w:color w:val="auto"/>
        </w:rPr>
        <w:t> Incentive compensation payouts vary and are commensurate with results</w:t>
      </w:r>
    </w:p>
    <w:p>
      <w:pPr>
        <w:spacing w:after="0" w:line="47" w:lineRule="exact"/>
        <w:rPr>
          <w:rFonts w:ascii="MS PGothic" w:cs="MS PGothic" w:eastAsia="MS PGothic" w:hAnsi="MS PGothic"/>
          <w:sz w:val="37"/>
          <w:szCs w:val="37"/>
          <w:color w:val="auto"/>
          <w:vertAlign w:val="subscript"/>
          <w:shd w:val="clear" w:color="auto" w:fill="0F7F40"/>
        </w:rPr>
      </w:pPr>
    </w:p>
    <w:p>
      <w:pPr>
        <w:ind w:left="380" w:hanging="354"/>
        <w:spacing w:after="0" w:line="181" w:lineRule="auto"/>
        <w:tabs>
          <w:tab w:leader="none" w:pos="380" w:val="left"/>
        </w:tabs>
        <w:numPr>
          <w:ilvl w:val="0"/>
          <w:numId w:val="55"/>
        </w:numPr>
        <w:rPr>
          <w:rFonts w:ascii="MS PGothic" w:cs="MS PGothic" w:eastAsia="MS PGothic" w:hAnsi="MS PGothic"/>
          <w:sz w:val="53"/>
          <w:szCs w:val="53"/>
          <w:color w:val="auto"/>
          <w:vertAlign w:val="subscript"/>
          <w:shd w:val="clear" w:color="auto" w:fill="0F7F40"/>
        </w:rPr>
      </w:pPr>
      <w:r>
        <w:rPr>
          <w:rFonts w:ascii="Arial" w:cs="Arial" w:eastAsia="Arial" w:hAnsi="Arial"/>
          <w:sz w:val="15"/>
          <w:szCs w:val="15"/>
          <w:color w:val="auto"/>
        </w:rPr>
        <w:t> Annual market practices and comprehensive compensation risk review</w:t>
      </w:r>
    </w:p>
    <w:p>
      <w:pPr>
        <w:ind w:left="380" w:hanging="354"/>
        <w:spacing w:after="0" w:line="181" w:lineRule="auto"/>
        <w:tabs>
          <w:tab w:leader="none" w:pos="380" w:val="left"/>
        </w:tabs>
        <w:numPr>
          <w:ilvl w:val="0"/>
          <w:numId w:val="55"/>
        </w:numPr>
        <w:rPr>
          <w:rFonts w:ascii="MS PGothic" w:cs="MS PGothic" w:eastAsia="MS PGothic" w:hAnsi="MS PGothic"/>
          <w:sz w:val="34"/>
          <w:szCs w:val="34"/>
          <w:color w:val="auto"/>
          <w:vertAlign w:val="subscript"/>
          <w:shd w:val="clear" w:color="auto" w:fill="0F7F40"/>
        </w:rPr>
      </w:pPr>
      <w:r>
        <w:rPr>
          <w:rFonts w:ascii="Arial" w:cs="Arial" w:eastAsia="Arial" w:hAnsi="Arial"/>
          <w:sz w:val="14"/>
          <w:szCs w:val="14"/>
          <w:color w:val="auto"/>
        </w:rPr>
        <w:t>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-1555750</wp:posOffset>
            </wp:positionV>
            <wp:extent cx="3206115" cy="283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-989965</wp:posOffset>
            </wp:positionV>
            <wp:extent cx="3206115" cy="283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-424180</wp:posOffset>
            </wp:positionV>
            <wp:extent cx="3206115" cy="283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50" w:hanging="450"/>
        <w:spacing w:after="0" w:line="219" w:lineRule="auto"/>
        <w:tabs>
          <w:tab w:leader="none" w:pos="450" w:val="left"/>
        </w:tabs>
        <w:numPr>
          <w:ilvl w:val="0"/>
          <w:numId w:val="56"/>
        </w:numPr>
        <w:rPr>
          <w:rFonts w:ascii="MS PGothic" w:cs="MS PGothic" w:eastAsia="MS PGothic" w:hAnsi="MS PGothic"/>
          <w:sz w:val="50"/>
          <w:szCs w:val="50"/>
          <w:color w:val="auto"/>
          <w:vertAlign w:val="subscript"/>
          <w:shd w:val="clear" w:color="auto" w:fill="BF2115"/>
        </w:rPr>
      </w:pPr>
      <w:r>
        <w:rPr>
          <w:rFonts w:ascii="Arial" w:cs="Arial" w:eastAsia="Arial" w:hAnsi="Arial"/>
          <w:sz w:val="16"/>
          <w:szCs w:val="16"/>
          <w:color w:val="auto"/>
        </w:rPr>
        <w:t>Provide</w:t>
      </w:r>
      <w:r>
        <w:rPr>
          <w:rFonts w:ascii="Arial" w:cs="Arial" w:eastAsia="Arial" w:hAnsi="Arial"/>
          <w:sz w:val="32"/>
          <w:szCs w:val="32"/>
          <w:color w:val="auto"/>
          <w:vertAlign w:val="subscript"/>
        </w:rPr>
        <w:t>awards</w:t>
      </w:r>
      <w:r>
        <w:rPr>
          <w:rFonts w:ascii="Arial" w:cs="Arial" w:eastAsia="Arial" w:hAnsi="Arial"/>
          <w:sz w:val="16"/>
          <w:szCs w:val="16"/>
          <w:color w:val="auto"/>
        </w:rPr>
        <w:t xml:space="preserve"> single-trigger change in control vesting of equity</w:t>
      </w:r>
    </w:p>
    <w:p>
      <w:pPr>
        <w:ind w:left="450" w:hanging="450"/>
        <w:spacing w:after="0" w:line="181" w:lineRule="auto"/>
        <w:tabs>
          <w:tab w:leader="none" w:pos="450" w:val="left"/>
        </w:tabs>
        <w:numPr>
          <w:ilvl w:val="0"/>
          <w:numId w:val="56"/>
        </w:numPr>
        <w:rPr>
          <w:rFonts w:ascii="MS PGothic" w:cs="MS PGothic" w:eastAsia="MS PGothic" w:hAnsi="MS PGothic"/>
          <w:sz w:val="34"/>
          <w:szCs w:val="34"/>
          <w:color w:val="auto"/>
          <w:vertAlign w:val="subscript"/>
          <w:shd w:val="clear" w:color="auto" w:fill="BF2115"/>
        </w:rPr>
      </w:pPr>
      <w:r>
        <w:rPr>
          <w:rFonts w:ascii="Arial" w:cs="Arial" w:eastAsia="Arial" w:hAnsi="Arial"/>
          <w:sz w:val="14"/>
          <w:szCs w:val="14"/>
          <w:color w:val="auto"/>
        </w:rPr>
        <w:t>Provide single-trigger change in control severance benefits</w:t>
      </w:r>
    </w:p>
    <w:p>
      <w:pPr>
        <w:spacing w:after="0" w:line="162" w:lineRule="exact"/>
        <w:rPr>
          <w:rFonts w:ascii="MS PGothic" w:cs="MS PGothic" w:eastAsia="MS PGothic" w:hAnsi="MS PGothic"/>
          <w:sz w:val="34"/>
          <w:szCs w:val="34"/>
          <w:color w:val="auto"/>
          <w:vertAlign w:val="subscript"/>
          <w:shd w:val="clear" w:color="auto" w:fill="BF2115"/>
        </w:rPr>
      </w:pPr>
    </w:p>
    <w:p>
      <w:pPr>
        <w:ind w:left="450" w:hanging="450"/>
        <w:spacing w:after="0" w:line="183" w:lineRule="auto"/>
        <w:tabs>
          <w:tab w:leader="none" w:pos="450" w:val="left"/>
        </w:tabs>
        <w:numPr>
          <w:ilvl w:val="0"/>
          <w:numId w:val="56"/>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Reprice, backdate or spring-load equity awards</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56"/>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Allow directors and officers to hedge or pledge our stock</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56"/>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Provide change in control excise tax gross-ups</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56"/>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Guarantee regular incentive plan awards</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56"/>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-1555115</wp:posOffset>
            </wp:positionV>
            <wp:extent cx="3214370" cy="283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14370" cy="28321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-989330</wp:posOffset>
            </wp:positionV>
            <wp:extent cx="3214370" cy="283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14370" cy="28321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-423545</wp:posOffset>
            </wp:positionV>
            <wp:extent cx="3214370" cy="283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14370" cy="28321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-1855470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530"/>
            <w:col w:w="5490"/>
          </w:cols>
          <w:pgMar w:left="320" w:top="130" w:right="339" w:bottom="1440" w:gutter="0" w:footer="0" w:header="0"/>
          <w:type w:val="continuous"/>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w w:val="99"/>
                <w:shd w:val="clear" w:color="auto" w:fill="0F7F40"/>
              </w:rPr>
              <w:t>✓</w:t>
            </w:r>
          </w:p>
        </w:tc>
        <w:tc>
          <w:tcPr>
            <w:tcW w:w="5040" w:type="dxa"/>
            <w:vAlign w:val="bottom"/>
            <w:shd w:val="clear" w:color="auto" w:fill="D6E5F9"/>
          </w:tcPr>
          <w:p>
            <w:pPr>
              <w:ind w:left="20"/>
              <w:spacing w:after="0"/>
              <w:rPr>
                <w:sz w:val="20"/>
                <w:szCs w:val="20"/>
                <w:color w:val="auto"/>
              </w:rPr>
            </w:pPr>
            <w:r>
              <w:rPr>
                <w:rFonts w:ascii="Arial" w:cs="Arial" w:eastAsia="Arial" w:hAnsi="Arial"/>
                <w:sz w:val="16"/>
                <w:szCs w:val="16"/>
                <w:color w:val="auto"/>
              </w:rPr>
              <w:t>Robust clawback policies cover equity awards (performance</w:t>
            </w:r>
          </w:p>
        </w:tc>
        <w:tc>
          <w:tcPr>
            <w:tcW w:w="780" w:type="dxa"/>
            <w:vAlign w:val="bottom"/>
            <w:vMerge w:val="restart"/>
          </w:tcPr>
          <w:p>
            <w:pPr>
              <w:ind w:left="360"/>
              <w:spacing w:after="0" w:line="251" w:lineRule="exact"/>
              <w:rPr>
                <w:sz w:val="20"/>
                <w:szCs w:val="20"/>
                <w:color w:val="auto"/>
              </w:rPr>
            </w:pPr>
            <w:r>
              <w:rPr>
                <w:rFonts w:ascii="MS PGothic" w:cs="MS PGothic" w:eastAsia="MS PGothic" w:hAnsi="MS PGothic"/>
                <w:sz w:val="25"/>
                <w:szCs w:val="25"/>
                <w:color w:val="auto"/>
                <w:shd w:val="clear" w:color="auto" w:fill="BF2115"/>
              </w:rPr>
              <w:t>✘</w:t>
            </w:r>
          </w:p>
        </w:tc>
        <w:tc>
          <w:tcPr>
            <w:tcW w:w="5060" w:type="dxa"/>
            <w:vAlign w:val="bottom"/>
            <w:shd w:val="clear" w:color="auto" w:fill="D6E5F9"/>
          </w:tcPr>
          <w:p>
            <w:pPr>
              <w:ind w:left="20"/>
              <w:spacing w:after="0"/>
              <w:rPr>
                <w:sz w:val="20"/>
                <w:szCs w:val="20"/>
                <w:color w:val="auto"/>
              </w:rPr>
            </w:pPr>
            <w:r>
              <w:rPr>
                <w:rFonts w:ascii="Arial" w:cs="Arial" w:eastAsia="Arial" w:hAnsi="Arial"/>
                <w:sz w:val="16"/>
                <w:szCs w:val="16"/>
                <w:color w:val="auto"/>
              </w:rPr>
              <w:t>Pay dividend equivalents on equity awards during vesting or</w:t>
            </w:r>
          </w:p>
        </w:tc>
        <w:tc>
          <w:tcPr>
            <w:tcW w:w="0" w:type="dxa"/>
            <w:vAlign w:val="bottom"/>
          </w:tcPr>
          <w:p>
            <w:pPr>
              <w:spacing w:after="0"/>
              <w:rPr>
                <w:sz w:val="1"/>
                <w:szCs w:val="1"/>
                <w:color w:val="auto"/>
              </w:rPr>
            </w:pPr>
          </w:p>
        </w:tc>
      </w:tr>
      <w:tr>
        <w:trPr>
          <w:trHeight w:val="203"/>
        </w:trPr>
        <w:tc>
          <w:tcPr>
            <w:tcW w:w="340" w:type="dxa"/>
            <w:vAlign w:val="bottom"/>
            <w:vMerge w:val="continue"/>
          </w:tcPr>
          <w:p>
            <w:pPr>
              <w:spacing w:after="0"/>
              <w:rPr>
                <w:sz w:val="17"/>
                <w:szCs w:val="17"/>
                <w:color w:val="auto"/>
              </w:rPr>
            </w:pPr>
          </w:p>
        </w:tc>
        <w:tc>
          <w:tcPr>
            <w:tcW w:w="5040" w:type="dxa"/>
            <w:vAlign w:val="bottom"/>
            <w:shd w:val="clear" w:color="auto" w:fill="D6E5F9"/>
          </w:tcPr>
          <w:p>
            <w:pPr>
              <w:ind w:left="20"/>
              <w:spacing w:after="0"/>
              <w:rPr>
                <w:sz w:val="20"/>
                <w:szCs w:val="20"/>
                <w:color w:val="auto"/>
              </w:rPr>
            </w:pPr>
            <w:r>
              <w:rPr>
                <w:rFonts w:ascii="Arial" w:cs="Arial" w:eastAsia="Arial" w:hAnsi="Arial"/>
                <w:sz w:val="16"/>
                <w:szCs w:val="16"/>
                <w:color w:val="auto"/>
              </w:rPr>
              <w:t>and time-vesting), cash awards and severance and</w:t>
            </w:r>
          </w:p>
        </w:tc>
        <w:tc>
          <w:tcPr>
            <w:tcW w:w="780" w:type="dxa"/>
            <w:vAlign w:val="bottom"/>
            <w:vMerge w:val="continue"/>
          </w:tcPr>
          <w:p>
            <w:pPr>
              <w:spacing w:after="0"/>
              <w:rPr>
                <w:sz w:val="17"/>
                <w:szCs w:val="17"/>
                <w:color w:val="auto"/>
              </w:rPr>
            </w:pPr>
          </w:p>
        </w:tc>
        <w:tc>
          <w:tcPr>
            <w:tcW w:w="5060" w:type="dxa"/>
            <w:vAlign w:val="bottom"/>
            <w:shd w:val="clear" w:color="auto" w:fill="D6E5F9"/>
          </w:tcPr>
          <w:p>
            <w:pPr>
              <w:ind w:left="20"/>
              <w:spacing w:after="0"/>
              <w:rPr>
                <w:sz w:val="20"/>
                <w:szCs w:val="20"/>
                <w:color w:val="auto"/>
              </w:rPr>
            </w:pPr>
            <w:r>
              <w:rPr>
                <w:rFonts w:ascii="Arial" w:cs="Arial" w:eastAsia="Arial" w:hAnsi="Arial"/>
                <w:sz w:val="16"/>
                <w:szCs w:val="16"/>
                <w:color w:val="auto"/>
              </w:rPr>
              <w:t>performance periods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040" w:type="dxa"/>
            <w:vAlign w:val="bottom"/>
            <w:shd w:val="clear" w:color="auto" w:fill="D6E5F9"/>
          </w:tcPr>
          <w:p>
            <w:pPr>
              <w:ind w:left="20"/>
              <w:spacing w:after="0"/>
              <w:rPr>
                <w:sz w:val="20"/>
                <w:szCs w:val="20"/>
                <w:color w:val="auto"/>
              </w:rPr>
            </w:pPr>
            <w:r>
              <w:rPr>
                <w:rFonts w:ascii="Arial" w:cs="Arial" w:eastAsia="Arial" w:hAnsi="Arial"/>
                <w:sz w:val="16"/>
                <w:szCs w:val="16"/>
                <w:color w:val="auto"/>
              </w:rPr>
              <w:t>termination benefits</w:t>
            </w:r>
          </w:p>
        </w:tc>
        <w:tc>
          <w:tcPr>
            <w:tcW w:w="780" w:type="dxa"/>
            <w:vAlign w:val="bottom"/>
          </w:tcPr>
          <w:p>
            <w:pPr>
              <w:spacing w:after="0"/>
              <w:rPr>
                <w:sz w:val="20"/>
                <w:szCs w:val="20"/>
                <w:color w:val="auto"/>
              </w:rPr>
            </w:pPr>
          </w:p>
        </w:tc>
        <w:tc>
          <w:tcPr>
            <w:tcW w:w="5060" w:type="dxa"/>
            <w:vAlign w:val="bottom"/>
            <w:shd w:val="clear" w:color="auto" w:fill="D6E5F9"/>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12" w:lineRule="exact"/>
        <w:rPr>
          <w:sz w:val="20"/>
          <w:szCs w:val="20"/>
          <w:color w:val="auto"/>
        </w:rPr>
      </w:pPr>
    </w:p>
    <w:p>
      <w:pPr>
        <w:ind w:left="380" w:right="100" w:hanging="354"/>
        <w:spacing w:after="0" w:line="228" w:lineRule="auto"/>
        <w:tabs>
          <w:tab w:leader="none" w:pos="380" w:val="left"/>
        </w:tabs>
        <w:numPr>
          <w:ilvl w:val="0"/>
          <w:numId w:val="57"/>
        </w:numPr>
        <w:rPr>
          <w:rFonts w:ascii="MS PGothic" w:cs="MS PGothic" w:eastAsia="MS PGothic" w:hAnsi="MS PGothic"/>
          <w:sz w:val="42"/>
          <w:szCs w:val="42"/>
          <w:color w:val="auto"/>
          <w:vertAlign w:val="subscript"/>
          <w:shd w:val="clear" w:color="auto" w:fill="0F7F40"/>
        </w:rPr>
      </w:pPr>
      <w:r>
        <w:rPr>
          <w:rFonts w:ascii="Arial" w:cs="Arial" w:eastAsia="Arial" w:hAnsi="Arial"/>
          <w:sz w:val="14"/>
          <w:szCs w:val="14"/>
          <w:color w:val="auto"/>
        </w:rPr>
        <w:t>Fully independent compensation consultant retained by the P&amp;C Committee</w:t>
      </w:r>
    </w:p>
    <w:p>
      <w:pPr>
        <w:spacing w:after="0" w:line="46" w:lineRule="exact"/>
        <w:rPr>
          <w:rFonts w:ascii="MS PGothic" w:cs="MS PGothic" w:eastAsia="MS PGothic" w:hAnsi="MS PGothic"/>
          <w:sz w:val="42"/>
          <w:szCs w:val="42"/>
          <w:color w:val="auto"/>
          <w:vertAlign w:val="subscript"/>
          <w:shd w:val="clear" w:color="auto" w:fill="0F7F40"/>
        </w:rPr>
      </w:pPr>
    </w:p>
    <w:p>
      <w:pPr>
        <w:ind w:left="380" w:hanging="354"/>
        <w:spacing w:after="0" w:line="217" w:lineRule="auto"/>
        <w:tabs>
          <w:tab w:leader="none" w:pos="380" w:val="left"/>
        </w:tabs>
        <w:numPr>
          <w:ilvl w:val="0"/>
          <w:numId w:val="57"/>
        </w:numPr>
        <w:rPr>
          <w:rFonts w:ascii="MS PGothic" w:cs="MS PGothic" w:eastAsia="MS PGothic" w:hAnsi="MS PGothic"/>
          <w:sz w:val="53"/>
          <w:szCs w:val="53"/>
          <w:color w:val="auto"/>
          <w:vertAlign w:val="subscript"/>
          <w:shd w:val="clear" w:color="auto" w:fill="0F7F40"/>
        </w:rPr>
      </w:pPr>
      <w:r>
        <w:rPr>
          <w:rFonts w:ascii="Arial" w:cs="Arial" w:eastAsia="Arial" w:hAnsi="Arial"/>
          <w:sz w:val="15"/>
          <w:szCs w:val="15"/>
          <w:color w:val="auto"/>
        </w:rPr>
        <w:t>Lengthy holding period for Career Shares (underlying shares generally not distributed until the earlier of age 62 or three years after retirement) to drive retention and shareholder alignment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MS PGothic" w:cs="MS PGothic" w:eastAsia="MS PGothic" w:hAnsi="MS PGothic"/>
          <w:sz w:val="20"/>
          <w:szCs w:val="20"/>
          <w:color w:val="auto"/>
          <w:shd w:val="clear" w:color="auto" w:fill="BF2115"/>
        </w:rPr>
        <w:t>✘</w:t>
      </w:r>
    </w:p>
    <w:p>
      <w:pPr>
        <w:spacing w:after="0" w:line="206"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shd w:val="clear" w:color="auto" w:fill="BF211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-100965</wp:posOffset>
            </wp:positionV>
            <wp:extent cx="7132320" cy="548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 evergreen provisions in our LTI</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Provide excessive severance</w:t>
      </w:r>
    </w:p>
    <w:p>
      <w:pPr>
        <w:spacing w:after="0" w:line="807" w:lineRule="exact"/>
        <w:rPr>
          <w:sz w:val="20"/>
          <w:szCs w:val="20"/>
          <w:color w:val="auto"/>
        </w:rPr>
      </w:pPr>
    </w:p>
    <w:p>
      <w:pPr>
        <w:sectPr>
          <w:pgSz w:w="11900" w:h="16838" w:orient="portrait"/>
          <w:cols w:equalWidth="0" w:num="3">
            <w:col w:w="5320" w:space="440"/>
            <w:col w:w="200" w:space="240"/>
            <w:col w:w="5040"/>
          </w:cols>
          <w:pgMar w:left="320" w:top="130"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Total Compensation Process and Review</w:t>
      </w:r>
    </w:p>
    <w:p>
      <w:pPr>
        <w:spacing w:after="0" w:line="144"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The P&amp;C Committee oversees the executive compensation program design and decision-making process for our NEOs and other executive officers. The P&amp;C Committee is comprised of independent, non-employee members of the Board and works very closely with its independent compensation consultant and management to review the effectiveness of the Company’s executive compensation</w:t>
      </w:r>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program throughout the year. The P&amp;C Committee’s charter, which reflects the specific details of its authority and responsibilities, may be accessed on our website at https://ir.lear.com/corporate-governance.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52705</wp:posOffset>
            </wp:positionV>
            <wp:extent cx="5589270" cy="1714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927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The P&amp;C Committee annually reviews key elements of our executive compensation program, including the various components of</w:t>
      </w:r>
    </w:p>
    <w:p>
      <w:pPr>
        <w:spacing w:after="0" w:line="1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compensation for our NEOs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and pay tally sheets for our NEOs. In addition, although the</w:t>
      </w:r>
    </w:p>
    <w:p>
      <w:pPr>
        <w:spacing w:after="0" w:line="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P&amp;C Committee assesses each component independently, the total complement of the components must work in harmony to achieve a proper balance, which, in</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37</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turn, helps manage compensation risk. To this end, we also annually complete a comprehensive compensation risk assessment with assistance from our outside legal counsel and independent compensation consultant.</w:t>
      </w:r>
    </w:p>
    <w:p>
      <w:pPr>
        <w:spacing w:after="0" w:line="90"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Our human resources staff supports the P&amp;C Committee's efforts, in partnership with its compensation consultant and our accountants, legal counsel and other advisors, and works to implement the P&amp;C Committee’s decisions, monitor evolving competitive practices and</w:t>
      </w:r>
    </w:p>
    <w:p>
      <w:pPr>
        <w:spacing w:after="0" w:line="1" w:lineRule="exact"/>
        <w:rPr>
          <w:sz w:val="20"/>
          <w:szCs w:val="20"/>
          <w:color w:val="auto"/>
        </w:rPr>
      </w:pPr>
    </w:p>
    <w:p>
      <w:pPr>
        <w:ind w:right="860"/>
        <w:spacing w:after="0" w:line="253" w:lineRule="auto"/>
        <w:rPr>
          <w:sz w:val="20"/>
          <w:szCs w:val="20"/>
          <w:color w:val="auto"/>
        </w:rPr>
      </w:pPr>
      <w:r>
        <w:rPr>
          <w:rFonts w:ascii="Verdana" w:cs="Verdana" w:eastAsia="Verdana" w:hAnsi="Verdana"/>
          <w:sz w:val="16"/>
          <w:szCs w:val="16"/>
          <w:color w:val="auto"/>
        </w:rPr>
        <w:t>make compensation recommendations (except with respect to the CEO's pay for which recommendations are presented by the independent compensation consultant) to the P&amp;C Committee.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has engaged Pay Governance as an independent, outside consultant and advisor for rigorous review, analysis and</w:t>
      </w:r>
    </w:p>
    <w:p>
      <w:pPr>
        <w:spacing w:after="0" w:line="8"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advice related to the compensation of our executive officers and other executive compensation-related matters. Pay Governance takes direction from and is solely responsible to the P&amp;C Committee. A representative from Pay Governance attended all P&amp;C Committee</w:t>
      </w:r>
    </w:p>
    <w:p>
      <w:pPr>
        <w:spacing w:after="0" w:line="1"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meetings, either in person or virtually, consulted with and advised P&amp;C Committee members on executive compensation, developed executive benchmarking and other executive compensation data, and advised on the structure, design and amounts of the various compensation elements. For most compensation topics for which the P&amp;C Committee is responsible, it has directed Pay Governance to</w:t>
      </w:r>
    </w:p>
    <w:p>
      <w:pPr>
        <w:spacing w:after="0" w:line="2" w:lineRule="exact"/>
        <w:rPr>
          <w:sz w:val="20"/>
          <w:szCs w:val="20"/>
          <w:color w:val="auto"/>
        </w:rPr>
      </w:pPr>
    </w:p>
    <w:p>
      <w:pPr>
        <w:jc w:val="both"/>
        <w:ind w:right="320"/>
        <w:spacing w:after="0" w:line="243" w:lineRule="auto"/>
        <w:rPr>
          <w:sz w:val="20"/>
          <w:szCs w:val="20"/>
          <w:color w:val="auto"/>
        </w:rPr>
      </w:pPr>
      <w:r>
        <w:rPr>
          <w:rFonts w:ascii="Verdana" w:cs="Verdana" w:eastAsia="Verdana" w:hAnsi="Verdana"/>
          <w:sz w:val="16"/>
          <w:szCs w:val="16"/>
          <w:color w:val="auto"/>
        </w:rPr>
        <w:t>work with management to develop recommendations that reflect the P&amp;C Committee’s objectives for the compensation program. Pay Governance performs no other services for the Company. The P&amp;C Committee annually reviews the services provided, independence, performance, fees paid and other factors when assessing the independence and performance of Pay Governance.</w:t>
      </w:r>
    </w:p>
    <w:p>
      <w:pPr>
        <w:spacing w:after="0" w:line="98"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The P&amp;C Committee typically meets in executive session after each of its regularly scheduled meetings to discuss and decide executive compensation matters.</w:t>
      </w:r>
    </w:p>
    <w:p>
      <w:pPr>
        <w:spacing w:after="0" w:line="90"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The P&amp;C Committee anchors its compensation decisions in a clearly articulated compensation philosophy with strong pay-for-performance alignment; recommendations and market data from the independent compensation consultant; shareholder feedback; its assessment of NEO and other executive officer performance and achievement of Company goals; and consideration of the business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climate and industry factors.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Authority of P&amp;C Committee Under Incentive Plans</w:t>
      </w:r>
    </w:p>
    <w:p>
      <w:pPr>
        <w:spacing w:after="0" w:line="137"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Under the AIP and the LTI, the P&amp;C Committee has the authority to select a range of award types, performance measures and weightings and to apply adjustments to the financial measures used for annual and long-term incentive awards. Such adjustments may exclude, without limitation, the impact of gains or losses on the sale of assets, the effects of changes in accounting principles or the</w:t>
      </w:r>
    </w:p>
    <w:p>
      <w:pPr>
        <w:spacing w:after="0" w:line="2"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application thereof, or unusual or non-recurring items, including the impact of significant differences from the assumptions contained in the financial budget or long-range plan upon which the applicable performance targets were established. Any such adjustments to financial measures are intended to better reflect the performance of approximately 7,800 AIP and 140 performance-based LTI award</w:t>
      </w:r>
    </w:p>
    <w:p>
      <w:pPr>
        <w:spacing w:after="0" w:line="2" w:lineRule="exact"/>
        <w:rPr>
          <w:sz w:val="20"/>
          <w:szCs w:val="20"/>
          <w:color w:val="auto"/>
        </w:rPr>
      </w:pPr>
    </w:p>
    <w:p>
      <w:pPr>
        <w:jc w:val="both"/>
        <w:ind w:right="100"/>
        <w:spacing w:after="0" w:line="241" w:lineRule="auto"/>
        <w:rPr>
          <w:sz w:val="20"/>
          <w:szCs w:val="20"/>
          <w:color w:val="auto"/>
        </w:rPr>
      </w:pPr>
      <w:r>
        <w:rPr>
          <w:rFonts w:ascii="Verdana" w:cs="Verdana" w:eastAsia="Verdana" w:hAnsi="Verdana"/>
          <w:sz w:val="16"/>
          <w:szCs w:val="16"/>
          <w:color w:val="auto"/>
        </w:rPr>
        <w:t>participants, align award payments with decisions that support our long-term financial plan and strategies, avoid unintended inflation or deflation of awards due to unusual or non-recurring items during the performance period, and emphasize our preference for long-term,</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sustainable growth.</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Benchmarking Methodology and Peer Group Selection</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targets base salaries, annual incentive awards, long-term incentive awards and total direct compensation of our</w:t>
      </w:r>
    </w:p>
    <w:p>
      <w:pPr>
        <w:spacing w:after="0" w:line="8" w:lineRule="exact"/>
        <w:rPr>
          <w:sz w:val="20"/>
          <w:szCs w:val="20"/>
          <w:color w:val="auto"/>
        </w:rPr>
      </w:pPr>
    </w:p>
    <w:p>
      <w:pPr>
        <w:ind w:right="340"/>
        <w:spacing w:after="0" w:line="241" w:lineRule="auto"/>
        <w:rPr>
          <w:sz w:val="20"/>
          <w:szCs w:val="20"/>
          <w:color w:val="auto"/>
        </w:rPr>
      </w:pPr>
      <w:r>
        <w:rPr>
          <w:rFonts w:ascii="Verdana" w:cs="Verdana" w:eastAsia="Verdana" w:hAnsi="Verdana"/>
          <w:sz w:val="16"/>
          <w:szCs w:val="16"/>
          <w:color w:val="auto"/>
        </w:rPr>
        <w:t>NEOs and other executive officers on average to be within a competitive range (i.e., +/- 15%) of the median of the Company’s compensation comparator group (the “Comparator Group”) and other comparably sized general industrial companies. We believe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Comparator Group represents the industries and companies with which we currently compete with for executive talent and/or business.</w:t>
      </w:r>
    </w:p>
    <w:p>
      <w:pPr>
        <w:spacing w:after="0" w:line="103"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In addition to reviewing annual market pay benchmarking, other factors (including our business strategy, talent needs, succession planning, executives’ experience levels and cost) are considered in setting target pay which may result in some positions having target</w:t>
      </w:r>
    </w:p>
    <w:p>
      <w:pPr>
        <w:spacing w:after="0" w:line="1" w:lineRule="exact"/>
        <w:rPr>
          <w:sz w:val="20"/>
          <w:szCs w:val="20"/>
          <w:color w:val="auto"/>
        </w:rPr>
      </w:pPr>
    </w:p>
    <w:p>
      <w:pPr>
        <w:jc w:val="both"/>
        <w:spacing w:after="0" w:line="243" w:lineRule="auto"/>
        <w:rPr>
          <w:sz w:val="20"/>
          <w:szCs w:val="20"/>
          <w:color w:val="auto"/>
        </w:rPr>
      </w:pPr>
      <w:r>
        <w:rPr>
          <w:rFonts w:ascii="Verdana" w:cs="Verdana" w:eastAsia="Verdana" w:hAnsi="Verdana"/>
          <w:sz w:val="16"/>
          <w:szCs w:val="16"/>
          <w:color w:val="auto"/>
        </w:rPr>
        <w:t>pay higher or lower than the competitive range. Actual compensation relative to target pay opportunities will vary based on performance and, for long-term incentive awards, the value of our common stock at payment. The P&amp;C Committee regularly assesses the composition of the Comparator Group.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hanging="534"/>
        <w:spacing w:after="0"/>
        <w:tabs>
          <w:tab w:leader="none" w:pos="560" w:val="left"/>
        </w:tabs>
        <w:numPr>
          <w:ilvl w:val="0"/>
          <w:numId w:val="58"/>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Verdana" w:cs="Verdana" w:eastAsia="Verdana" w:hAnsi="Verdana"/>
          <w:sz w:val="16"/>
          <w:szCs w:val="16"/>
          <w:color w:val="auto"/>
        </w:rPr>
        <w:t>See below for our Comparator Group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74295</wp:posOffset>
            </wp:positionV>
            <wp:extent cx="6172200" cy="17576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220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The Company supplements its review of the Comparator Group with a broader nationally published survey of general industrial companies (not individually selected or identified) for benchmarking of executive compensation levels and, as appropriate, compensation</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design practices.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Lear Versus 2024 Comparator Group</w:t>
      </w:r>
    </w:p>
    <w:p>
      <w:pPr>
        <w:spacing w:after="0" w:line="137" w:lineRule="exact"/>
        <w:rPr>
          <w:sz w:val="20"/>
          <w:szCs w:val="20"/>
          <w:color w:val="auto"/>
        </w:rPr>
      </w:pPr>
    </w:p>
    <w:p>
      <w:pPr>
        <w:ind w:right="160"/>
        <w:spacing w:after="0" w:line="243" w:lineRule="auto"/>
        <w:rPr>
          <w:sz w:val="20"/>
          <w:szCs w:val="20"/>
          <w:color w:val="auto"/>
        </w:rPr>
      </w:pPr>
      <w:r>
        <w:rPr>
          <w:rFonts w:ascii="Verdana" w:cs="Verdana" w:eastAsia="Verdana" w:hAnsi="Verdana"/>
          <w:sz w:val="16"/>
          <w:szCs w:val="16"/>
          <w:color w:val="auto"/>
        </w:rPr>
        <w:t>The annual revenues of the companies in the 2024 Comparator Group for their most recently reported fiscal year ranged from $10.3 billion to $51.5 billion, with a median of $18.2 billion. How Lear compares to the companies in the 2024 Comparator Group for revenue and market capitalization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6172200" cy="22542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220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Verdana" w:cs="Verdana" w:eastAsia="Verdana" w:hAnsi="Verdana"/>
          <w:sz w:val="16"/>
          <w:szCs w:val="16"/>
          <w:color w:val="auto"/>
        </w:rPr>
        <w:t>The 2024 Comparator Group was selected in September 2023. The revenue and market capitalization percentiles were determined as of</w:t>
      </w:r>
    </w:p>
    <w:p>
      <w:pPr>
        <w:spacing w:after="0" w:line="8"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December 31, 2024. Lear's percentile positioning was approximately the same at the time the Comparator Group was selected and as of the end of 2024.</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The companies in the 2024 Comparator Group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F0EFEE"/>
        </w:rPr>
        <w:t>2024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64"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Adient plc (ADNT)</w:t>
      </w:r>
    </w:p>
    <w:p>
      <w:pPr>
        <w:spacing w:after="0" w:line="59"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Aptiv PLC (APTV)</w:t>
      </w:r>
    </w:p>
    <w:p>
      <w:pPr>
        <w:spacing w:after="0" w:line="59"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BorgWarner Inc. (BWA)</w:t>
      </w:r>
    </w:p>
    <w:p>
      <w:pPr>
        <w:spacing w:after="0" w:line="59"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Corning Incorporated (GLW)</w:t>
      </w:r>
    </w:p>
    <w:p>
      <w:pPr>
        <w:spacing w:after="0" w:line="140"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Cummins Inc. (CMI)</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Verdana" w:cs="Verdana" w:eastAsia="Verdana" w:hAnsi="Verdana"/>
          <w:sz w:val="14"/>
          <w:szCs w:val="14"/>
          <w:color w:val="auto"/>
        </w:rPr>
        <w:t>Dana Incorporated (DAN)</w:t>
      </w:r>
    </w:p>
    <w:p>
      <w:pPr>
        <w:spacing w:after="0" w:line="59" w:lineRule="exact"/>
        <w:rPr>
          <w:sz w:val="20"/>
          <w:szCs w:val="20"/>
          <w:color w:val="auto"/>
        </w:rPr>
      </w:pPr>
    </w:p>
    <w:p>
      <w:pPr>
        <w:spacing w:after="0"/>
        <w:rPr>
          <w:sz w:val="20"/>
          <w:szCs w:val="20"/>
          <w:color w:val="auto"/>
        </w:rPr>
      </w:pPr>
      <w:r>
        <w:rPr>
          <w:rFonts w:ascii="Verdana" w:cs="Verdana" w:eastAsia="Verdana" w:hAnsi="Verdana"/>
          <w:sz w:val="14"/>
          <w:szCs w:val="14"/>
          <w:color w:val="auto"/>
        </w:rPr>
        <w:t>Deere &amp; Company (DE)</w:t>
      </w:r>
    </w:p>
    <w:p>
      <w:pPr>
        <w:spacing w:after="0" w:line="59" w:lineRule="exact"/>
        <w:rPr>
          <w:sz w:val="20"/>
          <w:szCs w:val="20"/>
          <w:color w:val="auto"/>
        </w:rPr>
      </w:pPr>
    </w:p>
    <w:p>
      <w:pPr>
        <w:spacing w:after="0"/>
        <w:rPr>
          <w:sz w:val="20"/>
          <w:szCs w:val="20"/>
          <w:color w:val="auto"/>
        </w:rPr>
      </w:pPr>
      <w:r>
        <w:rPr>
          <w:rFonts w:ascii="Verdana" w:cs="Verdana" w:eastAsia="Verdana" w:hAnsi="Verdana"/>
          <w:sz w:val="14"/>
          <w:szCs w:val="14"/>
          <w:color w:val="auto"/>
        </w:rPr>
        <w:t>Eaton Corporation plc (ETN)</w:t>
      </w:r>
    </w:p>
    <w:p>
      <w:pPr>
        <w:spacing w:after="0" w:line="59" w:lineRule="exact"/>
        <w:rPr>
          <w:sz w:val="20"/>
          <w:szCs w:val="20"/>
          <w:color w:val="auto"/>
        </w:rPr>
      </w:pPr>
    </w:p>
    <w:p>
      <w:pPr>
        <w:spacing w:after="0"/>
        <w:rPr>
          <w:sz w:val="20"/>
          <w:szCs w:val="20"/>
          <w:color w:val="auto"/>
        </w:rPr>
      </w:pPr>
      <w:r>
        <w:rPr>
          <w:rFonts w:ascii="Verdana" w:cs="Verdana" w:eastAsia="Verdana" w:hAnsi="Verdana"/>
          <w:sz w:val="14"/>
          <w:szCs w:val="14"/>
          <w:color w:val="auto"/>
        </w:rPr>
        <w:t>Emerson Electric Co. (EMR)</w:t>
      </w:r>
    </w:p>
    <w:p>
      <w:pPr>
        <w:spacing w:after="0" w:line="59" w:lineRule="exact"/>
        <w:rPr>
          <w:sz w:val="20"/>
          <w:szCs w:val="20"/>
          <w:color w:val="auto"/>
        </w:rPr>
      </w:pPr>
    </w:p>
    <w:p>
      <w:pPr>
        <w:spacing w:after="0" w:line="270" w:lineRule="auto"/>
        <w:rPr>
          <w:sz w:val="20"/>
          <w:szCs w:val="20"/>
          <w:color w:val="auto"/>
        </w:rPr>
      </w:pPr>
      <w:r>
        <w:rPr>
          <w:rFonts w:ascii="Verdana" w:cs="Verdana" w:eastAsia="Verdana" w:hAnsi="Verdana"/>
          <w:sz w:val="14"/>
          <w:szCs w:val="14"/>
          <w:color w:val="auto"/>
        </w:rPr>
        <w:t>Goodyear Tire &amp; Rubber Company (GT)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Honeywell International Inc. (HON)</w:t>
        <w:tab/>
        <w:t>Parker-Hannifin Corporation (PH)</w:t>
      </w:r>
    </w:p>
    <w:p>
      <w:pPr>
        <w:spacing w:after="0" w:line="59"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Illinois Tool Works Inc. (ITW)</w:t>
      </w:r>
      <w:r>
        <w:rPr>
          <w:sz w:val="20"/>
          <w:szCs w:val="20"/>
          <w:color w:val="auto"/>
        </w:rPr>
        <w:tab/>
      </w:r>
      <w:r>
        <w:rPr>
          <w:rFonts w:ascii="Verdana" w:cs="Verdana" w:eastAsia="Verdana" w:hAnsi="Verdana"/>
          <w:sz w:val="14"/>
          <w:szCs w:val="14"/>
          <w:color w:val="auto"/>
        </w:rPr>
        <w:t>Stanley Black &amp; Decker, Inc. (SWK)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26670</wp:posOffset>
            </wp:positionV>
            <wp:extent cx="711517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9"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L3Harris Technologies, Inc. (LHX)</w:t>
      </w:r>
      <w:r>
        <w:rPr>
          <w:sz w:val="20"/>
          <w:szCs w:val="20"/>
          <w:color w:val="auto"/>
        </w:rPr>
        <w:tab/>
      </w:r>
      <w:r>
        <w:rPr>
          <w:rFonts w:ascii="Verdana" w:cs="Verdana" w:eastAsia="Verdana" w:hAnsi="Verdana"/>
          <w:sz w:val="14"/>
          <w:szCs w:val="14"/>
          <w:color w:val="auto"/>
        </w:rPr>
        <w:t>TE Connectivity plc (TEL)</w:t>
      </w:r>
    </w:p>
    <w:p>
      <w:pPr>
        <w:spacing w:after="0" w:line="59"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Magna International Inc. (MGA)</w:t>
      </w:r>
      <w:r>
        <w:rPr>
          <w:sz w:val="20"/>
          <w:szCs w:val="20"/>
          <w:color w:val="auto"/>
        </w:rPr>
        <w:tab/>
      </w:r>
      <w:r>
        <w:rPr>
          <w:rFonts w:ascii="Verdana" w:cs="Verdana" w:eastAsia="Verdana" w:hAnsi="Verdana"/>
          <w:sz w:val="14"/>
          <w:szCs w:val="14"/>
          <w:color w:val="auto"/>
        </w:rPr>
        <w:t>Textron Inc. (TXT)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26670</wp:posOffset>
            </wp:positionV>
            <wp:extent cx="7115175"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120"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PACCAR Inc. (PCAR)</w:t>
      </w:r>
      <w:r>
        <w:rPr>
          <w:sz w:val="20"/>
          <w:szCs w:val="20"/>
          <w:color w:val="auto"/>
        </w:rPr>
        <w:tab/>
      </w:r>
      <w:r>
        <w:rPr>
          <w:rFonts w:ascii="Verdana" w:cs="Verdana" w:eastAsia="Verdana" w:hAnsi="Verdana"/>
          <w:sz w:val="14"/>
          <w:szCs w:val="14"/>
          <w:color w:val="auto"/>
        </w:rPr>
        <w:t>Whirlpool Corporation (WHR)</w:t>
      </w:r>
    </w:p>
    <w:p>
      <w:pPr>
        <w:spacing w:after="0" w:line="331" w:lineRule="exact"/>
        <w:rPr>
          <w:sz w:val="20"/>
          <w:szCs w:val="20"/>
          <w:color w:val="auto"/>
        </w:rPr>
      </w:pPr>
    </w:p>
    <w:p>
      <w:pPr>
        <w:sectPr>
          <w:pgSz w:w="11900" w:h="16838" w:orient="portrait"/>
          <w:cols w:equalWidth="0" w:num="3">
            <w:col w:w="2120" w:space="720"/>
            <w:col w:w="2460" w:space="360"/>
            <w:col w:w="5560"/>
          </w:cols>
          <w:pgMar w:left="320" w:top="130" w:right="35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4" w:name="page45"/>
    <w:bookmarkEnd w:id="4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The above companies were used to inform the NEO target annual and long-term incentive changes effective January 2024. The Comparator Group was increased from 16 companies in 2023 to 20 companies in 2024 with the additions of Corning Incorporated, Dana</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Incorporated, Honeywell International Inc. and Stanley Black &amp; Decker, Inc. These companies were added because, in addition to satisfying the screening criteria described above, the number of companies in the 2023 Comparator Group was near the lower end of the</w:t>
      </w:r>
    </w:p>
    <w:p>
      <w:pPr>
        <w:spacing w:after="0" w:line="1" w:lineRule="exact"/>
        <w:rPr>
          <w:sz w:val="20"/>
          <w:szCs w:val="20"/>
          <w:color w:val="auto"/>
        </w:rPr>
      </w:pPr>
    </w:p>
    <w:p>
      <w:pPr>
        <w:ind w:right="240"/>
        <w:spacing w:after="0" w:line="253" w:lineRule="auto"/>
        <w:rPr>
          <w:sz w:val="20"/>
          <w:szCs w:val="20"/>
          <w:color w:val="auto"/>
        </w:rPr>
      </w:pPr>
      <w:r>
        <w:rPr>
          <w:rFonts w:ascii="Verdana" w:cs="Verdana" w:eastAsia="Verdana" w:hAnsi="Verdana"/>
          <w:sz w:val="16"/>
          <w:szCs w:val="16"/>
          <w:color w:val="auto"/>
        </w:rPr>
        <w:t>desired range of 15-25 companies, with continued mergers and acquisitions likely to further decrease the number of companies in the Comparator Group.</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To assess the Relative TSR performance measure of our Performance Shares, a second peer group consisting of 24 companies that are</w:t>
      </w:r>
    </w:p>
    <w:p>
      <w:pPr>
        <w:spacing w:after="0" w:line="8" w:lineRule="exact"/>
        <w:rPr>
          <w:sz w:val="20"/>
          <w:szCs w:val="20"/>
          <w:color w:val="auto"/>
        </w:rPr>
      </w:pPr>
    </w:p>
    <w:p>
      <w:pPr>
        <w:ind w:right="760"/>
        <w:spacing w:after="0" w:line="253" w:lineRule="auto"/>
        <w:rPr>
          <w:sz w:val="20"/>
          <w:szCs w:val="20"/>
          <w:color w:val="auto"/>
        </w:rPr>
      </w:pPr>
      <w:r>
        <w:rPr>
          <w:rFonts w:ascii="Verdana" w:cs="Verdana" w:eastAsia="Verdana" w:hAnsi="Verdana"/>
          <w:sz w:val="16"/>
          <w:szCs w:val="16"/>
          <w:color w:val="auto"/>
        </w:rPr>
        <w:t xml:space="preserve">primarily automotive suppliers (the "Relative TSR Peer Group") is used. The Relative TSR Peer Group is described in more detail beginning on page </w:t>
      </w:r>
      <w:r>
        <w:rPr>
          <w:rFonts w:ascii="Verdana" w:cs="Verdana" w:eastAsia="Verdana" w:hAnsi="Verdana"/>
          <w:sz w:val="16"/>
          <w:szCs w:val="16"/>
          <w:u w:val="single" w:color="auto"/>
          <w:color w:val="0000FF"/>
        </w:rPr>
        <w:t>49</w:t>
      </w:r>
      <w:r>
        <w:rPr>
          <w:rFonts w:ascii="Verdana" w:cs="Verdana" w:eastAsia="Verdana" w:hAnsi="Verdana"/>
          <w:sz w:val="16"/>
          <w:szCs w:val="16"/>
          <w:color w:val="auto"/>
        </w:rPr>
        <w:t>.</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 Setting Process and Cycles</w:t>
      </w:r>
    </w:p>
    <w:p>
      <w:pPr>
        <w:spacing w:after="0" w:line="13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Tally Sheets</w:t>
      </w:r>
    </w:p>
    <w:p>
      <w:pPr>
        <w:spacing w:after="0" w:line="137"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When determining compensation for the CEO, other NEOs and executive officers, the P&amp;C Committee reviews tally sheets that detail the various elements of compensation for each executive officer. These tally sheets are used to evaluate the appropriateness of the total</w:t>
      </w:r>
    </w:p>
    <w:p>
      <w:pPr>
        <w:spacing w:after="0" w:line="1"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compensation package, to compare each NEO’s total compensation opportunity with the actual aggregate payment and to ensure that the compensation appropriately reflects the compensation program’s focus on pay for performance. Tally sheets provide for an overall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assessment of our compensation program, while ensuring the proper linkage to financial performance and shareholder interests.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Say-on-Pay Results</w:t>
      </w:r>
    </w:p>
    <w:p>
      <w:pPr>
        <w:spacing w:after="0" w:line="13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The P&amp;C Committee reviewed the results of the shareholder advisory vote on NEO compensation and incorporated these results as one of the many factors considered in connection with the overall review of our compensation program. Our compensation practices have</w:t>
      </w:r>
    </w:p>
    <w:p>
      <w:pPr>
        <w:spacing w:after="0" w:line="1" w:lineRule="exact"/>
        <w:rPr>
          <w:sz w:val="20"/>
          <w:szCs w:val="20"/>
          <w:color w:val="auto"/>
        </w:rPr>
      </w:pPr>
    </w:p>
    <w:p>
      <w:pPr>
        <w:ind w:right="340"/>
        <w:spacing w:after="0" w:line="241" w:lineRule="auto"/>
        <w:rPr>
          <w:sz w:val="20"/>
          <w:szCs w:val="20"/>
          <w:color w:val="auto"/>
        </w:rPr>
      </w:pPr>
      <w:r>
        <w:rPr>
          <w:rFonts w:ascii="Verdana" w:cs="Verdana" w:eastAsia="Verdana" w:hAnsi="Verdana"/>
          <w:sz w:val="16"/>
          <w:szCs w:val="16"/>
          <w:color w:val="auto"/>
        </w:rPr>
        <w:t>been consistently supported by our shareholders, as evidenced by our Say-on-Pay results. Last year, we received 90.2% shareholder support, and our average Say-on-Pay shareholder support over the prior five years is 91.8% (excluding abstentions and broker non-</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votes).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Alignment with Shareholders</w:t>
      </w:r>
    </w:p>
    <w:p>
      <w:pPr>
        <w:spacing w:after="0" w:line="131" w:lineRule="exact"/>
        <w:rPr>
          <w:sz w:val="20"/>
          <w:szCs w:val="20"/>
          <w:color w:val="auto"/>
        </w:rPr>
      </w:pPr>
    </w:p>
    <w:p>
      <w:pPr>
        <w:jc w:val="both"/>
        <w:ind w:right="120"/>
        <w:spacing w:after="0" w:line="241" w:lineRule="auto"/>
        <w:rPr>
          <w:sz w:val="20"/>
          <w:szCs w:val="20"/>
          <w:color w:val="auto"/>
        </w:rPr>
      </w:pPr>
      <w:r>
        <w:rPr>
          <w:rFonts w:ascii="Verdana" w:cs="Verdana" w:eastAsia="Verdana" w:hAnsi="Verdana"/>
          <w:sz w:val="16"/>
          <w:szCs w:val="16"/>
          <w:color w:val="auto"/>
        </w:rPr>
        <w:t>Our executive compensation program is designed to drive the execution of our business strategy by strongly aligning pay opportunities with performance outcomes. The P&amp;C Committee considers multiple perspectives in assessing the achievement of this critical objective,</w:t>
      </w:r>
    </w:p>
    <w:p>
      <w:pPr>
        <w:spacing w:after="0" w:line="1"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including a multi-year history of incentive payouts as a percentage of target, financial and TSR results, and the NEOs’ pay relative to the Comparator Group. These analyses, which are prepared by the P&amp;C Committee's independent compensation consultant, found that relative to the Comparator Group:</w:t>
      </w:r>
    </w:p>
    <w:p>
      <w:pPr>
        <w:spacing w:after="0" w:line="98" w:lineRule="exact"/>
        <w:rPr>
          <w:sz w:val="20"/>
          <w:szCs w:val="20"/>
          <w:color w:val="auto"/>
        </w:rPr>
      </w:pPr>
    </w:p>
    <w:p>
      <w:pPr>
        <w:ind w:left="660" w:right="260" w:hanging="328"/>
        <w:spacing w:after="0" w:line="253" w:lineRule="auto"/>
        <w:tabs>
          <w:tab w:leader="none" w:pos="654" w:val="left"/>
        </w:tabs>
        <w:numPr>
          <w:ilvl w:val="0"/>
          <w:numId w:val="59"/>
        </w:numPr>
        <w:rPr>
          <w:rFonts w:ascii="Verdana" w:cs="Verdana" w:eastAsia="Verdana" w:hAnsi="Verdana"/>
          <w:sz w:val="16"/>
          <w:szCs w:val="16"/>
          <w:color w:val="auto"/>
        </w:rPr>
      </w:pPr>
      <w:r>
        <w:rPr>
          <w:rFonts w:ascii="Verdana" w:cs="Verdana" w:eastAsia="Verdana" w:hAnsi="Verdana"/>
          <w:sz w:val="16"/>
          <w:szCs w:val="16"/>
          <w:color w:val="auto"/>
        </w:rPr>
        <w:t>NEO target pay levels are in the competitive range (i.e., +/- 15%) of market median with an emphasis on performance-based pay opportunities.</w:t>
      </w:r>
    </w:p>
    <w:p>
      <w:pPr>
        <w:spacing w:after="0" w:line="89" w:lineRule="exact"/>
        <w:rPr>
          <w:rFonts w:ascii="Verdana" w:cs="Verdana" w:eastAsia="Verdana" w:hAnsi="Verdana"/>
          <w:sz w:val="16"/>
          <w:szCs w:val="16"/>
          <w:color w:val="auto"/>
        </w:rPr>
      </w:pPr>
    </w:p>
    <w:p>
      <w:pPr>
        <w:ind w:left="660" w:right="160" w:hanging="328"/>
        <w:spacing w:after="0" w:line="253" w:lineRule="auto"/>
        <w:tabs>
          <w:tab w:leader="none" w:pos="654" w:val="left"/>
        </w:tabs>
        <w:numPr>
          <w:ilvl w:val="0"/>
          <w:numId w:val="59"/>
        </w:numPr>
        <w:rPr>
          <w:rFonts w:ascii="Verdana" w:cs="Verdana" w:eastAsia="Verdana" w:hAnsi="Verdana"/>
          <w:sz w:val="16"/>
          <w:szCs w:val="16"/>
          <w:color w:val="auto"/>
        </w:rPr>
      </w:pPr>
      <w:r>
        <w:rPr>
          <w:rFonts w:ascii="Verdana" w:cs="Verdana" w:eastAsia="Verdana" w:hAnsi="Verdana"/>
          <w:sz w:val="16"/>
          <w:szCs w:val="16"/>
          <w:color w:val="auto"/>
        </w:rPr>
        <w:t>Our incentive plan performance measures are well-aligned to our business strategy, correlative to TSR and generally consistent with the performance measures used by the Comparator Group (and the broader industrial market).</w:t>
      </w:r>
    </w:p>
    <w:p>
      <w:pPr>
        <w:spacing w:after="0" w:line="76" w:lineRule="exact"/>
        <w:rPr>
          <w:rFonts w:ascii="Verdana" w:cs="Verdana" w:eastAsia="Verdana" w:hAnsi="Verdana"/>
          <w:sz w:val="16"/>
          <w:szCs w:val="16"/>
          <w:color w:val="auto"/>
        </w:rPr>
      </w:pPr>
    </w:p>
    <w:p>
      <w:pPr>
        <w:ind w:left="660" w:right="520" w:hanging="328"/>
        <w:spacing w:after="0" w:line="270" w:lineRule="auto"/>
        <w:tabs>
          <w:tab w:leader="none" w:pos="654" w:val="left"/>
        </w:tabs>
        <w:numPr>
          <w:ilvl w:val="0"/>
          <w:numId w:val="59"/>
        </w:numPr>
        <w:rPr>
          <w:rFonts w:ascii="Verdana" w:cs="Verdana" w:eastAsia="Verdana" w:hAnsi="Verdana"/>
          <w:sz w:val="16"/>
          <w:szCs w:val="16"/>
          <w:color w:val="auto"/>
        </w:rPr>
      </w:pPr>
      <w:r>
        <w:rPr>
          <w:rFonts w:ascii="Verdana" w:cs="Verdana" w:eastAsia="Verdana" w:hAnsi="Verdana"/>
          <w:sz w:val="16"/>
          <w:szCs w:val="16"/>
          <w:color w:val="auto"/>
        </w:rPr>
        <w:t>Our annual incentive and performance share payouts are directionally aligned with performance relative to the Comparator Group.</w:t>
      </w:r>
    </w:p>
    <w:p>
      <w:pPr>
        <w:spacing w:after="0" w:line="62" w:lineRule="exact"/>
        <w:rPr>
          <w:sz w:val="20"/>
          <w:szCs w:val="20"/>
          <w:color w:val="auto"/>
        </w:rPr>
      </w:pPr>
    </w:p>
    <w:p>
      <w:pPr>
        <w:ind w:right="580"/>
        <w:spacing w:after="0" w:line="253" w:lineRule="auto"/>
        <w:rPr>
          <w:sz w:val="20"/>
          <w:szCs w:val="20"/>
          <w:color w:val="auto"/>
        </w:rPr>
      </w:pPr>
      <w:r>
        <w:rPr>
          <w:rFonts w:ascii="Verdana" w:cs="Verdana" w:eastAsia="Verdana" w:hAnsi="Verdana"/>
          <w:sz w:val="16"/>
          <w:szCs w:val="16"/>
          <w:color w:val="auto"/>
        </w:rPr>
        <w:t>Our typical approach for newly promoted executives is to start pay below the market median and then increase pay to the market median over several years, while emphasizing at-risk, performance-based incentive award opportunities.</w:t>
      </w:r>
    </w:p>
    <w:p>
      <w:pPr>
        <w:spacing w:after="0" w:line="90"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Consistent with our pay-for-performance philosophy, stretch goals are set for the AIP and Performance Share award opportunities. As such, in some years, payouts will be above target (when results exceed target), and in other years, payouts will be below target (when</w:t>
      </w:r>
    </w:p>
    <w:p>
      <w:pPr>
        <w:spacing w:after="0" w:line="1"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results are below target). Our last five completed performance periods reflect this pay-for-performance alignment with payouts varying commensurate with results,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74295</wp:posOffset>
            </wp:positionV>
            <wp:extent cx="5666740" cy="8229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66740" cy="822960"/>
                    </a:xfrm>
                    <a:prstGeom prst="rect">
                      <a:avLst/>
                    </a:prstGeom>
                    <a:noFill/>
                  </pic:spPr>
                </pic:pic>
              </a:graphicData>
            </a:graphic>
          </wp:anchor>
        </w:drawing>
      </w:r>
    </w:p>
    <w:p>
      <w:pPr>
        <w:spacing w:after="0" w:line="124"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b w:val="1"/>
          <w:bCs w:val="1"/>
          <w:color w:val="F0EFEE"/>
        </w:rPr>
        <w:t>Historical Performance Payouts</w:t>
      </w:r>
    </w:p>
    <w:p>
      <w:pPr>
        <w:spacing w:after="0" w:line="67" w:lineRule="exact"/>
        <w:rPr>
          <w:sz w:val="20"/>
          <w:szCs w:val="20"/>
          <w:color w:val="auto"/>
        </w:rPr>
      </w:pPr>
    </w:p>
    <w:tbl>
      <w:tblPr>
        <w:tblLayout w:type="fixed"/>
        <w:tblInd w:w="1160" w:type="dxa"/>
        <w:tblCellMar>
          <w:top w:w="0" w:type="dxa"/>
          <w:left w:w="0" w:type="dxa"/>
          <w:bottom w:w="0" w:type="dxa"/>
          <w:right w:w="0" w:type="dxa"/>
        </w:tblCellMar>
      </w:tblPr>
      <w:tr>
        <w:trPr>
          <w:trHeight w:val="187"/>
        </w:trPr>
        <w:tc>
          <w:tcPr>
            <w:tcW w:w="2120" w:type="dxa"/>
            <w:vAlign w:val="bottom"/>
            <w:vMerge w:val="restart"/>
          </w:tcPr>
          <w:p>
            <w:pPr>
              <w:jc w:val="center"/>
              <w:spacing w:after="0"/>
              <w:rPr>
                <w:sz w:val="20"/>
                <w:szCs w:val="20"/>
                <w:color w:val="auto"/>
              </w:rPr>
            </w:pPr>
            <w:r>
              <w:rPr>
                <w:rFonts w:ascii="Verdana" w:cs="Verdana" w:eastAsia="Verdana" w:hAnsi="Verdana"/>
                <w:sz w:val="14"/>
                <w:szCs w:val="14"/>
                <w:b w:val="1"/>
                <w:bCs w:val="1"/>
                <w:color w:val="307FE2"/>
              </w:rPr>
              <w:t>AIP</w:t>
            </w:r>
          </w:p>
        </w:tc>
        <w:tc>
          <w:tcPr>
            <w:tcW w:w="1340" w:type="dxa"/>
            <w:vAlign w:val="bottom"/>
          </w:tcPr>
          <w:p>
            <w:pPr>
              <w:jc w:val="center"/>
              <w:spacing w:after="0"/>
              <w:rPr>
                <w:sz w:val="20"/>
                <w:szCs w:val="20"/>
                <w:color w:val="auto"/>
              </w:rPr>
            </w:pPr>
            <w:r>
              <w:rPr>
                <w:rFonts w:ascii="Verdana" w:cs="Verdana" w:eastAsia="Verdana" w:hAnsi="Verdana"/>
                <w:sz w:val="14"/>
                <w:szCs w:val="14"/>
                <w:b w:val="1"/>
                <w:bCs w:val="1"/>
                <w:color w:val="307FE2"/>
              </w:rPr>
              <w:t>2020</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2021</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2022</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2023</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2024</w:t>
            </w:r>
          </w:p>
        </w:tc>
        <w:tc>
          <w:tcPr>
            <w:tcW w:w="0" w:type="dxa"/>
            <w:vAlign w:val="bottom"/>
          </w:tcPr>
          <w:p>
            <w:pPr>
              <w:spacing w:after="0"/>
              <w:rPr>
                <w:sz w:val="1"/>
                <w:szCs w:val="1"/>
                <w:color w:val="auto"/>
              </w:rPr>
            </w:pPr>
          </w:p>
        </w:tc>
      </w:tr>
      <w:tr>
        <w:trPr>
          <w:trHeight w:val="33"/>
        </w:trPr>
        <w:tc>
          <w:tcPr>
            <w:tcW w:w="2120" w:type="dxa"/>
            <w:vAlign w:val="bottom"/>
            <w:vMerge w:val="continue"/>
          </w:tcPr>
          <w:p>
            <w:pPr>
              <w:spacing w:after="0"/>
              <w:rPr>
                <w:sz w:val="2"/>
                <w:szCs w:val="2"/>
                <w:color w:val="auto"/>
              </w:rPr>
            </w:pPr>
          </w:p>
        </w:tc>
        <w:tc>
          <w:tcPr>
            <w:tcW w:w="134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12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Verdana" w:cs="Verdana" w:eastAsia="Verdana" w:hAnsi="Verdana"/>
                <w:sz w:val="14"/>
                <w:szCs w:val="14"/>
                <w:color w:val="auto"/>
              </w:rPr>
              <w:t>60%</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100%</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124%</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170%</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89%</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120" w:type="dxa"/>
            <w:vAlign w:val="bottom"/>
            <w:tcBorders>
              <w:bottom w:val="single" w:sz="8" w:color="696158"/>
            </w:tcBorders>
          </w:tcPr>
          <w:p>
            <w:pPr>
              <w:spacing w:after="0"/>
              <w:rPr>
                <w:sz w:val="3"/>
                <w:szCs w:val="3"/>
                <w:color w:val="auto"/>
              </w:rPr>
            </w:pPr>
          </w:p>
        </w:tc>
        <w:tc>
          <w:tcPr>
            <w:tcW w:w="1340" w:type="dxa"/>
            <w:vAlign w:val="bottom"/>
            <w:tcBorders>
              <w:bottom w:val="single" w:sz="8" w:color="696158"/>
            </w:tcBorders>
          </w:tcPr>
          <w:p>
            <w:pPr>
              <w:spacing w:after="0"/>
              <w:rPr>
                <w:sz w:val="3"/>
                <w:szCs w:val="3"/>
                <w:color w:val="auto"/>
              </w:rPr>
            </w:pPr>
          </w:p>
        </w:tc>
        <w:tc>
          <w:tcPr>
            <w:tcW w:w="1360" w:type="dxa"/>
            <w:vAlign w:val="bottom"/>
            <w:tcBorders>
              <w:bottom w:val="single" w:sz="8" w:color="696158"/>
            </w:tcBorders>
          </w:tcPr>
          <w:p>
            <w:pPr>
              <w:spacing w:after="0"/>
              <w:rPr>
                <w:sz w:val="3"/>
                <w:szCs w:val="3"/>
                <w:color w:val="auto"/>
              </w:rPr>
            </w:pPr>
          </w:p>
        </w:tc>
        <w:tc>
          <w:tcPr>
            <w:tcW w:w="1380" w:type="dxa"/>
            <w:vAlign w:val="bottom"/>
            <w:tcBorders>
              <w:bottom w:val="single" w:sz="8" w:color="696158"/>
            </w:tcBorders>
          </w:tcPr>
          <w:p>
            <w:pPr>
              <w:spacing w:after="0"/>
              <w:rPr>
                <w:sz w:val="3"/>
                <w:szCs w:val="3"/>
                <w:color w:val="auto"/>
              </w:rPr>
            </w:pPr>
          </w:p>
        </w:tc>
        <w:tc>
          <w:tcPr>
            <w:tcW w:w="1360" w:type="dxa"/>
            <w:vAlign w:val="bottom"/>
            <w:tcBorders>
              <w:bottom w:val="single" w:sz="8" w:color="696158"/>
            </w:tcBorders>
          </w:tcPr>
          <w:p>
            <w:pPr>
              <w:spacing w:after="0"/>
              <w:rPr>
                <w:sz w:val="3"/>
                <w:szCs w:val="3"/>
                <w:color w:val="auto"/>
              </w:rPr>
            </w:pPr>
          </w:p>
        </w:tc>
        <w:tc>
          <w:tcPr>
            <w:tcW w:w="1380" w:type="dxa"/>
            <w:vAlign w:val="bottom"/>
            <w:tcBorders>
              <w:bottom w:val="single" w:sz="8" w:color="696158"/>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20" w:type="dxa"/>
            <w:vAlign w:val="bottom"/>
            <w:vMerge w:val="restart"/>
          </w:tcPr>
          <w:p>
            <w:pPr>
              <w:jc w:val="center"/>
              <w:spacing w:after="0"/>
              <w:rPr>
                <w:sz w:val="20"/>
                <w:szCs w:val="20"/>
                <w:color w:val="auto"/>
              </w:rPr>
            </w:pPr>
            <w:r>
              <w:rPr>
                <w:rFonts w:ascii="Verdana" w:cs="Verdana" w:eastAsia="Verdana" w:hAnsi="Verdana"/>
                <w:sz w:val="14"/>
                <w:szCs w:val="14"/>
                <w:b w:val="1"/>
                <w:bCs w:val="1"/>
                <w:color w:val="307FE2"/>
              </w:rPr>
              <w:t>Performance Shares</w:t>
            </w:r>
          </w:p>
        </w:tc>
        <w:tc>
          <w:tcPr>
            <w:tcW w:w="1340" w:type="dxa"/>
            <w:vAlign w:val="bottom"/>
          </w:tcPr>
          <w:p>
            <w:pPr>
              <w:jc w:val="center"/>
              <w:spacing w:after="0"/>
              <w:rPr>
                <w:sz w:val="20"/>
                <w:szCs w:val="20"/>
                <w:color w:val="auto"/>
              </w:rPr>
            </w:pPr>
            <w:r>
              <w:rPr>
                <w:rFonts w:ascii="Verdana" w:cs="Verdana" w:eastAsia="Verdana" w:hAnsi="Verdana"/>
                <w:sz w:val="14"/>
                <w:szCs w:val="14"/>
                <w:b w:val="1"/>
                <w:bCs w:val="1"/>
                <w:color w:val="307FE2"/>
              </w:rPr>
              <w:t>2018-2020</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2019-2021</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2020-2022</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2021-2023</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2022-2024</w:t>
            </w:r>
          </w:p>
        </w:tc>
        <w:tc>
          <w:tcPr>
            <w:tcW w:w="0" w:type="dxa"/>
            <w:vAlign w:val="bottom"/>
          </w:tcPr>
          <w:p>
            <w:pPr>
              <w:spacing w:after="0"/>
              <w:rPr>
                <w:sz w:val="1"/>
                <w:szCs w:val="1"/>
                <w:color w:val="auto"/>
              </w:rPr>
            </w:pPr>
          </w:p>
        </w:tc>
      </w:tr>
      <w:tr>
        <w:trPr>
          <w:trHeight w:val="32"/>
        </w:trPr>
        <w:tc>
          <w:tcPr>
            <w:tcW w:w="2120" w:type="dxa"/>
            <w:vAlign w:val="bottom"/>
            <w:vMerge w:val="continue"/>
          </w:tcPr>
          <w:p>
            <w:pPr>
              <w:spacing w:after="0"/>
              <w:rPr>
                <w:sz w:val="2"/>
                <w:szCs w:val="2"/>
                <w:color w:val="auto"/>
              </w:rPr>
            </w:pPr>
          </w:p>
        </w:tc>
        <w:tc>
          <w:tcPr>
            <w:tcW w:w="134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12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Verdana" w:cs="Verdana" w:eastAsia="Verdana" w:hAnsi="Verdana"/>
                <w:sz w:val="14"/>
                <w:szCs w:val="14"/>
                <w:color w:val="auto"/>
              </w:rPr>
              <w:t>22%</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74%</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111%</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118%</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112%</w:t>
            </w: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For both the AIP and Performance Shares, three of the last five payouts were at or below target and two of the last five payouts were above target. These payouts are aligned with our performance against our financial metrics for the performance periods, reflecting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alignment of our incentive payouts with our shareholder results.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 w:hanging="534"/>
        <w:spacing w:after="0"/>
        <w:tabs>
          <w:tab w:leader="none" w:pos="560" w:val="left"/>
        </w:tabs>
        <w:numPr>
          <w:ilvl w:val="0"/>
          <w:numId w:val="60"/>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5" w:name="page46"/>
    <w:bookmarkEnd w:id="4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420"/>
        <w:spacing w:after="0" w:line="241" w:lineRule="auto"/>
        <w:rPr>
          <w:sz w:val="20"/>
          <w:szCs w:val="20"/>
          <w:color w:val="auto"/>
        </w:rPr>
      </w:pPr>
      <w:r>
        <w:rPr>
          <w:rFonts w:ascii="Verdana" w:cs="Verdana" w:eastAsia="Verdana" w:hAnsi="Verdana"/>
          <w:sz w:val="16"/>
          <w:szCs w:val="16"/>
          <w:color w:val="auto"/>
        </w:rPr>
        <w:t>The actual amounts realized, if any, from Performance Share award opportunities can vary significantly, due to performance and the Company’s stock price, from the grant amounts shown in the Stock Awards column of the Summary Compensation Table. This is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reflected in the CEO’s target pay mix, with 91% of total pay at-risk and 58% of total pay from performance share opportunities.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Engaging with Shareholders to Continue to Enhance our Compensation Program</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Our directors and management recognize the benefits of robust dialogue with shareholders and have engaged consistently in</w:t>
      </w:r>
    </w:p>
    <w:p>
      <w:pPr>
        <w:spacing w:after="0" w:line="8"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governance-focused shareholder outreach. We continue to solicit the perspectives of our investors which we share with the P&amp;C Committee. Among other topics, we invite dialogue with our shareholders regarding best practices and policy issues, our compensation</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programs, the financial measures that drive our business strategy and other issues to inform our compensation program review process. During fall 2024, we reached out to 17 shareholders whose holdings represent approximately 70% of our shares outstanding to gather feedback on various topics, including our executive compensation program. The predominant feedback we received from investors was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that they were supportive of our compensation programs and practices.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Based on shareholder engagements and feedback during the fall of 2023, we made the following changes to our 2024 incentives:</w:t>
      </w:r>
    </w:p>
    <w:p>
      <w:pPr>
        <w:spacing w:after="0" w:line="116" w:lineRule="exact"/>
        <w:rPr>
          <w:sz w:val="20"/>
          <w:szCs w:val="20"/>
          <w:color w:val="auto"/>
        </w:rPr>
      </w:pPr>
    </w:p>
    <w:p>
      <w:pPr>
        <w:ind w:left="640" w:hanging="308"/>
        <w:spacing w:after="0"/>
        <w:tabs>
          <w:tab w:leader="none" w:pos="640" w:val="left"/>
        </w:tabs>
        <w:numPr>
          <w:ilvl w:val="0"/>
          <w:numId w:val="61"/>
        </w:numPr>
        <w:rPr>
          <w:rFonts w:ascii="Verdana" w:cs="Verdana" w:eastAsia="Verdana" w:hAnsi="Verdana"/>
          <w:sz w:val="16"/>
          <w:szCs w:val="16"/>
          <w:color w:val="auto"/>
        </w:rPr>
      </w:pPr>
      <w:r>
        <w:rPr>
          <w:rFonts w:ascii="Verdana" w:cs="Verdana" w:eastAsia="Verdana" w:hAnsi="Verdana"/>
          <w:sz w:val="16"/>
          <w:szCs w:val="16"/>
          <w:color w:val="auto"/>
        </w:rPr>
        <w:t>Reintroduced ROIC as a financial measure starting with the 2024-2026 Performance Shares, and</w:t>
      </w:r>
    </w:p>
    <w:p>
      <w:pPr>
        <w:spacing w:after="0" w:line="102" w:lineRule="exact"/>
        <w:rPr>
          <w:rFonts w:ascii="Verdana" w:cs="Verdana" w:eastAsia="Verdana" w:hAnsi="Verdana"/>
          <w:sz w:val="16"/>
          <w:szCs w:val="16"/>
          <w:color w:val="auto"/>
        </w:rPr>
      </w:pPr>
    </w:p>
    <w:p>
      <w:pPr>
        <w:ind w:left="660" w:right="1000" w:hanging="328"/>
        <w:spacing w:after="0" w:line="253" w:lineRule="auto"/>
        <w:tabs>
          <w:tab w:leader="none" w:pos="654" w:val="left"/>
        </w:tabs>
        <w:numPr>
          <w:ilvl w:val="0"/>
          <w:numId w:val="61"/>
        </w:numPr>
        <w:rPr>
          <w:rFonts w:ascii="Verdana" w:cs="Verdana" w:eastAsia="Verdana" w:hAnsi="Verdana"/>
          <w:sz w:val="16"/>
          <w:szCs w:val="16"/>
          <w:color w:val="auto"/>
        </w:rPr>
      </w:pPr>
      <w:r>
        <w:rPr>
          <w:rFonts w:ascii="Verdana" w:cs="Verdana" w:eastAsia="Verdana" w:hAnsi="Verdana"/>
          <w:sz w:val="16"/>
          <w:szCs w:val="16"/>
          <w:color w:val="auto"/>
        </w:rPr>
        <w:t>Returned to the traditional approach of setting all goals for the performance measures prior to the start of the 3-year performance period.</w:t>
      </w:r>
    </w:p>
    <w:p>
      <w:pPr>
        <w:spacing w:after="0" w:line="90"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The P&amp;C Committee and the management team review and discuss feedback as part of our comprehensive review of our compensation program's alignment to our business strategy, support of our talent needs, and relevance to market practices and other factors. Based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on consistent feedback from the 2024 shareholder outreach, we retained our annual and long-term incentive designs for 2025.</w:t>
      </w:r>
    </w:p>
    <w:p>
      <w:pPr>
        <w:spacing w:after="0" w:line="103"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In addition to the formal outreach discussed above, members of management continue to have regular and extensive interaction with our investors throughout the year to discuss our business segments, end markets, financial results and operational execution at investor</w:t>
      </w:r>
    </w:p>
    <w:p>
      <w:pPr>
        <w:spacing w:after="0" w:line="1" w:lineRule="exact"/>
        <w:rPr>
          <w:sz w:val="20"/>
          <w:szCs w:val="20"/>
          <w:color w:val="auto"/>
        </w:rPr>
      </w:pPr>
    </w:p>
    <w:p>
      <w:pPr>
        <w:ind w:right="520"/>
        <w:spacing w:after="0" w:line="241" w:lineRule="auto"/>
        <w:rPr>
          <w:sz w:val="20"/>
          <w:szCs w:val="20"/>
          <w:color w:val="auto"/>
        </w:rPr>
      </w:pPr>
      <w:r>
        <w:rPr>
          <w:rFonts w:ascii="Verdana" w:cs="Verdana" w:eastAsia="Verdana" w:hAnsi="Verdana"/>
          <w:sz w:val="16"/>
          <w:szCs w:val="16"/>
          <w:color w:val="auto"/>
        </w:rPr>
        <w:t>conferences, Company-hosted events, non-deal roadshows and quarterly conference calls. In 2024, Lear met with 116 institutional investors for a total of 253 interactions. We share financial and sustainability information relevant to our shareholders through our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Sustainability Report, our Investor Relations website, our Annual Report on Form 10-K and this proxy statement.</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What We Pay and Why: Elements of Executive Compensation</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Executive Compensation Objectives and Core Elements</w:t>
      </w:r>
    </w:p>
    <w:p>
      <w:pPr>
        <w:spacing w:after="0" w:line="131" w:lineRule="exact"/>
        <w:rPr>
          <w:sz w:val="20"/>
          <w:szCs w:val="20"/>
          <w:color w:val="auto"/>
        </w:rPr>
      </w:pPr>
    </w:p>
    <w:p>
      <w:pPr>
        <w:ind w:right="360"/>
        <w:spacing w:after="0" w:line="270" w:lineRule="auto"/>
        <w:rPr>
          <w:sz w:val="20"/>
          <w:szCs w:val="20"/>
          <w:color w:val="auto"/>
        </w:rPr>
      </w:pPr>
      <w:r>
        <w:rPr>
          <w:rFonts w:ascii="Verdana" w:cs="Verdana" w:eastAsia="Verdana" w:hAnsi="Verdana"/>
          <w:sz w:val="16"/>
          <w:szCs w:val="16"/>
          <w:color w:val="auto"/>
        </w:rPr>
        <w:t>Our executive compensation program reflects our pay-for-performance philosophy and encourages executives to make decisions that drive the creation of shareholder value for the short and long term.</w:t>
      </w:r>
    </w:p>
    <w:p>
      <w:pPr>
        <w:spacing w:after="0" w:line="62" w:lineRule="exact"/>
        <w:rPr>
          <w:sz w:val="20"/>
          <w:szCs w:val="20"/>
          <w:color w:val="auto"/>
        </w:rPr>
      </w:pPr>
    </w:p>
    <w:p>
      <w:pPr>
        <w:ind w:right="860"/>
        <w:spacing w:after="0" w:line="253" w:lineRule="auto"/>
        <w:rPr>
          <w:sz w:val="20"/>
          <w:szCs w:val="20"/>
          <w:color w:val="auto"/>
        </w:rPr>
      </w:pPr>
      <w:r>
        <w:rPr>
          <w:rFonts w:ascii="Verdana" w:cs="Verdana" w:eastAsia="Verdana" w:hAnsi="Verdana"/>
          <w:sz w:val="16"/>
          <w:szCs w:val="16"/>
          <w:color w:val="auto"/>
        </w:rPr>
        <w:t>The P&amp;C Committee uses a mix of fixed and variable compensation elements in order to achieve the following objectives of our compensation program:</w:t>
      </w:r>
    </w:p>
    <w:p>
      <w:pPr>
        <w:spacing w:after="0" w:line="90" w:lineRule="exact"/>
        <w:rPr>
          <w:sz w:val="20"/>
          <w:szCs w:val="20"/>
          <w:color w:val="auto"/>
        </w:rPr>
      </w:pPr>
    </w:p>
    <w:p>
      <w:pPr>
        <w:ind w:left="640" w:hanging="308"/>
        <w:spacing w:after="0"/>
        <w:tabs>
          <w:tab w:leader="none" w:pos="640" w:val="left"/>
        </w:tabs>
        <w:numPr>
          <w:ilvl w:val="0"/>
          <w:numId w:val="62"/>
        </w:numPr>
        <w:rPr>
          <w:rFonts w:ascii="Verdana" w:cs="Verdana" w:eastAsia="Verdana" w:hAnsi="Verdana"/>
          <w:sz w:val="16"/>
          <w:szCs w:val="16"/>
          <w:color w:val="auto"/>
        </w:rPr>
      </w:pPr>
      <w:r>
        <w:rPr>
          <w:rFonts w:ascii="Verdana" w:cs="Verdana" w:eastAsia="Verdana" w:hAnsi="Verdana"/>
          <w:sz w:val="16"/>
          <w:szCs w:val="16"/>
          <w:color w:val="auto"/>
        </w:rPr>
        <w:t>link executive pay to Company performance;</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62"/>
        </w:numPr>
        <w:rPr>
          <w:rFonts w:ascii="Verdana" w:cs="Verdana" w:eastAsia="Verdana" w:hAnsi="Verdana"/>
          <w:sz w:val="16"/>
          <w:szCs w:val="16"/>
          <w:color w:val="auto"/>
        </w:rPr>
      </w:pPr>
      <w:r>
        <w:rPr>
          <w:rFonts w:ascii="Verdana" w:cs="Verdana" w:eastAsia="Verdana" w:hAnsi="Verdana"/>
          <w:sz w:val="16"/>
          <w:szCs w:val="16"/>
          <w:color w:val="auto"/>
        </w:rPr>
        <w:t>optimize profitability, cash flow and revenue growth, as well as return on investment;</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62"/>
        </w:numPr>
        <w:rPr>
          <w:rFonts w:ascii="Verdana" w:cs="Verdana" w:eastAsia="Verdana" w:hAnsi="Verdana"/>
          <w:sz w:val="16"/>
          <w:szCs w:val="16"/>
          <w:color w:val="auto"/>
        </w:rPr>
      </w:pPr>
      <w:r>
        <w:rPr>
          <w:rFonts w:ascii="Verdana" w:cs="Verdana" w:eastAsia="Verdana" w:hAnsi="Verdana"/>
          <w:sz w:val="16"/>
          <w:szCs w:val="16"/>
          <w:color w:val="auto"/>
        </w:rPr>
        <w:t>align the interests of management with those of shareholders;</w:t>
      </w:r>
    </w:p>
    <w:p>
      <w:pPr>
        <w:spacing w:after="0" w:line="102" w:lineRule="exact"/>
        <w:rPr>
          <w:rFonts w:ascii="Verdana" w:cs="Verdana" w:eastAsia="Verdana" w:hAnsi="Verdana"/>
          <w:sz w:val="16"/>
          <w:szCs w:val="16"/>
          <w:color w:val="auto"/>
        </w:rPr>
      </w:pPr>
    </w:p>
    <w:p>
      <w:pPr>
        <w:ind w:left="660" w:right="400" w:hanging="328"/>
        <w:spacing w:after="0" w:line="253" w:lineRule="auto"/>
        <w:tabs>
          <w:tab w:leader="none" w:pos="654" w:val="left"/>
        </w:tabs>
        <w:numPr>
          <w:ilvl w:val="0"/>
          <w:numId w:val="62"/>
        </w:numPr>
        <w:rPr>
          <w:rFonts w:ascii="Verdana" w:cs="Verdana" w:eastAsia="Verdana" w:hAnsi="Verdana"/>
          <w:sz w:val="16"/>
          <w:szCs w:val="16"/>
          <w:color w:val="auto"/>
        </w:rPr>
      </w:pPr>
      <w:r>
        <w:rPr>
          <w:rFonts w:ascii="Verdana" w:cs="Verdana" w:eastAsia="Verdana" w:hAnsi="Verdana"/>
          <w:sz w:val="16"/>
          <w:szCs w:val="16"/>
          <w:color w:val="auto"/>
        </w:rPr>
        <w:t>utilize multi-year vesting periods and performance measures aligned to long-term shareholder value creation including stock performance;</w:t>
      </w:r>
    </w:p>
    <w:p>
      <w:pPr>
        <w:spacing w:after="0" w:line="89" w:lineRule="exact"/>
        <w:rPr>
          <w:rFonts w:ascii="Verdana" w:cs="Verdana" w:eastAsia="Verdana" w:hAnsi="Verdana"/>
          <w:sz w:val="16"/>
          <w:szCs w:val="16"/>
          <w:color w:val="auto"/>
        </w:rPr>
      </w:pPr>
    </w:p>
    <w:p>
      <w:pPr>
        <w:ind w:left="640" w:hanging="308"/>
        <w:spacing w:after="0"/>
        <w:tabs>
          <w:tab w:leader="none" w:pos="640" w:val="left"/>
        </w:tabs>
        <w:numPr>
          <w:ilvl w:val="0"/>
          <w:numId w:val="62"/>
        </w:numPr>
        <w:rPr>
          <w:rFonts w:ascii="Verdana" w:cs="Verdana" w:eastAsia="Verdana" w:hAnsi="Verdana"/>
          <w:sz w:val="16"/>
          <w:szCs w:val="16"/>
          <w:color w:val="auto"/>
        </w:rPr>
      </w:pPr>
      <w:r>
        <w:rPr>
          <w:rFonts w:ascii="Verdana" w:cs="Verdana" w:eastAsia="Verdana" w:hAnsi="Verdana"/>
          <w:sz w:val="16"/>
          <w:szCs w:val="16"/>
          <w:color w:val="auto"/>
        </w:rPr>
        <w:t>align management’s compensation with our business strategy and goals;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62"/>
        </w:numPr>
        <w:rPr>
          <w:rFonts w:ascii="Verdana" w:cs="Verdana" w:eastAsia="Verdana" w:hAnsi="Verdana"/>
          <w:sz w:val="16"/>
          <w:szCs w:val="16"/>
          <w:color w:val="auto"/>
        </w:rPr>
      </w:pPr>
      <w:r>
        <w:rPr>
          <w:rFonts w:ascii="Verdana" w:cs="Verdana" w:eastAsia="Verdana" w:hAnsi="Verdana"/>
          <w:sz w:val="16"/>
          <w:szCs w:val="16"/>
          <w:color w:val="auto"/>
        </w:rPr>
        <w:t>promote teamwork within our group of global managers (our “One Lear” concept); and</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62"/>
        </w:numPr>
        <w:rPr>
          <w:rFonts w:ascii="Verdana" w:cs="Verdana" w:eastAsia="Verdana" w:hAnsi="Verdana"/>
          <w:sz w:val="16"/>
          <w:szCs w:val="16"/>
          <w:color w:val="auto"/>
        </w:rPr>
      </w:pPr>
      <w:r>
        <w:rPr>
          <w:rFonts w:ascii="Verdana" w:cs="Verdana" w:eastAsia="Verdana" w:hAnsi="Verdana"/>
          <w:sz w:val="16"/>
          <w:szCs w:val="16"/>
          <w:color w:val="auto"/>
        </w:rPr>
        <w:t>attract, motivate, reward and retain the best executive talent with market-based competitive compensation opportunities.</w:t>
      </w:r>
    </w:p>
    <w:p>
      <w:pPr>
        <w:spacing w:after="0" w:line="103" w:lineRule="exact"/>
        <w:rPr>
          <w:sz w:val="20"/>
          <w:szCs w:val="20"/>
          <w:color w:val="auto"/>
        </w:rPr>
      </w:pPr>
    </w:p>
    <w:p>
      <w:pPr>
        <w:ind w:right="440"/>
        <w:spacing w:after="0" w:line="253" w:lineRule="auto"/>
        <w:rPr>
          <w:sz w:val="20"/>
          <w:szCs w:val="20"/>
          <w:color w:val="auto"/>
        </w:rPr>
      </w:pPr>
      <w:r>
        <w:rPr>
          <w:rFonts w:ascii="Verdana" w:cs="Verdana" w:eastAsia="Verdana" w:hAnsi="Verdana"/>
          <w:sz w:val="16"/>
          <w:szCs w:val="16"/>
          <w:color w:val="auto"/>
        </w:rPr>
        <w:t>To achieve these objectives, we provide a total compensation program for executive officers that consists of base salary, annual and long-term incentive award opportunities, which are summarized below for 2024, as well as certain benefits (covered later).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41</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375920</wp:posOffset>
            </wp:positionV>
            <wp:extent cx="1363345" cy="8661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63345" cy="86614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307FE2"/>
        </w:rPr>
        <w:t>Element</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307FE2"/>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
        </w:trPr>
        <w:tc>
          <w:tcPr>
            <w:tcW w:w="2140" w:type="dxa"/>
            <w:vAlign w:val="bottom"/>
            <w:tcBorders>
              <w:left w:val="single" w:sz="8" w:color="1D428A"/>
              <w:right w:val="single" w:sz="8" w:color="1D428A"/>
            </w:tcBorders>
            <w:vMerge w:val="restart"/>
            <w:shd w:val="clear" w:color="auto" w:fill="1D428A"/>
          </w:tcPr>
          <w:p>
            <w:pPr>
              <w:ind w:left="660"/>
              <w:spacing w:after="0"/>
              <w:rPr>
                <w:sz w:val="20"/>
                <w:szCs w:val="20"/>
                <w:color w:val="auto"/>
              </w:rPr>
            </w:pPr>
            <w:r>
              <w:rPr>
                <w:rFonts w:ascii="Verdana" w:cs="Verdana" w:eastAsia="Verdana" w:hAnsi="Verdana"/>
                <w:sz w:val="13"/>
                <w:szCs w:val="13"/>
                <w:b w:val="1"/>
                <w:bCs w:val="1"/>
                <w:color w:val="FFFFFF"/>
              </w:rPr>
              <w:t>Base Salary</w:t>
            </w:r>
          </w:p>
        </w:tc>
        <w:tc>
          <w:tcPr>
            <w:tcW w:w="100" w:type="dxa"/>
            <w:vAlign w:val="bottom"/>
            <w:tcBorders>
              <w:right w:val="single" w:sz="8" w:color="1D428A"/>
            </w:tcBorders>
          </w:tcPr>
          <w:p>
            <w:pPr>
              <w:spacing w:after="0" w:line="20" w:lineRule="exact"/>
              <w:rPr>
                <w:sz w:val="1"/>
                <w:szCs w:val="1"/>
                <w:color w:val="auto"/>
              </w:rPr>
            </w:pPr>
          </w:p>
        </w:tc>
        <w:tc>
          <w:tcPr>
            <w:tcW w:w="2120" w:type="dxa"/>
            <w:vAlign w:val="bottom"/>
            <w:tcBorders>
              <w:right w:val="single" w:sz="8" w:color="1D428A"/>
            </w:tcBorders>
            <w:vMerge w:val="restart"/>
            <w:shd w:val="clear" w:color="auto" w:fill="1D428A"/>
          </w:tcPr>
          <w:p>
            <w:pPr>
              <w:jc w:val="center"/>
              <w:spacing w:after="0"/>
              <w:rPr>
                <w:sz w:val="20"/>
                <w:szCs w:val="20"/>
                <w:color w:val="auto"/>
              </w:rPr>
            </w:pPr>
            <w:r>
              <w:rPr>
                <w:rFonts w:ascii="Verdana" w:cs="Verdana" w:eastAsia="Verdana" w:hAnsi="Verdana"/>
                <w:sz w:val="13"/>
                <w:szCs w:val="13"/>
                <w:b w:val="1"/>
                <w:bCs w:val="1"/>
                <w:color w:val="FFFFFF"/>
                <w:w w:val="96"/>
              </w:rPr>
              <w:t>2024 Annual Incentive Plan</w:t>
            </w:r>
          </w:p>
        </w:tc>
        <w:tc>
          <w:tcPr>
            <w:tcW w:w="100" w:type="dxa"/>
            <w:vAlign w:val="bottom"/>
            <w:tcBorders>
              <w:right w:val="single" w:sz="8" w:color="1D428A"/>
            </w:tcBorders>
          </w:tcPr>
          <w:p>
            <w:pPr>
              <w:spacing w:after="0" w:line="20" w:lineRule="exact"/>
              <w:rPr>
                <w:sz w:val="1"/>
                <w:szCs w:val="1"/>
                <w:color w:val="auto"/>
              </w:rPr>
            </w:pPr>
          </w:p>
        </w:tc>
        <w:tc>
          <w:tcPr>
            <w:tcW w:w="2120" w:type="dxa"/>
            <w:vAlign w:val="bottom"/>
            <w:tcBorders>
              <w:right w:val="single" w:sz="8" w:color="1D428A"/>
            </w:tcBorders>
            <w:vMerge w:val="restart"/>
            <w:shd w:val="clear" w:color="auto" w:fill="1D428A"/>
          </w:tcPr>
          <w:p>
            <w:pPr>
              <w:jc w:val="center"/>
              <w:spacing w:after="0"/>
              <w:rPr>
                <w:sz w:val="20"/>
                <w:szCs w:val="20"/>
                <w:color w:val="auto"/>
              </w:rPr>
            </w:pPr>
            <w:r>
              <w:rPr>
                <w:rFonts w:ascii="Verdana" w:cs="Verdana" w:eastAsia="Verdana" w:hAnsi="Verdana"/>
                <w:sz w:val="13"/>
                <w:szCs w:val="13"/>
                <w:b w:val="1"/>
                <w:bCs w:val="1"/>
                <w:color w:val="FFFFFF"/>
                <w:w w:val="96"/>
              </w:rPr>
              <w:t>Long-Term Stock Incentive</w:t>
            </w:r>
          </w:p>
        </w:tc>
        <w:tc>
          <w:tcPr>
            <w:tcW w:w="0" w:type="dxa"/>
            <w:vAlign w:val="bottom"/>
          </w:tcPr>
          <w:p>
            <w:pPr>
              <w:spacing w:after="0" w:line="20" w:lineRule="exact"/>
              <w:rPr>
                <w:sz w:val="1"/>
                <w:szCs w:val="1"/>
                <w:color w:val="auto"/>
              </w:rPr>
            </w:pPr>
          </w:p>
        </w:tc>
      </w:tr>
      <w:tr>
        <w:trPr>
          <w:trHeight w:val="245"/>
        </w:trPr>
        <w:tc>
          <w:tcPr>
            <w:tcW w:w="2140" w:type="dxa"/>
            <w:vAlign w:val="bottom"/>
            <w:tcBorders>
              <w:left w:val="single" w:sz="8" w:color="1D428A"/>
              <w:right w:val="single" w:sz="8" w:color="1D428A"/>
            </w:tcBorders>
            <w:vMerge w:val="continue"/>
            <w:shd w:val="clear" w:color="auto" w:fill="1D428A"/>
          </w:tcPr>
          <w:p>
            <w:pPr>
              <w:spacing w:after="0"/>
              <w:rPr>
                <w:sz w:val="21"/>
                <w:szCs w:val="21"/>
                <w:color w:val="auto"/>
              </w:rPr>
            </w:pPr>
          </w:p>
        </w:tc>
        <w:tc>
          <w:tcPr>
            <w:tcW w:w="100" w:type="dxa"/>
            <w:vAlign w:val="bottom"/>
            <w:tcBorders>
              <w:right w:val="single" w:sz="8" w:color="1D428A"/>
            </w:tcBorders>
          </w:tcPr>
          <w:p>
            <w:pPr>
              <w:spacing w:after="0"/>
              <w:rPr>
                <w:sz w:val="21"/>
                <w:szCs w:val="21"/>
                <w:color w:val="auto"/>
              </w:rPr>
            </w:pPr>
          </w:p>
        </w:tc>
        <w:tc>
          <w:tcPr>
            <w:tcW w:w="2120" w:type="dxa"/>
            <w:vAlign w:val="bottom"/>
            <w:tcBorders>
              <w:right w:val="single" w:sz="8" w:color="1D428A"/>
            </w:tcBorders>
            <w:vMerge w:val="continue"/>
            <w:shd w:val="clear" w:color="auto" w:fill="1D428A"/>
          </w:tcPr>
          <w:p>
            <w:pPr>
              <w:spacing w:after="0"/>
              <w:rPr>
                <w:sz w:val="21"/>
                <w:szCs w:val="21"/>
                <w:color w:val="auto"/>
              </w:rPr>
            </w:pPr>
          </w:p>
        </w:tc>
        <w:tc>
          <w:tcPr>
            <w:tcW w:w="100" w:type="dxa"/>
            <w:vAlign w:val="bottom"/>
            <w:tcBorders>
              <w:right w:val="single" w:sz="8" w:color="1D428A"/>
            </w:tcBorders>
          </w:tcPr>
          <w:p>
            <w:pPr>
              <w:spacing w:after="0"/>
              <w:rPr>
                <w:sz w:val="21"/>
                <w:szCs w:val="21"/>
                <w:color w:val="auto"/>
              </w:rPr>
            </w:pPr>
          </w:p>
        </w:tc>
        <w:tc>
          <w:tcPr>
            <w:tcW w:w="2120" w:type="dxa"/>
            <w:vAlign w:val="bottom"/>
            <w:tcBorders>
              <w:right w:val="single" w:sz="8" w:color="1D428A"/>
            </w:tcBorders>
            <w:vMerge w:val="continue"/>
            <w:shd w:val="clear" w:color="auto" w:fill="1D428A"/>
          </w:tcPr>
          <w:p>
            <w:pPr>
              <w:spacing w:after="0"/>
              <w:rPr>
                <w:sz w:val="21"/>
                <w:szCs w:val="21"/>
                <w:color w:val="auto"/>
              </w:rPr>
            </w:pPr>
          </w:p>
        </w:tc>
        <w:tc>
          <w:tcPr>
            <w:tcW w:w="0" w:type="dxa"/>
            <w:vAlign w:val="bottom"/>
          </w:tcPr>
          <w:p>
            <w:pPr>
              <w:spacing w:after="0"/>
              <w:rPr>
                <w:sz w:val="1"/>
                <w:szCs w:val="1"/>
                <w:color w:val="auto"/>
              </w:rPr>
            </w:pPr>
          </w:p>
        </w:tc>
      </w:tr>
      <w:tr>
        <w:trPr>
          <w:trHeight w:val="84"/>
        </w:trPr>
        <w:tc>
          <w:tcPr>
            <w:tcW w:w="2140" w:type="dxa"/>
            <w:vAlign w:val="bottom"/>
            <w:tcBorders>
              <w:left w:val="single" w:sz="8" w:color="1D428A"/>
              <w:right w:val="single" w:sz="8" w:color="1D428A"/>
            </w:tcBorders>
            <w:vMerge w:val="continue"/>
            <w:shd w:val="clear" w:color="auto" w:fill="1D428A"/>
          </w:tcPr>
          <w:p>
            <w:pPr>
              <w:spacing w:after="0"/>
              <w:rPr>
                <w:sz w:val="7"/>
                <w:szCs w:val="7"/>
                <w:color w:val="auto"/>
              </w:rPr>
            </w:pPr>
          </w:p>
        </w:tc>
        <w:tc>
          <w:tcPr>
            <w:tcW w:w="100" w:type="dxa"/>
            <w:vAlign w:val="bottom"/>
            <w:tcBorders>
              <w:right w:val="single" w:sz="8" w:color="1D428A"/>
            </w:tcBorders>
          </w:tcPr>
          <w:p>
            <w:pPr>
              <w:spacing w:after="0"/>
              <w:rPr>
                <w:sz w:val="7"/>
                <w:szCs w:val="7"/>
                <w:color w:val="auto"/>
              </w:rPr>
            </w:pPr>
          </w:p>
        </w:tc>
        <w:tc>
          <w:tcPr>
            <w:tcW w:w="2120" w:type="dxa"/>
            <w:vAlign w:val="bottom"/>
            <w:tcBorders>
              <w:right w:val="single" w:sz="8" w:color="1D428A"/>
            </w:tcBorders>
            <w:vMerge w:val="restart"/>
            <w:shd w:val="clear" w:color="auto" w:fill="1D428A"/>
          </w:tcPr>
          <w:p>
            <w:pPr>
              <w:jc w:val="center"/>
              <w:spacing w:after="0"/>
              <w:rPr>
                <w:sz w:val="20"/>
                <w:szCs w:val="20"/>
                <w:color w:val="auto"/>
              </w:rPr>
            </w:pPr>
            <w:r>
              <w:rPr>
                <w:rFonts w:ascii="Verdana" w:cs="Verdana" w:eastAsia="Verdana" w:hAnsi="Verdana"/>
                <w:sz w:val="13"/>
                <w:szCs w:val="13"/>
                <w:b w:val="1"/>
                <w:bCs w:val="1"/>
                <w:color w:val="FFFFFF"/>
                <w:w w:val="97"/>
              </w:rPr>
              <w:t>(AIP)</w:t>
            </w:r>
          </w:p>
        </w:tc>
        <w:tc>
          <w:tcPr>
            <w:tcW w:w="100" w:type="dxa"/>
            <w:vAlign w:val="bottom"/>
            <w:tcBorders>
              <w:right w:val="single" w:sz="8" w:color="1D428A"/>
            </w:tcBorders>
          </w:tcPr>
          <w:p>
            <w:pPr>
              <w:spacing w:after="0"/>
              <w:rPr>
                <w:sz w:val="7"/>
                <w:szCs w:val="7"/>
                <w:color w:val="auto"/>
              </w:rPr>
            </w:pPr>
          </w:p>
        </w:tc>
        <w:tc>
          <w:tcPr>
            <w:tcW w:w="2120" w:type="dxa"/>
            <w:vAlign w:val="bottom"/>
            <w:tcBorders>
              <w:right w:val="single" w:sz="8" w:color="1D428A"/>
            </w:tcBorders>
            <w:vMerge w:val="restart"/>
            <w:shd w:val="clear" w:color="auto" w:fill="1D428A"/>
          </w:tcPr>
          <w:p>
            <w:pPr>
              <w:jc w:val="center"/>
              <w:spacing w:after="0"/>
              <w:rPr>
                <w:sz w:val="20"/>
                <w:szCs w:val="20"/>
                <w:color w:val="auto"/>
              </w:rPr>
            </w:pPr>
            <w:r>
              <w:rPr>
                <w:rFonts w:ascii="Verdana" w:cs="Verdana" w:eastAsia="Verdana" w:hAnsi="Verdana"/>
                <w:sz w:val="13"/>
                <w:szCs w:val="13"/>
                <w:b w:val="1"/>
                <w:bCs w:val="1"/>
                <w:color w:val="FFFFFF"/>
                <w:w w:val="91"/>
              </w:rPr>
              <w:t>Plan (LTI) RSUs</w:t>
            </w:r>
            <w:r>
              <w:rPr>
                <w:rFonts w:ascii="Verdana" w:cs="Verdana" w:eastAsia="Verdana" w:hAnsi="Verdana"/>
                <w:sz w:val="16"/>
                <w:szCs w:val="16"/>
                <w:b w:val="1"/>
                <w:bCs w:val="1"/>
                <w:color w:val="FFFFFF"/>
                <w:w w:val="91"/>
                <w:vertAlign w:val="superscript"/>
              </w:rPr>
              <w:t>(1) (2)</w:t>
            </w:r>
          </w:p>
        </w:tc>
        <w:tc>
          <w:tcPr>
            <w:tcW w:w="0" w:type="dxa"/>
            <w:vAlign w:val="bottom"/>
          </w:tcPr>
          <w:p>
            <w:pPr>
              <w:spacing w:after="0"/>
              <w:rPr>
                <w:sz w:val="1"/>
                <w:szCs w:val="1"/>
                <w:color w:val="auto"/>
              </w:rPr>
            </w:pPr>
          </w:p>
        </w:tc>
      </w:tr>
      <w:tr>
        <w:trPr>
          <w:trHeight w:val="150"/>
        </w:trPr>
        <w:tc>
          <w:tcPr>
            <w:tcW w:w="2140" w:type="dxa"/>
            <w:vAlign w:val="bottom"/>
            <w:tcBorders>
              <w:left w:val="single" w:sz="8" w:color="1D428A"/>
              <w:right w:val="single" w:sz="8" w:color="1D428A"/>
            </w:tcBorders>
            <w:shd w:val="clear" w:color="auto" w:fill="1D428A"/>
          </w:tcPr>
          <w:p>
            <w:pPr>
              <w:spacing w:after="0"/>
              <w:rPr>
                <w:sz w:val="13"/>
                <w:szCs w:val="13"/>
                <w:color w:val="auto"/>
              </w:rPr>
            </w:pPr>
          </w:p>
        </w:tc>
        <w:tc>
          <w:tcPr>
            <w:tcW w:w="100" w:type="dxa"/>
            <w:vAlign w:val="bottom"/>
            <w:tcBorders>
              <w:right w:val="single" w:sz="8" w:color="1D428A"/>
            </w:tcBorders>
          </w:tcPr>
          <w:p>
            <w:pPr>
              <w:spacing w:after="0"/>
              <w:rPr>
                <w:sz w:val="13"/>
                <w:szCs w:val="13"/>
                <w:color w:val="auto"/>
              </w:rPr>
            </w:pPr>
          </w:p>
        </w:tc>
        <w:tc>
          <w:tcPr>
            <w:tcW w:w="2120" w:type="dxa"/>
            <w:vAlign w:val="bottom"/>
            <w:tcBorders>
              <w:right w:val="single" w:sz="8" w:color="1D428A"/>
            </w:tcBorders>
            <w:vMerge w:val="continue"/>
            <w:shd w:val="clear" w:color="auto" w:fill="1D428A"/>
          </w:tcPr>
          <w:p>
            <w:pPr>
              <w:spacing w:after="0"/>
              <w:rPr>
                <w:sz w:val="13"/>
                <w:szCs w:val="13"/>
                <w:color w:val="auto"/>
              </w:rPr>
            </w:pPr>
          </w:p>
        </w:tc>
        <w:tc>
          <w:tcPr>
            <w:tcW w:w="100" w:type="dxa"/>
            <w:vAlign w:val="bottom"/>
            <w:tcBorders>
              <w:right w:val="single" w:sz="8" w:color="1D428A"/>
            </w:tcBorders>
          </w:tcPr>
          <w:p>
            <w:pPr>
              <w:spacing w:after="0"/>
              <w:rPr>
                <w:sz w:val="13"/>
                <w:szCs w:val="13"/>
                <w:color w:val="auto"/>
              </w:rPr>
            </w:pPr>
          </w:p>
        </w:tc>
        <w:tc>
          <w:tcPr>
            <w:tcW w:w="2120" w:type="dxa"/>
            <w:vAlign w:val="bottom"/>
            <w:tcBorders>
              <w:right w:val="single" w:sz="8" w:color="1D428A"/>
            </w:tcBorders>
            <w:vMerge w:val="continue"/>
            <w:shd w:val="clear" w:color="auto" w:fill="1D428A"/>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140" w:type="dxa"/>
            <w:vAlign w:val="bottom"/>
            <w:tcBorders>
              <w:left w:val="single" w:sz="8" w:color="1D428A"/>
              <w:bottom w:val="single" w:sz="8" w:color="1D428A"/>
              <w:right w:val="single" w:sz="8" w:color="1D428A"/>
            </w:tcBorders>
            <w:shd w:val="clear" w:color="auto" w:fill="1D428A"/>
          </w:tcPr>
          <w:p>
            <w:pPr>
              <w:spacing w:after="0"/>
              <w:rPr>
                <w:sz w:val="2"/>
                <w:szCs w:val="2"/>
                <w:color w:val="auto"/>
              </w:rPr>
            </w:pPr>
          </w:p>
        </w:tc>
        <w:tc>
          <w:tcPr>
            <w:tcW w:w="100" w:type="dxa"/>
            <w:vAlign w:val="bottom"/>
            <w:tcBorders>
              <w:right w:val="single" w:sz="8" w:color="1D428A"/>
            </w:tcBorders>
          </w:tcPr>
          <w:p>
            <w:pPr>
              <w:spacing w:after="0"/>
              <w:rPr>
                <w:sz w:val="2"/>
                <w:szCs w:val="2"/>
                <w:color w:val="auto"/>
              </w:rPr>
            </w:pPr>
          </w:p>
        </w:tc>
        <w:tc>
          <w:tcPr>
            <w:tcW w:w="2120" w:type="dxa"/>
            <w:vAlign w:val="bottom"/>
            <w:tcBorders>
              <w:bottom w:val="single" w:sz="8" w:color="1D428A"/>
              <w:right w:val="single" w:sz="8" w:color="1D428A"/>
            </w:tcBorders>
            <w:shd w:val="clear" w:color="auto" w:fill="1D428A"/>
          </w:tcPr>
          <w:p>
            <w:pPr>
              <w:spacing w:after="0"/>
              <w:rPr>
                <w:sz w:val="2"/>
                <w:szCs w:val="2"/>
                <w:color w:val="auto"/>
              </w:rPr>
            </w:pPr>
          </w:p>
        </w:tc>
        <w:tc>
          <w:tcPr>
            <w:tcW w:w="100" w:type="dxa"/>
            <w:vAlign w:val="bottom"/>
            <w:tcBorders>
              <w:right w:val="single" w:sz="8" w:color="1D428A"/>
            </w:tcBorders>
          </w:tcPr>
          <w:p>
            <w:pPr>
              <w:spacing w:after="0"/>
              <w:rPr>
                <w:sz w:val="2"/>
                <w:szCs w:val="2"/>
                <w:color w:val="auto"/>
              </w:rPr>
            </w:pPr>
          </w:p>
        </w:tc>
        <w:tc>
          <w:tcPr>
            <w:tcW w:w="2120" w:type="dxa"/>
            <w:vAlign w:val="bottom"/>
            <w:tcBorders>
              <w:bottom w:val="single" w:sz="8" w:color="1D428A"/>
              <w:right w:val="single" w:sz="8" w:color="1D428A"/>
            </w:tcBorders>
            <w:shd w:val="clear" w:color="auto" w:fill="1D428A"/>
          </w:tcPr>
          <w:p>
            <w:pPr>
              <w:spacing w:after="0"/>
              <w:rPr>
                <w:sz w:val="2"/>
                <w:szCs w:val="2"/>
                <w:color w:val="auto"/>
              </w:rPr>
            </w:pPr>
          </w:p>
        </w:tc>
        <w:tc>
          <w:tcPr>
            <w:tcW w:w="0" w:type="dxa"/>
            <w:vAlign w:val="bottom"/>
          </w:tcPr>
          <w:p>
            <w:pPr>
              <w:spacing w:after="0"/>
              <w:rPr>
                <w:sz w:val="1"/>
                <w:szCs w:val="1"/>
                <w:color w:val="auto"/>
              </w:rPr>
            </w:pPr>
          </w:p>
        </w:tc>
      </w:tr>
      <w:tr>
        <w:trPr>
          <w:trHeight w:val="312"/>
        </w:trPr>
        <w:tc>
          <w:tcPr>
            <w:tcW w:w="2140" w:type="dxa"/>
            <w:vAlign w:val="bottom"/>
            <w:tcBorders>
              <w:left w:val="single" w:sz="8" w:color="1D428A"/>
              <w:right w:val="single" w:sz="8" w:color="1D428A"/>
            </w:tcBorders>
          </w:tcPr>
          <w:p>
            <w:pPr>
              <w:ind w:left="40"/>
              <w:spacing w:after="0"/>
              <w:rPr>
                <w:sz w:val="20"/>
                <w:szCs w:val="20"/>
                <w:color w:val="auto"/>
              </w:rPr>
            </w:pPr>
            <w:r>
              <w:rPr>
                <w:rFonts w:ascii="Verdana" w:cs="Verdana" w:eastAsia="Verdana" w:hAnsi="Verdana"/>
                <w:sz w:val="13"/>
                <w:szCs w:val="13"/>
                <w:color w:val="auto"/>
              </w:rPr>
              <w:t>Provide competitive rate of pay</w:t>
            </w:r>
          </w:p>
        </w:tc>
        <w:tc>
          <w:tcPr>
            <w:tcW w:w="100" w:type="dxa"/>
            <w:vAlign w:val="bottom"/>
            <w:tcBorders>
              <w:right w:val="single" w:sz="8" w:color="1D428A"/>
            </w:tcBorders>
          </w:tcPr>
          <w:p>
            <w:pPr>
              <w:spacing w:after="0"/>
              <w:rPr>
                <w:sz w:val="24"/>
                <w:szCs w:val="24"/>
                <w:color w:val="auto"/>
              </w:rPr>
            </w:pPr>
          </w:p>
        </w:tc>
        <w:tc>
          <w:tcPr>
            <w:tcW w:w="2120" w:type="dxa"/>
            <w:vAlign w:val="bottom"/>
            <w:tcBorders>
              <w:right w:val="single" w:sz="8" w:color="1D428A"/>
            </w:tcBorders>
          </w:tcPr>
          <w:p>
            <w:pPr>
              <w:ind w:left="20"/>
              <w:spacing w:after="0"/>
              <w:rPr>
                <w:sz w:val="20"/>
                <w:szCs w:val="20"/>
                <w:color w:val="auto"/>
              </w:rPr>
            </w:pPr>
            <w:r>
              <w:rPr>
                <w:rFonts w:ascii="Verdana" w:cs="Verdana" w:eastAsia="Verdana" w:hAnsi="Verdana"/>
                <w:sz w:val="13"/>
                <w:szCs w:val="13"/>
                <w:color w:val="auto"/>
                <w:w w:val="99"/>
              </w:rPr>
              <w:t>Align a portion of annual pay to</w:t>
            </w:r>
          </w:p>
        </w:tc>
        <w:tc>
          <w:tcPr>
            <w:tcW w:w="100" w:type="dxa"/>
            <w:vAlign w:val="bottom"/>
            <w:tcBorders>
              <w:right w:val="single" w:sz="8" w:color="1D428A"/>
            </w:tcBorders>
          </w:tcPr>
          <w:p>
            <w:pPr>
              <w:spacing w:after="0"/>
              <w:rPr>
                <w:sz w:val="24"/>
                <w:szCs w:val="24"/>
                <w:color w:val="auto"/>
              </w:rPr>
            </w:pPr>
          </w:p>
        </w:tc>
        <w:tc>
          <w:tcPr>
            <w:tcW w:w="2120" w:type="dxa"/>
            <w:vAlign w:val="bottom"/>
            <w:tcBorders>
              <w:right w:val="single" w:sz="8" w:color="1D428A"/>
            </w:tcBorders>
          </w:tcPr>
          <w:p>
            <w:pPr>
              <w:spacing w:after="0"/>
              <w:rPr>
                <w:sz w:val="20"/>
                <w:szCs w:val="20"/>
                <w:color w:val="auto"/>
              </w:rPr>
            </w:pPr>
            <w:r>
              <w:rPr>
                <w:rFonts w:ascii="Verdana" w:cs="Verdana" w:eastAsia="Verdana" w:hAnsi="Verdana"/>
                <w:sz w:val="13"/>
                <w:szCs w:val="13"/>
                <w:color w:val="auto"/>
              </w:rPr>
              <w:t>Align executive pay with long-</w:t>
            </w:r>
          </w:p>
        </w:tc>
        <w:tc>
          <w:tcPr>
            <w:tcW w:w="0" w:type="dxa"/>
            <w:vAlign w:val="bottom"/>
          </w:tcPr>
          <w:p>
            <w:pPr>
              <w:spacing w:after="0"/>
              <w:rPr>
                <w:sz w:val="1"/>
                <w:szCs w:val="1"/>
                <w:color w:val="auto"/>
              </w:rPr>
            </w:pPr>
          </w:p>
        </w:tc>
      </w:tr>
      <w:tr>
        <w:trPr>
          <w:trHeight w:val="148"/>
        </w:trPr>
        <w:tc>
          <w:tcPr>
            <w:tcW w:w="2140" w:type="dxa"/>
            <w:vAlign w:val="bottom"/>
            <w:tcBorders>
              <w:left w:val="single" w:sz="8" w:color="1D428A"/>
              <w:right w:val="single" w:sz="8" w:color="1D428A"/>
            </w:tcBorders>
          </w:tcPr>
          <w:p>
            <w:pPr>
              <w:ind w:left="40"/>
              <w:spacing w:after="0" w:line="149" w:lineRule="exact"/>
              <w:rPr>
                <w:sz w:val="20"/>
                <w:szCs w:val="20"/>
                <w:color w:val="auto"/>
              </w:rPr>
            </w:pPr>
            <w:r>
              <w:rPr>
                <w:rFonts w:ascii="Verdana" w:cs="Verdana" w:eastAsia="Verdana" w:hAnsi="Verdana"/>
                <w:sz w:val="13"/>
                <w:szCs w:val="13"/>
                <w:color w:val="auto"/>
              </w:rPr>
              <w:t>to attract, motivate and retain</w:t>
            </w:r>
          </w:p>
        </w:tc>
        <w:tc>
          <w:tcPr>
            <w:tcW w:w="100" w:type="dxa"/>
            <w:vAlign w:val="bottom"/>
            <w:tcBorders>
              <w:right w:val="single" w:sz="8" w:color="1D428A"/>
            </w:tcBorders>
          </w:tcPr>
          <w:p>
            <w:pPr>
              <w:spacing w:after="0"/>
              <w:rPr>
                <w:sz w:val="12"/>
                <w:szCs w:val="12"/>
                <w:color w:val="auto"/>
              </w:rPr>
            </w:pPr>
          </w:p>
        </w:tc>
        <w:tc>
          <w:tcPr>
            <w:tcW w:w="2120" w:type="dxa"/>
            <w:vAlign w:val="bottom"/>
            <w:tcBorders>
              <w:right w:val="single" w:sz="8" w:color="1D428A"/>
            </w:tcBorders>
          </w:tcPr>
          <w:p>
            <w:pPr>
              <w:ind w:left="20"/>
              <w:spacing w:after="0" w:line="149" w:lineRule="exact"/>
              <w:rPr>
                <w:sz w:val="20"/>
                <w:szCs w:val="20"/>
                <w:color w:val="auto"/>
              </w:rPr>
            </w:pPr>
            <w:r>
              <w:rPr>
                <w:rFonts w:ascii="Verdana" w:cs="Verdana" w:eastAsia="Verdana" w:hAnsi="Verdana"/>
                <w:sz w:val="13"/>
                <w:szCs w:val="13"/>
                <w:color w:val="auto"/>
              </w:rPr>
              <w:t>performance against key goals</w:t>
            </w:r>
          </w:p>
        </w:tc>
        <w:tc>
          <w:tcPr>
            <w:tcW w:w="100" w:type="dxa"/>
            <w:vAlign w:val="bottom"/>
            <w:tcBorders>
              <w:right w:val="single" w:sz="8" w:color="1D428A"/>
            </w:tcBorders>
          </w:tcPr>
          <w:p>
            <w:pPr>
              <w:spacing w:after="0"/>
              <w:rPr>
                <w:sz w:val="12"/>
                <w:szCs w:val="12"/>
                <w:color w:val="auto"/>
              </w:rPr>
            </w:pPr>
          </w:p>
        </w:tc>
        <w:tc>
          <w:tcPr>
            <w:tcW w:w="2120" w:type="dxa"/>
            <w:vAlign w:val="bottom"/>
            <w:tcBorders>
              <w:right w:val="single" w:sz="8" w:color="1D428A"/>
            </w:tcBorders>
          </w:tcPr>
          <w:p>
            <w:pPr>
              <w:spacing w:after="0" w:line="149" w:lineRule="exact"/>
              <w:rPr>
                <w:sz w:val="20"/>
                <w:szCs w:val="20"/>
                <w:color w:val="auto"/>
              </w:rPr>
            </w:pPr>
            <w:r>
              <w:rPr>
                <w:rFonts w:ascii="Verdana" w:cs="Verdana" w:eastAsia="Verdana" w:hAnsi="Verdana"/>
                <w:sz w:val="13"/>
                <w:szCs w:val="13"/>
                <w:color w:val="auto"/>
              </w:rPr>
              <w:t>term shareholder interests and</w:t>
            </w:r>
          </w:p>
        </w:tc>
        <w:tc>
          <w:tcPr>
            <w:tcW w:w="0" w:type="dxa"/>
            <w:vAlign w:val="bottom"/>
          </w:tcPr>
          <w:p>
            <w:pPr>
              <w:spacing w:after="0"/>
              <w:rPr>
                <w:sz w:val="1"/>
                <w:szCs w:val="1"/>
                <w:color w:val="auto"/>
              </w:rPr>
            </w:pPr>
          </w:p>
        </w:tc>
      </w:tr>
      <w:tr>
        <w:trPr>
          <w:trHeight w:val="165"/>
        </w:trPr>
        <w:tc>
          <w:tcPr>
            <w:tcW w:w="2140" w:type="dxa"/>
            <w:vAlign w:val="bottom"/>
            <w:tcBorders>
              <w:left w:val="single" w:sz="8" w:color="1D428A"/>
              <w:right w:val="single" w:sz="8" w:color="1D428A"/>
            </w:tcBorders>
          </w:tcPr>
          <w:p>
            <w:pPr>
              <w:ind w:left="40"/>
              <w:spacing w:after="0"/>
              <w:rPr>
                <w:sz w:val="20"/>
                <w:szCs w:val="20"/>
                <w:color w:val="auto"/>
              </w:rPr>
            </w:pPr>
            <w:r>
              <w:rPr>
                <w:rFonts w:ascii="Verdana" w:cs="Verdana" w:eastAsia="Verdana" w:hAnsi="Verdana"/>
                <w:sz w:val="13"/>
                <w:szCs w:val="13"/>
                <w:color w:val="auto"/>
              </w:rPr>
              <w:t>key executive officers</w:t>
            </w:r>
          </w:p>
        </w:tc>
        <w:tc>
          <w:tcPr>
            <w:tcW w:w="100" w:type="dxa"/>
            <w:vAlign w:val="bottom"/>
            <w:tcBorders>
              <w:right w:val="single" w:sz="8" w:color="1D428A"/>
            </w:tcBorders>
          </w:tcPr>
          <w:p>
            <w:pPr>
              <w:spacing w:after="0"/>
              <w:rPr>
                <w:sz w:val="14"/>
                <w:szCs w:val="14"/>
                <w:color w:val="auto"/>
              </w:rPr>
            </w:pPr>
          </w:p>
        </w:tc>
        <w:tc>
          <w:tcPr>
            <w:tcW w:w="2120" w:type="dxa"/>
            <w:vAlign w:val="bottom"/>
            <w:tcBorders>
              <w:right w:val="single" w:sz="8" w:color="1D428A"/>
            </w:tcBorders>
          </w:tcPr>
          <w:p>
            <w:pPr>
              <w:ind w:left="20"/>
              <w:spacing w:after="0"/>
              <w:rPr>
                <w:sz w:val="20"/>
                <w:szCs w:val="20"/>
                <w:color w:val="auto"/>
              </w:rPr>
            </w:pPr>
            <w:r>
              <w:rPr>
                <w:rFonts w:ascii="Verdana" w:cs="Verdana" w:eastAsia="Verdana" w:hAnsi="Verdana"/>
                <w:sz w:val="13"/>
                <w:szCs w:val="13"/>
                <w:color w:val="auto"/>
              </w:rPr>
              <w:t>for the year</w:t>
            </w:r>
          </w:p>
        </w:tc>
        <w:tc>
          <w:tcPr>
            <w:tcW w:w="100" w:type="dxa"/>
            <w:vAlign w:val="bottom"/>
            <w:tcBorders>
              <w:right w:val="single" w:sz="8" w:color="1D428A"/>
            </w:tcBorders>
          </w:tcPr>
          <w:p>
            <w:pPr>
              <w:spacing w:after="0"/>
              <w:rPr>
                <w:sz w:val="14"/>
                <w:szCs w:val="14"/>
                <w:color w:val="auto"/>
              </w:rPr>
            </w:pPr>
          </w:p>
        </w:tc>
        <w:tc>
          <w:tcPr>
            <w:tcW w:w="2120" w:type="dxa"/>
            <w:vAlign w:val="bottom"/>
            <w:tcBorders>
              <w:right w:val="single" w:sz="8" w:color="1D428A"/>
            </w:tcBorders>
          </w:tcPr>
          <w:p>
            <w:pPr>
              <w:spacing w:after="0"/>
              <w:rPr>
                <w:sz w:val="20"/>
                <w:szCs w:val="20"/>
                <w:color w:val="auto"/>
              </w:rPr>
            </w:pPr>
            <w:r>
              <w:rPr>
                <w:rFonts w:ascii="Verdana" w:cs="Verdana" w:eastAsia="Verdana" w:hAnsi="Verdana"/>
                <w:sz w:val="13"/>
                <w:szCs w:val="13"/>
                <w:color w:val="auto"/>
              </w:rPr>
              <w:t>value creation</w:t>
            </w:r>
          </w:p>
        </w:tc>
        <w:tc>
          <w:tcPr>
            <w:tcW w:w="0" w:type="dxa"/>
            <w:vAlign w:val="bottom"/>
          </w:tcPr>
          <w:p>
            <w:pPr>
              <w:spacing w:after="0"/>
              <w:rPr>
                <w:sz w:val="1"/>
                <w:szCs w:val="1"/>
                <w:color w:val="auto"/>
              </w:rPr>
            </w:pPr>
          </w:p>
        </w:tc>
      </w:tr>
      <w:tr>
        <w:trPr>
          <w:trHeight w:val="178"/>
        </w:trPr>
        <w:tc>
          <w:tcPr>
            <w:tcW w:w="2140" w:type="dxa"/>
            <w:vAlign w:val="bottom"/>
            <w:tcBorders>
              <w:left w:val="single" w:sz="8" w:color="1D428A"/>
              <w:bottom w:val="single" w:sz="8" w:color="1D428A"/>
              <w:right w:val="single" w:sz="8" w:color="1D428A"/>
            </w:tcBorders>
          </w:tcPr>
          <w:p>
            <w:pPr>
              <w:spacing w:after="0"/>
              <w:rPr>
                <w:sz w:val="15"/>
                <w:szCs w:val="15"/>
                <w:color w:val="auto"/>
              </w:rPr>
            </w:pPr>
          </w:p>
        </w:tc>
        <w:tc>
          <w:tcPr>
            <w:tcW w:w="100" w:type="dxa"/>
            <w:vAlign w:val="bottom"/>
            <w:tcBorders>
              <w:right w:val="single" w:sz="8" w:color="1D428A"/>
            </w:tcBorders>
          </w:tcPr>
          <w:p>
            <w:pPr>
              <w:spacing w:after="0"/>
              <w:rPr>
                <w:sz w:val="15"/>
                <w:szCs w:val="15"/>
                <w:color w:val="auto"/>
              </w:rPr>
            </w:pPr>
          </w:p>
        </w:tc>
        <w:tc>
          <w:tcPr>
            <w:tcW w:w="2120" w:type="dxa"/>
            <w:vAlign w:val="bottom"/>
            <w:tcBorders>
              <w:bottom w:val="single" w:sz="8" w:color="1D428A"/>
              <w:right w:val="single" w:sz="8" w:color="1D428A"/>
            </w:tcBorders>
          </w:tcPr>
          <w:p>
            <w:pPr>
              <w:spacing w:after="0"/>
              <w:rPr>
                <w:sz w:val="15"/>
                <w:szCs w:val="15"/>
                <w:color w:val="auto"/>
              </w:rPr>
            </w:pPr>
          </w:p>
        </w:tc>
        <w:tc>
          <w:tcPr>
            <w:tcW w:w="100" w:type="dxa"/>
            <w:vAlign w:val="bottom"/>
            <w:tcBorders>
              <w:right w:val="single" w:sz="8" w:color="1D428A"/>
            </w:tcBorders>
          </w:tcPr>
          <w:p>
            <w:pPr>
              <w:spacing w:after="0"/>
              <w:rPr>
                <w:sz w:val="15"/>
                <w:szCs w:val="15"/>
                <w:color w:val="auto"/>
              </w:rPr>
            </w:pPr>
          </w:p>
        </w:tc>
        <w:tc>
          <w:tcPr>
            <w:tcW w:w="2120" w:type="dxa"/>
            <w:vAlign w:val="bottom"/>
            <w:tcBorders>
              <w:bottom w:val="single" w:sz="8" w:color="1D428A"/>
              <w:right w:val="single" w:sz="8" w:color="1D428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4174490" cy="265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7449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79"/>
        <w:spacing w:after="0" w:line="266" w:lineRule="auto"/>
        <w:rPr>
          <w:sz w:val="20"/>
          <w:szCs w:val="20"/>
          <w:color w:val="auto"/>
        </w:rPr>
      </w:pPr>
      <w:r>
        <w:rPr>
          <w:rFonts w:ascii="Verdana" w:cs="Verdana" w:eastAsia="Verdana" w:hAnsi="Verdana"/>
          <w:sz w:val="12"/>
          <w:szCs w:val="12"/>
          <w:b w:val="1"/>
          <w:bCs w:val="1"/>
          <w:color w:val="FFFFFF"/>
        </w:rPr>
        <w:t>Long-Term Stock Incentive Plan (LTI) 2024-2026 Performance Shares</w:t>
      </w:r>
      <w:r>
        <w:rPr>
          <w:rFonts w:ascii="Verdana" w:cs="Verdana" w:eastAsia="Verdana" w:hAnsi="Verdana"/>
          <w:sz w:val="15"/>
          <w:szCs w:val="15"/>
          <w:b w:val="1"/>
          <w:bCs w:val="1"/>
          <w:color w:val="FFFFFF"/>
          <w:vertAlign w:val="superscript"/>
        </w:rPr>
        <w:t>(1)</w:t>
      </w:r>
    </w:p>
    <w:p>
      <w:pPr>
        <w:spacing w:after="0" w:line="1" w:lineRule="exact"/>
        <w:rPr>
          <w:sz w:val="20"/>
          <w:szCs w:val="20"/>
          <w:color w:val="auto"/>
        </w:rPr>
      </w:pPr>
    </w:p>
    <w:p>
      <w:pPr>
        <w:ind w:right="1240"/>
        <w:spacing w:after="0" w:line="251" w:lineRule="auto"/>
        <w:rPr>
          <w:sz w:val="20"/>
          <w:szCs w:val="20"/>
          <w:color w:val="auto"/>
        </w:rPr>
      </w:pPr>
      <w:r>
        <w:rPr>
          <w:rFonts w:ascii="Verdana" w:cs="Verdana" w:eastAsia="Verdana" w:hAnsi="Verdana"/>
          <w:sz w:val="12"/>
          <w:szCs w:val="12"/>
          <w:color w:val="auto"/>
        </w:rPr>
        <w:t>Align executive pay with performance against key financial goals and long-term</w:t>
      </w:r>
    </w:p>
    <w:p>
      <w:pPr>
        <w:spacing w:after="0" w:line="1" w:lineRule="exact"/>
        <w:rPr>
          <w:sz w:val="20"/>
          <w:szCs w:val="20"/>
          <w:color w:val="auto"/>
        </w:rPr>
      </w:pPr>
    </w:p>
    <w:p>
      <w:pPr>
        <w:ind w:right="1080"/>
        <w:spacing w:after="0" w:line="237" w:lineRule="auto"/>
        <w:rPr>
          <w:sz w:val="20"/>
          <w:szCs w:val="20"/>
          <w:color w:val="auto"/>
        </w:rPr>
      </w:pPr>
      <w:r>
        <w:rPr>
          <w:rFonts w:ascii="Verdana" w:cs="Verdana" w:eastAsia="Verdana" w:hAnsi="Verdana"/>
          <w:sz w:val="13"/>
          <w:szCs w:val="13"/>
          <w:color w:val="auto"/>
        </w:rPr>
        <w:t>shareholder interests and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88265</wp:posOffset>
            </wp:positionV>
            <wp:extent cx="1363345" cy="265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63345" cy="26543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3">
            <w:col w:w="740" w:space="720"/>
            <w:col w:w="6580" w:space="120"/>
            <w:col w:w="3080"/>
          </w:cols>
          <w:pgMar w:left="320" w:top="130" w:right="339" w:bottom="1440" w:gutter="0" w:footer="0" w:header="0"/>
          <w:type w:val="continuous"/>
        </w:sectPr>
      </w:pPr>
    </w:p>
    <w:p>
      <w:pPr>
        <w:ind w:left="20"/>
        <w:spacing w:after="0"/>
        <w:rPr>
          <w:sz w:val="20"/>
          <w:szCs w:val="20"/>
          <w:color w:val="auto"/>
        </w:rPr>
      </w:pPr>
      <w:r>
        <w:rPr>
          <w:rFonts w:ascii="Verdana" w:cs="Verdana" w:eastAsia="Verdana" w:hAnsi="Verdana"/>
          <w:sz w:val="14"/>
          <w:szCs w:val="14"/>
          <w:b w:val="1"/>
          <w:bCs w:val="1"/>
          <w:color w:val="307FE2"/>
        </w:rPr>
        <w:t>Fixed vs.</w:t>
      </w:r>
    </w:p>
    <w:p>
      <w:pPr>
        <w:spacing w:after="0" w:line="5"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307FE2"/>
        </w:rPr>
        <w:t>Variable</w:t>
      </w:r>
    </w:p>
    <w:p>
      <w:pPr>
        <w:spacing w:after="0" w:line="181" w:lineRule="exact"/>
        <w:rPr>
          <w:sz w:val="20"/>
          <w:szCs w:val="20"/>
          <w:color w:val="auto"/>
        </w:rPr>
      </w:pPr>
    </w:p>
    <w:p>
      <w:pPr>
        <w:ind w:left="20"/>
        <w:spacing w:after="0" w:line="270" w:lineRule="auto"/>
        <w:rPr>
          <w:sz w:val="20"/>
          <w:szCs w:val="20"/>
          <w:color w:val="auto"/>
        </w:rPr>
      </w:pPr>
      <w:r>
        <w:rPr>
          <w:rFonts w:ascii="Verdana" w:cs="Verdana" w:eastAsia="Verdana" w:hAnsi="Verdana"/>
          <w:sz w:val="14"/>
          <w:szCs w:val="14"/>
          <w:b w:val="1"/>
          <w:bCs w:val="1"/>
          <w:color w:val="307FE2"/>
        </w:rPr>
        <w:t>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70" w:lineRule="auto"/>
        <w:rPr>
          <w:sz w:val="20"/>
          <w:szCs w:val="20"/>
          <w:color w:val="auto"/>
        </w:rPr>
      </w:pPr>
      <w:r>
        <w:rPr>
          <w:rFonts w:ascii="Verdana" w:cs="Verdana" w:eastAsia="Verdana" w:hAnsi="Verdana"/>
          <w:sz w:val="14"/>
          <w:szCs w:val="14"/>
          <w:b w:val="1"/>
          <w:bCs w:val="1"/>
          <w:color w:val="307FE2"/>
        </w:rPr>
        <w:t>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right="60"/>
        <w:spacing w:after="0" w:line="270" w:lineRule="auto"/>
        <w:rPr>
          <w:sz w:val="20"/>
          <w:szCs w:val="20"/>
          <w:color w:val="auto"/>
        </w:rPr>
      </w:pPr>
      <w:r>
        <w:rPr>
          <w:rFonts w:ascii="Verdana" w:cs="Verdana" w:eastAsia="Verdana" w:hAnsi="Verdana"/>
          <w:sz w:val="14"/>
          <w:szCs w:val="14"/>
          <w:b w:val="1"/>
          <w:bCs w:val="1"/>
          <w:color w:val="307FE2"/>
        </w:rPr>
        <w:t>Award Opportunity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Fixed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151765</wp:posOffset>
            </wp:positionV>
            <wp:extent cx="1354455" cy="1543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54455" cy="1543050"/>
                    </a:xfrm>
                    <a:prstGeom prst="rect">
                      <a:avLst/>
                    </a:prstGeom>
                    <a:noFill/>
                  </pic:spPr>
                </pic:pic>
              </a:graphicData>
            </a:graphic>
          </wp:anchor>
        </w:drawing>
      </w:r>
    </w:p>
    <w:p>
      <w:pPr>
        <w:spacing w:after="0" w:line="349" w:lineRule="exact"/>
        <w:rPr>
          <w:sz w:val="20"/>
          <w:szCs w:val="20"/>
          <w:color w:val="auto"/>
        </w:rPr>
      </w:pPr>
    </w:p>
    <w:p>
      <w:pPr>
        <w:ind w:left="980"/>
        <w:spacing w:after="0"/>
        <w:rPr>
          <w:sz w:val="20"/>
          <w:szCs w:val="20"/>
          <w:color w:val="auto"/>
        </w:rPr>
      </w:pPr>
      <w:r>
        <w:rPr>
          <w:rFonts w:ascii="Verdana" w:cs="Verdana" w:eastAsia="Verdana" w:hAnsi="Verdana"/>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Verdana" w:cs="Verdana" w:eastAsia="Verdana" w:hAnsi="Verdana"/>
          <w:sz w:val="12"/>
          <w:szCs w:val="12"/>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673735</wp:posOffset>
            </wp:positionV>
            <wp:extent cx="1354455" cy="5911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5445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Verdana" w:cs="Verdana" w:eastAsia="Verdana" w:hAnsi="Verdana"/>
          <w:sz w:val="13"/>
          <w:szCs w:val="13"/>
          <w:color w:val="auto"/>
        </w:rPr>
        <w:t>Merit Increases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Variable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151765</wp:posOffset>
            </wp:positionV>
            <wp:extent cx="1354455" cy="1543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54455" cy="15430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Verdana" w:cs="Verdana" w:eastAsia="Verdana" w:hAnsi="Verdana"/>
          <w:sz w:val="13"/>
          <w:szCs w:val="13"/>
          <w:color w:val="auto"/>
        </w:rPr>
        <w:t>One Year:</w:t>
      </w:r>
    </w:p>
    <w:p>
      <w:pPr>
        <w:spacing w:after="0"/>
        <w:rPr>
          <w:sz w:val="20"/>
          <w:szCs w:val="20"/>
          <w:color w:val="auto"/>
        </w:rPr>
      </w:pPr>
      <w:r>
        <w:rPr>
          <w:rFonts w:ascii="Verdana" w:cs="Verdana" w:eastAsia="Verdana" w:hAnsi="Verdana"/>
          <w:sz w:val="13"/>
          <w:szCs w:val="13"/>
          <w:color w:val="auto"/>
        </w:rPr>
        <w:t>01/01/2024- 12/31/2024</w:t>
      </w:r>
    </w:p>
    <w:p>
      <w:pPr>
        <w:spacing w:after="0" w:line="85" w:lineRule="exact"/>
        <w:rPr>
          <w:sz w:val="20"/>
          <w:szCs w:val="20"/>
          <w:color w:val="auto"/>
        </w:rPr>
      </w:pPr>
    </w:p>
    <w:p>
      <w:pPr>
        <w:spacing w:after="0"/>
        <w:rPr>
          <w:sz w:val="20"/>
          <w:szCs w:val="20"/>
          <w:color w:val="auto"/>
        </w:rPr>
      </w:pPr>
      <w:r>
        <w:rPr>
          <w:rFonts w:ascii="Verdana" w:cs="Verdana" w:eastAsia="Verdana" w:hAnsi="Verdana"/>
          <w:sz w:val="13"/>
          <w:szCs w:val="13"/>
          <w:color w:val="auto"/>
        </w:rPr>
        <w:t>Two financial measures:</w:t>
      </w:r>
    </w:p>
    <w:p>
      <w:pPr>
        <w:spacing w:after="0" w:line="234" w:lineRule="exact"/>
        <w:rPr>
          <w:sz w:val="20"/>
          <w:szCs w:val="20"/>
          <w:color w:val="auto"/>
        </w:rPr>
      </w:pPr>
    </w:p>
    <w:p>
      <w:pPr>
        <w:ind w:right="460"/>
        <w:spacing w:after="0" w:line="237" w:lineRule="auto"/>
        <w:rPr>
          <w:sz w:val="20"/>
          <w:szCs w:val="20"/>
          <w:color w:val="auto"/>
        </w:rPr>
      </w:pPr>
      <w:r>
        <w:rPr>
          <w:rFonts w:ascii="Verdana" w:cs="Verdana" w:eastAsia="Verdana" w:hAnsi="Verdana"/>
          <w:sz w:val="13"/>
          <w:szCs w:val="13"/>
          <w:color w:val="auto"/>
        </w:rPr>
        <w:t>50% Adjusted Operating Income</w:t>
      </w:r>
    </w:p>
    <w:p>
      <w:pPr>
        <w:spacing w:after="0" w:line="241" w:lineRule="exact"/>
        <w:rPr>
          <w:sz w:val="20"/>
          <w:szCs w:val="20"/>
          <w:color w:val="auto"/>
        </w:rPr>
      </w:pPr>
    </w:p>
    <w:p>
      <w:pPr>
        <w:spacing w:after="0"/>
        <w:rPr>
          <w:sz w:val="20"/>
          <w:szCs w:val="20"/>
          <w:color w:val="auto"/>
        </w:rPr>
      </w:pPr>
      <w:r>
        <w:rPr>
          <w:rFonts w:ascii="Verdana" w:cs="Verdana" w:eastAsia="Verdana" w:hAnsi="Verdana"/>
          <w:sz w:val="13"/>
          <w:szCs w:val="13"/>
          <w:color w:val="auto"/>
        </w:rPr>
        <w:t>50% Free Cash Flow</w:t>
      </w:r>
    </w:p>
    <w:p>
      <w:pPr>
        <w:spacing w:after="0" w:line="234" w:lineRule="exact"/>
        <w:rPr>
          <w:sz w:val="20"/>
          <w:szCs w:val="20"/>
          <w:color w:val="auto"/>
        </w:rPr>
      </w:pPr>
    </w:p>
    <w:p>
      <w:pPr>
        <w:spacing w:after="0" w:line="231" w:lineRule="auto"/>
        <w:rPr>
          <w:sz w:val="20"/>
          <w:szCs w:val="20"/>
          <w:color w:val="auto"/>
        </w:rPr>
      </w:pPr>
      <w:r>
        <w:rPr>
          <w:rFonts w:ascii="Verdana" w:cs="Verdana" w:eastAsia="Verdana" w:hAnsi="Verdana"/>
          <w:sz w:val="13"/>
          <w:szCs w:val="13"/>
          <w:color w:val="auto"/>
        </w:rPr>
        <w:t>The Strategic Scorecard modifier of +/- 10% is applied to the result of the two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97155</wp:posOffset>
            </wp:positionV>
            <wp:extent cx="1354455" cy="5911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54455" cy="5911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Verdana" w:cs="Verdana" w:eastAsia="Verdana" w:hAnsi="Verdana"/>
          <w:sz w:val="13"/>
          <w:szCs w:val="13"/>
          <w:color w:val="auto"/>
        </w:rPr>
        <w:t>0% - 200%</w:t>
      </w:r>
    </w:p>
    <w:p>
      <w:pPr>
        <w:spacing w:after="0" w:line="234" w:lineRule="exact"/>
        <w:rPr>
          <w:sz w:val="20"/>
          <w:szCs w:val="20"/>
          <w:color w:val="auto"/>
        </w:rPr>
      </w:pPr>
    </w:p>
    <w:p>
      <w:pPr>
        <w:ind w:right="40"/>
        <w:spacing w:after="0" w:line="255" w:lineRule="auto"/>
        <w:rPr>
          <w:sz w:val="20"/>
          <w:szCs w:val="20"/>
          <w:color w:val="auto"/>
        </w:rPr>
      </w:pPr>
      <w:r>
        <w:rPr>
          <w:rFonts w:ascii="Verdana" w:cs="Verdana" w:eastAsia="Verdana" w:hAnsi="Verdana"/>
          <w:sz w:val="12"/>
          <w:szCs w:val="12"/>
          <w:color w:val="auto"/>
        </w:rPr>
        <w:t>Awards capped at 200%, inclusive of Strategic Scorecard</w:t>
      </w:r>
    </w:p>
    <w:p>
      <w:pPr>
        <w:spacing w:after="0" w:line="1" w:lineRule="exact"/>
        <w:rPr>
          <w:sz w:val="20"/>
          <w:szCs w:val="20"/>
          <w:color w:val="auto"/>
        </w:rPr>
      </w:pPr>
    </w:p>
    <w:p>
      <w:pPr>
        <w:spacing w:after="0"/>
        <w:rPr>
          <w:sz w:val="20"/>
          <w:szCs w:val="20"/>
          <w:color w:val="auto"/>
        </w:rPr>
      </w:pPr>
      <w:r>
        <w:rPr>
          <w:rFonts w:ascii="Verdana" w:cs="Verdana" w:eastAsia="Verdana" w:hAnsi="Verdana"/>
          <w:sz w:val="13"/>
          <w:szCs w:val="13"/>
          <w:color w:val="auto"/>
        </w:rPr>
        <w:t>Modifier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Variable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151765</wp:posOffset>
            </wp:positionV>
            <wp:extent cx="1363345" cy="1543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63345" cy="1543050"/>
                    </a:xfrm>
                    <a:prstGeom prst="rect">
                      <a:avLst/>
                    </a:prstGeom>
                    <a:noFill/>
                  </pic:spPr>
                </pic:pic>
              </a:graphicData>
            </a:graphic>
          </wp:anchor>
        </w:drawing>
      </w:r>
    </w:p>
    <w:p>
      <w:pPr>
        <w:spacing w:after="0" w:line="268" w:lineRule="exact"/>
        <w:rPr>
          <w:sz w:val="20"/>
          <w:szCs w:val="20"/>
          <w:color w:val="auto"/>
        </w:rPr>
      </w:pPr>
    </w:p>
    <w:p>
      <w:pPr>
        <w:spacing w:after="0" w:line="237" w:lineRule="auto"/>
        <w:rPr>
          <w:sz w:val="20"/>
          <w:szCs w:val="20"/>
          <w:color w:val="auto"/>
        </w:rPr>
      </w:pPr>
      <w:r>
        <w:rPr>
          <w:rFonts w:ascii="Verdana" w:cs="Verdana" w:eastAsia="Verdana" w:hAnsi="Verdana"/>
          <w:sz w:val="13"/>
          <w:szCs w:val="13"/>
          <w:color w:val="auto"/>
        </w:rPr>
        <w:t>Three-Year Cliff Vesting for annual RSU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Verdana" w:cs="Verdana" w:eastAsia="Verdana" w:hAnsi="Verdana"/>
          <w:sz w:val="13"/>
          <w:szCs w:val="13"/>
          <w:color w:val="auto"/>
        </w:rPr>
        <w:t>Stock Price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666115</wp:posOffset>
            </wp:positionV>
            <wp:extent cx="1363345" cy="5911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633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3"/>
          <w:szCs w:val="13"/>
          <w:color w:val="auto"/>
        </w:rPr>
        <w:t>Stock Price Appreciation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Variable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151765</wp:posOffset>
            </wp:positionV>
            <wp:extent cx="1363345" cy="1543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63345" cy="15430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Verdana" w:cs="Verdana" w:eastAsia="Verdana" w:hAnsi="Verdana"/>
          <w:sz w:val="13"/>
          <w:szCs w:val="13"/>
          <w:color w:val="auto"/>
        </w:rPr>
        <w:t>Three Years:</w:t>
      </w:r>
    </w:p>
    <w:p>
      <w:pPr>
        <w:spacing w:after="0"/>
        <w:rPr>
          <w:sz w:val="20"/>
          <w:szCs w:val="20"/>
          <w:color w:val="auto"/>
        </w:rPr>
      </w:pPr>
      <w:r>
        <w:rPr>
          <w:rFonts w:ascii="Verdana" w:cs="Verdana" w:eastAsia="Verdana" w:hAnsi="Verdana"/>
          <w:sz w:val="13"/>
          <w:szCs w:val="13"/>
          <w:color w:val="auto"/>
        </w:rPr>
        <w:t>01/01/2024 - 12/31/2026</w:t>
      </w:r>
    </w:p>
    <w:p>
      <w:pPr>
        <w:spacing w:after="0" w:line="288" w:lineRule="exact"/>
        <w:rPr>
          <w:sz w:val="20"/>
          <w:szCs w:val="20"/>
          <w:color w:val="auto"/>
        </w:rPr>
      </w:pPr>
    </w:p>
    <w:p>
      <w:pPr>
        <w:spacing w:after="0"/>
        <w:rPr>
          <w:sz w:val="20"/>
          <w:szCs w:val="20"/>
          <w:color w:val="auto"/>
        </w:rPr>
      </w:pPr>
      <w:r>
        <w:rPr>
          <w:rFonts w:ascii="Verdana" w:cs="Verdana" w:eastAsia="Verdana" w:hAnsi="Verdana"/>
          <w:sz w:val="13"/>
          <w:szCs w:val="13"/>
          <w:color w:val="auto"/>
        </w:rPr>
        <w:t>Three financial measures:</w:t>
      </w:r>
    </w:p>
    <w:p>
      <w:pPr>
        <w:spacing w:after="0" w:line="139" w:lineRule="exact"/>
        <w:rPr>
          <w:sz w:val="20"/>
          <w:szCs w:val="20"/>
          <w:color w:val="auto"/>
        </w:rPr>
      </w:pPr>
    </w:p>
    <w:p>
      <w:pPr>
        <w:ind w:right="1260"/>
        <w:spacing w:after="0" w:line="256" w:lineRule="auto"/>
        <w:rPr>
          <w:sz w:val="20"/>
          <w:szCs w:val="20"/>
          <w:color w:val="auto"/>
        </w:rPr>
      </w:pPr>
      <w:r>
        <w:rPr>
          <w:rFonts w:ascii="Verdana" w:cs="Verdana" w:eastAsia="Verdana" w:hAnsi="Verdana"/>
          <w:sz w:val="13"/>
          <w:szCs w:val="13"/>
          <w:color w:val="auto"/>
        </w:rPr>
        <w:t>50% Adjusted Annual Pretax Income</w:t>
      </w:r>
    </w:p>
    <w:p>
      <w:pPr>
        <w:spacing w:after="0" w:line="207" w:lineRule="exact"/>
        <w:rPr>
          <w:sz w:val="20"/>
          <w:szCs w:val="20"/>
          <w:color w:val="auto"/>
        </w:rPr>
      </w:pPr>
    </w:p>
    <w:p>
      <w:pPr>
        <w:spacing w:after="0"/>
        <w:rPr>
          <w:sz w:val="20"/>
          <w:szCs w:val="20"/>
          <w:color w:val="auto"/>
        </w:rPr>
      </w:pPr>
      <w:r>
        <w:rPr>
          <w:rFonts w:ascii="Verdana" w:cs="Verdana" w:eastAsia="Verdana" w:hAnsi="Verdana"/>
          <w:sz w:val="13"/>
          <w:szCs w:val="13"/>
          <w:color w:val="auto"/>
        </w:rPr>
        <w:t>25% Adjusted ROIC</w:t>
      </w:r>
    </w:p>
    <w:p>
      <w:pPr>
        <w:spacing w:after="0"/>
        <w:rPr>
          <w:sz w:val="20"/>
          <w:szCs w:val="20"/>
          <w:color w:val="auto"/>
        </w:rPr>
      </w:pPr>
      <w:r>
        <w:rPr>
          <w:rFonts w:ascii="Verdana" w:cs="Verdana" w:eastAsia="Verdana" w:hAnsi="Verdana"/>
          <w:sz w:val="13"/>
          <w:szCs w:val="13"/>
          <w:color w:val="auto"/>
        </w:rPr>
        <w:t>Improvement</w:t>
      </w:r>
    </w:p>
    <w:p>
      <w:pPr>
        <w:spacing w:after="0" w:line="234" w:lineRule="exact"/>
        <w:rPr>
          <w:sz w:val="20"/>
          <w:szCs w:val="20"/>
          <w:color w:val="auto"/>
        </w:rPr>
      </w:pPr>
    </w:p>
    <w:p>
      <w:pPr>
        <w:spacing w:after="0"/>
        <w:rPr>
          <w:sz w:val="20"/>
          <w:szCs w:val="20"/>
          <w:color w:val="auto"/>
        </w:rPr>
      </w:pPr>
      <w:r>
        <w:rPr>
          <w:rFonts w:ascii="Verdana" w:cs="Verdana" w:eastAsia="Verdana" w:hAnsi="Verdana"/>
          <w:sz w:val="13"/>
          <w:szCs w:val="13"/>
          <w:color w:val="auto"/>
        </w:rPr>
        <w:t>25% Relative TSR</w:t>
      </w:r>
      <w:r>
        <w:rPr>
          <w:rFonts w:ascii="Verdana" w:cs="Verdana" w:eastAsia="Verdana" w:hAnsi="Verdana"/>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196850</wp:posOffset>
            </wp:positionV>
            <wp:extent cx="1363345" cy="5911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633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Verdana" w:cs="Verdana" w:eastAsia="Verdana" w:hAnsi="Verdana"/>
          <w:sz w:val="13"/>
          <w:szCs w:val="13"/>
          <w:color w:val="auto"/>
        </w:rPr>
        <w:t>0% - 200%</w:t>
      </w:r>
    </w:p>
    <w:p>
      <w:pPr>
        <w:spacing w:after="0" w:line="526" w:lineRule="exact"/>
        <w:rPr>
          <w:sz w:val="20"/>
          <w:szCs w:val="20"/>
          <w:color w:val="auto"/>
        </w:rPr>
      </w:pPr>
    </w:p>
    <w:p>
      <w:pPr>
        <w:sectPr>
          <w:pgSz w:w="11900" w:h="16838" w:orient="portrait"/>
          <w:cols w:equalWidth="0" w:num="5">
            <w:col w:w="1060" w:space="440"/>
            <w:col w:w="1500" w:space="720"/>
            <w:col w:w="2020" w:space="180"/>
            <w:col w:w="1700" w:space="540"/>
            <w:col w:w="3080"/>
          </w:cols>
          <w:pgMar w:left="320" w:top="130" w:right="339" w:bottom="1440" w:gutter="0" w:footer="0" w:header="0"/>
          <w:type w:val="continuous"/>
        </w:sectPr>
      </w:pPr>
    </w:p>
    <w:p>
      <w:pPr>
        <w:ind w:left="1640" w:hanging="156"/>
        <w:spacing w:after="0"/>
        <w:tabs>
          <w:tab w:leader="none" w:pos="1640" w:val="left"/>
        </w:tabs>
        <w:numPr>
          <w:ilvl w:val="0"/>
          <w:numId w:val="63"/>
        </w:numPr>
        <w:rPr>
          <w:rFonts w:ascii="Verdana" w:cs="Verdana" w:eastAsia="Verdana" w:hAnsi="Verdana"/>
          <w:sz w:val="15"/>
          <w:szCs w:val="15"/>
          <w:color w:val="auto"/>
          <w:vertAlign w:val="superscript"/>
        </w:rPr>
      </w:pPr>
      <w:r>
        <w:rPr>
          <w:rFonts w:ascii="Verdana" w:cs="Verdana" w:eastAsia="Verdana" w:hAnsi="Verdana"/>
          <w:sz w:val="12"/>
          <w:szCs w:val="12"/>
          <w:color w:val="auto"/>
        </w:rPr>
        <w:t>An RSU represents the right to receive a share of common stock when the RSU vests and is settled</w:t>
      </w:r>
    </w:p>
    <w:p>
      <w:pPr>
        <w:spacing w:after="0" w:line="37" w:lineRule="exact"/>
        <w:rPr>
          <w:rFonts w:ascii="Verdana" w:cs="Verdana" w:eastAsia="Verdana" w:hAnsi="Verdana"/>
          <w:sz w:val="15"/>
          <w:szCs w:val="15"/>
          <w:color w:val="auto"/>
          <w:vertAlign w:val="superscript"/>
        </w:rPr>
      </w:pPr>
    </w:p>
    <w:p>
      <w:pPr>
        <w:ind w:left="1660" w:hanging="176"/>
        <w:spacing w:after="0" w:line="203" w:lineRule="auto"/>
        <w:tabs>
          <w:tab w:leader="none" w:pos="1660" w:val="left"/>
        </w:tabs>
        <w:numPr>
          <w:ilvl w:val="0"/>
          <w:numId w:val="63"/>
        </w:numPr>
        <w:rPr>
          <w:rFonts w:ascii="Verdana" w:cs="Verdana" w:eastAsia="Verdana" w:hAnsi="Verdana"/>
          <w:sz w:val="16"/>
          <w:szCs w:val="16"/>
          <w:color w:val="auto"/>
          <w:vertAlign w:val="superscript"/>
        </w:rPr>
      </w:pPr>
      <w:r>
        <w:rPr>
          <w:rFonts w:ascii="Verdana" w:cs="Verdana" w:eastAsia="Verdana" w:hAnsi="Verdana"/>
          <w:sz w:val="13"/>
          <w:szCs w:val="13"/>
          <w:color w:val="auto"/>
        </w:rPr>
        <w:t>RSUs and Performance Shares are settled in common stock</w:t>
      </w:r>
    </w:p>
    <w:p>
      <w:pPr>
        <w:spacing w:after="0" w:line="38" w:lineRule="exact"/>
        <w:rPr>
          <w:rFonts w:ascii="Verdana" w:cs="Verdana" w:eastAsia="Verdana" w:hAnsi="Verdana"/>
          <w:sz w:val="16"/>
          <w:szCs w:val="16"/>
          <w:color w:val="auto"/>
          <w:vertAlign w:val="superscript"/>
        </w:rPr>
      </w:pPr>
    </w:p>
    <w:p>
      <w:pPr>
        <w:ind w:left="1660" w:hanging="176"/>
        <w:spacing w:after="0" w:line="203" w:lineRule="auto"/>
        <w:tabs>
          <w:tab w:leader="none" w:pos="1660" w:val="left"/>
        </w:tabs>
        <w:numPr>
          <w:ilvl w:val="0"/>
          <w:numId w:val="63"/>
        </w:numPr>
        <w:rPr>
          <w:rFonts w:ascii="Verdana" w:cs="Verdana" w:eastAsia="Verdana" w:hAnsi="Verdana"/>
          <w:sz w:val="16"/>
          <w:szCs w:val="16"/>
          <w:color w:val="auto"/>
          <w:vertAlign w:val="superscript"/>
        </w:rPr>
      </w:pPr>
      <w:r>
        <w:rPr>
          <w:rFonts w:ascii="Verdana" w:cs="Verdana" w:eastAsia="Verdana" w:hAnsi="Verdana"/>
          <w:sz w:val="13"/>
          <w:szCs w:val="13"/>
          <w:color w:val="auto"/>
        </w:rPr>
        <w:t>Relative TSR is capped at target (i.e., 100%) if Lear's TSR is negative over the performance period</w:t>
      </w:r>
    </w:p>
    <w:p>
      <w:pPr>
        <w:spacing w:after="0" w:line="23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 for Performance</w:t>
      </w:r>
    </w:p>
    <w:p>
      <w:pPr>
        <w:spacing w:after="0" w:line="144" w:lineRule="exact"/>
        <w:rPr>
          <w:sz w:val="20"/>
          <w:szCs w:val="20"/>
          <w:color w:val="auto"/>
        </w:rPr>
      </w:pPr>
    </w:p>
    <w:p>
      <w:pPr>
        <w:jc w:val="both"/>
        <w:ind w:right="120"/>
        <w:spacing w:after="0" w:line="243" w:lineRule="auto"/>
        <w:rPr>
          <w:sz w:val="20"/>
          <w:szCs w:val="20"/>
          <w:color w:val="auto"/>
        </w:rPr>
      </w:pPr>
      <w:r>
        <w:rPr>
          <w:rFonts w:ascii="Verdana" w:cs="Verdana" w:eastAsia="Verdana" w:hAnsi="Verdana"/>
          <w:sz w:val="16"/>
          <w:szCs w:val="16"/>
          <w:color w:val="auto"/>
        </w:rPr>
        <w:t>Our incentive plans are designed to optimize long-term financial returns for our shareholders and reward our NEOs for delivering on the Company’s strategy. As part of a market-based pay program, we maintain many design features and corporate governance practices to ensure a strong link between executive pay, Company performance and shareholder interests:</w:t>
      </w:r>
    </w:p>
    <w:p>
      <w:pPr>
        <w:spacing w:after="0" w:line="98" w:lineRule="exact"/>
        <w:rPr>
          <w:sz w:val="20"/>
          <w:szCs w:val="20"/>
          <w:color w:val="auto"/>
        </w:rPr>
      </w:pPr>
    </w:p>
    <w:p>
      <w:pPr>
        <w:ind w:left="660" w:right="40" w:hanging="328"/>
        <w:spacing w:after="0" w:line="251" w:lineRule="auto"/>
        <w:tabs>
          <w:tab w:leader="none" w:pos="654" w:val="left"/>
        </w:tabs>
        <w:numPr>
          <w:ilvl w:val="0"/>
          <w:numId w:val="64"/>
        </w:numPr>
        <w:rPr>
          <w:rFonts w:ascii="Verdana" w:cs="Verdana" w:eastAsia="Verdana" w:hAnsi="Verdana"/>
          <w:sz w:val="16"/>
          <w:szCs w:val="16"/>
          <w:color w:val="auto"/>
        </w:rPr>
      </w:pPr>
      <w:r>
        <w:rPr>
          <w:rFonts w:ascii="Verdana" w:cs="Verdana" w:eastAsia="Verdana" w:hAnsi="Verdana"/>
          <w:sz w:val="16"/>
          <w:szCs w:val="16"/>
          <w:color w:val="auto"/>
        </w:rPr>
        <w:t>We use a high percentage of performance-based pay, with 91% of the 2024 target annual compensation for the CEO at risk including 77% granted in long-term equity, and, on average, 83% of the 2024 target annual compensation for the other NEOs at risk including 68% granted in equity.</w:t>
      </w:r>
    </w:p>
    <w:p>
      <w:pPr>
        <w:spacing w:after="0" w:line="78" w:lineRule="exact"/>
        <w:rPr>
          <w:rFonts w:ascii="Verdana" w:cs="Verdana" w:eastAsia="Verdana" w:hAnsi="Verdana"/>
          <w:sz w:val="16"/>
          <w:szCs w:val="16"/>
          <w:color w:val="auto"/>
        </w:rPr>
      </w:pPr>
    </w:p>
    <w:p>
      <w:pPr>
        <w:ind w:left="660" w:right="280" w:hanging="328"/>
        <w:spacing w:after="0" w:line="253" w:lineRule="auto"/>
        <w:tabs>
          <w:tab w:leader="none" w:pos="654" w:val="left"/>
        </w:tabs>
        <w:numPr>
          <w:ilvl w:val="0"/>
          <w:numId w:val="64"/>
        </w:numPr>
        <w:rPr>
          <w:rFonts w:ascii="Verdana" w:cs="Verdana" w:eastAsia="Verdana" w:hAnsi="Verdana"/>
          <w:sz w:val="16"/>
          <w:szCs w:val="16"/>
          <w:color w:val="auto"/>
        </w:rPr>
      </w:pPr>
      <w:r>
        <w:rPr>
          <w:rFonts w:ascii="Verdana" w:cs="Verdana" w:eastAsia="Verdana" w:hAnsi="Verdana"/>
          <w:sz w:val="16"/>
          <w:szCs w:val="16"/>
          <w:color w:val="auto"/>
        </w:rPr>
        <w:t>Our compensation program is aligned with our business strategy, and earnings is the key driver for us to achieve our business strategy goals.</w:t>
      </w:r>
    </w:p>
    <w:p>
      <w:pPr>
        <w:spacing w:after="0" w:line="89" w:lineRule="exact"/>
        <w:rPr>
          <w:rFonts w:ascii="Verdana" w:cs="Verdana" w:eastAsia="Verdana" w:hAnsi="Verdana"/>
          <w:sz w:val="16"/>
          <w:szCs w:val="16"/>
          <w:color w:val="auto"/>
        </w:rPr>
      </w:pPr>
    </w:p>
    <w:p>
      <w:pPr>
        <w:ind w:left="660" w:right="80" w:hanging="328"/>
        <w:spacing w:after="0" w:line="253" w:lineRule="auto"/>
        <w:tabs>
          <w:tab w:leader="none" w:pos="654" w:val="left"/>
        </w:tabs>
        <w:numPr>
          <w:ilvl w:val="0"/>
          <w:numId w:val="64"/>
        </w:numPr>
        <w:rPr>
          <w:rFonts w:ascii="Verdana" w:cs="Verdana" w:eastAsia="Verdana" w:hAnsi="Verdana"/>
          <w:sz w:val="16"/>
          <w:szCs w:val="16"/>
          <w:color w:val="auto"/>
        </w:rPr>
      </w:pPr>
      <w:r>
        <w:rPr>
          <w:rFonts w:ascii="Verdana" w:cs="Verdana" w:eastAsia="Verdana" w:hAnsi="Verdana"/>
          <w:sz w:val="16"/>
          <w:szCs w:val="16"/>
          <w:color w:val="auto"/>
        </w:rPr>
        <w:t>To drive these results, our incentive plans use key performance measures including Adjusted Operating Income, Free Cash Flow, Adjusted Pretax Income and Adjusted ROIC Improvement.</w:t>
      </w:r>
    </w:p>
    <w:p>
      <w:pPr>
        <w:spacing w:after="0" w:line="76" w:lineRule="exact"/>
        <w:rPr>
          <w:rFonts w:ascii="Verdana" w:cs="Verdana" w:eastAsia="Verdana" w:hAnsi="Verdana"/>
          <w:sz w:val="16"/>
          <w:szCs w:val="16"/>
          <w:color w:val="auto"/>
        </w:rPr>
      </w:pPr>
    </w:p>
    <w:p>
      <w:pPr>
        <w:ind w:left="640" w:hanging="308"/>
        <w:spacing w:after="0"/>
        <w:tabs>
          <w:tab w:leader="none" w:pos="640" w:val="left"/>
        </w:tabs>
        <w:numPr>
          <w:ilvl w:val="0"/>
          <w:numId w:val="64"/>
        </w:numPr>
        <w:rPr>
          <w:rFonts w:ascii="Verdana" w:cs="Verdana" w:eastAsia="Verdana" w:hAnsi="Verdana"/>
          <w:sz w:val="16"/>
          <w:szCs w:val="16"/>
          <w:color w:val="auto"/>
        </w:rPr>
      </w:pPr>
      <w:r>
        <w:rPr>
          <w:rFonts w:ascii="Verdana" w:cs="Verdana" w:eastAsia="Verdana" w:hAnsi="Verdana"/>
          <w:sz w:val="16"/>
          <w:szCs w:val="16"/>
          <w:color w:val="auto"/>
        </w:rPr>
        <w:t>We use Relative TSR as a Performance Share market measure to align shareholder interests with executive pay outcomes.</w:t>
      </w:r>
    </w:p>
    <w:p>
      <w:pPr>
        <w:spacing w:after="0" w:line="116"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Our strategic, operational and financial performance over time is reflected in our results and returns to shareholders. All of the annual incentive opportunity and the majority of the long-term incentive opportunity are determined based on specific performance measures</w:t>
      </w:r>
    </w:p>
    <w:p>
      <w:pPr>
        <w:spacing w:after="0" w:line="1"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 xml:space="preserve">that drive achievement of our business strategy, while ensuring sharp focus on critical results. In addition, as part of the Company’s long-term strategy to provide competitive retirement benefits, the Company has historically granted time-based Career Shares, including in 2024. See page </w:t>
      </w:r>
      <w:r>
        <w:rPr>
          <w:rFonts w:ascii="Verdana" w:cs="Verdana" w:eastAsia="Verdana" w:hAnsi="Verdana"/>
          <w:sz w:val="16"/>
          <w:szCs w:val="16"/>
          <w:u w:val="single" w:color="auto"/>
          <w:color w:val="0000FF"/>
        </w:rPr>
        <w:t>52</w:t>
      </w:r>
      <w:r>
        <w:rPr>
          <w:rFonts w:ascii="Verdana" w:cs="Verdana" w:eastAsia="Verdana" w:hAnsi="Verdana"/>
          <w:sz w:val="16"/>
          <w:szCs w:val="16"/>
          <w:color w:val="auto"/>
        </w:rPr>
        <w:t xml:space="preserve"> for more detailed information on Career Shares.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hanging="534"/>
        <w:spacing w:after="0"/>
        <w:tabs>
          <w:tab w:leader="none" w:pos="560" w:val="left"/>
        </w:tabs>
        <w:numPr>
          <w:ilvl w:val="0"/>
          <w:numId w:val="65"/>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7" w:name="page48"/>
    <w:bookmarkEnd w:id="4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In order to drive profitable growth with efficient capital management, we selected complementary performance measures (which assess earnings and capital management, as well as relative TSR, over annual or three-year periods) to use in our 2024 incentive plans: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20" w:type="dxa"/>
            <w:vAlign w:val="bottom"/>
            <w:tcBorders>
              <w:top w:val="single" w:sz="8" w:color="B3B0AC"/>
            </w:tcBorders>
          </w:tcPr>
          <w:p>
            <w:pPr>
              <w:ind w:left="540"/>
              <w:spacing w:after="0"/>
              <w:rPr>
                <w:sz w:val="20"/>
                <w:szCs w:val="20"/>
                <w:color w:val="auto"/>
              </w:rPr>
            </w:pPr>
            <w:r>
              <w:rPr>
                <w:rFonts w:ascii="Verdana" w:cs="Verdana" w:eastAsia="Verdana" w:hAnsi="Verdana"/>
                <w:sz w:val="14"/>
                <w:szCs w:val="14"/>
                <w:b w:val="1"/>
                <w:bCs w:val="1"/>
                <w:color w:val="307FE2"/>
              </w:rPr>
              <w:t>Measure</w:t>
            </w:r>
          </w:p>
        </w:tc>
        <w:tc>
          <w:tcPr>
            <w:tcW w:w="1340" w:type="dxa"/>
            <w:vAlign w:val="bottom"/>
            <w:tcBorders>
              <w:top w:val="single" w:sz="8" w:color="B3B0AC"/>
            </w:tcBorders>
          </w:tcPr>
          <w:p>
            <w:pPr>
              <w:jc w:val="center"/>
              <w:ind w:left="128"/>
              <w:spacing w:after="0"/>
              <w:rPr>
                <w:sz w:val="20"/>
                <w:szCs w:val="20"/>
                <w:color w:val="auto"/>
              </w:rPr>
            </w:pPr>
            <w:r>
              <w:rPr>
                <w:rFonts w:ascii="Verdana" w:cs="Verdana" w:eastAsia="Verdana" w:hAnsi="Verdana"/>
                <w:sz w:val="14"/>
                <w:szCs w:val="14"/>
                <w:b w:val="1"/>
                <w:bCs w:val="1"/>
                <w:color w:val="307FE2"/>
              </w:rPr>
              <w:t>Weighting</w:t>
            </w:r>
          </w:p>
        </w:tc>
        <w:tc>
          <w:tcPr>
            <w:tcW w:w="8220" w:type="dxa"/>
            <w:vAlign w:val="bottom"/>
            <w:tcBorders>
              <w:top w:val="single" w:sz="8" w:color="B3B0AC"/>
            </w:tcBorders>
            <w:gridSpan w:val="3"/>
          </w:tcPr>
          <w:p>
            <w:pPr>
              <w:ind w:left="2640"/>
              <w:spacing w:after="0"/>
              <w:rPr>
                <w:sz w:val="20"/>
                <w:szCs w:val="20"/>
                <w:color w:val="auto"/>
              </w:rPr>
            </w:pPr>
            <w:r>
              <w:rPr>
                <w:rFonts w:ascii="Verdana" w:cs="Verdana" w:eastAsia="Verdana" w:hAnsi="Verdana"/>
                <w:sz w:val="14"/>
                <w:szCs w:val="14"/>
                <w:b w:val="1"/>
                <w:bCs w:val="1"/>
                <w:color w:val="307FE2"/>
              </w:rPr>
              <w:t>Background, Definition and Rationale</w:t>
            </w:r>
          </w:p>
        </w:tc>
        <w:tc>
          <w:tcPr>
            <w:tcW w:w="0" w:type="dxa"/>
            <w:vAlign w:val="bottom"/>
          </w:tcPr>
          <w:p>
            <w:pPr>
              <w:spacing w:after="0"/>
              <w:rPr>
                <w:sz w:val="1"/>
                <w:szCs w:val="1"/>
                <w:color w:val="auto"/>
              </w:rPr>
            </w:pPr>
          </w:p>
        </w:tc>
      </w:tr>
      <w:tr>
        <w:trPr>
          <w:trHeight w:val="26"/>
        </w:trPr>
        <w:tc>
          <w:tcPr>
            <w:tcW w:w="2960" w:type="dxa"/>
            <w:vAlign w:val="bottom"/>
            <w:gridSpan w:val="2"/>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tcBorders>
              <w:bottom w:val="single" w:sz="8" w:color="1D428A"/>
            </w:tcBorders>
            <w:gridSpan w:val="2"/>
            <w:shd w:val="clear" w:color="auto" w:fill="1D428A"/>
          </w:tcPr>
          <w:p>
            <w:pPr>
              <w:ind w:left="20"/>
              <w:spacing w:after="0"/>
              <w:rPr>
                <w:sz w:val="20"/>
                <w:szCs w:val="20"/>
                <w:color w:val="auto"/>
              </w:rPr>
            </w:pPr>
            <w:r>
              <w:rPr>
                <w:rFonts w:ascii="Verdana" w:cs="Verdana" w:eastAsia="Verdana" w:hAnsi="Verdana"/>
                <w:sz w:val="14"/>
                <w:szCs w:val="14"/>
                <w:b w:val="1"/>
                <w:bCs w:val="1"/>
                <w:color w:val="FFFFFF"/>
              </w:rPr>
              <w:t>Annual Incentive Plan (AIP)</w:t>
            </w:r>
          </w:p>
        </w:tc>
        <w:tc>
          <w:tcPr>
            <w:tcW w:w="4760" w:type="dxa"/>
            <w:vAlign w:val="bottom"/>
            <w:tcBorders>
              <w:bottom w:val="single" w:sz="8" w:color="1D428A"/>
            </w:tcBorders>
            <w:shd w:val="clear" w:color="auto" w:fill="1D428A"/>
          </w:tcPr>
          <w:p>
            <w:pPr>
              <w:spacing w:after="0"/>
              <w:rPr>
                <w:sz w:val="19"/>
                <w:szCs w:val="19"/>
                <w:color w:val="auto"/>
              </w:rPr>
            </w:pPr>
          </w:p>
        </w:tc>
        <w:tc>
          <w:tcPr>
            <w:tcW w:w="180" w:type="dxa"/>
            <w:vAlign w:val="bottom"/>
            <w:tcBorders>
              <w:bottom w:val="single" w:sz="8" w:color="1D428A"/>
            </w:tcBorders>
            <w:shd w:val="clear" w:color="auto" w:fill="1D428A"/>
          </w:tcPr>
          <w:p>
            <w:pPr>
              <w:spacing w:after="0"/>
              <w:rPr>
                <w:sz w:val="19"/>
                <w:szCs w:val="19"/>
                <w:color w:val="auto"/>
              </w:rPr>
            </w:pPr>
          </w:p>
        </w:tc>
        <w:tc>
          <w:tcPr>
            <w:tcW w:w="3280" w:type="dxa"/>
            <w:vAlign w:val="bottom"/>
            <w:tcBorders>
              <w:bottom w:val="single" w:sz="8" w:color="1D428A"/>
            </w:tcBorders>
            <w:shd w:val="clear" w:color="auto" w:fill="1D428A"/>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40"/>
              <w:spacing w:after="0"/>
              <w:rPr>
                <w:sz w:val="20"/>
                <w:szCs w:val="20"/>
                <w:color w:val="auto"/>
              </w:rPr>
            </w:pPr>
            <w:r>
              <w:rPr>
                <w:rFonts w:ascii="Arial" w:cs="Arial" w:eastAsia="Arial" w:hAnsi="Arial"/>
                <w:sz w:val="14"/>
                <w:szCs w:val="14"/>
                <w:color w:val="auto"/>
              </w:rPr>
              <w:t>Adjusted Operating</w:t>
            </w:r>
          </w:p>
        </w:tc>
        <w:tc>
          <w:tcPr>
            <w:tcW w:w="1340" w:type="dxa"/>
            <w:vAlign w:val="bottom"/>
          </w:tcPr>
          <w:p>
            <w:pPr>
              <w:jc w:val="center"/>
              <w:ind w:left="128"/>
              <w:spacing w:after="0"/>
              <w:rPr>
                <w:sz w:val="20"/>
                <w:szCs w:val="20"/>
                <w:color w:val="auto"/>
              </w:rPr>
            </w:pPr>
            <w:r>
              <w:rPr>
                <w:rFonts w:ascii="Arial" w:cs="Arial" w:eastAsia="Arial" w:hAnsi="Arial"/>
                <w:sz w:val="14"/>
                <w:szCs w:val="14"/>
                <w:color w:val="auto"/>
              </w:rPr>
              <w:t>50%</w:t>
            </w:r>
          </w:p>
        </w:tc>
        <w:tc>
          <w:tcPr>
            <w:tcW w:w="8220" w:type="dxa"/>
            <w:vAlign w:val="bottom"/>
            <w:gridSpan w:val="3"/>
          </w:tcPr>
          <w:p>
            <w:pPr>
              <w:ind w:left="100"/>
              <w:spacing w:after="0"/>
              <w:rPr>
                <w:sz w:val="20"/>
                <w:szCs w:val="20"/>
                <w:color w:val="auto"/>
              </w:rPr>
            </w:pPr>
            <w:r>
              <w:rPr>
                <w:rFonts w:ascii="Arial" w:cs="Arial" w:eastAsia="Arial" w:hAnsi="Arial"/>
                <w:sz w:val="14"/>
                <w:szCs w:val="14"/>
                <w:color w:val="auto"/>
              </w:rPr>
              <w:t>•  Pretax income before equity income, interest expense, other income/expense, restructuring costs, and</w:t>
            </w:r>
          </w:p>
        </w:tc>
        <w:tc>
          <w:tcPr>
            <w:tcW w:w="0" w:type="dxa"/>
            <w:vAlign w:val="bottom"/>
          </w:tcPr>
          <w:p>
            <w:pPr>
              <w:spacing w:after="0"/>
              <w:rPr>
                <w:sz w:val="1"/>
                <w:szCs w:val="1"/>
                <w:color w:val="auto"/>
              </w:rPr>
            </w:pPr>
          </w:p>
        </w:tc>
      </w:tr>
      <w:tr>
        <w:trPr>
          <w:trHeight w:val="187"/>
        </w:trPr>
        <w:tc>
          <w:tcPr>
            <w:tcW w:w="1620" w:type="dxa"/>
            <w:vAlign w:val="bottom"/>
          </w:tcPr>
          <w:p>
            <w:pPr>
              <w:ind w:left="40"/>
              <w:spacing w:after="0"/>
              <w:rPr>
                <w:sz w:val="20"/>
                <w:szCs w:val="20"/>
                <w:color w:val="auto"/>
              </w:rPr>
            </w:pPr>
            <w:r>
              <w:rPr>
                <w:rFonts w:ascii="Arial" w:cs="Arial" w:eastAsia="Arial" w:hAnsi="Arial"/>
                <w:sz w:val="14"/>
                <w:szCs w:val="14"/>
                <w:color w:val="auto"/>
              </w:rPr>
              <w:t>Income</w:t>
            </w:r>
          </w:p>
        </w:tc>
        <w:tc>
          <w:tcPr>
            <w:tcW w:w="1340" w:type="dxa"/>
            <w:vAlign w:val="bottom"/>
          </w:tcPr>
          <w:p>
            <w:pPr>
              <w:spacing w:after="0"/>
              <w:rPr>
                <w:sz w:val="16"/>
                <w:szCs w:val="16"/>
                <w:color w:val="auto"/>
              </w:rPr>
            </w:pP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certain transactions and non-recurring items.</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20" w:type="dxa"/>
            <w:vAlign w:val="bottom"/>
            <w:gridSpan w:val="3"/>
          </w:tcPr>
          <w:p>
            <w:pPr>
              <w:ind w:left="100"/>
              <w:spacing w:after="0"/>
              <w:rPr>
                <w:sz w:val="20"/>
                <w:szCs w:val="20"/>
                <w:color w:val="auto"/>
              </w:rPr>
            </w:pPr>
            <w:r>
              <w:rPr>
                <w:rFonts w:ascii="Arial" w:cs="Arial" w:eastAsia="Arial" w:hAnsi="Arial"/>
                <w:sz w:val="14"/>
                <w:szCs w:val="14"/>
                <w:color w:val="auto"/>
              </w:rPr>
              <w:t>•  Adjusted Operating Income is a well understood operating metric that can be influenced by all levels of</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employees of the Company.</w:t>
            </w: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20" w:type="dxa"/>
            <w:vAlign w:val="bottom"/>
            <w:gridSpan w:val="3"/>
          </w:tcPr>
          <w:p>
            <w:pPr>
              <w:ind w:left="100"/>
              <w:spacing w:after="0"/>
              <w:rPr>
                <w:sz w:val="20"/>
                <w:szCs w:val="20"/>
                <w:color w:val="auto"/>
              </w:rPr>
            </w:pPr>
            <w:r>
              <w:rPr>
                <w:rFonts w:ascii="Arial" w:cs="Arial" w:eastAsia="Arial" w:hAnsi="Arial"/>
                <w:sz w:val="14"/>
                <w:szCs w:val="14"/>
                <w:color w:val="auto"/>
              </w:rPr>
              <w:t>•  Provides motivation to maximize earnings from current operations.</w:t>
            </w:r>
          </w:p>
        </w:tc>
        <w:tc>
          <w:tcPr>
            <w:tcW w:w="0" w:type="dxa"/>
            <w:vAlign w:val="bottom"/>
          </w:tcPr>
          <w:p>
            <w:pPr>
              <w:spacing w:after="0"/>
              <w:rPr>
                <w:sz w:val="1"/>
                <w:szCs w:val="1"/>
                <w:color w:val="auto"/>
              </w:rPr>
            </w:pPr>
          </w:p>
        </w:tc>
      </w:tr>
      <w:tr>
        <w:trPr>
          <w:trHeight w:val="120"/>
        </w:trPr>
        <w:tc>
          <w:tcPr>
            <w:tcW w:w="1620" w:type="dxa"/>
            <w:vAlign w:val="bottom"/>
            <w:tcBorders>
              <w:bottom w:val="single" w:sz="8" w:color="B3B0AC"/>
            </w:tcBorders>
          </w:tcPr>
          <w:p>
            <w:pPr>
              <w:spacing w:after="0"/>
              <w:rPr>
                <w:sz w:val="10"/>
                <w:szCs w:val="10"/>
                <w:color w:val="auto"/>
              </w:rPr>
            </w:pPr>
          </w:p>
        </w:tc>
        <w:tc>
          <w:tcPr>
            <w:tcW w:w="1340" w:type="dxa"/>
            <w:vAlign w:val="bottom"/>
            <w:tcBorders>
              <w:bottom w:val="single" w:sz="8" w:color="B3B0AC"/>
            </w:tcBorders>
          </w:tcPr>
          <w:p>
            <w:pPr>
              <w:spacing w:after="0"/>
              <w:rPr>
                <w:sz w:val="10"/>
                <w:szCs w:val="10"/>
                <w:color w:val="auto"/>
              </w:rPr>
            </w:pPr>
          </w:p>
        </w:tc>
        <w:tc>
          <w:tcPr>
            <w:tcW w:w="4760" w:type="dxa"/>
            <w:vAlign w:val="bottom"/>
            <w:tcBorders>
              <w:bottom w:val="single" w:sz="8" w:color="B3B0AC"/>
            </w:tcBorders>
          </w:tcPr>
          <w:p>
            <w:pPr>
              <w:spacing w:after="0"/>
              <w:rPr>
                <w:sz w:val="10"/>
                <w:szCs w:val="10"/>
                <w:color w:val="auto"/>
              </w:rPr>
            </w:pPr>
          </w:p>
        </w:tc>
        <w:tc>
          <w:tcPr>
            <w:tcW w:w="180" w:type="dxa"/>
            <w:vAlign w:val="bottom"/>
            <w:tcBorders>
              <w:bottom w:val="single" w:sz="8" w:color="B3B0AC"/>
            </w:tcBorders>
          </w:tcPr>
          <w:p>
            <w:pPr>
              <w:spacing w:after="0"/>
              <w:rPr>
                <w:sz w:val="10"/>
                <w:szCs w:val="10"/>
                <w:color w:val="auto"/>
              </w:rPr>
            </w:pPr>
          </w:p>
        </w:tc>
        <w:tc>
          <w:tcPr>
            <w:tcW w:w="3280" w:type="dxa"/>
            <w:vAlign w:val="bottom"/>
            <w:tcBorders>
              <w:bottom w:val="single" w:sz="8" w:color="B3B0AC"/>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D6E5F9"/>
          </w:tcPr>
          <w:p>
            <w:pPr>
              <w:ind w:left="40"/>
              <w:spacing w:after="0"/>
              <w:rPr>
                <w:sz w:val="20"/>
                <w:szCs w:val="20"/>
                <w:color w:val="auto"/>
              </w:rPr>
            </w:pPr>
            <w:r>
              <w:rPr>
                <w:rFonts w:ascii="Arial" w:cs="Arial" w:eastAsia="Arial" w:hAnsi="Arial"/>
                <w:sz w:val="14"/>
                <w:szCs w:val="14"/>
                <w:color w:val="auto"/>
              </w:rPr>
              <w:t>Free Cash Flow</w:t>
            </w:r>
          </w:p>
        </w:tc>
        <w:tc>
          <w:tcPr>
            <w:tcW w:w="1340" w:type="dxa"/>
            <w:vAlign w:val="bottom"/>
            <w:shd w:val="clear" w:color="auto" w:fill="D6E5F9"/>
          </w:tcPr>
          <w:p>
            <w:pPr>
              <w:jc w:val="center"/>
              <w:ind w:left="128"/>
              <w:spacing w:after="0"/>
              <w:rPr>
                <w:sz w:val="20"/>
                <w:szCs w:val="20"/>
                <w:color w:val="auto"/>
              </w:rPr>
            </w:pPr>
            <w:r>
              <w:rPr>
                <w:rFonts w:ascii="Arial" w:cs="Arial" w:eastAsia="Arial" w:hAnsi="Arial"/>
                <w:sz w:val="14"/>
                <w:szCs w:val="14"/>
                <w:color w:val="auto"/>
              </w:rPr>
              <w:t>50%</w:t>
            </w:r>
          </w:p>
        </w:tc>
        <w:tc>
          <w:tcPr>
            <w:tcW w:w="8220" w:type="dxa"/>
            <w:vAlign w:val="bottom"/>
            <w:gridSpan w:val="3"/>
            <w:shd w:val="clear" w:color="auto" w:fill="D6E5F9"/>
          </w:tcPr>
          <w:p>
            <w:pPr>
              <w:ind w:left="100"/>
              <w:spacing w:after="0"/>
              <w:rPr>
                <w:sz w:val="20"/>
                <w:szCs w:val="20"/>
                <w:color w:val="auto"/>
              </w:rPr>
            </w:pPr>
            <w:r>
              <w:rPr>
                <w:rFonts w:ascii="Arial" w:cs="Arial" w:eastAsia="Arial" w:hAnsi="Arial"/>
                <w:sz w:val="14"/>
                <w:szCs w:val="14"/>
                <w:color w:val="auto"/>
              </w:rPr>
              <w:t>•  Net cash provided by operating activities, less capital expenditures, excluding certain transactions and other</w:t>
            </w:r>
          </w:p>
        </w:tc>
        <w:tc>
          <w:tcPr>
            <w:tcW w:w="0" w:type="dxa"/>
            <w:vAlign w:val="bottom"/>
          </w:tcPr>
          <w:p>
            <w:pPr>
              <w:spacing w:after="0"/>
              <w:rPr>
                <w:sz w:val="1"/>
                <w:szCs w:val="1"/>
                <w:color w:val="auto"/>
              </w:rPr>
            </w:pPr>
          </w:p>
        </w:tc>
      </w:tr>
      <w:tr>
        <w:trPr>
          <w:trHeight w:val="187"/>
        </w:trPr>
        <w:tc>
          <w:tcPr>
            <w:tcW w:w="1620" w:type="dxa"/>
            <w:vAlign w:val="bottom"/>
            <w:shd w:val="clear" w:color="auto" w:fill="D6E5F9"/>
          </w:tcPr>
          <w:p>
            <w:pPr>
              <w:spacing w:after="0"/>
              <w:rPr>
                <w:sz w:val="16"/>
                <w:szCs w:val="16"/>
                <w:color w:val="auto"/>
              </w:rPr>
            </w:pPr>
          </w:p>
        </w:tc>
        <w:tc>
          <w:tcPr>
            <w:tcW w:w="1340" w:type="dxa"/>
            <w:vAlign w:val="bottom"/>
            <w:shd w:val="clear" w:color="auto" w:fill="D6E5F9"/>
          </w:tcPr>
          <w:p>
            <w:pPr>
              <w:spacing w:after="0"/>
              <w:rPr>
                <w:sz w:val="16"/>
                <w:szCs w:val="16"/>
                <w:color w:val="auto"/>
              </w:rPr>
            </w:pPr>
          </w:p>
        </w:tc>
        <w:tc>
          <w:tcPr>
            <w:tcW w:w="8220" w:type="dxa"/>
            <w:vAlign w:val="bottom"/>
            <w:gridSpan w:val="3"/>
            <w:shd w:val="clear" w:color="auto" w:fill="D6E5F9"/>
          </w:tcPr>
          <w:p>
            <w:pPr>
              <w:ind w:left="260"/>
              <w:spacing w:after="0"/>
              <w:rPr>
                <w:sz w:val="20"/>
                <w:szCs w:val="20"/>
                <w:color w:val="auto"/>
              </w:rPr>
            </w:pPr>
            <w:r>
              <w:rPr>
                <w:rFonts w:ascii="Arial" w:cs="Arial" w:eastAsia="Arial" w:hAnsi="Arial"/>
                <w:sz w:val="14"/>
                <w:szCs w:val="14"/>
                <w:color w:val="auto"/>
              </w:rPr>
              <w:t>non-recurring items.</w:t>
            </w:r>
          </w:p>
        </w:tc>
        <w:tc>
          <w:tcPr>
            <w:tcW w:w="0" w:type="dxa"/>
            <w:vAlign w:val="bottom"/>
          </w:tcPr>
          <w:p>
            <w:pPr>
              <w:spacing w:after="0"/>
              <w:rPr>
                <w:sz w:val="1"/>
                <w:szCs w:val="1"/>
                <w:color w:val="auto"/>
              </w:rPr>
            </w:pPr>
          </w:p>
        </w:tc>
      </w:tr>
      <w:tr>
        <w:trPr>
          <w:trHeight w:val="259"/>
        </w:trPr>
        <w:tc>
          <w:tcPr>
            <w:tcW w:w="1620" w:type="dxa"/>
            <w:vAlign w:val="bottom"/>
            <w:shd w:val="clear" w:color="auto" w:fill="D6E5F9"/>
          </w:tcPr>
          <w:p>
            <w:pPr>
              <w:spacing w:after="0"/>
              <w:rPr>
                <w:sz w:val="22"/>
                <w:szCs w:val="22"/>
                <w:color w:val="auto"/>
              </w:rPr>
            </w:pPr>
          </w:p>
        </w:tc>
        <w:tc>
          <w:tcPr>
            <w:tcW w:w="1340" w:type="dxa"/>
            <w:vAlign w:val="bottom"/>
            <w:shd w:val="clear" w:color="auto" w:fill="D6E5F9"/>
          </w:tcPr>
          <w:p>
            <w:pPr>
              <w:spacing w:after="0"/>
              <w:rPr>
                <w:sz w:val="22"/>
                <w:szCs w:val="22"/>
                <w:color w:val="auto"/>
              </w:rPr>
            </w:pPr>
          </w:p>
        </w:tc>
        <w:tc>
          <w:tcPr>
            <w:tcW w:w="8220" w:type="dxa"/>
            <w:vAlign w:val="bottom"/>
            <w:gridSpan w:val="3"/>
            <w:shd w:val="clear" w:color="auto" w:fill="D6E5F9"/>
          </w:tcPr>
          <w:p>
            <w:pPr>
              <w:ind w:left="100"/>
              <w:spacing w:after="0"/>
              <w:rPr>
                <w:sz w:val="20"/>
                <w:szCs w:val="20"/>
                <w:color w:val="auto"/>
              </w:rPr>
            </w:pPr>
            <w:r>
              <w:rPr>
                <w:rFonts w:ascii="Arial" w:cs="Arial" w:eastAsia="Arial" w:hAnsi="Arial"/>
                <w:sz w:val="14"/>
                <w:szCs w:val="14"/>
                <w:color w:val="auto"/>
              </w:rPr>
              <w:t>•  Free Cash Flow is a well understood operating metric that can be influenced by all levels of employees of the</w:t>
            </w:r>
          </w:p>
        </w:tc>
        <w:tc>
          <w:tcPr>
            <w:tcW w:w="0" w:type="dxa"/>
            <w:vAlign w:val="bottom"/>
          </w:tcPr>
          <w:p>
            <w:pPr>
              <w:spacing w:after="0"/>
              <w:rPr>
                <w:sz w:val="1"/>
                <w:szCs w:val="1"/>
                <w:color w:val="auto"/>
              </w:rPr>
            </w:pPr>
          </w:p>
        </w:tc>
      </w:tr>
      <w:tr>
        <w:trPr>
          <w:trHeight w:val="187"/>
        </w:trPr>
        <w:tc>
          <w:tcPr>
            <w:tcW w:w="1620" w:type="dxa"/>
            <w:vAlign w:val="bottom"/>
            <w:shd w:val="clear" w:color="auto" w:fill="D6E5F9"/>
          </w:tcPr>
          <w:p>
            <w:pPr>
              <w:spacing w:after="0"/>
              <w:rPr>
                <w:sz w:val="16"/>
                <w:szCs w:val="16"/>
                <w:color w:val="auto"/>
              </w:rPr>
            </w:pPr>
          </w:p>
        </w:tc>
        <w:tc>
          <w:tcPr>
            <w:tcW w:w="1340" w:type="dxa"/>
            <w:vAlign w:val="bottom"/>
            <w:shd w:val="clear" w:color="auto" w:fill="D6E5F9"/>
          </w:tcPr>
          <w:p>
            <w:pPr>
              <w:spacing w:after="0"/>
              <w:rPr>
                <w:sz w:val="16"/>
                <w:szCs w:val="16"/>
                <w:color w:val="auto"/>
              </w:rPr>
            </w:pPr>
          </w:p>
        </w:tc>
        <w:tc>
          <w:tcPr>
            <w:tcW w:w="8220" w:type="dxa"/>
            <w:vAlign w:val="bottom"/>
            <w:gridSpan w:val="3"/>
            <w:shd w:val="clear" w:color="auto" w:fill="D6E5F9"/>
          </w:tcPr>
          <w:p>
            <w:pPr>
              <w:ind w:left="26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272"/>
        </w:trPr>
        <w:tc>
          <w:tcPr>
            <w:tcW w:w="1620" w:type="dxa"/>
            <w:vAlign w:val="bottom"/>
            <w:shd w:val="clear" w:color="auto" w:fill="D6E5F9"/>
          </w:tcPr>
          <w:p>
            <w:pPr>
              <w:spacing w:after="0"/>
              <w:rPr>
                <w:sz w:val="23"/>
                <w:szCs w:val="23"/>
                <w:color w:val="auto"/>
              </w:rPr>
            </w:pPr>
          </w:p>
        </w:tc>
        <w:tc>
          <w:tcPr>
            <w:tcW w:w="1340" w:type="dxa"/>
            <w:vAlign w:val="bottom"/>
            <w:shd w:val="clear" w:color="auto" w:fill="D6E5F9"/>
          </w:tcPr>
          <w:p>
            <w:pPr>
              <w:spacing w:after="0"/>
              <w:rPr>
                <w:sz w:val="23"/>
                <w:szCs w:val="23"/>
                <w:color w:val="auto"/>
              </w:rPr>
            </w:pPr>
          </w:p>
        </w:tc>
        <w:tc>
          <w:tcPr>
            <w:tcW w:w="8220" w:type="dxa"/>
            <w:vAlign w:val="bottom"/>
            <w:gridSpan w:val="3"/>
            <w:shd w:val="clear" w:color="auto" w:fill="D6E5F9"/>
          </w:tcPr>
          <w:p>
            <w:pPr>
              <w:ind w:left="100"/>
              <w:spacing w:after="0"/>
              <w:rPr>
                <w:sz w:val="20"/>
                <w:szCs w:val="20"/>
                <w:color w:val="auto"/>
              </w:rPr>
            </w:pPr>
            <w:r>
              <w:rPr>
                <w:rFonts w:ascii="Arial" w:cs="Arial" w:eastAsia="Arial" w:hAnsi="Arial"/>
                <w:sz w:val="14"/>
                <w:szCs w:val="14"/>
                <w:color w:val="auto"/>
              </w:rPr>
              <w:t>•  Provides motivation to maximize cash flow through earnings and appropriate management of working capital</w:t>
            </w:r>
          </w:p>
        </w:tc>
        <w:tc>
          <w:tcPr>
            <w:tcW w:w="0" w:type="dxa"/>
            <w:vAlign w:val="bottom"/>
          </w:tcPr>
          <w:p>
            <w:pPr>
              <w:spacing w:after="0"/>
              <w:rPr>
                <w:sz w:val="1"/>
                <w:szCs w:val="1"/>
                <w:color w:val="auto"/>
              </w:rPr>
            </w:pPr>
          </w:p>
        </w:tc>
      </w:tr>
      <w:tr>
        <w:trPr>
          <w:trHeight w:val="187"/>
        </w:trPr>
        <w:tc>
          <w:tcPr>
            <w:tcW w:w="1620" w:type="dxa"/>
            <w:vAlign w:val="bottom"/>
            <w:shd w:val="clear" w:color="auto" w:fill="D6E5F9"/>
          </w:tcPr>
          <w:p>
            <w:pPr>
              <w:spacing w:after="0"/>
              <w:rPr>
                <w:sz w:val="16"/>
                <w:szCs w:val="16"/>
                <w:color w:val="auto"/>
              </w:rPr>
            </w:pPr>
          </w:p>
        </w:tc>
        <w:tc>
          <w:tcPr>
            <w:tcW w:w="1340" w:type="dxa"/>
            <w:vAlign w:val="bottom"/>
            <w:shd w:val="clear" w:color="auto" w:fill="D6E5F9"/>
          </w:tcPr>
          <w:p>
            <w:pPr>
              <w:spacing w:after="0"/>
              <w:rPr>
                <w:sz w:val="16"/>
                <w:szCs w:val="16"/>
                <w:color w:val="auto"/>
              </w:rPr>
            </w:pPr>
          </w:p>
        </w:tc>
        <w:tc>
          <w:tcPr>
            <w:tcW w:w="8220" w:type="dxa"/>
            <w:vAlign w:val="bottom"/>
            <w:gridSpan w:val="3"/>
            <w:shd w:val="clear" w:color="auto" w:fill="D6E5F9"/>
          </w:tcPr>
          <w:p>
            <w:pPr>
              <w:ind w:left="260"/>
              <w:spacing w:after="0"/>
              <w:rPr>
                <w:sz w:val="20"/>
                <w:szCs w:val="20"/>
                <w:color w:val="auto"/>
              </w:rPr>
            </w:pPr>
            <w:r>
              <w:rPr>
                <w:rFonts w:ascii="Arial" w:cs="Arial" w:eastAsia="Arial" w:hAnsi="Arial"/>
                <w:sz w:val="14"/>
                <w:szCs w:val="14"/>
                <w:color w:val="auto"/>
              </w:rPr>
              <w:t>and investments.</w:t>
            </w:r>
          </w:p>
        </w:tc>
        <w:tc>
          <w:tcPr>
            <w:tcW w:w="0" w:type="dxa"/>
            <w:vAlign w:val="bottom"/>
          </w:tcPr>
          <w:p>
            <w:pPr>
              <w:spacing w:after="0"/>
              <w:rPr>
                <w:sz w:val="1"/>
                <w:szCs w:val="1"/>
                <w:color w:val="auto"/>
              </w:rPr>
            </w:pPr>
          </w:p>
        </w:tc>
      </w:tr>
      <w:tr>
        <w:trPr>
          <w:trHeight w:val="107"/>
        </w:trPr>
        <w:tc>
          <w:tcPr>
            <w:tcW w:w="1620" w:type="dxa"/>
            <w:vAlign w:val="bottom"/>
            <w:shd w:val="clear" w:color="auto" w:fill="D6E5F9"/>
          </w:tcPr>
          <w:p>
            <w:pPr>
              <w:spacing w:after="0"/>
              <w:rPr>
                <w:sz w:val="9"/>
                <w:szCs w:val="9"/>
                <w:color w:val="auto"/>
              </w:rPr>
            </w:pPr>
          </w:p>
        </w:tc>
        <w:tc>
          <w:tcPr>
            <w:tcW w:w="6100" w:type="dxa"/>
            <w:vAlign w:val="bottom"/>
            <w:gridSpan w:val="2"/>
            <w:shd w:val="clear" w:color="auto" w:fill="D6E5F9"/>
          </w:tcPr>
          <w:p>
            <w:pPr>
              <w:spacing w:after="0"/>
              <w:rPr>
                <w:sz w:val="9"/>
                <w:szCs w:val="9"/>
                <w:color w:val="auto"/>
              </w:rPr>
            </w:pPr>
          </w:p>
        </w:tc>
        <w:tc>
          <w:tcPr>
            <w:tcW w:w="180" w:type="dxa"/>
            <w:vAlign w:val="bottom"/>
            <w:shd w:val="clear" w:color="auto" w:fill="D6E5F9"/>
          </w:tcPr>
          <w:p>
            <w:pPr>
              <w:spacing w:after="0"/>
              <w:rPr>
                <w:sz w:val="9"/>
                <w:szCs w:val="9"/>
                <w:color w:val="auto"/>
              </w:rPr>
            </w:pPr>
          </w:p>
        </w:tc>
        <w:tc>
          <w:tcPr>
            <w:tcW w:w="3280" w:type="dxa"/>
            <w:vAlign w:val="bottom"/>
            <w:shd w:val="clear" w:color="auto" w:fill="D6E5F9"/>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40"/>
              <w:spacing w:after="0"/>
              <w:rPr>
                <w:sz w:val="20"/>
                <w:szCs w:val="20"/>
                <w:color w:val="auto"/>
              </w:rPr>
            </w:pPr>
            <w:r>
              <w:rPr>
                <w:rFonts w:ascii="Arial" w:cs="Arial" w:eastAsia="Arial" w:hAnsi="Arial"/>
                <w:sz w:val="14"/>
                <w:szCs w:val="14"/>
                <w:color w:val="auto"/>
              </w:rPr>
              <w:t>Strategic Scorecard</w:t>
            </w:r>
          </w:p>
        </w:tc>
        <w:tc>
          <w:tcPr>
            <w:tcW w:w="9560" w:type="dxa"/>
            <w:vAlign w:val="bottom"/>
            <w:gridSpan w:val="4"/>
          </w:tcPr>
          <w:p>
            <w:pPr>
              <w:ind w:left="140"/>
              <w:spacing w:after="0"/>
              <w:rPr>
                <w:sz w:val="20"/>
                <w:szCs w:val="20"/>
                <w:color w:val="auto"/>
              </w:rPr>
            </w:pPr>
            <w:r>
              <w:rPr>
                <w:rFonts w:ascii="Arial" w:cs="Arial" w:eastAsia="Arial" w:hAnsi="Arial"/>
                <w:sz w:val="14"/>
                <w:szCs w:val="14"/>
                <w:color w:val="auto"/>
              </w:rPr>
              <w:t>Modifier +/- 10% •  Drives performance in strategic areas that contribute to long-term success and ensures successful execution</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of our most critical innovation and strategic priorities.</w:t>
            </w:r>
          </w:p>
        </w:tc>
        <w:tc>
          <w:tcPr>
            <w:tcW w:w="0" w:type="dxa"/>
            <w:vAlign w:val="bottom"/>
          </w:tcPr>
          <w:p>
            <w:pPr>
              <w:spacing w:after="0"/>
              <w:rPr>
                <w:sz w:val="1"/>
                <w:szCs w:val="1"/>
                <w:color w:val="auto"/>
              </w:rPr>
            </w:pPr>
          </w:p>
        </w:tc>
      </w:tr>
      <w:tr>
        <w:trPr>
          <w:trHeight w:val="93"/>
        </w:trPr>
        <w:tc>
          <w:tcPr>
            <w:tcW w:w="772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180" w:type="dxa"/>
            <w:vAlign w:val="bottom"/>
            <w:tcBorders>
              <w:bottom w:val="single" w:sz="8" w:color="1D428A"/>
            </w:tcBorders>
            <w:gridSpan w:val="5"/>
            <w:shd w:val="clear" w:color="auto" w:fill="1D428A"/>
          </w:tcPr>
          <w:p>
            <w:pPr>
              <w:ind w:left="20"/>
              <w:spacing w:after="0"/>
              <w:rPr>
                <w:sz w:val="20"/>
                <w:szCs w:val="20"/>
                <w:color w:val="auto"/>
              </w:rPr>
            </w:pPr>
            <w:r>
              <w:rPr>
                <w:rFonts w:ascii="Verdana" w:cs="Verdana" w:eastAsia="Verdana" w:hAnsi="Verdana"/>
                <w:sz w:val="14"/>
                <w:szCs w:val="14"/>
                <w:b w:val="1"/>
                <w:bCs w:val="1"/>
                <w:color w:val="FFFFFF"/>
              </w:rPr>
              <w:t>Long-Term Stock Incentive Plan (LTI)</w:t>
            </w:r>
          </w:p>
        </w:tc>
        <w:tc>
          <w:tcPr>
            <w:tcW w:w="0" w:type="dxa"/>
            <w:vAlign w:val="bottom"/>
          </w:tcPr>
          <w:p>
            <w:pPr>
              <w:spacing w:after="0"/>
              <w:rPr>
                <w:sz w:val="1"/>
                <w:szCs w:val="1"/>
                <w:color w:val="auto"/>
              </w:rPr>
            </w:pPr>
          </w:p>
        </w:tc>
      </w:tr>
      <w:tr>
        <w:trPr>
          <w:trHeight w:val="193"/>
        </w:trPr>
        <w:tc>
          <w:tcPr>
            <w:tcW w:w="1620" w:type="dxa"/>
            <w:vAlign w:val="bottom"/>
          </w:tcPr>
          <w:p>
            <w:pPr>
              <w:ind w:left="40"/>
              <w:spacing w:after="0"/>
              <w:rPr>
                <w:sz w:val="20"/>
                <w:szCs w:val="20"/>
                <w:color w:val="auto"/>
              </w:rPr>
            </w:pPr>
            <w:r>
              <w:rPr>
                <w:rFonts w:ascii="Arial" w:cs="Arial" w:eastAsia="Arial" w:hAnsi="Arial"/>
                <w:sz w:val="14"/>
                <w:szCs w:val="14"/>
                <w:color w:val="auto"/>
              </w:rPr>
              <w:t>Adjusted Pretax</w:t>
            </w:r>
          </w:p>
        </w:tc>
        <w:tc>
          <w:tcPr>
            <w:tcW w:w="1340" w:type="dxa"/>
            <w:vAlign w:val="bottom"/>
          </w:tcPr>
          <w:p>
            <w:pPr>
              <w:jc w:val="center"/>
              <w:ind w:left="128"/>
              <w:spacing w:after="0"/>
              <w:rPr>
                <w:sz w:val="20"/>
                <w:szCs w:val="20"/>
                <w:color w:val="auto"/>
              </w:rPr>
            </w:pPr>
            <w:r>
              <w:rPr>
                <w:rFonts w:ascii="Arial" w:cs="Arial" w:eastAsia="Arial" w:hAnsi="Arial"/>
                <w:sz w:val="14"/>
                <w:szCs w:val="14"/>
                <w:color w:val="auto"/>
              </w:rPr>
              <w:t>50% for</w:t>
            </w:r>
          </w:p>
        </w:tc>
        <w:tc>
          <w:tcPr>
            <w:tcW w:w="8220" w:type="dxa"/>
            <w:vAlign w:val="bottom"/>
            <w:gridSpan w:val="3"/>
          </w:tcPr>
          <w:p>
            <w:pPr>
              <w:ind w:left="100"/>
              <w:spacing w:after="0"/>
              <w:rPr>
                <w:sz w:val="20"/>
                <w:szCs w:val="20"/>
                <w:color w:val="auto"/>
              </w:rPr>
            </w:pPr>
            <w:r>
              <w:rPr>
                <w:rFonts w:ascii="Arial" w:cs="Arial" w:eastAsia="Arial" w:hAnsi="Arial"/>
                <w:sz w:val="14"/>
                <w:szCs w:val="14"/>
                <w:color w:val="auto"/>
              </w:rPr>
              <w:t>•  Net income for each year in the three-year performance period before provision for income taxes, income</w:t>
            </w:r>
          </w:p>
        </w:tc>
        <w:tc>
          <w:tcPr>
            <w:tcW w:w="0" w:type="dxa"/>
            <w:vAlign w:val="bottom"/>
          </w:tcPr>
          <w:p>
            <w:pPr>
              <w:spacing w:after="0"/>
              <w:rPr>
                <w:sz w:val="1"/>
                <w:szCs w:val="1"/>
                <w:color w:val="auto"/>
              </w:rPr>
            </w:pPr>
          </w:p>
        </w:tc>
      </w:tr>
      <w:tr>
        <w:trPr>
          <w:trHeight w:val="162"/>
        </w:trPr>
        <w:tc>
          <w:tcPr>
            <w:tcW w:w="1620" w:type="dxa"/>
            <w:vAlign w:val="bottom"/>
          </w:tcPr>
          <w:p>
            <w:pPr>
              <w:ind w:left="40"/>
              <w:spacing w:after="0"/>
              <w:rPr>
                <w:sz w:val="20"/>
                <w:szCs w:val="20"/>
                <w:color w:val="auto"/>
              </w:rPr>
            </w:pPr>
            <w:r>
              <w:rPr>
                <w:rFonts w:ascii="Arial" w:cs="Arial" w:eastAsia="Arial" w:hAnsi="Arial"/>
                <w:sz w:val="14"/>
                <w:szCs w:val="14"/>
                <w:color w:val="auto"/>
              </w:rPr>
              <w:t>Income</w:t>
            </w:r>
          </w:p>
        </w:tc>
        <w:tc>
          <w:tcPr>
            <w:tcW w:w="1340" w:type="dxa"/>
            <w:vAlign w:val="bottom"/>
          </w:tcPr>
          <w:p>
            <w:pPr>
              <w:jc w:val="center"/>
              <w:ind w:left="128"/>
              <w:spacing w:after="0"/>
              <w:rPr>
                <w:sz w:val="20"/>
                <w:szCs w:val="20"/>
                <w:color w:val="auto"/>
              </w:rPr>
            </w:pPr>
            <w:r>
              <w:rPr>
                <w:rFonts w:ascii="Arial" w:cs="Arial" w:eastAsia="Arial" w:hAnsi="Arial"/>
                <w:sz w:val="14"/>
                <w:szCs w:val="14"/>
                <w:color w:val="auto"/>
              </w:rPr>
              <w:t>Performance</w:t>
            </w: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attributable to non-controlling interests, restructuring costs, and certain transactions and non-recurring</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340" w:type="dxa"/>
            <w:vAlign w:val="bottom"/>
          </w:tcPr>
          <w:p>
            <w:pPr>
              <w:jc w:val="center"/>
              <w:ind w:left="128"/>
              <w:spacing w:after="0"/>
              <w:rPr>
                <w:sz w:val="20"/>
                <w:szCs w:val="20"/>
                <w:color w:val="auto"/>
              </w:rPr>
            </w:pPr>
            <w:r>
              <w:rPr>
                <w:rFonts w:ascii="Arial" w:cs="Arial" w:eastAsia="Arial" w:hAnsi="Arial"/>
                <w:sz w:val="14"/>
                <w:szCs w:val="14"/>
                <w:color w:val="auto"/>
              </w:rPr>
              <w:t>Shares</w:t>
            </w: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items.</w:t>
            </w:r>
          </w:p>
        </w:tc>
        <w:tc>
          <w:tcPr>
            <w:tcW w:w="0" w:type="dxa"/>
            <w:vAlign w:val="bottom"/>
          </w:tcPr>
          <w:p>
            <w:pPr>
              <w:spacing w:after="0"/>
              <w:rPr>
                <w:sz w:val="1"/>
                <w:szCs w:val="1"/>
                <w:color w:val="auto"/>
              </w:rPr>
            </w:pPr>
          </w:p>
        </w:tc>
      </w:tr>
      <w:tr>
        <w:trPr>
          <w:trHeight w:val="272"/>
        </w:trPr>
        <w:tc>
          <w:tcPr>
            <w:tcW w:w="1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220" w:type="dxa"/>
            <w:vAlign w:val="bottom"/>
            <w:gridSpan w:val="3"/>
          </w:tcPr>
          <w:p>
            <w:pPr>
              <w:ind w:left="100"/>
              <w:spacing w:after="0"/>
              <w:rPr>
                <w:sz w:val="20"/>
                <w:szCs w:val="20"/>
                <w:color w:val="auto"/>
              </w:rPr>
            </w:pPr>
            <w:r>
              <w:rPr>
                <w:rFonts w:ascii="Arial" w:cs="Arial" w:eastAsia="Arial" w:hAnsi="Arial"/>
                <w:sz w:val="14"/>
                <w:szCs w:val="14"/>
                <w:color w:val="auto"/>
              </w:rPr>
              <w:t>•  Focuses on earnings generated from products sold, encouraging profitable revenue growth and efficient</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management of costs over time.</w:t>
            </w:r>
          </w:p>
        </w:tc>
        <w:tc>
          <w:tcPr>
            <w:tcW w:w="0" w:type="dxa"/>
            <w:vAlign w:val="bottom"/>
          </w:tcPr>
          <w:p>
            <w:pPr>
              <w:spacing w:after="0"/>
              <w:rPr>
                <w:sz w:val="1"/>
                <w:szCs w:val="1"/>
                <w:color w:val="auto"/>
              </w:rPr>
            </w:pPr>
          </w:p>
        </w:tc>
      </w:tr>
      <w:tr>
        <w:trPr>
          <w:trHeight w:val="232"/>
        </w:trPr>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20" w:type="dxa"/>
            <w:vAlign w:val="bottom"/>
            <w:gridSpan w:val="3"/>
          </w:tcPr>
          <w:p>
            <w:pPr>
              <w:ind w:left="100"/>
              <w:spacing w:after="0"/>
              <w:rPr>
                <w:sz w:val="20"/>
                <w:szCs w:val="20"/>
                <w:color w:val="auto"/>
              </w:rPr>
            </w:pPr>
            <w:r>
              <w:rPr>
                <w:rFonts w:ascii="Arial" w:cs="Arial" w:eastAsia="Arial" w:hAnsi="Arial"/>
                <w:sz w:val="14"/>
                <w:szCs w:val="14"/>
                <w:color w:val="auto"/>
              </w:rPr>
              <w:t>• Performance goals for all years were set prior to the start of the three-year performance period.</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Performance results for each year are independently assessed and then averaged to determine the three-</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year payout.</w:t>
            </w:r>
          </w:p>
        </w:tc>
        <w:tc>
          <w:tcPr>
            <w:tcW w:w="0" w:type="dxa"/>
            <w:vAlign w:val="bottom"/>
          </w:tcPr>
          <w:p>
            <w:pPr>
              <w:spacing w:after="0"/>
              <w:rPr>
                <w:sz w:val="1"/>
                <w:szCs w:val="1"/>
                <w:color w:val="auto"/>
              </w:rPr>
            </w:pPr>
          </w:p>
        </w:tc>
      </w:tr>
      <w:tr>
        <w:trPr>
          <w:trHeight w:val="93"/>
        </w:trPr>
        <w:tc>
          <w:tcPr>
            <w:tcW w:w="1620" w:type="dxa"/>
            <w:vAlign w:val="bottom"/>
            <w:tcBorders>
              <w:bottom w:val="single" w:sz="8" w:color="B3B0AC"/>
            </w:tcBorders>
          </w:tcPr>
          <w:p>
            <w:pPr>
              <w:spacing w:after="0"/>
              <w:rPr>
                <w:sz w:val="8"/>
                <w:szCs w:val="8"/>
                <w:color w:val="auto"/>
              </w:rPr>
            </w:pPr>
          </w:p>
        </w:tc>
        <w:tc>
          <w:tcPr>
            <w:tcW w:w="1340" w:type="dxa"/>
            <w:vAlign w:val="bottom"/>
            <w:tcBorders>
              <w:bottom w:val="single" w:sz="8" w:color="B3B0AC"/>
            </w:tcBorders>
          </w:tcPr>
          <w:p>
            <w:pPr>
              <w:spacing w:after="0"/>
              <w:rPr>
                <w:sz w:val="8"/>
                <w:szCs w:val="8"/>
                <w:color w:val="auto"/>
              </w:rPr>
            </w:pPr>
          </w:p>
        </w:tc>
        <w:tc>
          <w:tcPr>
            <w:tcW w:w="4760" w:type="dxa"/>
            <w:vAlign w:val="bottom"/>
            <w:tcBorders>
              <w:bottom w:val="single" w:sz="8" w:color="B3B0AC"/>
            </w:tcBorders>
          </w:tcPr>
          <w:p>
            <w:pPr>
              <w:spacing w:after="0"/>
              <w:rPr>
                <w:sz w:val="8"/>
                <w:szCs w:val="8"/>
                <w:color w:val="auto"/>
              </w:rPr>
            </w:pPr>
          </w:p>
        </w:tc>
        <w:tc>
          <w:tcPr>
            <w:tcW w:w="180" w:type="dxa"/>
            <w:vAlign w:val="bottom"/>
            <w:tcBorders>
              <w:bottom w:val="single" w:sz="8" w:color="B3B0AC"/>
            </w:tcBorders>
          </w:tcPr>
          <w:p>
            <w:pPr>
              <w:spacing w:after="0"/>
              <w:rPr>
                <w:sz w:val="8"/>
                <w:szCs w:val="8"/>
                <w:color w:val="auto"/>
              </w:rPr>
            </w:pPr>
          </w:p>
        </w:tc>
        <w:tc>
          <w:tcPr>
            <w:tcW w:w="32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D6E5F9"/>
          </w:tcPr>
          <w:p>
            <w:pPr>
              <w:ind w:left="40"/>
              <w:spacing w:after="0"/>
              <w:rPr>
                <w:sz w:val="20"/>
                <w:szCs w:val="20"/>
                <w:color w:val="auto"/>
              </w:rPr>
            </w:pPr>
            <w:r>
              <w:rPr>
                <w:rFonts w:ascii="Arial" w:cs="Arial" w:eastAsia="Arial" w:hAnsi="Arial"/>
                <w:sz w:val="14"/>
                <w:szCs w:val="14"/>
                <w:color w:val="auto"/>
              </w:rPr>
              <w:t>Adjusted ROIC</w:t>
            </w:r>
          </w:p>
        </w:tc>
        <w:tc>
          <w:tcPr>
            <w:tcW w:w="1340" w:type="dxa"/>
            <w:vAlign w:val="bottom"/>
            <w:shd w:val="clear" w:color="auto" w:fill="D6E5F9"/>
          </w:tcPr>
          <w:p>
            <w:pPr>
              <w:jc w:val="center"/>
              <w:ind w:left="128"/>
              <w:spacing w:after="0"/>
              <w:rPr>
                <w:sz w:val="20"/>
                <w:szCs w:val="20"/>
                <w:color w:val="auto"/>
              </w:rPr>
            </w:pPr>
            <w:r>
              <w:rPr>
                <w:rFonts w:ascii="Arial" w:cs="Arial" w:eastAsia="Arial" w:hAnsi="Arial"/>
                <w:sz w:val="14"/>
                <w:szCs w:val="14"/>
                <w:color w:val="auto"/>
              </w:rPr>
              <w:t>25% for</w:t>
            </w:r>
          </w:p>
        </w:tc>
        <w:tc>
          <w:tcPr>
            <w:tcW w:w="8220" w:type="dxa"/>
            <w:vAlign w:val="bottom"/>
            <w:gridSpan w:val="3"/>
            <w:vMerge w:val="restart"/>
            <w:shd w:val="clear" w:color="auto" w:fill="D6E5F9"/>
          </w:tcPr>
          <w:p>
            <w:pPr>
              <w:ind w:left="100"/>
              <w:spacing w:after="0"/>
              <w:rPr>
                <w:sz w:val="20"/>
                <w:szCs w:val="20"/>
                <w:color w:val="auto"/>
              </w:rPr>
            </w:pPr>
            <w:r>
              <w:rPr>
                <w:rFonts w:ascii="Arial" w:cs="Arial" w:eastAsia="Arial" w:hAnsi="Arial"/>
                <w:sz w:val="14"/>
                <w:szCs w:val="14"/>
                <w:color w:val="auto"/>
              </w:rPr>
              <w:t>• Adjusted Operating Income less taxes divided by average invested capital.</w:t>
            </w:r>
          </w:p>
        </w:tc>
        <w:tc>
          <w:tcPr>
            <w:tcW w:w="0" w:type="dxa"/>
            <w:vAlign w:val="bottom"/>
          </w:tcPr>
          <w:p>
            <w:pPr>
              <w:spacing w:after="0"/>
              <w:rPr>
                <w:sz w:val="1"/>
                <w:szCs w:val="1"/>
                <w:color w:val="auto"/>
              </w:rPr>
            </w:pPr>
          </w:p>
        </w:tc>
      </w:tr>
      <w:tr>
        <w:trPr>
          <w:trHeight w:val="119"/>
        </w:trPr>
        <w:tc>
          <w:tcPr>
            <w:tcW w:w="1620" w:type="dxa"/>
            <w:vAlign w:val="bottom"/>
            <w:vMerge w:val="restart"/>
            <w:shd w:val="clear" w:color="auto" w:fill="D6E5F9"/>
          </w:tcPr>
          <w:p>
            <w:pPr>
              <w:ind w:left="40"/>
              <w:spacing w:after="0"/>
              <w:rPr>
                <w:sz w:val="20"/>
                <w:szCs w:val="20"/>
                <w:color w:val="auto"/>
              </w:rPr>
            </w:pPr>
            <w:r>
              <w:rPr>
                <w:rFonts w:ascii="Arial" w:cs="Arial" w:eastAsia="Arial" w:hAnsi="Arial"/>
                <w:sz w:val="14"/>
                <w:szCs w:val="14"/>
                <w:color w:val="auto"/>
              </w:rPr>
              <w:t>Improvement</w:t>
            </w:r>
          </w:p>
        </w:tc>
        <w:tc>
          <w:tcPr>
            <w:tcW w:w="1340" w:type="dxa"/>
            <w:vAlign w:val="bottom"/>
            <w:vMerge w:val="restart"/>
            <w:shd w:val="clear" w:color="auto" w:fill="D6E5F9"/>
          </w:tcPr>
          <w:p>
            <w:pPr>
              <w:jc w:val="center"/>
              <w:ind w:left="128"/>
              <w:spacing w:after="0"/>
              <w:rPr>
                <w:sz w:val="20"/>
                <w:szCs w:val="20"/>
                <w:color w:val="auto"/>
              </w:rPr>
            </w:pPr>
            <w:r>
              <w:rPr>
                <w:rFonts w:ascii="Arial" w:cs="Arial" w:eastAsia="Arial" w:hAnsi="Arial"/>
                <w:sz w:val="14"/>
                <w:szCs w:val="14"/>
                <w:color w:val="auto"/>
              </w:rPr>
              <w:t>Performance</w:t>
            </w:r>
          </w:p>
        </w:tc>
        <w:tc>
          <w:tcPr>
            <w:tcW w:w="8220" w:type="dxa"/>
            <w:vAlign w:val="bottom"/>
            <w:gridSpan w:val="3"/>
            <w:vMerge w:val="continue"/>
            <w:shd w:val="clear" w:color="auto" w:fill="D6E5F9"/>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620" w:type="dxa"/>
            <w:vAlign w:val="bottom"/>
            <w:vMerge w:val="continue"/>
            <w:shd w:val="clear" w:color="auto" w:fill="D6E5F9"/>
          </w:tcPr>
          <w:p>
            <w:pPr>
              <w:spacing w:after="0"/>
              <w:rPr>
                <w:sz w:val="3"/>
                <w:szCs w:val="3"/>
                <w:color w:val="auto"/>
              </w:rPr>
            </w:pPr>
          </w:p>
        </w:tc>
        <w:tc>
          <w:tcPr>
            <w:tcW w:w="1340" w:type="dxa"/>
            <w:vAlign w:val="bottom"/>
            <w:vMerge w:val="continue"/>
            <w:shd w:val="clear" w:color="auto" w:fill="D6E5F9"/>
          </w:tcPr>
          <w:p>
            <w:pPr>
              <w:spacing w:after="0"/>
              <w:rPr>
                <w:sz w:val="3"/>
                <w:szCs w:val="3"/>
                <w:color w:val="auto"/>
              </w:rPr>
            </w:pPr>
          </w:p>
        </w:tc>
        <w:tc>
          <w:tcPr>
            <w:tcW w:w="4760" w:type="dxa"/>
            <w:vAlign w:val="bottom"/>
            <w:shd w:val="clear" w:color="auto" w:fill="D6E5F9"/>
          </w:tcPr>
          <w:p>
            <w:pPr>
              <w:spacing w:after="0"/>
              <w:rPr>
                <w:sz w:val="3"/>
                <w:szCs w:val="3"/>
                <w:color w:val="auto"/>
              </w:rPr>
            </w:pPr>
          </w:p>
        </w:tc>
        <w:tc>
          <w:tcPr>
            <w:tcW w:w="180" w:type="dxa"/>
            <w:vAlign w:val="bottom"/>
            <w:shd w:val="clear" w:color="auto" w:fill="D6E5F9"/>
          </w:tcPr>
          <w:p>
            <w:pPr>
              <w:spacing w:after="0"/>
              <w:rPr>
                <w:sz w:val="3"/>
                <w:szCs w:val="3"/>
                <w:color w:val="auto"/>
              </w:rPr>
            </w:pPr>
          </w:p>
        </w:tc>
        <w:tc>
          <w:tcPr>
            <w:tcW w:w="3280" w:type="dxa"/>
            <w:vAlign w:val="bottom"/>
            <w:shd w:val="clear" w:color="auto" w:fill="D6E5F9"/>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20" w:type="dxa"/>
            <w:vAlign w:val="bottom"/>
            <w:shd w:val="clear" w:color="auto" w:fill="D6E5F9"/>
          </w:tcPr>
          <w:p>
            <w:pPr>
              <w:spacing w:after="0"/>
              <w:rPr>
                <w:sz w:val="16"/>
                <w:szCs w:val="16"/>
                <w:color w:val="auto"/>
              </w:rPr>
            </w:pPr>
          </w:p>
        </w:tc>
        <w:tc>
          <w:tcPr>
            <w:tcW w:w="1340" w:type="dxa"/>
            <w:vAlign w:val="bottom"/>
            <w:shd w:val="clear" w:color="auto" w:fill="D6E5F9"/>
          </w:tcPr>
          <w:p>
            <w:pPr>
              <w:jc w:val="center"/>
              <w:ind w:left="128"/>
              <w:spacing w:after="0"/>
              <w:rPr>
                <w:sz w:val="20"/>
                <w:szCs w:val="20"/>
                <w:color w:val="auto"/>
              </w:rPr>
            </w:pPr>
            <w:r>
              <w:rPr>
                <w:rFonts w:ascii="Arial" w:cs="Arial" w:eastAsia="Arial" w:hAnsi="Arial"/>
                <w:sz w:val="14"/>
                <w:szCs w:val="14"/>
                <w:color w:val="auto"/>
              </w:rPr>
              <w:t>Shares</w:t>
            </w:r>
          </w:p>
        </w:tc>
        <w:tc>
          <w:tcPr>
            <w:tcW w:w="8220" w:type="dxa"/>
            <w:vAlign w:val="bottom"/>
            <w:gridSpan w:val="3"/>
            <w:vMerge w:val="restart"/>
            <w:shd w:val="clear" w:color="auto" w:fill="D6E5F9"/>
          </w:tcPr>
          <w:p>
            <w:pPr>
              <w:ind w:left="100"/>
              <w:spacing w:after="0"/>
              <w:rPr>
                <w:sz w:val="20"/>
                <w:szCs w:val="20"/>
                <w:color w:val="auto"/>
              </w:rPr>
            </w:pPr>
            <w:r>
              <w:rPr>
                <w:rFonts w:ascii="Arial" w:cs="Arial" w:eastAsia="Arial" w:hAnsi="Arial"/>
                <w:sz w:val="14"/>
                <w:szCs w:val="14"/>
                <w:color w:val="auto"/>
              </w:rPr>
              <w:t>•  Focuses on the basis point improvement over the baseline of 2023 Adjusted ROIC.</w:t>
            </w:r>
          </w:p>
        </w:tc>
        <w:tc>
          <w:tcPr>
            <w:tcW w:w="0" w:type="dxa"/>
            <w:vAlign w:val="bottom"/>
          </w:tcPr>
          <w:p>
            <w:pPr>
              <w:spacing w:after="0"/>
              <w:rPr>
                <w:sz w:val="1"/>
                <w:szCs w:val="1"/>
                <w:color w:val="auto"/>
              </w:rPr>
            </w:pPr>
          </w:p>
        </w:tc>
      </w:tr>
      <w:tr>
        <w:trPr>
          <w:trHeight w:val="54"/>
        </w:trPr>
        <w:tc>
          <w:tcPr>
            <w:tcW w:w="1620" w:type="dxa"/>
            <w:vAlign w:val="bottom"/>
            <w:shd w:val="clear" w:color="auto" w:fill="D6E5F9"/>
          </w:tcPr>
          <w:p>
            <w:pPr>
              <w:spacing w:after="0"/>
              <w:rPr>
                <w:sz w:val="4"/>
                <w:szCs w:val="4"/>
                <w:color w:val="auto"/>
              </w:rPr>
            </w:pPr>
          </w:p>
        </w:tc>
        <w:tc>
          <w:tcPr>
            <w:tcW w:w="1340" w:type="dxa"/>
            <w:vAlign w:val="bottom"/>
            <w:shd w:val="clear" w:color="auto" w:fill="D6E5F9"/>
          </w:tcPr>
          <w:p>
            <w:pPr>
              <w:spacing w:after="0"/>
              <w:rPr>
                <w:sz w:val="4"/>
                <w:szCs w:val="4"/>
                <w:color w:val="auto"/>
              </w:rPr>
            </w:pPr>
          </w:p>
        </w:tc>
        <w:tc>
          <w:tcPr>
            <w:tcW w:w="8220" w:type="dxa"/>
            <w:vAlign w:val="bottom"/>
            <w:gridSpan w:val="3"/>
            <w:vMerge w:val="continue"/>
            <w:shd w:val="clear" w:color="auto" w:fill="D6E5F9"/>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620" w:type="dxa"/>
            <w:vAlign w:val="bottom"/>
            <w:shd w:val="clear" w:color="auto" w:fill="D6E5F9"/>
          </w:tcPr>
          <w:p>
            <w:pPr>
              <w:spacing w:after="0"/>
              <w:rPr>
                <w:sz w:val="22"/>
                <w:szCs w:val="22"/>
                <w:color w:val="auto"/>
              </w:rPr>
            </w:pPr>
          </w:p>
        </w:tc>
        <w:tc>
          <w:tcPr>
            <w:tcW w:w="1340" w:type="dxa"/>
            <w:vAlign w:val="bottom"/>
            <w:shd w:val="clear" w:color="auto" w:fill="D6E5F9"/>
          </w:tcPr>
          <w:p>
            <w:pPr>
              <w:spacing w:after="0"/>
              <w:rPr>
                <w:sz w:val="22"/>
                <w:szCs w:val="22"/>
                <w:color w:val="auto"/>
              </w:rPr>
            </w:pPr>
          </w:p>
        </w:tc>
        <w:tc>
          <w:tcPr>
            <w:tcW w:w="8220" w:type="dxa"/>
            <w:vAlign w:val="bottom"/>
            <w:gridSpan w:val="3"/>
            <w:shd w:val="clear" w:color="auto" w:fill="D6E5F9"/>
          </w:tcPr>
          <w:p>
            <w:pPr>
              <w:ind w:left="100"/>
              <w:spacing w:after="0"/>
              <w:rPr>
                <w:sz w:val="20"/>
                <w:szCs w:val="20"/>
                <w:color w:val="auto"/>
              </w:rPr>
            </w:pPr>
            <w:r>
              <w:rPr>
                <w:rFonts w:ascii="Arial" w:cs="Arial" w:eastAsia="Arial" w:hAnsi="Arial"/>
                <w:sz w:val="14"/>
                <w:szCs w:val="14"/>
                <w:color w:val="auto"/>
              </w:rPr>
              <w:t>•  Performance goals for all years were set prior to the start of the three-year performance period. Performance</w:t>
            </w:r>
          </w:p>
        </w:tc>
        <w:tc>
          <w:tcPr>
            <w:tcW w:w="0" w:type="dxa"/>
            <w:vAlign w:val="bottom"/>
          </w:tcPr>
          <w:p>
            <w:pPr>
              <w:spacing w:after="0"/>
              <w:rPr>
                <w:sz w:val="1"/>
                <w:szCs w:val="1"/>
                <w:color w:val="auto"/>
              </w:rPr>
            </w:pPr>
          </w:p>
        </w:tc>
      </w:tr>
      <w:tr>
        <w:trPr>
          <w:trHeight w:val="187"/>
        </w:trPr>
        <w:tc>
          <w:tcPr>
            <w:tcW w:w="1620" w:type="dxa"/>
            <w:vAlign w:val="bottom"/>
            <w:shd w:val="clear" w:color="auto" w:fill="D6E5F9"/>
          </w:tcPr>
          <w:p>
            <w:pPr>
              <w:spacing w:after="0"/>
              <w:rPr>
                <w:sz w:val="16"/>
                <w:szCs w:val="16"/>
                <w:color w:val="auto"/>
              </w:rPr>
            </w:pPr>
          </w:p>
        </w:tc>
        <w:tc>
          <w:tcPr>
            <w:tcW w:w="1340" w:type="dxa"/>
            <w:vAlign w:val="bottom"/>
            <w:shd w:val="clear" w:color="auto" w:fill="D6E5F9"/>
          </w:tcPr>
          <w:p>
            <w:pPr>
              <w:spacing w:after="0"/>
              <w:rPr>
                <w:sz w:val="16"/>
                <w:szCs w:val="16"/>
                <w:color w:val="auto"/>
              </w:rPr>
            </w:pPr>
          </w:p>
        </w:tc>
        <w:tc>
          <w:tcPr>
            <w:tcW w:w="8220" w:type="dxa"/>
            <w:vAlign w:val="bottom"/>
            <w:gridSpan w:val="3"/>
            <w:shd w:val="clear" w:color="auto" w:fill="D6E5F9"/>
          </w:tcPr>
          <w:p>
            <w:pPr>
              <w:ind w:left="260"/>
              <w:spacing w:after="0"/>
              <w:rPr>
                <w:sz w:val="20"/>
                <w:szCs w:val="20"/>
                <w:color w:val="auto"/>
              </w:rPr>
            </w:pPr>
            <w:r>
              <w:rPr>
                <w:rFonts w:ascii="Arial" w:cs="Arial" w:eastAsia="Arial" w:hAnsi="Arial"/>
                <w:sz w:val="14"/>
                <w:szCs w:val="14"/>
                <w:color w:val="auto"/>
              </w:rPr>
              <w:t>results for each year are independently assessed and then averaged to determine the three-year payout.</w:t>
            </w:r>
          </w:p>
        </w:tc>
        <w:tc>
          <w:tcPr>
            <w:tcW w:w="0" w:type="dxa"/>
            <w:vAlign w:val="bottom"/>
          </w:tcPr>
          <w:p>
            <w:pPr>
              <w:spacing w:after="0"/>
              <w:rPr>
                <w:sz w:val="1"/>
                <w:szCs w:val="1"/>
                <w:color w:val="auto"/>
              </w:rPr>
            </w:pPr>
          </w:p>
        </w:tc>
      </w:tr>
      <w:tr>
        <w:trPr>
          <w:trHeight w:val="120"/>
        </w:trPr>
        <w:tc>
          <w:tcPr>
            <w:tcW w:w="1620" w:type="dxa"/>
            <w:vAlign w:val="bottom"/>
            <w:tcBorders>
              <w:bottom w:val="single" w:sz="8" w:color="B3B0AC"/>
            </w:tcBorders>
            <w:shd w:val="clear" w:color="auto" w:fill="D6E5F9"/>
          </w:tcPr>
          <w:p>
            <w:pPr>
              <w:spacing w:after="0"/>
              <w:rPr>
                <w:sz w:val="10"/>
                <w:szCs w:val="10"/>
                <w:color w:val="auto"/>
              </w:rPr>
            </w:pPr>
          </w:p>
        </w:tc>
        <w:tc>
          <w:tcPr>
            <w:tcW w:w="1340" w:type="dxa"/>
            <w:vAlign w:val="bottom"/>
            <w:tcBorders>
              <w:bottom w:val="single" w:sz="8" w:color="B3B0AC"/>
            </w:tcBorders>
            <w:shd w:val="clear" w:color="auto" w:fill="D6E5F9"/>
          </w:tcPr>
          <w:p>
            <w:pPr>
              <w:spacing w:after="0"/>
              <w:rPr>
                <w:sz w:val="10"/>
                <w:szCs w:val="10"/>
                <w:color w:val="auto"/>
              </w:rPr>
            </w:pPr>
          </w:p>
        </w:tc>
        <w:tc>
          <w:tcPr>
            <w:tcW w:w="4760" w:type="dxa"/>
            <w:vAlign w:val="bottom"/>
            <w:tcBorders>
              <w:bottom w:val="single" w:sz="8" w:color="B3B0AC"/>
            </w:tcBorders>
            <w:shd w:val="clear" w:color="auto" w:fill="D6E5F9"/>
          </w:tcPr>
          <w:p>
            <w:pPr>
              <w:spacing w:after="0"/>
              <w:rPr>
                <w:sz w:val="10"/>
                <w:szCs w:val="10"/>
                <w:color w:val="auto"/>
              </w:rPr>
            </w:pPr>
          </w:p>
        </w:tc>
        <w:tc>
          <w:tcPr>
            <w:tcW w:w="180" w:type="dxa"/>
            <w:vAlign w:val="bottom"/>
            <w:tcBorders>
              <w:bottom w:val="single" w:sz="8" w:color="B3B0AC"/>
            </w:tcBorders>
            <w:shd w:val="clear" w:color="auto" w:fill="D6E5F9"/>
          </w:tcPr>
          <w:p>
            <w:pPr>
              <w:spacing w:after="0"/>
              <w:rPr>
                <w:sz w:val="10"/>
                <w:szCs w:val="10"/>
                <w:color w:val="auto"/>
              </w:rPr>
            </w:pPr>
          </w:p>
        </w:tc>
        <w:tc>
          <w:tcPr>
            <w:tcW w:w="3280" w:type="dxa"/>
            <w:vAlign w:val="bottom"/>
            <w:tcBorders>
              <w:bottom w:val="single" w:sz="8" w:color="B3B0AC"/>
            </w:tcBorders>
            <w:shd w:val="clear" w:color="auto" w:fill="D6E5F9"/>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620" w:type="dxa"/>
            <w:vAlign w:val="bottom"/>
          </w:tcPr>
          <w:p>
            <w:pPr>
              <w:ind w:left="40"/>
              <w:spacing w:after="0"/>
              <w:rPr>
                <w:sz w:val="20"/>
                <w:szCs w:val="20"/>
                <w:color w:val="auto"/>
              </w:rPr>
            </w:pPr>
            <w:r>
              <w:rPr>
                <w:rFonts w:ascii="Arial" w:cs="Arial" w:eastAsia="Arial" w:hAnsi="Arial"/>
                <w:sz w:val="14"/>
                <w:szCs w:val="14"/>
                <w:color w:val="auto"/>
              </w:rPr>
              <w:t>Relative TSR</w:t>
            </w:r>
          </w:p>
        </w:tc>
        <w:tc>
          <w:tcPr>
            <w:tcW w:w="1340" w:type="dxa"/>
            <w:vAlign w:val="bottom"/>
          </w:tcPr>
          <w:p>
            <w:pPr>
              <w:jc w:val="center"/>
              <w:ind w:left="128"/>
              <w:spacing w:after="0"/>
              <w:rPr>
                <w:sz w:val="20"/>
                <w:szCs w:val="20"/>
                <w:color w:val="auto"/>
              </w:rPr>
            </w:pPr>
            <w:r>
              <w:rPr>
                <w:rFonts w:ascii="Arial" w:cs="Arial" w:eastAsia="Arial" w:hAnsi="Arial"/>
                <w:sz w:val="14"/>
                <w:szCs w:val="14"/>
                <w:color w:val="auto"/>
              </w:rPr>
              <w:t>25% for</w:t>
            </w:r>
          </w:p>
        </w:tc>
        <w:tc>
          <w:tcPr>
            <w:tcW w:w="8220" w:type="dxa"/>
            <w:vAlign w:val="bottom"/>
            <w:gridSpan w:val="3"/>
          </w:tcPr>
          <w:p>
            <w:pPr>
              <w:ind w:left="100"/>
              <w:spacing w:after="0"/>
              <w:rPr>
                <w:sz w:val="20"/>
                <w:szCs w:val="20"/>
                <w:color w:val="auto"/>
              </w:rPr>
            </w:pPr>
            <w:r>
              <w:rPr>
                <w:rFonts w:ascii="Arial" w:cs="Arial" w:eastAsia="Arial" w:hAnsi="Arial"/>
                <w:sz w:val="14"/>
                <w:szCs w:val="14"/>
                <w:color w:val="auto"/>
              </w:rPr>
              <w:t>•  Relative TSR for the Performance Share awards for the three-year performance period (2024-2026) based</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340" w:type="dxa"/>
            <w:vAlign w:val="bottom"/>
          </w:tcPr>
          <w:p>
            <w:pPr>
              <w:jc w:val="center"/>
              <w:ind w:left="128"/>
              <w:spacing w:after="0"/>
              <w:rPr>
                <w:sz w:val="20"/>
                <w:szCs w:val="20"/>
                <w:color w:val="auto"/>
              </w:rPr>
            </w:pPr>
            <w:r>
              <w:rPr>
                <w:rFonts w:ascii="Arial" w:cs="Arial" w:eastAsia="Arial" w:hAnsi="Arial"/>
                <w:sz w:val="14"/>
                <w:szCs w:val="14"/>
                <w:color w:val="auto"/>
              </w:rPr>
              <w:t>Performance</w:t>
            </w:r>
          </w:p>
        </w:tc>
        <w:tc>
          <w:tcPr>
            <w:tcW w:w="8220" w:type="dxa"/>
            <w:vAlign w:val="bottom"/>
            <w:gridSpan w:val="3"/>
          </w:tcPr>
          <w:p>
            <w:pPr>
              <w:ind w:left="260"/>
              <w:spacing w:after="0"/>
              <w:rPr>
                <w:sz w:val="20"/>
                <w:szCs w:val="20"/>
                <w:color w:val="auto"/>
              </w:rPr>
            </w:pPr>
            <w:r>
              <w:rPr>
                <w:rFonts w:ascii="Arial" w:cs="Arial" w:eastAsia="Arial" w:hAnsi="Arial"/>
                <w:sz w:val="14"/>
                <w:szCs w:val="14"/>
                <w:color w:val="auto"/>
              </w:rPr>
              <w:t>on the three-year TSR achieved by the Company relative to the three-year TSR achieved by a group of</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1340" w:type="dxa"/>
            <w:vAlign w:val="bottom"/>
          </w:tcPr>
          <w:p>
            <w:pPr>
              <w:jc w:val="center"/>
              <w:ind w:left="128"/>
              <w:spacing w:after="0" w:line="158" w:lineRule="exact"/>
              <w:rPr>
                <w:sz w:val="20"/>
                <w:szCs w:val="20"/>
                <w:color w:val="auto"/>
              </w:rPr>
            </w:pPr>
            <w:r>
              <w:rPr>
                <w:rFonts w:ascii="Arial" w:cs="Arial" w:eastAsia="Arial" w:hAnsi="Arial"/>
                <w:sz w:val="14"/>
                <w:szCs w:val="14"/>
                <w:color w:val="auto"/>
              </w:rPr>
              <w:t>Shares</w:t>
            </w:r>
          </w:p>
        </w:tc>
        <w:tc>
          <w:tcPr>
            <w:tcW w:w="8220" w:type="dxa"/>
            <w:vAlign w:val="bottom"/>
            <w:gridSpan w:val="3"/>
          </w:tcPr>
          <w:p>
            <w:pPr>
              <w:ind w:left="260"/>
              <w:spacing w:after="0" w:line="158" w:lineRule="exact"/>
              <w:rPr>
                <w:sz w:val="20"/>
                <w:szCs w:val="20"/>
                <w:color w:val="auto"/>
              </w:rPr>
            </w:pPr>
            <w:r>
              <w:rPr>
                <w:rFonts w:ascii="Arial" w:cs="Arial" w:eastAsia="Arial" w:hAnsi="Arial"/>
                <w:sz w:val="14"/>
                <w:szCs w:val="14"/>
                <w:color w:val="auto"/>
              </w:rPr>
              <w:t xml:space="preserve">automotive suppliers and industrial companies listed on page </w:t>
            </w:r>
            <w:r>
              <w:rPr>
                <w:rFonts w:ascii="Arial" w:cs="Arial" w:eastAsia="Arial" w:hAnsi="Arial"/>
                <w:sz w:val="14"/>
                <w:szCs w:val="14"/>
                <w:color w:val="0000FF"/>
              </w:rPr>
              <w:t>49</w:t>
            </w:r>
            <w:r>
              <w:rPr>
                <w:rFonts w:ascii="Arial" w:cs="Arial" w:eastAsia="Arial" w:hAnsi="Arial"/>
                <w:sz w:val="14"/>
                <w:szCs w:val="14"/>
                <w:color w:val="auto"/>
              </w:rPr>
              <w:t xml:space="preserve"> over the performance period (starting TSR</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220"/>
        <w:spacing w:after="0"/>
        <w:rPr>
          <w:sz w:val="20"/>
          <w:szCs w:val="20"/>
          <w:color w:val="auto"/>
        </w:rPr>
      </w:pPr>
      <w:r>
        <w:rPr>
          <w:rFonts w:ascii="Arial" w:cs="Arial" w:eastAsia="Arial" w:hAnsi="Arial"/>
          <w:sz w:val="14"/>
          <w:szCs w:val="14"/>
          <w:color w:val="auto"/>
        </w:rPr>
        <w:t>assessment period in December 2023 compared to ending TSR assessment period in December 2026).</w:t>
      </w:r>
    </w:p>
    <w:p>
      <w:pPr>
        <w:spacing w:after="0" w:line="123"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•  Focuses on alignment of executive pay with value creation for our shareholders relative to our peers.</w:t>
      </w:r>
    </w:p>
    <w:p>
      <w:pPr>
        <w:spacing w:after="0" w:line="123"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•  Target award earned for median Relative TSR, with maximum award of 200% of target for Relative TSR of at</w:t>
      </w:r>
    </w:p>
    <w:p>
      <w:pPr>
        <w:spacing w:after="0" w:line="11" w:lineRule="exact"/>
        <w:rPr>
          <w:sz w:val="20"/>
          <w:szCs w:val="20"/>
          <w:color w:val="auto"/>
        </w:rPr>
      </w:pPr>
    </w:p>
    <w:p>
      <w:pPr>
        <w:ind w:left="3220" w:right="400"/>
        <w:spacing w:after="0"/>
        <w:rPr>
          <w:sz w:val="20"/>
          <w:szCs w:val="20"/>
          <w:color w:val="auto"/>
        </w:rPr>
      </w:pPr>
      <w:r>
        <w:rPr>
          <w:rFonts w:ascii="Arial" w:cs="Arial" w:eastAsia="Arial" w:hAnsi="Arial"/>
          <w:sz w:val="14"/>
          <w:szCs w:val="14"/>
          <w:color w:val="auto"/>
        </w:rPr>
        <w:t>least the 75</w:t>
      </w:r>
      <w:r>
        <w:rPr>
          <w:rFonts w:ascii="Verdana" w:cs="Verdana" w:eastAsia="Verdana" w:hAnsi="Verdana"/>
          <w:sz w:val="18"/>
          <w:szCs w:val="18"/>
          <w:color w:val="auto"/>
          <w:vertAlign w:val="superscript"/>
        </w:rPr>
        <w:t>th</w:t>
      </w:r>
      <w:r>
        <w:rPr>
          <w:rFonts w:ascii="Arial" w:cs="Arial" w:eastAsia="Arial" w:hAnsi="Arial"/>
          <w:sz w:val="14"/>
          <w:szCs w:val="14"/>
          <w:color w:val="auto"/>
        </w:rPr>
        <w:t xml:space="preserve"> percentile. Award is capped at target if the Company’s TSR is negative for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0891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Mix</w:t>
      </w:r>
    </w:p>
    <w:p>
      <w:pPr>
        <w:spacing w:after="0" w:line="13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Target Pay Mix for CEO and Other NEOs</w:t>
      </w:r>
    </w:p>
    <w:p>
      <w:pPr>
        <w:spacing w:after="0" w:line="137"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Base salary and annual and long-term incentive award opportunities are the elements of our NEOs’ total direct compensation. To support our compensation philosophy, our NEOs’ total direct compensation opportunity is heavily weighted toward at-risk compensation within</w:t>
      </w:r>
    </w:p>
    <w:p>
      <w:pPr>
        <w:spacing w:after="0" w:line="1" w:lineRule="exact"/>
        <w:rPr>
          <w:sz w:val="20"/>
          <w:szCs w:val="20"/>
          <w:color w:val="auto"/>
        </w:rPr>
      </w:pPr>
    </w:p>
    <w:p>
      <w:pPr>
        <w:ind w:right="740"/>
        <w:spacing w:after="0" w:line="241" w:lineRule="auto"/>
        <w:rPr>
          <w:sz w:val="20"/>
          <w:szCs w:val="20"/>
          <w:color w:val="auto"/>
        </w:rPr>
      </w:pPr>
      <w:r>
        <w:rPr>
          <w:rFonts w:ascii="Verdana" w:cs="Verdana" w:eastAsia="Verdana" w:hAnsi="Verdana"/>
          <w:sz w:val="16"/>
          <w:szCs w:val="16"/>
          <w:color w:val="auto"/>
        </w:rPr>
        <w:t>our annual and long-term incentive plans. Our annual incentive awards and the performance-based component of our long-term incentive awards are considered performance-based pay, as the payouts are dependent on the achievement of specific financial</w:t>
      </w:r>
    </w:p>
    <w:p>
      <w:pPr>
        <w:spacing w:after="0" w:line="1" w:lineRule="exact"/>
        <w:rPr>
          <w:sz w:val="20"/>
          <w:szCs w:val="20"/>
          <w:color w:val="auto"/>
        </w:rPr>
      </w:pPr>
    </w:p>
    <w:p>
      <w:pPr>
        <w:jc w:val="both"/>
        <w:ind w:right="320"/>
        <w:spacing w:after="0" w:line="243" w:lineRule="auto"/>
        <w:rPr>
          <w:sz w:val="20"/>
          <w:szCs w:val="20"/>
          <w:color w:val="auto"/>
        </w:rPr>
      </w:pPr>
      <w:r>
        <w:rPr>
          <w:rFonts w:ascii="Verdana" w:cs="Verdana" w:eastAsia="Verdana" w:hAnsi="Verdana"/>
          <w:sz w:val="16"/>
          <w:szCs w:val="16"/>
          <w:color w:val="auto"/>
        </w:rPr>
        <w:t>performance measures. Our long-term incentive plan also utilizes time-based RSU awards that are subject to three-year cliff vesting, further aligning the NEOs with our shareholders as the final value realized is based on the Company’s share price after the three-year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43</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The significant portion of at-risk performance-based pay directly aligns our NEOs with our shareholders’ interests. The 2024 target total direct compensation mix for our CEO and our other NEOs on average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172200" cy="3454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7220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2024 Performance Results and Compensation Decisions</w:t>
      </w:r>
    </w:p>
    <w:p>
      <w:pPr>
        <w:spacing w:after="0" w:line="16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Base Salary</w:t>
      </w:r>
    </w:p>
    <w:p>
      <w:pPr>
        <w:spacing w:after="0" w:line="13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Base salaries for our NEOs are targeted, on average, around the median level for comparable positions based on market benchmarking. The process of determining base salaries includes a review of scope, duties and responsibilities for each NEO role, an evaluation of NEO</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performance and experience, and attention to internal equity considerations. Our CEO’s base salary and total compensation are reviewed by the P&amp;C Committee following the annual CEO performance review. Generally, in February of each year, the CEO and P&amp;C Committee reach agreement on his goals and objectives for the upcoming year, and the P&amp;C Committee evaluates his performance for the prior year</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against the prior year’s agreed goals and objectives. Our CEO has traditionally received a lower percentage of his total compensation in the form of fixed amounts like base salary relative to our other executives in order to more closely link his compensation to the</w:t>
      </w:r>
    </w:p>
    <w:p>
      <w:pPr>
        <w:spacing w:after="0" w:line="1"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performance of the Company. Increases in base salary for our senior executives are also determined by the results of the Board’s annual leadership review. At this review, our CEO assesses the performance of our top executives and presents his perspectives to our Board.</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2023 and 2024 base salaries of our NEOs are summarized in the table below.</w:t>
      </w:r>
    </w:p>
    <w:p>
      <w:pPr>
        <w:spacing w:after="0" w:line="116" w:lineRule="exact"/>
        <w:rPr>
          <w:sz w:val="20"/>
          <w:szCs w:val="20"/>
          <w:color w:val="auto"/>
        </w:rPr>
      </w:pPr>
    </w:p>
    <w:p>
      <w:pPr>
        <w:ind w:left="640" w:hanging="308"/>
        <w:spacing w:after="0"/>
        <w:tabs>
          <w:tab w:leader="none" w:pos="640" w:val="left"/>
        </w:tabs>
        <w:numPr>
          <w:ilvl w:val="0"/>
          <w:numId w:val="66"/>
        </w:numPr>
        <w:rPr>
          <w:rFonts w:ascii="Verdana" w:cs="Verdana" w:eastAsia="Verdana" w:hAnsi="Verdana"/>
          <w:sz w:val="16"/>
          <w:szCs w:val="16"/>
          <w:color w:val="auto"/>
        </w:rPr>
      </w:pPr>
      <w:r>
        <w:rPr>
          <w:rFonts w:ascii="Verdana" w:cs="Verdana" w:eastAsia="Verdana" w:hAnsi="Verdana"/>
          <w:sz w:val="16"/>
          <w:szCs w:val="16"/>
          <w:color w:val="auto"/>
        </w:rPr>
        <w:t>The annual base salaries for our NEOs remained unchanged for 21 months from December 1, 2022 until September 1, 2024.</w:t>
      </w:r>
    </w:p>
    <w:p>
      <w:pPr>
        <w:spacing w:after="0" w:line="102" w:lineRule="exact"/>
        <w:rPr>
          <w:rFonts w:ascii="Verdana" w:cs="Verdana" w:eastAsia="Verdana" w:hAnsi="Verdana"/>
          <w:sz w:val="16"/>
          <w:szCs w:val="16"/>
          <w:color w:val="auto"/>
        </w:rPr>
      </w:pPr>
    </w:p>
    <w:p>
      <w:pPr>
        <w:ind w:left="660" w:right="580" w:hanging="328"/>
        <w:spacing w:after="0" w:line="253" w:lineRule="auto"/>
        <w:tabs>
          <w:tab w:leader="none" w:pos="654" w:val="left"/>
        </w:tabs>
        <w:numPr>
          <w:ilvl w:val="0"/>
          <w:numId w:val="66"/>
        </w:numPr>
        <w:rPr>
          <w:rFonts w:ascii="Verdana" w:cs="Verdana" w:eastAsia="Verdana" w:hAnsi="Verdana"/>
          <w:sz w:val="16"/>
          <w:szCs w:val="16"/>
          <w:color w:val="auto"/>
        </w:rPr>
      </w:pPr>
      <w:r>
        <w:rPr>
          <w:rFonts w:ascii="Verdana" w:cs="Verdana" w:eastAsia="Verdana" w:hAnsi="Verdana"/>
          <w:sz w:val="16"/>
          <w:szCs w:val="16"/>
          <w:color w:val="auto"/>
        </w:rPr>
        <w:t>Increases to annual base salaries for our NEOs were effective September 1, 2024, to generally align with increases for our salaried employees.</w:t>
      </w:r>
    </w:p>
    <w:p>
      <w:pPr>
        <w:spacing w:after="0" w:line="89" w:lineRule="exact"/>
        <w:rPr>
          <w:rFonts w:ascii="Verdana" w:cs="Verdana" w:eastAsia="Verdana" w:hAnsi="Verdana"/>
          <w:sz w:val="16"/>
          <w:szCs w:val="16"/>
          <w:color w:val="auto"/>
        </w:rPr>
      </w:pPr>
    </w:p>
    <w:p>
      <w:pPr>
        <w:ind w:left="660" w:right="200" w:hanging="328"/>
        <w:spacing w:after="0" w:line="251" w:lineRule="auto"/>
        <w:tabs>
          <w:tab w:leader="none" w:pos="654" w:val="left"/>
        </w:tabs>
        <w:numPr>
          <w:ilvl w:val="0"/>
          <w:numId w:val="66"/>
        </w:numPr>
        <w:rPr>
          <w:rFonts w:ascii="Verdana" w:cs="Verdana" w:eastAsia="Verdana" w:hAnsi="Verdana"/>
          <w:sz w:val="16"/>
          <w:szCs w:val="16"/>
          <w:color w:val="auto"/>
        </w:rPr>
      </w:pPr>
      <w:r>
        <w:rPr>
          <w:rFonts w:ascii="Verdana" w:cs="Verdana" w:eastAsia="Verdana" w:hAnsi="Verdana"/>
          <w:sz w:val="16"/>
          <w:szCs w:val="16"/>
          <w:color w:val="auto"/>
        </w:rPr>
        <w:t>Mr. Kemp was promoted to his current role effective October 1, 2022, and had not had a subsequent salary increase in the 23 months since his promotion. With his growth and tenure in the role, his salary increase was intended to align his compensation closer to the market median for his role.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0" w:hanging="534"/>
        <w:spacing w:after="0"/>
        <w:tabs>
          <w:tab w:leader="none" w:pos="560" w:val="left"/>
        </w:tabs>
        <w:numPr>
          <w:ilvl w:val="0"/>
          <w:numId w:val="67"/>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429450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94505" cy="16319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Verdana" w:cs="Verdana" w:eastAsia="Verdana" w:hAnsi="Verdana"/>
          <w:sz w:val="16"/>
          <w:szCs w:val="16"/>
          <w:b w:val="1"/>
          <w:bCs w:val="1"/>
          <w:color w:val="F0EFEE"/>
        </w:rPr>
        <w:t>Base Salaries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Borders>
              <w:top w:val="single" w:sz="8" w:color="696158"/>
            </w:tcBorders>
          </w:tcPr>
          <w:p>
            <w:pPr>
              <w:spacing w:after="0"/>
              <w:rPr>
                <w:sz w:val="18"/>
                <w:szCs w:val="18"/>
                <w:color w:val="auto"/>
              </w:rPr>
            </w:pPr>
          </w:p>
        </w:tc>
        <w:tc>
          <w:tcPr>
            <w:tcW w:w="360" w:type="dxa"/>
            <w:vAlign w:val="bottom"/>
            <w:tcBorders>
              <w:top w:val="single" w:sz="8" w:color="696158"/>
            </w:tcBorders>
          </w:tcPr>
          <w:p>
            <w:pPr>
              <w:spacing w:after="0"/>
              <w:rPr>
                <w:sz w:val="18"/>
                <w:szCs w:val="18"/>
                <w:color w:val="auto"/>
              </w:rPr>
            </w:pPr>
          </w:p>
        </w:tc>
        <w:tc>
          <w:tcPr>
            <w:tcW w:w="1460" w:type="dxa"/>
            <w:vAlign w:val="bottom"/>
            <w:tcBorders>
              <w:top w:val="single" w:sz="8" w:color="696158"/>
            </w:tcBorders>
          </w:tcPr>
          <w:p>
            <w:pPr>
              <w:jc w:val="right"/>
              <w:ind w:right="259"/>
              <w:spacing w:after="0"/>
              <w:rPr>
                <w:sz w:val="20"/>
                <w:szCs w:val="20"/>
                <w:color w:val="auto"/>
              </w:rPr>
            </w:pPr>
            <w:r>
              <w:rPr>
                <w:rFonts w:ascii="Verdana" w:cs="Verdana" w:eastAsia="Verdana" w:hAnsi="Verdana"/>
                <w:sz w:val="16"/>
                <w:szCs w:val="16"/>
                <w:b w:val="1"/>
                <w:bCs w:val="1"/>
                <w:color w:val="307FE2"/>
              </w:rPr>
              <w:t>2023 Base</w:t>
            </w:r>
          </w:p>
        </w:tc>
        <w:tc>
          <w:tcPr>
            <w:tcW w:w="240" w:type="dxa"/>
            <w:vAlign w:val="bottom"/>
            <w:tcBorders>
              <w:top w:val="single" w:sz="8" w:color="696158"/>
            </w:tcBorders>
          </w:tcPr>
          <w:p>
            <w:pPr>
              <w:spacing w:after="0"/>
              <w:rPr>
                <w:sz w:val="18"/>
                <w:szCs w:val="18"/>
                <w:color w:val="auto"/>
              </w:rPr>
            </w:pPr>
          </w:p>
        </w:tc>
        <w:tc>
          <w:tcPr>
            <w:tcW w:w="1580" w:type="dxa"/>
            <w:vAlign w:val="bottom"/>
            <w:tcBorders>
              <w:top w:val="single" w:sz="8" w:color="696158"/>
            </w:tcBorders>
          </w:tcPr>
          <w:p>
            <w:pPr>
              <w:jc w:val="right"/>
              <w:ind w:right="379"/>
              <w:spacing w:after="0"/>
              <w:rPr>
                <w:sz w:val="20"/>
                <w:szCs w:val="20"/>
                <w:color w:val="auto"/>
              </w:rPr>
            </w:pPr>
            <w:r>
              <w:rPr>
                <w:rFonts w:ascii="Verdana" w:cs="Verdana" w:eastAsia="Verdana" w:hAnsi="Verdana"/>
                <w:sz w:val="16"/>
                <w:szCs w:val="16"/>
                <w:b w:val="1"/>
                <w:bCs w:val="1"/>
                <w:color w:val="307FE2"/>
              </w:rPr>
              <w:t>2024 Base</w:t>
            </w:r>
          </w:p>
        </w:tc>
        <w:tc>
          <w:tcPr>
            <w:tcW w:w="1420" w:type="dxa"/>
            <w:vAlign w:val="bottom"/>
            <w:tcBorders>
              <w:top w:val="single" w:sz="8" w:color="696158"/>
            </w:tcBorders>
          </w:tcPr>
          <w:p>
            <w:pPr>
              <w:spacing w:after="0"/>
              <w:rPr>
                <w:sz w:val="18"/>
                <w:szCs w:val="18"/>
                <w:color w:val="auto"/>
              </w:rPr>
            </w:pPr>
          </w:p>
        </w:tc>
      </w:tr>
      <w:tr>
        <w:trPr>
          <w:trHeight w:val="244"/>
        </w:trPr>
        <w:tc>
          <w:tcPr>
            <w:tcW w:w="1720" w:type="dxa"/>
            <w:vAlign w:val="bottom"/>
            <w:tcBorders>
              <w:bottom w:val="single" w:sz="8" w:color="1D428A"/>
            </w:tcBorders>
          </w:tcPr>
          <w:p>
            <w:pPr>
              <w:spacing w:after="0"/>
              <w:rPr>
                <w:sz w:val="21"/>
                <w:szCs w:val="21"/>
                <w:color w:val="auto"/>
              </w:rPr>
            </w:pPr>
          </w:p>
        </w:tc>
        <w:tc>
          <w:tcPr>
            <w:tcW w:w="360" w:type="dxa"/>
            <w:vAlign w:val="bottom"/>
            <w:tcBorders>
              <w:bottom w:val="single" w:sz="8" w:color="1D428A"/>
            </w:tcBorders>
          </w:tcPr>
          <w:p>
            <w:pPr>
              <w:spacing w:after="0"/>
              <w:rPr>
                <w:sz w:val="21"/>
                <w:szCs w:val="21"/>
                <w:color w:val="auto"/>
              </w:rPr>
            </w:pPr>
          </w:p>
        </w:tc>
        <w:tc>
          <w:tcPr>
            <w:tcW w:w="1460" w:type="dxa"/>
            <w:vAlign w:val="bottom"/>
            <w:tcBorders>
              <w:bottom w:val="single" w:sz="8" w:color="1D428A"/>
            </w:tcBorders>
          </w:tcPr>
          <w:p>
            <w:pPr>
              <w:jc w:val="right"/>
              <w:ind w:right="119"/>
              <w:spacing w:after="0" w:line="244" w:lineRule="exact"/>
              <w:rPr>
                <w:sz w:val="20"/>
                <w:szCs w:val="20"/>
                <w:color w:val="auto"/>
              </w:rPr>
            </w:pPr>
            <w:r>
              <w:rPr>
                <w:rFonts w:ascii="Verdana" w:cs="Verdana" w:eastAsia="Verdana" w:hAnsi="Verdana"/>
                <w:sz w:val="16"/>
                <w:szCs w:val="16"/>
                <w:b w:val="1"/>
                <w:bCs w:val="1"/>
                <w:color w:val="307FE2"/>
                <w:w w:val="96"/>
              </w:rPr>
              <w:t>Salary Rate</w:t>
            </w:r>
            <w:r>
              <w:rPr>
                <w:rFonts w:ascii="Verdana" w:cs="Verdana" w:eastAsia="Verdana" w:hAnsi="Verdana"/>
                <w:sz w:val="21"/>
                <w:szCs w:val="21"/>
                <w:b w:val="1"/>
                <w:bCs w:val="1"/>
                <w:color w:val="307FE2"/>
                <w:w w:val="96"/>
                <w:vertAlign w:val="superscript"/>
              </w:rPr>
              <w:t>(1)</w:t>
            </w:r>
          </w:p>
        </w:tc>
        <w:tc>
          <w:tcPr>
            <w:tcW w:w="240" w:type="dxa"/>
            <w:vAlign w:val="bottom"/>
            <w:tcBorders>
              <w:bottom w:val="single" w:sz="8" w:color="1D428A"/>
            </w:tcBorders>
          </w:tcPr>
          <w:p>
            <w:pPr>
              <w:spacing w:after="0"/>
              <w:rPr>
                <w:sz w:val="21"/>
                <w:szCs w:val="21"/>
                <w:color w:val="auto"/>
              </w:rPr>
            </w:pPr>
          </w:p>
        </w:tc>
        <w:tc>
          <w:tcPr>
            <w:tcW w:w="1580" w:type="dxa"/>
            <w:vAlign w:val="bottom"/>
            <w:tcBorders>
              <w:bottom w:val="single" w:sz="8" w:color="1D428A"/>
            </w:tcBorders>
          </w:tcPr>
          <w:p>
            <w:pPr>
              <w:jc w:val="right"/>
              <w:ind w:right="239"/>
              <w:spacing w:after="0" w:line="244" w:lineRule="exact"/>
              <w:rPr>
                <w:sz w:val="20"/>
                <w:szCs w:val="20"/>
                <w:color w:val="auto"/>
              </w:rPr>
            </w:pPr>
            <w:r>
              <w:rPr>
                <w:rFonts w:ascii="Verdana" w:cs="Verdana" w:eastAsia="Verdana" w:hAnsi="Verdana"/>
                <w:sz w:val="16"/>
                <w:szCs w:val="16"/>
                <w:b w:val="1"/>
                <w:bCs w:val="1"/>
                <w:color w:val="307FE2"/>
                <w:w w:val="96"/>
              </w:rPr>
              <w:t>Salary Rate</w:t>
            </w:r>
            <w:r>
              <w:rPr>
                <w:rFonts w:ascii="Verdana" w:cs="Verdana" w:eastAsia="Verdana" w:hAnsi="Verdana"/>
                <w:sz w:val="21"/>
                <w:szCs w:val="21"/>
                <w:b w:val="1"/>
                <w:bCs w:val="1"/>
                <w:color w:val="307FE2"/>
                <w:w w:val="96"/>
                <w:vertAlign w:val="superscript"/>
              </w:rPr>
              <w:t>(2)</w:t>
            </w:r>
          </w:p>
        </w:tc>
        <w:tc>
          <w:tcPr>
            <w:tcW w:w="1420" w:type="dxa"/>
            <w:vAlign w:val="bottom"/>
            <w:tcBorders>
              <w:bottom w:val="single" w:sz="8" w:color="1D428A"/>
            </w:tcBorders>
          </w:tcPr>
          <w:p>
            <w:pPr>
              <w:jc w:val="right"/>
              <w:ind w:right="179"/>
              <w:spacing w:after="0"/>
              <w:rPr>
                <w:sz w:val="20"/>
                <w:szCs w:val="20"/>
                <w:color w:val="auto"/>
              </w:rPr>
            </w:pPr>
            <w:r>
              <w:rPr>
                <w:rFonts w:ascii="Verdana" w:cs="Verdana" w:eastAsia="Verdana" w:hAnsi="Verdana"/>
                <w:sz w:val="16"/>
                <w:szCs w:val="16"/>
                <w:b w:val="1"/>
                <w:bCs w:val="1"/>
                <w:color w:val="307FE2"/>
              </w:rPr>
              <w:t>% Change</w:t>
            </w:r>
          </w:p>
        </w:tc>
      </w:tr>
      <w:tr>
        <w:trPr>
          <w:trHeight w:val="230"/>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Raymond E. Scott</w:t>
            </w:r>
          </w:p>
        </w:tc>
        <w:tc>
          <w:tcPr>
            <w:tcW w:w="36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6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1,300,000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8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1,370,000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5.4 %</w:t>
            </w:r>
          </w:p>
        </w:tc>
      </w:tr>
      <w:tr>
        <w:trPr>
          <w:trHeight w:val="237"/>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Jason M. Cardew</w:t>
            </w:r>
          </w:p>
        </w:tc>
        <w:tc>
          <w:tcPr>
            <w:tcW w:w="36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6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850,000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8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880,000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3.5 %</w:t>
            </w:r>
          </w:p>
        </w:tc>
      </w:tr>
      <w:tr>
        <w:trPr>
          <w:trHeight w:val="237"/>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Frank C. Orsini</w:t>
            </w:r>
          </w:p>
        </w:tc>
        <w:tc>
          <w:tcPr>
            <w:tcW w:w="36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6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850,000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8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900,000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5.9 %</w:t>
            </w:r>
          </w:p>
        </w:tc>
      </w:tr>
      <w:tr>
        <w:trPr>
          <w:trHeight w:val="237"/>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Carl A. Esposito</w:t>
            </w:r>
          </w:p>
        </w:tc>
        <w:tc>
          <w:tcPr>
            <w:tcW w:w="36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6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725,000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8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750,375</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3.5 %</w:t>
            </w:r>
          </w:p>
        </w:tc>
      </w:tr>
      <w:tr>
        <w:trPr>
          <w:trHeight w:val="236"/>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Harry A. Kemp</w:t>
            </w:r>
          </w:p>
        </w:tc>
        <w:tc>
          <w:tcPr>
            <w:tcW w:w="36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6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700,000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8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750,000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7.1 %</w:t>
            </w:r>
          </w:p>
        </w:tc>
      </w:tr>
      <w:tr>
        <w:trPr>
          <w:trHeight w:val="237"/>
        </w:trPr>
        <w:tc>
          <w:tcPr>
            <w:tcW w:w="1720" w:type="dxa"/>
            <w:vAlign w:val="bottom"/>
            <w:tcBorders>
              <w:bottom w:val="single" w:sz="8" w:color="696158"/>
            </w:tcBorders>
          </w:tcPr>
          <w:p>
            <w:pPr>
              <w:ind w:left="40"/>
              <w:spacing w:after="0"/>
              <w:rPr>
                <w:sz w:val="20"/>
                <w:szCs w:val="20"/>
                <w:color w:val="auto"/>
              </w:rPr>
            </w:pPr>
            <w:r>
              <w:rPr>
                <w:rFonts w:ascii="Verdana" w:cs="Verdana" w:eastAsia="Verdana" w:hAnsi="Verdana"/>
                <w:sz w:val="16"/>
                <w:szCs w:val="16"/>
                <w:color w:val="auto"/>
              </w:rPr>
              <w:t>Alicia J. Davis</w:t>
            </w:r>
          </w:p>
        </w:tc>
        <w:tc>
          <w:tcPr>
            <w:tcW w:w="36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0C2340"/>
              </w:rPr>
              <w:t>$</w:t>
            </w:r>
          </w:p>
        </w:tc>
        <w:tc>
          <w:tcPr>
            <w:tcW w:w="1460" w:type="dxa"/>
            <w:vAlign w:val="bottom"/>
            <w:tcBorders>
              <w:bottom w:val="single" w:sz="8" w:color="696158"/>
            </w:tcBorders>
          </w:tcPr>
          <w:p>
            <w:pPr>
              <w:jc w:val="right"/>
              <w:ind w:right="19"/>
              <w:spacing w:after="0"/>
              <w:rPr>
                <w:sz w:val="20"/>
                <w:szCs w:val="20"/>
                <w:color w:val="auto"/>
              </w:rPr>
            </w:pPr>
            <w:r>
              <w:rPr>
                <w:rFonts w:ascii="Verdana" w:cs="Verdana" w:eastAsia="Verdana" w:hAnsi="Verdana"/>
                <w:sz w:val="16"/>
                <w:szCs w:val="16"/>
                <w:color w:val="0C2340"/>
              </w:rPr>
              <w:t>550,000</w:t>
            </w:r>
          </w:p>
        </w:tc>
        <w:tc>
          <w:tcPr>
            <w:tcW w:w="24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0C2340"/>
              </w:rPr>
              <w:t>$</w:t>
            </w:r>
          </w:p>
        </w:tc>
        <w:tc>
          <w:tcPr>
            <w:tcW w:w="1580" w:type="dxa"/>
            <w:vAlign w:val="bottom"/>
            <w:tcBorders>
              <w:bottom w:val="single" w:sz="8" w:color="696158"/>
            </w:tcBorders>
          </w:tcPr>
          <w:p>
            <w:pPr>
              <w:jc w:val="right"/>
              <w:ind w:right="139"/>
              <w:spacing w:after="0"/>
              <w:rPr>
                <w:sz w:val="20"/>
                <w:szCs w:val="20"/>
                <w:color w:val="auto"/>
              </w:rPr>
            </w:pPr>
            <w:r>
              <w:rPr>
                <w:rFonts w:ascii="Verdana" w:cs="Verdana" w:eastAsia="Verdana" w:hAnsi="Verdana"/>
                <w:sz w:val="16"/>
                <w:szCs w:val="16"/>
                <w:color w:val="0C2340"/>
              </w:rPr>
              <w:t>580,000</w:t>
            </w:r>
          </w:p>
        </w:tc>
        <w:tc>
          <w:tcPr>
            <w:tcW w:w="142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0C2340"/>
              </w:rPr>
              <w:t>5.5 %</w:t>
            </w:r>
          </w:p>
        </w:tc>
      </w:tr>
    </w:tbl>
    <w:p>
      <w:pPr>
        <w:spacing w:after="0" w:line="185" w:lineRule="exact"/>
        <w:rPr>
          <w:sz w:val="20"/>
          <w:szCs w:val="20"/>
          <w:color w:val="auto"/>
        </w:rPr>
      </w:pPr>
    </w:p>
    <w:p>
      <w:pPr>
        <w:ind w:left="320" w:hanging="312"/>
        <w:spacing w:after="0"/>
        <w:tabs>
          <w:tab w:leader="none" w:pos="320" w:val="left"/>
        </w:tabs>
        <w:numPr>
          <w:ilvl w:val="0"/>
          <w:numId w:val="68"/>
        </w:numPr>
        <w:rPr>
          <w:rFonts w:ascii="Verdana" w:cs="Verdana" w:eastAsia="Verdana" w:hAnsi="Verdana"/>
          <w:sz w:val="13"/>
          <w:szCs w:val="13"/>
          <w:color w:val="auto"/>
        </w:rPr>
      </w:pPr>
      <w:r>
        <w:rPr>
          <w:rFonts w:ascii="Verdana" w:cs="Verdana" w:eastAsia="Verdana" w:hAnsi="Verdana"/>
          <w:sz w:val="14"/>
          <w:szCs w:val="14"/>
          <w:color w:val="auto"/>
        </w:rPr>
        <w:t>Effective December 1, 2022.</w:t>
      </w:r>
    </w:p>
    <w:p>
      <w:pPr>
        <w:ind w:left="340" w:right="280" w:hanging="332"/>
        <w:spacing w:after="0" w:line="270" w:lineRule="auto"/>
        <w:tabs>
          <w:tab w:leader="none" w:pos="332" w:val="left"/>
        </w:tabs>
        <w:numPr>
          <w:ilvl w:val="0"/>
          <w:numId w:val="68"/>
        </w:numPr>
        <w:rPr>
          <w:rFonts w:ascii="Verdana" w:cs="Verdana" w:eastAsia="Verdana" w:hAnsi="Verdana"/>
          <w:sz w:val="13"/>
          <w:szCs w:val="13"/>
          <w:color w:val="auto"/>
        </w:rPr>
      </w:pPr>
      <w:r>
        <w:rPr>
          <w:rFonts w:ascii="Verdana" w:cs="Verdana" w:eastAsia="Verdana" w:hAnsi="Verdana"/>
          <w:sz w:val="14"/>
          <w:szCs w:val="14"/>
          <w:color w:val="auto"/>
        </w:rPr>
        <w:t>Effective September 1, 2024 in alignment with the Company's annual increase cycle. The 2024 salary paid to each NEO reflected on the Summary Compensation Table is pro-rated based on the effective date of the salary increase.</w:t>
      </w:r>
    </w:p>
    <w:p>
      <w:pPr>
        <w:spacing w:after="0" w:line="11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Annual Incentive Plan (AIP)</w:t>
      </w:r>
    </w:p>
    <w:p>
      <w:pPr>
        <w:spacing w:after="0" w:line="131"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Our NEOs and approximately 7,800 other salaried employees are eligible to participate in the AIP, which provides annual cash incentive award opportunities based upon the achievement of performance goals important to our success. Awards, if earned, are paid early in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following year based on our performance achieved in the prior fiscal year.</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2024 Award Opportunity</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Each NEO is assigned an annual target opportunity expressed as a percentage of his or her base salary. An executive’s target annual</w:t>
      </w:r>
    </w:p>
    <w:p>
      <w:pPr>
        <w:spacing w:after="0" w:line="8" w:lineRule="exact"/>
        <w:rPr>
          <w:sz w:val="20"/>
          <w:szCs w:val="20"/>
          <w:color w:val="auto"/>
        </w:rPr>
      </w:pPr>
    </w:p>
    <w:p>
      <w:pPr>
        <w:ind w:right="600"/>
        <w:spacing w:after="0" w:line="241" w:lineRule="auto"/>
        <w:rPr>
          <w:sz w:val="20"/>
          <w:szCs w:val="20"/>
          <w:color w:val="auto"/>
        </w:rPr>
      </w:pPr>
      <w:r>
        <w:rPr>
          <w:rFonts w:ascii="Verdana" w:cs="Verdana" w:eastAsia="Verdana" w:hAnsi="Verdana"/>
          <w:sz w:val="16"/>
          <w:szCs w:val="16"/>
          <w:color w:val="auto"/>
        </w:rPr>
        <w:t>incentive percentage generally increases as his or her ability to affect our performance increases. Consequently, as an executive’s responsibilities increase, his or her variable compensation in the form of an annual incentive, which is dependent on Company</w:t>
      </w:r>
    </w:p>
    <w:p>
      <w:pPr>
        <w:spacing w:after="0" w:line="1" w:lineRule="exact"/>
        <w:rPr>
          <w:sz w:val="20"/>
          <w:szCs w:val="20"/>
          <w:color w:val="auto"/>
        </w:rPr>
      </w:pPr>
    </w:p>
    <w:p>
      <w:pPr>
        <w:jc w:val="both"/>
        <w:ind w:right="100"/>
        <w:spacing w:after="0" w:line="243" w:lineRule="auto"/>
        <w:rPr>
          <w:sz w:val="20"/>
          <w:szCs w:val="20"/>
          <w:color w:val="auto"/>
        </w:rPr>
      </w:pPr>
      <w:r>
        <w:rPr>
          <w:rFonts w:ascii="Verdana" w:cs="Verdana" w:eastAsia="Verdana" w:hAnsi="Verdana"/>
          <w:sz w:val="16"/>
          <w:szCs w:val="16"/>
          <w:color w:val="auto"/>
        </w:rPr>
        <w:t>performance, generally makes up a larger portion of the executive’s total compensation opportunity. Other than for Mr. Esposito, whose target AIP increased from 80% to 90% of base salary as a result of a market competitiveness review, the 2024 target AIP for each NEO is unchanged from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420878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08780" cy="163195"/>
                    </a:xfrm>
                    <a:prstGeom prst="rect">
                      <a:avLst/>
                    </a:prstGeom>
                    <a:noFill/>
                  </pic:spPr>
                </pic:pic>
              </a:graphicData>
            </a:graphic>
          </wp:anchor>
        </w:drawing>
      </w:r>
    </w:p>
    <w:p>
      <w:pPr>
        <w:spacing w:after="0" w:line="145" w:lineRule="exact"/>
        <w:rPr>
          <w:sz w:val="20"/>
          <w:szCs w:val="20"/>
          <w:color w:val="auto"/>
        </w:rPr>
      </w:pPr>
    </w:p>
    <w:p>
      <w:pPr>
        <w:ind w:left="1380"/>
        <w:spacing w:after="0"/>
        <w:rPr>
          <w:sz w:val="20"/>
          <w:szCs w:val="20"/>
          <w:color w:val="auto"/>
        </w:rPr>
      </w:pPr>
      <w:r>
        <w:rPr>
          <w:rFonts w:ascii="Verdana" w:cs="Verdana" w:eastAsia="Verdana" w:hAnsi="Verdana"/>
          <w:sz w:val="16"/>
          <w:szCs w:val="16"/>
          <w:b w:val="1"/>
          <w:bCs w:val="1"/>
          <w:color w:val="F0EFEE"/>
        </w:rPr>
        <w:t>2024 Target Annual Incentive Opportunity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Borders>
              <w:top w:val="single" w:sz="8" w:color="696158"/>
            </w:tcBorders>
          </w:tcPr>
          <w:p>
            <w:pPr>
              <w:spacing w:after="0"/>
              <w:rPr>
                <w:sz w:val="17"/>
                <w:szCs w:val="17"/>
                <w:color w:val="auto"/>
              </w:rPr>
            </w:pPr>
          </w:p>
        </w:tc>
        <w:tc>
          <w:tcPr>
            <w:tcW w:w="1880" w:type="dxa"/>
            <w:vAlign w:val="bottom"/>
            <w:tcBorders>
              <w:top w:val="single" w:sz="8" w:color="696158"/>
            </w:tcBorders>
            <w:gridSpan w:val="2"/>
          </w:tcPr>
          <w:p>
            <w:pPr>
              <w:jc w:val="right"/>
              <w:spacing w:after="0"/>
              <w:rPr>
                <w:sz w:val="20"/>
                <w:szCs w:val="20"/>
                <w:color w:val="auto"/>
              </w:rPr>
            </w:pPr>
            <w:r>
              <w:rPr>
                <w:rFonts w:ascii="Verdana" w:cs="Verdana" w:eastAsia="Verdana" w:hAnsi="Verdana"/>
                <w:sz w:val="14"/>
                <w:szCs w:val="14"/>
                <w:b w:val="1"/>
                <w:bCs w:val="1"/>
                <w:color w:val="307FE2"/>
              </w:rPr>
              <w:t>2024 Base Salary</w:t>
            </w:r>
          </w:p>
        </w:tc>
        <w:tc>
          <w:tcPr>
            <w:tcW w:w="1420" w:type="dxa"/>
            <w:vAlign w:val="bottom"/>
            <w:tcBorders>
              <w:top w:val="single" w:sz="8" w:color="696158"/>
            </w:tcBorders>
          </w:tcPr>
          <w:p>
            <w:pPr>
              <w:ind w:left="140"/>
              <w:spacing w:after="0"/>
              <w:rPr>
                <w:sz w:val="20"/>
                <w:szCs w:val="20"/>
                <w:color w:val="auto"/>
              </w:rPr>
            </w:pPr>
            <w:r>
              <w:rPr>
                <w:rFonts w:ascii="Verdana" w:cs="Verdana" w:eastAsia="Verdana" w:hAnsi="Verdana"/>
                <w:sz w:val="14"/>
                <w:szCs w:val="14"/>
                <w:b w:val="1"/>
                <w:bCs w:val="1"/>
                <w:color w:val="307FE2"/>
              </w:rPr>
              <w:t>Target AIP (%</w:t>
            </w:r>
          </w:p>
        </w:tc>
        <w:tc>
          <w:tcPr>
            <w:tcW w:w="240" w:type="dxa"/>
            <w:vAlign w:val="bottom"/>
            <w:tcBorders>
              <w:top w:val="single" w:sz="8" w:color="696158"/>
            </w:tcBorders>
          </w:tcPr>
          <w:p>
            <w:pPr>
              <w:spacing w:after="0"/>
              <w:rPr>
                <w:sz w:val="17"/>
                <w:szCs w:val="17"/>
                <w:color w:val="auto"/>
              </w:rPr>
            </w:pPr>
          </w:p>
        </w:tc>
        <w:tc>
          <w:tcPr>
            <w:tcW w:w="1240" w:type="dxa"/>
            <w:vAlign w:val="bottom"/>
            <w:tcBorders>
              <w:top w:val="single" w:sz="8" w:color="696158"/>
            </w:tcBorders>
          </w:tcPr>
          <w:p>
            <w:pPr>
              <w:jc w:val="right"/>
              <w:ind w:right="201"/>
              <w:spacing w:after="0"/>
              <w:rPr>
                <w:sz w:val="20"/>
                <w:szCs w:val="20"/>
                <w:color w:val="auto"/>
              </w:rPr>
            </w:pPr>
            <w:r>
              <w:rPr>
                <w:rFonts w:ascii="Verdana" w:cs="Verdana" w:eastAsia="Verdana" w:hAnsi="Verdana"/>
                <w:sz w:val="14"/>
                <w:szCs w:val="14"/>
                <w:b w:val="1"/>
                <w:bCs w:val="1"/>
                <w:color w:val="307FE2"/>
              </w:rPr>
              <w:t>Target AIP</w:t>
            </w:r>
          </w:p>
        </w:tc>
      </w:tr>
      <w:tr>
        <w:trPr>
          <w:trHeight w:val="187"/>
        </w:trPr>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jc w:val="right"/>
              <w:ind w:right="520"/>
              <w:spacing w:after="0"/>
              <w:rPr>
                <w:sz w:val="20"/>
                <w:szCs w:val="20"/>
                <w:color w:val="auto"/>
              </w:rPr>
            </w:pPr>
            <w:r>
              <w:rPr>
                <w:rFonts w:ascii="Verdana" w:cs="Verdana" w:eastAsia="Verdana" w:hAnsi="Verdana"/>
                <w:sz w:val="14"/>
                <w:szCs w:val="14"/>
                <w:b w:val="1"/>
                <w:bCs w:val="1"/>
                <w:color w:val="307FE2"/>
              </w:rPr>
              <w:t>Rate</w:t>
            </w:r>
          </w:p>
        </w:tc>
        <w:tc>
          <w:tcPr>
            <w:tcW w:w="1420" w:type="dxa"/>
            <w:vAlign w:val="bottom"/>
          </w:tcPr>
          <w:p>
            <w:pPr>
              <w:ind w:left="100"/>
              <w:spacing w:after="0"/>
              <w:rPr>
                <w:sz w:val="20"/>
                <w:szCs w:val="20"/>
                <w:color w:val="auto"/>
              </w:rPr>
            </w:pPr>
            <w:r>
              <w:rPr>
                <w:rFonts w:ascii="Verdana" w:cs="Verdana" w:eastAsia="Verdana" w:hAnsi="Verdana"/>
                <w:sz w:val="14"/>
                <w:szCs w:val="14"/>
                <w:b w:val="1"/>
                <w:bCs w:val="1"/>
                <w:color w:val="307FE2"/>
              </w:rPr>
              <w:t>of Base Salary)</w:t>
            </w:r>
          </w:p>
        </w:tc>
        <w:tc>
          <w:tcPr>
            <w:tcW w:w="240" w:type="dxa"/>
            <w:vAlign w:val="bottom"/>
          </w:tcPr>
          <w:p>
            <w:pPr>
              <w:spacing w:after="0"/>
              <w:rPr>
                <w:sz w:val="16"/>
                <w:szCs w:val="16"/>
                <w:color w:val="auto"/>
              </w:rPr>
            </w:pPr>
          </w:p>
        </w:tc>
        <w:tc>
          <w:tcPr>
            <w:tcW w:w="1240" w:type="dxa"/>
            <w:vAlign w:val="bottom"/>
          </w:tcPr>
          <w:p>
            <w:pPr>
              <w:jc w:val="right"/>
              <w:ind w:right="141"/>
              <w:spacing w:after="0"/>
              <w:rPr>
                <w:sz w:val="20"/>
                <w:szCs w:val="20"/>
                <w:color w:val="auto"/>
              </w:rPr>
            </w:pPr>
            <w:r>
              <w:rPr>
                <w:rFonts w:ascii="Verdana" w:cs="Verdana" w:eastAsia="Verdana" w:hAnsi="Verdana"/>
                <w:sz w:val="14"/>
                <w:szCs w:val="14"/>
                <w:b w:val="1"/>
                <w:bCs w:val="1"/>
                <w:color w:val="307FE2"/>
              </w:rPr>
              <w:t>Opportunity</w:t>
            </w:r>
          </w:p>
        </w:tc>
      </w:tr>
      <w:tr>
        <w:trPr>
          <w:trHeight w:val="25"/>
        </w:trPr>
        <w:tc>
          <w:tcPr>
            <w:tcW w:w="1860" w:type="dxa"/>
            <w:vAlign w:val="bottom"/>
            <w:tcBorders>
              <w:bottom w:val="single" w:sz="8" w:color="1D428A"/>
            </w:tcBorders>
          </w:tcPr>
          <w:p>
            <w:pPr>
              <w:spacing w:after="0"/>
              <w:rPr>
                <w:sz w:val="2"/>
                <w:szCs w:val="2"/>
                <w:color w:val="auto"/>
              </w:rPr>
            </w:pPr>
          </w:p>
        </w:tc>
        <w:tc>
          <w:tcPr>
            <w:tcW w:w="680" w:type="dxa"/>
            <w:vAlign w:val="bottom"/>
            <w:tcBorders>
              <w:bottom w:val="single" w:sz="8" w:color="1D428A"/>
            </w:tcBorders>
          </w:tcPr>
          <w:p>
            <w:pPr>
              <w:spacing w:after="0"/>
              <w:rPr>
                <w:sz w:val="2"/>
                <w:szCs w:val="2"/>
                <w:color w:val="auto"/>
              </w:rPr>
            </w:pPr>
          </w:p>
        </w:tc>
        <w:tc>
          <w:tcPr>
            <w:tcW w:w="1200" w:type="dxa"/>
            <w:vAlign w:val="bottom"/>
            <w:tcBorders>
              <w:bottom w:val="single" w:sz="8" w:color="1D428A"/>
            </w:tcBorders>
          </w:tcPr>
          <w:p>
            <w:pPr>
              <w:spacing w:after="0"/>
              <w:rPr>
                <w:sz w:val="2"/>
                <w:szCs w:val="2"/>
                <w:color w:val="auto"/>
              </w:rPr>
            </w:pPr>
          </w:p>
        </w:tc>
        <w:tc>
          <w:tcPr>
            <w:tcW w:w="1420" w:type="dxa"/>
            <w:vAlign w:val="bottom"/>
            <w:tcBorders>
              <w:bottom w:val="single" w:sz="8" w:color="1D428A"/>
            </w:tcBorders>
          </w:tcPr>
          <w:p>
            <w:pPr>
              <w:spacing w:after="0"/>
              <w:rPr>
                <w:sz w:val="2"/>
                <w:szCs w:val="2"/>
                <w:color w:val="auto"/>
              </w:rPr>
            </w:pPr>
          </w:p>
        </w:tc>
        <w:tc>
          <w:tcPr>
            <w:tcW w:w="240" w:type="dxa"/>
            <w:vAlign w:val="bottom"/>
            <w:tcBorders>
              <w:bottom w:val="single" w:sz="8" w:color="1D428A"/>
            </w:tcBorders>
          </w:tcPr>
          <w:p>
            <w:pPr>
              <w:spacing w:after="0"/>
              <w:rPr>
                <w:sz w:val="2"/>
                <w:szCs w:val="2"/>
                <w:color w:val="auto"/>
              </w:rPr>
            </w:pPr>
          </w:p>
        </w:tc>
        <w:tc>
          <w:tcPr>
            <w:tcW w:w="1240" w:type="dxa"/>
            <w:vAlign w:val="bottom"/>
            <w:tcBorders>
              <w:bottom w:val="single" w:sz="8" w:color="1D428A"/>
            </w:tcBorders>
          </w:tcPr>
          <w:p>
            <w:pPr>
              <w:spacing w:after="0"/>
              <w:rPr>
                <w:sz w:val="2"/>
                <w:szCs w:val="2"/>
                <w:color w:val="auto"/>
              </w:rPr>
            </w:pPr>
          </w:p>
        </w:tc>
      </w:tr>
      <w:tr>
        <w:trPr>
          <w:trHeight w:val="230"/>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Raymond E. Scott</w:t>
            </w:r>
          </w:p>
        </w:tc>
        <w:tc>
          <w:tcPr>
            <w:tcW w:w="680" w:type="dxa"/>
            <w:vAlign w:val="bottom"/>
            <w:tcBorders>
              <w:bottom w:val="single" w:sz="8" w:color="B3B0AC"/>
            </w:tcBorders>
          </w:tcPr>
          <w:p>
            <w:pPr>
              <w:jc w:val="right"/>
              <w:ind w:right="140"/>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0"/>
              <w:spacing w:after="0"/>
              <w:rPr>
                <w:sz w:val="20"/>
                <w:szCs w:val="20"/>
                <w:color w:val="auto"/>
              </w:rPr>
            </w:pPr>
            <w:r>
              <w:rPr>
                <w:rFonts w:ascii="Verdana" w:cs="Verdana" w:eastAsia="Verdana" w:hAnsi="Verdana"/>
                <w:sz w:val="16"/>
                <w:szCs w:val="16"/>
                <w:color w:val="auto"/>
              </w:rPr>
              <w:t>1,370,000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160%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1"/>
              <w:spacing w:after="0"/>
              <w:rPr>
                <w:sz w:val="20"/>
                <w:szCs w:val="20"/>
                <w:color w:val="auto"/>
              </w:rPr>
            </w:pPr>
            <w:r>
              <w:rPr>
                <w:rFonts w:ascii="Verdana" w:cs="Verdana" w:eastAsia="Verdana" w:hAnsi="Verdana"/>
                <w:sz w:val="16"/>
                <w:szCs w:val="16"/>
                <w:color w:val="auto"/>
              </w:rPr>
              <w:t>2,192,000</w:t>
            </w:r>
          </w:p>
        </w:tc>
      </w:tr>
      <w:tr>
        <w:trPr>
          <w:trHeight w:val="237"/>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Jason M. Cardew</w:t>
            </w:r>
          </w:p>
        </w:tc>
        <w:tc>
          <w:tcPr>
            <w:tcW w:w="680" w:type="dxa"/>
            <w:vAlign w:val="bottom"/>
            <w:tcBorders>
              <w:bottom w:val="single" w:sz="8" w:color="B3B0AC"/>
            </w:tcBorders>
          </w:tcPr>
          <w:p>
            <w:pPr>
              <w:jc w:val="right"/>
              <w:ind w:right="140"/>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0"/>
              <w:spacing w:after="0"/>
              <w:rPr>
                <w:sz w:val="20"/>
                <w:szCs w:val="20"/>
                <w:color w:val="auto"/>
              </w:rPr>
            </w:pPr>
            <w:r>
              <w:rPr>
                <w:rFonts w:ascii="Verdana" w:cs="Verdana" w:eastAsia="Verdana" w:hAnsi="Verdana"/>
                <w:sz w:val="16"/>
                <w:szCs w:val="16"/>
                <w:color w:val="auto"/>
              </w:rPr>
              <w:t>880,000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100%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1"/>
              <w:spacing w:after="0"/>
              <w:rPr>
                <w:sz w:val="20"/>
                <w:szCs w:val="20"/>
                <w:color w:val="auto"/>
              </w:rPr>
            </w:pPr>
            <w:r>
              <w:rPr>
                <w:rFonts w:ascii="Verdana" w:cs="Verdana" w:eastAsia="Verdana" w:hAnsi="Verdana"/>
                <w:sz w:val="16"/>
                <w:szCs w:val="16"/>
                <w:color w:val="auto"/>
              </w:rPr>
              <w:t>880,000</w:t>
            </w:r>
          </w:p>
        </w:tc>
      </w:tr>
      <w:tr>
        <w:trPr>
          <w:trHeight w:val="236"/>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Frank C. Orsini</w:t>
            </w:r>
          </w:p>
        </w:tc>
        <w:tc>
          <w:tcPr>
            <w:tcW w:w="680" w:type="dxa"/>
            <w:vAlign w:val="bottom"/>
            <w:tcBorders>
              <w:bottom w:val="single" w:sz="8" w:color="B3B0AC"/>
            </w:tcBorders>
          </w:tcPr>
          <w:p>
            <w:pPr>
              <w:jc w:val="right"/>
              <w:ind w:right="140"/>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0"/>
              <w:spacing w:after="0"/>
              <w:rPr>
                <w:sz w:val="20"/>
                <w:szCs w:val="20"/>
                <w:color w:val="auto"/>
              </w:rPr>
            </w:pPr>
            <w:r>
              <w:rPr>
                <w:rFonts w:ascii="Verdana" w:cs="Verdana" w:eastAsia="Verdana" w:hAnsi="Verdana"/>
                <w:sz w:val="16"/>
                <w:szCs w:val="16"/>
                <w:color w:val="auto"/>
              </w:rPr>
              <w:t>900,000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100%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1"/>
              <w:spacing w:after="0"/>
              <w:rPr>
                <w:sz w:val="20"/>
                <w:szCs w:val="20"/>
                <w:color w:val="auto"/>
              </w:rPr>
            </w:pPr>
            <w:r>
              <w:rPr>
                <w:rFonts w:ascii="Verdana" w:cs="Verdana" w:eastAsia="Verdana" w:hAnsi="Verdana"/>
                <w:sz w:val="16"/>
                <w:szCs w:val="16"/>
                <w:color w:val="auto"/>
              </w:rPr>
              <w:t>900,000</w:t>
            </w:r>
          </w:p>
        </w:tc>
      </w:tr>
      <w:tr>
        <w:trPr>
          <w:trHeight w:val="237"/>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Carl A. Esposito</w:t>
            </w:r>
          </w:p>
        </w:tc>
        <w:tc>
          <w:tcPr>
            <w:tcW w:w="680" w:type="dxa"/>
            <w:vAlign w:val="bottom"/>
            <w:tcBorders>
              <w:bottom w:val="single" w:sz="8" w:color="B3B0AC"/>
            </w:tcBorders>
          </w:tcPr>
          <w:p>
            <w:pPr>
              <w:jc w:val="right"/>
              <w:ind w:right="140"/>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0"/>
              <w:spacing w:after="0"/>
              <w:rPr>
                <w:sz w:val="20"/>
                <w:szCs w:val="20"/>
                <w:color w:val="auto"/>
              </w:rPr>
            </w:pPr>
            <w:r>
              <w:rPr>
                <w:rFonts w:ascii="Verdana" w:cs="Verdana" w:eastAsia="Verdana" w:hAnsi="Verdana"/>
                <w:sz w:val="16"/>
                <w:szCs w:val="16"/>
                <w:color w:val="auto"/>
              </w:rPr>
              <w:t>750,375</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90%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1"/>
              <w:spacing w:after="0"/>
              <w:rPr>
                <w:sz w:val="20"/>
                <w:szCs w:val="20"/>
                <w:color w:val="auto"/>
              </w:rPr>
            </w:pPr>
            <w:r>
              <w:rPr>
                <w:rFonts w:ascii="Verdana" w:cs="Verdana" w:eastAsia="Verdana" w:hAnsi="Verdana"/>
                <w:sz w:val="16"/>
                <w:szCs w:val="16"/>
                <w:color w:val="auto"/>
              </w:rPr>
              <w:t>675,338</w:t>
            </w:r>
          </w:p>
        </w:tc>
      </w:tr>
      <w:tr>
        <w:trPr>
          <w:trHeight w:val="236"/>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Harry A. Kemp</w:t>
            </w:r>
          </w:p>
        </w:tc>
        <w:tc>
          <w:tcPr>
            <w:tcW w:w="680" w:type="dxa"/>
            <w:vAlign w:val="bottom"/>
            <w:tcBorders>
              <w:bottom w:val="single" w:sz="8" w:color="B3B0AC"/>
            </w:tcBorders>
          </w:tcPr>
          <w:p>
            <w:pPr>
              <w:jc w:val="right"/>
              <w:ind w:right="140"/>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0"/>
              <w:spacing w:after="0"/>
              <w:rPr>
                <w:sz w:val="20"/>
                <w:szCs w:val="20"/>
                <w:color w:val="auto"/>
              </w:rPr>
            </w:pPr>
            <w:r>
              <w:rPr>
                <w:rFonts w:ascii="Verdana" w:cs="Verdana" w:eastAsia="Verdana" w:hAnsi="Verdana"/>
                <w:sz w:val="16"/>
                <w:szCs w:val="16"/>
                <w:color w:val="auto"/>
              </w:rPr>
              <w:t>750,000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90%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1"/>
              <w:spacing w:after="0"/>
              <w:rPr>
                <w:sz w:val="20"/>
                <w:szCs w:val="20"/>
                <w:color w:val="auto"/>
              </w:rPr>
            </w:pPr>
            <w:r>
              <w:rPr>
                <w:rFonts w:ascii="Verdana" w:cs="Verdana" w:eastAsia="Verdana" w:hAnsi="Verdana"/>
                <w:sz w:val="16"/>
                <w:szCs w:val="16"/>
                <w:color w:val="auto"/>
              </w:rPr>
              <w:t>675,000</w:t>
            </w:r>
          </w:p>
        </w:tc>
      </w:tr>
      <w:tr>
        <w:trPr>
          <w:trHeight w:val="237"/>
        </w:trPr>
        <w:tc>
          <w:tcPr>
            <w:tcW w:w="1860" w:type="dxa"/>
            <w:vAlign w:val="bottom"/>
            <w:tcBorders>
              <w:bottom w:val="single" w:sz="8" w:color="696158"/>
            </w:tcBorders>
          </w:tcPr>
          <w:p>
            <w:pPr>
              <w:ind w:left="40"/>
              <w:spacing w:after="0"/>
              <w:rPr>
                <w:sz w:val="20"/>
                <w:szCs w:val="20"/>
                <w:color w:val="auto"/>
              </w:rPr>
            </w:pPr>
            <w:r>
              <w:rPr>
                <w:rFonts w:ascii="Verdana" w:cs="Verdana" w:eastAsia="Verdana" w:hAnsi="Verdana"/>
                <w:sz w:val="16"/>
                <w:szCs w:val="16"/>
                <w:color w:val="auto"/>
              </w:rPr>
              <w:t>Alicia J. Davis</w:t>
            </w:r>
          </w:p>
        </w:tc>
        <w:tc>
          <w:tcPr>
            <w:tcW w:w="680" w:type="dxa"/>
            <w:vAlign w:val="bottom"/>
            <w:tcBorders>
              <w:bottom w:val="single" w:sz="8" w:color="696158"/>
            </w:tcBorders>
          </w:tcPr>
          <w:p>
            <w:pPr>
              <w:jc w:val="right"/>
              <w:ind w:right="140"/>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696158"/>
            </w:tcBorders>
          </w:tcPr>
          <w:p>
            <w:pPr>
              <w:jc w:val="right"/>
              <w:ind w:right="40"/>
              <w:spacing w:after="0"/>
              <w:rPr>
                <w:sz w:val="20"/>
                <w:szCs w:val="20"/>
                <w:color w:val="auto"/>
              </w:rPr>
            </w:pPr>
            <w:r>
              <w:rPr>
                <w:rFonts w:ascii="Verdana" w:cs="Verdana" w:eastAsia="Verdana" w:hAnsi="Verdana"/>
                <w:sz w:val="16"/>
                <w:szCs w:val="16"/>
                <w:color w:val="auto"/>
              </w:rPr>
              <w:t>580,000</w:t>
            </w:r>
          </w:p>
        </w:tc>
        <w:tc>
          <w:tcPr>
            <w:tcW w:w="1420" w:type="dxa"/>
            <w:vAlign w:val="bottom"/>
            <w:tcBorders>
              <w:bottom w:val="single" w:sz="8" w:color="696158"/>
            </w:tcBorders>
          </w:tcPr>
          <w:p>
            <w:pPr>
              <w:jc w:val="center"/>
              <w:spacing w:after="0"/>
              <w:rPr>
                <w:sz w:val="20"/>
                <w:szCs w:val="20"/>
                <w:color w:val="auto"/>
              </w:rPr>
            </w:pPr>
            <w:r>
              <w:rPr>
                <w:rFonts w:ascii="Verdana" w:cs="Verdana" w:eastAsia="Verdana" w:hAnsi="Verdana"/>
                <w:sz w:val="16"/>
                <w:szCs w:val="16"/>
                <w:color w:val="auto"/>
              </w:rPr>
              <w:t>80%</w:t>
            </w:r>
          </w:p>
        </w:tc>
        <w:tc>
          <w:tcPr>
            <w:tcW w:w="24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696158"/>
            </w:tcBorders>
          </w:tcPr>
          <w:p>
            <w:pPr>
              <w:jc w:val="right"/>
              <w:ind w:right="1"/>
              <w:spacing w:after="0"/>
              <w:rPr>
                <w:sz w:val="20"/>
                <w:szCs w:val="20"/>
                <w:color w:val="auto"/>
              </w:rPr>
            </w:pPr>
            <w:r>
              <w:rPr>
                <w:rFonts w:ascii="Verdana" w:cs="Verdana" w:eastAsia="Verdana" w:hAnsi="Verdana"/>
                <w:sz w:val="16"/>
                <w:szCs w:val="16"/>
                <w:color w:val="auto"/>
              </w:rPr>
              <w:t>464,000</w:t>
            </w:r>
          </w:p>
        </w:tc>
      </w:tr>
    </w:tbl>
    <w:p>
      <w:pPr>
        <w:spacing w:after="0" w:line="175" w:lineRule="exact"/>
        <w:rPr>
          <w:sz w:val="20"/>
          <w:szCs w:val="20"/>
          <w:color w:val="auto"/>
        </w:rPr>
      </w:pPr>
    </w:p>
    <w:p>
      <w:pPr>
        <w:spacing w:after="0"/>
        <w:rPr>
          <w:sz w:val="20"/>
          <w:szCs w:val="20"/>
          <w:color w:val="auto"/>
        </w:rPr>
      </w:pPr>
      <w:r>
        <w:rPr>
          <w:rFonts w:ascii="Verdana" w:cs="Verdana" w:eastAsia="Verdana" w:hAnsi="Verdana"/>
          <w:sz w:val="16"/>
          <w:szCs w:val="16"/>
          <w:color w:val="auto"/>
        </w:rPr>
        <w:t>AIP awards, if any, are determined based on the Company's final financial performance and the application of the Strategic Scorecard</w:t>
      </w:r>
    </w:p>
    <w:p>
      <w:pPr>
        <w:spacing w:after="0" w:line="8" w:lineRule="exact"/>
        <w:rPr>
          <w:sz w:val="20"/>
          <w:szCs w:val="20"/>
          <w:color w:val="auto"/>
        </w:rPr>
      </w:pPr>
    </w:p>
    <w:p>
      <w:pPr>
        <w:ind w:right="580"/>
        <w:spacing w:after="0" w:line="253" w:lineRule="auto"/>
        <w:rPr>
          <w:sz w:val="20"/>
          <w:szCs w:val="20"/>
          <w:color w:val="auto"/>
        </w:rPr>
      </w:pPr>
      <w:r>
        <w:rPr>
          <w:rFonts w:ascii="Verdana" w:cs="Verdana" w:eastAsia="Verdana" w:hAnsi="Verdana"/>
          <w:sz w:val="16"/>
          <w:szCs w:val="16"/>
          <w:color w:val="auto"/>
        </w:rPr>
        <w:t>modifier which can impact results by up to +/- 10%. The potential payouts range from 0 to 200 percent of target AIP opportunity, inclusive of the Strategic Scorecard modifier.</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2024 Financial Performance Measures</w:t>
      </w:r>
    </w:p>
    <w:p>
      <w:pPr>
        <w:spacing w:after="0" w:line="137"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The 2024 AIP used Adjusted Operating Income and Free Cash Flow because they are highly visible and important measures of operating performance that are relied upon by investors.</w:t>
      </w:r>
    </w:p>
    <w:p>
      <w:pPr>
        <w:spacing w:after="0" w:line="90" w:lineRule="exact"/>
        <w:rPr>
          <w:sz w:val="20"/>
          <w:szCs w:val="20"/>
          <w:color w:val="auto"/>
        </w:rPr>
      </w:pPr>
    </w:p>
    <w:p>
      <w:pPr>
        <w:ind w:left="640" w:hanging="308"/>
        <w:spacing w:after="0"/>
        <w:tabs>
          <w:tab w:leader="none" w:pos="640" w:val="left"/>
        </w:tabs>
        <w:numPr>
          <w:ilvl w:val="0"/>
          <w:numId w:val="69"/>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Adjusted Operating Income </w:t>
      </w:r>
      <w:r>
        <w:rPr>
          <w:rFonts w:ascii="Verdana" w:cs="Verdana" w:eastAsia="Verdana" w:hAnsi="Verdana"/>
          <w:sz w:val="16"/>
          <w:szCs w:val="16"/>
          <w:color w:val="auto"/>
        </w:rPr>
        <w:t>weighted at 50%, measures our profit from operations.</w:t>
      </w:r>
    </w:p>
    <w:p>
      <w:pPr>
        <w:spacing w:after="0" w:line="102" w:lineRule="exact"/>
        <w:rPr>
          <w:rFonts w:ascii="Verdana" w:cs="Verdana" w:eastAsia="Verdana" w:hAnsi="Verdana"/>
          <w:sz w:val="16"/>
          <w:szCs w:val="16"/>
          <w:color w:val="auto"/>
        </w:rPr>
      </w:pPr>
    </w:p>
    <w:p>
      <w:pPr>
        <w:ind w:left="660" w:right="460" w:hanging="328"/>
        <w:spacing w:after="0" w:line="253" w:lineRule="auto"/>
        <w:tabs>
          <w:tab w:leader="none" w:pos="654" w:val="left"/>
        </w:tabs>
        <w:numPr>
          <w:ilvl w:val="0"/>
          <w:numId w:val="69"/>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Free Cash Flow </w:t>
      </w:r>
      <w:r>
        <w:rPr>
          <w:rFonts w:ascii="Verdana" w:cs="Verdana" w:eastAsia="Verdana" w:hAnsi="Verdana"/>
          <w:sz w:val="16"/>
          <w:szCs w:val="16"/>
          <w:color w:val="auto"/>
        </w:rPr>
        <w:t>weighted at 50%, measures our ability to generate cash through earnings and the efficient use of working</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capital and fixed assets.</w:t>
      </w:r>
    </w:p>
    <w:p>
      <w:pPr>
        <w:spacing w:after="0" w:line="90"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The performance goals for each financial measure were established and approved by the P&amp;C Committee in November 2023, prior to the beginning of the performance period.</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New 2024 Strategic Scorecard Modifier (+/- 10%)</w:t>
      </w:r>
    </w:p>
    <w:p>
      <w:pPr>
        <w:spacing w:after="0" w:line="137"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For 2024, the P&amp;C Committee adopted a new Strategic Scorecard modifier that could increase or decrease the payout under the AIP based on achievement of the two financial performance measures by up to 10 percentage points,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0" w:name="page51"/>
    <w:bookmarkEnd w:id="5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subject to the overall maximum payout of 200% of an AIP participant's target bonus. The Strategic Scorecard modifier was added to drive performance and accelerate advancement in strategic areas important to our long-term success, especially in the areas of product</w:t>
      </w:r>
    </w:p>
    <w:p>
      <w:pPr>
        <w:spacing w:after="0" w:line="1" w:lineRule="exact"/>
        <w:rPr>
          <w:sz w:val="20"/>
          <w:szCs w:val="20"/>
          <w:color w:val="auto"/>
        </w:rPr>
      </w:pPr>
    </w:p>
    <w:p>
      <w:pPr>
        <w:ind w:right="500"/>
        <w:spacing w:after="0" w:line="253" w:lineRule="auto"/>
        <w:rPr>
          <w:sz w:val="20"/>
          <w:szCs w:val="20"/>
          <w:color w:val="auto"/>
        </w:rPr>
      </w:pPr>
      <w:r>
        <w:rPr>
          <w:rFonts w:ascii="Verdana" w:cs="Verdana" w:eastAsia="Verdana" w:hAnsi="Verdana"/>
          <w:sz w:val="16"/>
          <w:szCs w:val="16"/>
          <w:color w:val="auto"/>
        </w:rPr>
        <w:t>and process innovation and automation, and because it allows the P&amp;C Committee to consider progress towards or achievement of critical innovation and strategic priorities in addition to financial performance under the AIP.</w:t>
      </w:r>
    </w:p>
    <w:p>
      <w:pPr>
        <w:spacing w:after="0" w:line="90" w:lineRule="exact"/>
        <w:rPr>
          <w:sz w:val="20"/>
          <w:szCs w:val="20"/>
          <w:color w:val="auto"/>
        </w:rPr>
      </w:pPr>
    </w:p>
    <w:p>
      <w:pPr>
        <w:ind w:right="260"/>
        <w:spacing w:after="0" w:line="238" w:lineRule="auto"/>
        <w:rPr>
          <w:sz w:val="20"/>
          <w:szCs w:val="20"/>
          <w:color w:val="auto"/>
        </w:rPr>
      </w:pPr>
      <w:r>
        <w:rPr>
          <w:rFonts w:ascii="Verdana" w:cs="Verdana" w:eastAsia="Verdana" w:hAnsi="Verdana"/>
          <w:sz w:val="16"/>
          <w:szCs w:val="16"/>
          <w:color w:val="auto"/>
        </w:rPr>
        <w:t>There were seven specific and quantifiable goals under the Strategic Scorecard modifier focused on product innovation, process innovation and transformation, and operational innovation. The goals, which were not individually weighted, included winning new product innovation customer contracts, deploying automation and robotic processes, and managing and analyzing utility consumption</w:t>
      </w:r>
    </w:p>
    <w:p>
      <w:pPr>
        <w:spacing w:after="0" w:line="2"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data to drive efficiencies and decrease usage to lower costs and to support our sustainability targets. Specific levels were established for threshold performance and maximum performance. At overall threshold performance, no adjustment is made to the 2024 AIP payout.</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Performance above threshold can result in an increase to the AIP payout, and performance below threshold can result in a decrease to the AIP payout.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2024 Performance Goals</w:t>
      </w:r>
    </w:p>
    <w:p>
      <w:pPr>
        <w:spacing w:after="0" w:line="137"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We operate in a highly cyclical industry with volatility and uncertainty having increased significantly since 2020 due to a variety of factors, including the COVID-19 pandemic, semiconductor supply issues, macroeconomic and geopolitical issues and the pace of consumer adoption of electric vehicles, particularly in Europe and North America, our two largest markets. All of these factors impact the</w:t>
      </w:r>
    </w:p>
    <w:p>
      <w:pPr>
        <w:spacing w:after="0" w:line="2"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budgeting process that is the basis for the target financial goals which are set each year to have comparable degrees of difficulty based on the challenges and opportunities forecasted at the start of a given year. As a result, in many years, this yields target goals above the</w:t>
      </w:r>
    </w:p>
    <w:p>
      <w:pPr>
        <w:spacing w:after="0" w:line="1"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prior year actual results (particularly in upward automotive industry cycles), and in other years, the target goals may be below the prior year actual results, with the intent of setting appropriate performance goals each year that reflect our expectations for the year.</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2024 AIP performance goals and payout calculation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6000750" cy="16541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007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0"/>
        <w:spacing w:after="0" w:line="270" w:lineRule="auto"/>
        <w:rPr>
          <w:sz w:val="20"/>
          <w:szCs w:val="20"/>
          <w:color w:val="auto"/>
        </w:rPr>
      </w:pPr>
      <w:r>
        <w:rPr>
          <w:rFonts w:ascii="Verdana" w:cs="Verdana" w:eastAsia="Verdana" w:hAnsi="Verdana"/>
          <w:sz w:val="16"/>
          <w:szCs w:val="16"/>
          <w:color w:val="auto"/>
        </w:rPr>
        <w:t>For 2024, our performance goals were significantly increased from those set for 2023 based on our strong 2023 performance and forecasts, both internal and external, of regional vehicle production volumes and electric vehicle adoption rates.</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color w:val="auto"/>
        </w:rPr>
        <w:t>For the 2024 performance period, the target financial goals were set as follows:</w:t>
      </w:r>
    </w:p>
    <w:p>
      <w:pPr>
        <w:spacing w:after="0" w:line="116" w:lineRule="exact"/>
        <w:rPr>
          <w:sz w:val="20"/>
          <w:szCs w:val="20"/>
          <w:color w:val="auto"/>
        </w:rPr>
      </w:pPr>
    </w:p>
    <w:p>
      <w:pPr>
        <w:ind w:left="640" w:hanging="308"/>
        <w:spacing w:after="0"/>
        <w:tabs>
          <w:tab w:leader="none" w:pos="640" w:val="left"/>
        </w:tabs>
        <w:numPr>
          <w:ilvl w:val="0"/>
          <w:numId w:val="70"/>
        </w:numPr>
        <w:rPr>
          <w:rFonts w:ascii="Verdana" w:cs="Verdana" w:eastAsia="Verdana" w:hAnsi="Verdana"/>
          <w:sz w:val="16"/>
          <w:szCs w:val="16"/>
          <w:b w:val="1"/>
          <w:bCs w:val="1"/>
          <w:color w:val="1D428A"/>
        </w:rPr>
      </w:pPr>
      <w:r>
        <w:rPr>
          <w:rFonts w:ascii="Verdana" w:cs="Verdana" w:eastAsia="Verdana" w:hAnsi="Verdana"/>
          <w:sz w:val="16"/>
          <w:szCs w:val="16"/>
          <w:b w:val="1"/>
          <w:bCs w:val="1"/>
          <w:color w:val="auto"/>
        </w:rPr>
        <w:t>Adjusted Operating Income goal set at $1,215 million</w:t>
      </w:r>
    </w:p>
    <w:p>
      <w:pPr>
        <w:spacing w:after="0" w:line="102" w:lineRule="exact"/>
        <w:rPr>
          <w:rFonts w:ascii="Verdana" w:cs="Verdana" w:eastAsia="Verdana" w:hAnsi="Verdana"/>
          <w:sz w:val="16"/>
          <w:szCs w:val="16"/>
          <w:b w:val="1"/>
          <w:bCs w:val="1"/>
          <w:color w:val="1D428A"/>
        </w:rPr>
      </w:pPr>
    </w:p>
    <w:p>
      <w:pPr>
        <w:ind w:left="1300" w:right="300" w:hanging="320"/>
        <w:spacing w:after="0" w:line="266" w:lineRule="auto"/>
        <w:tabs>
          <w:tab w:leader="none" w:pos="1294" w:val="left"/>
        </w:tabs>
        <w:numPr>
          <w:ilvl w:val="1"/>
          <w:numId w:val="70"/>
        </w:numPr>
        <w:rPr>
          <w:rFonts w:ascii="Verdana" w:cs="Verdana" w:eastAsia="Verdana" w:hAnsi="Verdana"/>
          <w:sz w:val="16"/>
          <w:szCs w:val="16"/>
          <w:color w:val="1D428A"/>
        </w:rPr>
      </w:pPr>
      <w:r>
        <w:rPr>
          <w:rFonts w:ascii="Verdana" w:cs="Verdana" w:eastAsia="Verdana" w:hAnsi="Verdana"/>
          <w:sz w:val="16"/>
          <w:szCs w:val="16"/>
          <w:color w:val="auto"/>
        </w:rPr>
        <w:t>The 2024 goal was set 26% higher than the 2023 Adjusted Operating Income target of $963 million and $100 million higher than the 2023 Adjusted Operating Income result of $1,115 million</w:t>
      </w:r>
      <w:r>
        <w:rPr>
          <w:rFonts w:ascii="Verdana" w:cs="Verdana" w:eastAsia="Verdana" w:hAnsi="Verdana"/>
          <w:sz w:val="21"/>
          <w:szCs w:val="21"/>
          <w:color w:val="auto"/>
          <w:vertAlign w:val="superscript"/>
        </w:rPr>
        <w:t>(1)</w:t>
      </w:r>
    </w:p>
    <w:p>
      <w:pPr>
        <w:spacing w:after="0" w:line="1" w:lineRule="exact"/>
        <w:rPr>
          <w:rFonts w:ascii="Verdana" w:cs="Verdana" w:eastAsia="Verdana" w:hAnsi="Verdana"/>
          <w:sz w:val="16"/>
          <w:szCs w:val="16"/>
          <w:color w:val="1D428A"/>
        </w:rPr>
      </w:pPr>
    </w:p>
    <w:p>
      <w:pPr>
        <w:ind w:left="640" w:hanging="308"/>
        <w:spacing w:after="0"/>
        <w:tabs>
          <w:tab w:leader="none" w:pos="640" w:val="left"/>
        </w:tabs>
        <w:numPr>
          <w:ilvl w:val="0"/>
          <w:numId w:val="70"/>
        </w:numPr>
        <w:rPr>
          <w:rFonts w:ascii="Verdana" w:cs="Verdana" w:eastAsia="Verdana" w:hAnsi="Verdana"/>
          <w:sz w:val="16"/>
          <w:szCs w:val="16"/>
          <w:b w:val="1"/>
          <w:bCs w:val="1"/>
          <w:color w:val="1D428A"/>
        </w:rPr>
      </w:pPr>
      <w:r>
        <w:rPr>
          <w:rFonts w:ascii="Verdana" w:cs="Verdana" w:eastAsia="Verdana" w:hAnsi="Verdana"/>
          <w:sz w:val="16"/>
          <w:szCs w:val="16"/>
          <w:b w:val="1"/>
          <w:bCs w:val="1"/>
          <w:color w:val="auto"/>
        </w:rPr>
        <w:t>Free Cash Flow goal set at $630 million</w:t>
      </w:r>
    </w:p>
    <w:p>
      <w:pPr>
        <w:spacing w:after="0" w:line="102" w:lineRule="exact"/>
        <w:rPr>
          <w:rFonts w:ascii="Verdana" w:cs="Verdana" w:eastAsia="Verdana" w:hAnsi="Verdana"/>
          <w:sz w:val="16"/>
          <w:szCs w:val="16"/>
          <w:b w:val="1"/>
          <w:bCs w:val="1"/>
          <w:color w:val="1D428A"/>
        </w:rPr>
      </w:pPr>
    </w:p>
    <w:p>
      <w:pPr>
        <w:ind w:left="1300" w:right="180" w:hanging="320"/>
        <w:spacing w:after="0" w:line="269" w:lineRule="auto"/>
        <w:tabs>
          <w:tab w:leader="none" w:pos="1294" w:val="left"/>
        </w:tabs>
        <w:numPr>
          <w:ilvl w:val="1"/>
          <w:numId w:val="70"/>
        </w:numPr>
        <w:rPr>
          <w:rFonts w:ascii="Verdana" w:cs="Verdana" w:eastAsia="Verdana" w:hAnsi="Verdana"/>
          <w:sz w:val="16"/>
          <w:szCs w:val="16"/>
          <w:color w:val="1D428A"/>
        </w:rPr>
      </w:pPr>
      <w:r>
        <w:rPr>
          <w:rFonts w:ascii="Verdana" w:cs="Verdana" w:eastAsia="Verdana" w:hAnsi="Verdana"/>
          <w:sz w:val="16"/>
          <w:szCs w:val="16"/>
          <w:color w:val="auto"/>
        </w:rPr>
        <w:t>The 2024 goal was set 39% higher than the 2023 Free Cash Flow target of $453 million and near the very strong 2023 Free Cash Flow result of $638 million</w:t>
      </w:r>
      <w:r>
        <w:rPr>
          <w:rFonts w:ascii="Verdana" w:cs="Verdana" w:eastAsia="Verdana" w:hAnsi="Verdana"/>
          <w:sz w:val="21"/>
          <w:szCs w:val="21"/>
          <w:color w:val="auto"/>
          <w:vertAlign w:val="superscript"/>
        </w:rPr>
        <w:t>(1)</w:t>
      </w:r>
    </w:p>
    <w:p>
      <w:pPr>
        <w:jc w:val="both"/>
        <w:ind w:left="660" w:right="20" w:hanging="328"/>
        <w:spacing w:after="0" w:line="259" w:lineRule="auto"/>
        <w:tabs>
          <w:tab w:leader="none" w:pos="760" w:val="left"/>
        </w:tabs>
        <w:numPr>
          <w:ilvl w:val="0"/>
          <w:numId w:val="71"/>
        </w:numPr>
        <w:rPr>
          <w:rFonts w:ascii="Verdana" w:cs="Verdana" w:eastAsia="Verdana" w:hAnsi="Verdana"/>
          <w:sz w:val="14"/>
          <w:szCs w:val="14"/>
          <w:color w:val="auto"/>
        </w:rPr>
      </w:pPr>
      <w:r>
        <w:rPr>
          <w:rFonts w:ascii="Verdana" w:cs="Verdana" w:eastAsia="Verdana" w:hAnsi="Verdana"/>
          <w:sz w:val="14"/>
          <w:szCs w:val="14"/>
          <w:color w:val="auto"/>
        </w:rPr>
        <w:t>Consistent with historical practice, the P&amp;C Committee adjusted the Adjusted Operating Income results to neutralize the impact of a forecasted divestiture which did not occur in 2023. Our Adjusted Operating Income is calculated in the same manner as Core Operating Earnings, except $5 million was removed from Adjusted Operating Income to reflect the earnings from the planned divestiture.</w:t>
      </w:r>
    </w:p>
    <w:p>
      <w:pPr>
        <w:spacing w:after="0" w:line="65"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reviews the annual and long-range financial plans, recommendations from management, input from the</w:t>
      </w:r>
    </w:p>
    <w:p>
      <w:pPr>
        <w:spacing w:after="0" w:line="8"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independent compensation consultant and performance of the open incentive performance periods prior to approving the targets for the AIP performance measures.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72"/>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1" w:name="page52"/>
    <w:bookmarkEnd w:id="5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The 2024 AIP goals were set based on the Board-approved budget, with the target goals reflecting a stretch level of performance which at the time was anticipated to be challenging but achievable and the maximum goals set well above target, requiring significant</w:t>
      </w:r>
    </w:p>
    <w:p>
      <w:pPr>
        <w:spacing w:after="0" w:line="1" w:lineRule="exact"/>
        <w:rPr>
          <w:sz w:val="20"/>
          <w:szCs w:val="20"/>
          <w:color w:val="auto"/>
        </w:rPr>
      </w:pPr>
    </w:p>
    <w:p>
      <w:pPr>
        <w:ind w:right="340"/>
        <w:spacing w:after="0" w:line="308" w:lineRule="auto"/>
        <w:rPr>
          <w:sz w:val="20"/>
          <w:szCs w:val="20"/>
          <w:color w:val="auto"/>
        </w:rPr>
      </w:pPr>
      <w:r>
        <w:rPr>
          <w:rFonts w:ascii="Verdana" w:cs="Verdana" w:eastAsia="Verdana" w:hAnsi="Verdana"/>
          <w:sz w:val="16"/>
          <w:szCs w:val="16"/>
          <w:color w:val="auto"/>
        </w:rPr>
        <w:t>achievements and reflecting a level of performance at which the P&amp;C Committee believed a 200% of target award was warranted. The P&amp;C Committee approves the AIP performance measures, including the goals in the Strategic Scorecard modifier, late in the year</w:t>
      </w:r>
    </w:p>
    <w:p>
      <w:pPr>
        <w:ind w:right="180"/>
        <w:spacing w:after="0" w:line="243" w:lineRule="auto"/>
        <w:rPr>
          <w:sz w:val="20"/>
          <w:szCs w:val="20"/>
          <w:color w:val="auto"/>
        </w:rPr>
      </w:pPr>
      <w:r>
        <w:rPr>
          <w:rFonts w:ascii="Verdana" w:cs="Verdana" w:eastAsia="Verdana" w:hAnsi="Verdana"/>
          <w:sz w:val="16"/>
          <w:szCs w:val="16"/>
          <w:color w:val="auto"/>
        </w:rPr>
        <w:t>prior to the start of the performance period. Because the financial performance measures and goals are set before year end, the actual results for the current year and current performance period are not known. Therefore, the P&amp;C Committee uses projected year-end results as a comparison when setting the goals for the upcoming year.</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2024 Performance Results and Corresponding Payouts</w:t>
      </w:r>
    </w:p>
    <w:p>
      <w:pPr>
        <w:spacing w:after="0" w:line="137" w:lineRule="exact"/>
        <w:rPr>
          <w:sz w:val="20"/>
          <w:szCs w:val="20"/>
          <w:color w:val="auto"/>
        </w:rPr>
      </w:pPr>
    </w:p>
    <w:p>
      <w:pPr>
        <w:ind w:right="420"/>
        <w:spacing w:after="0" w:line="241" w:lineRule="auto"/>
        <w:rPr>
          <w:sz w:val="20"/>
          <w:szCs w:val="20"/>
          <w:color w:val="auto"/>
        </w:rPr>
      </w:pPr>
      <w:r>
        <w:rPr>
          <w:rFonts w:ascii="Verdana" w:cs="Verdana" w:eastAsia="Verdana" w:hAnsi="Verdana"/>
          <w:sz w:val="16"/>
          <w:szCs w:val="16"/>
          <w:color w:val="auto"/>
        </w:rPr>
        <w:t>AIP payouts are aligned and directly commensurate with our financial results. As shown below, the AIP, before the application of the Strategic Scorecard modifier, was earned at 80% of target, reflecting our performance against 2024 Adjusted Operating Income and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Free Cash Flow goals (including certain adjustments as described on pages </w:t>
      </w:r>
      <w:r>
        <w:rPr>
          <w:rFonts w:ascii="Verdana" w:cs="Verdana" w:eastAsia="Verdana" w:hAnsi="Verdana"/>
          <w:sz w:val="16"/>
          <w:szCs w:val="16"/>
          <w:u w:val="single" w:color="auto"/>
          <w:color w:val="0000FF"/>
        </w:rPr>
        <w:t>90</w:t>
      </w:r>
      <w:r>
        <w:rPr>
          <w:rFonts w:ascii="Verdana" w:cs="Verdana" w:eastAsia="Verdana" w:hAnsi="Verdana"/>
          <w:sz w:val="16"/>
          <w:szCs w:val="16"/>
          <w:color w:val="auto"/>
        </w:rPr>
        <w:t>-</w:t>
      </w:r>
      <w:r>
        <w:rPr>
          <w:rFonts w:ascii="Verdana" w:cs="Verdana" w:eastAsia="Verdana" w:hAnsi="Verdana"/>
          <w:sz w:val="16"/>
          <w:szCs w:val="16"/>
          <w:u w:val="single" w:color="auto"/>
          <w:color w:val="0000FF"/>
        </w:rPr>
        <w:t>91</w:t>
      </w:r>
      <w:r>
        <w:rPr>
          <w:rFonts w:ascii="Verdana" w:cs="Verdana" w:eastAsia="Verdana" w:hAnsi="Verdana"/>
          <w:sz w:val="16"/>
          <w:szCs w:val="16"/>
          <w:color w:val="auto"/>
        </w:rPr>
        <w:t>).</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2024 financial results for AIP purposes:</w:t>
      </w:r>
    </w:p>
    <w:p>
      <w:pPr>
        <w:spacing w:after="0" w:line="106" w:lineRule="exact"/>
        <w:rPr>
          <w:sz w:val="20"/>
          <w:szCs w:val="20"/>
          <w:color w:val="auto"/>
        </w:rPr>
      </w:pPr>
    </w:p>
    <w:p>
      <w:pPr>
        <w:ind w:left="640" w:hanging="308"/>
        <w:spacing w:after="0"/>
        <w:tabs>
          <w:tab w:leader="none" w:pos="640" w:val="left"/>
        </w:tabs>
        <w:numPr>
          <w:ilvl w:val="0"/>
          <w:numId w:val="73"/>
        </w:numPr>
        <w:rPr>
          <w:rFonts w:ascii="Verdana" w:cs="Verdana" w:eastAsia="Verdana" w:hAnsi="Verdana"/>
          <w:sz w:val="16"/>
          <w:szCs w:val="16"/>
          <w:color w:val="auto"/>
        </w:rPr>
      </w:pPr>
      <w:r>
        <w:rPr>
          <w:rFonts w:ascii="Verdana" w:cs="Verdana" w:eastAsia="Verdana" w:hAnsi="Verdana"/>
          <w:sz w:val="16"/>
          <w:szCs w:val="16"/>
          <w:color w:val="auto"/>
        </w:rPr>
        <w:t>Adjusted Operating Income of $1,101 million</w:t>
      </w:r>
      <w:r>
        <w:rPr>
          <w:rFonts w:ascii="Verdana" w:cs="Verdana" w:eastAsia="Verdana" w:hAnsi="Verdana"/>
          <w:sz w:val="21"/>
          <w:szCs w:val="21"/>
          <w:color w:val="auto"/>
          <w:vertAlign w:val="superscript"/>
        </w:rPr>
        <w:t>(1)</w:t>
      </w:r>
      <w:r>
        <w:rPr>
          <w:rFonts w:ascii="Verdana" w:cs="Verdana" w:eastAsia="Verdana" w:hAnsi="Verdana"/>
          <w:sz w:val="16"/>
          <w:szCs w:val="16"/>
          <w:color w:val="auto"/>
        </w:rPr>
        <w:t xml:space="preserve"> was below the target goal of $1,215 million</w:t>
      </w:r>
    </w:p>
    <w:p>
      <w:pPr>
        <w:spacing w:after="0" w:line="52" w:lineRule="exact"/>
        <w:rPr>
          <w:rFonts w:ascii="Verdana" w:cs="Verdana" w:eastAsia="Verdana" w:hAnsi="Verdana"/>
          <w:sz w:val="16"/>
          <w:szCs w:val="16"/>
          <w:color w:val="auto"/>
        </w:rPr>
      </w:pPr>
    </w:p>
    <w:p>
      <w:pPr>
        <w:ind w:left="640" w:hanging="308"/>
        <w:spacing w:after="0"/>
        <w:tabs>
          <w:tab w:leader="none" w:pos="640" w:val="left"/>
        </w:tabs>
        <w:numPr>
          <w:ilvl w:val="0"/>
          <w:numId w:val="73"/>
        </w:numPr>
        <w:rPr>
          <w:rFonts w:ascii="Verdana" w:cs="Verdana" w:eastAsia="Verdana" w:hAnsi="Verdana"/>
          <w:sz w:val="16"/>
          <w:szCs w:val="16"/>
          <w:color w:val="auto"/>
        </w:rPr>
      </w:pPr>
      <w:r>
        <w:rPr>
          <w:rFonts w:ascii="Verdana" w:cs="Verdana" w:eastAsia="Verdana" w:hAnsi="Verdana"/>
          <w:sz w:val="16"/>
          <w:szCs w:val="16"/>
          <w:color w:val="auto"/>
        </w:rPr>
        <w:t>Free Cash Flow of $561 million was below the target goal of $630 million</w:t>
      </w:r>
    </w:p>
    <w:p>
      <w:pPr>
        <w:spacing w:after="0" w:line="102" w:lineRule="exact"/>
        <w:rPr>
          <w:rFonts w:ascii="Verdana" w:cs="Verdana" w:eastAsia="Verdana" w:hAnsi="Verdana"/>
          <w:sz w:val="16"/>
          <w:szCs w:val="16"/>
          <w:color w:val="auto"/>
        </w:rPr>
      </w:pPr>
    </w:p>
    <w:p>
      <w:pPr>
        <w:ind w:left="660" w:right="140" w:hanging="328"/>
        <w:spacing w:after="0" w:line="270" w:lineRule="auto"/>
        <w:tabs>
          <w:tab w:leader="none" w:pos="654" w:val="left"/>
        </w:tabs>
        <w:numPr>
          <w:ilvl w:val="0"/>
          <w:numId w:val="73"/>
        </w:numPr>
        <w:rPr>
          <w:rFonts w:ascii="Verdana" w:cs="Verdana" w:eastAsia="Verdana" w:hAnsi="Verdana"/>
          <w:sz w:val="16"/>
          <w:szCs w:val="16"/>
          <w:color w:val="auto"/>
        </w:rPr>
      </w:pPr>
      <w:r>
        <w:rPr>
          <w:rFonts w:ascii="Verdana" w:cs="Verdana" w:eastAsia="Verdana" w:hAnsi="Verdana"/>
          <w:sz w:val="16"/>
          <w:szCs w:val="16"/>
          <w:color w:val="auto"/>
        </w:rPr>
        <w:t>The P&amp;C Committee determined that the Strategic Scorecard modifier should increase the 2024 AIP payout by 9% from 80% to 89% due to strong performance on six of the seven strategic goals.</w:t>
      </w:r>
    </w:p>
    <w:p>
      <w:pPr>
        <w:spacing w:after="0" w:line="67" w:lineRule="exact"/>
        <w:rPr>
          <w:sz w:val="20"/>
          <w:szCs w:val="20"/>
          <w:color w:val="auto"/>
        </w:rPr>
      </w:pPr>
    </w:p>
    <w:p>
      <w:pPr>
        <w:ind w:left="660" w:right="460" w:hanging="328"/>
        <w:spacing w:after="0" w:line="259" w:lineRule="auto"/>
        <w:tabs>
          <w:tab w:leader="none" w:pos="760" w:val="left"/>
        </w:tabs>
        <w:numPr>
          <w:ilvl w:val="0"/>
          <w:numId w:val="74"/>
        </w:numPr>
        <w:rPr>
          <w:rFonts w:ascii="Verdana" w:cs="Verdana" w:eastAsia="Verdana" w:hAnsi="Verdana"/>
          <w:sz w:val="14"/>
          <w:szCs w:val="14"/>
          <w:color w:val="auto"/>
        </w:rPr>
      </w:pPr>
      <w:r>
        <w:rPr>
          <w:rFonts w:ascii="Verdana" w:cs="Verdana" w:eastAsia="Verdana" w:hAnsi="Verdana"/>
          <w:sz w:val="14"/>
          <w:szCs w:val="14"/>
          <w:color w:val="auto"/>
        </w:rPr>
        <w:t>Consistent with historical practice, the P&amp;C Committee adjusted the Adjusted Operating Income results to eliminate the impact of a 2024 unplanned divestiture. Our Adjusted Operating Income is calculated in the same manner as Core Operating Earnings, except $5 million was added to Adjusted Operating Income to reflect the forecasted lost earnings associated with the unplanned divestiture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76200</wp:posOffset>
            </wp:positionV>
            <wp:extent cx="672909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29095" cy="171450"/>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Verdana" w:cs="Verdana" w:eastAsia="Verdana" w:hAnsi="Verdana"/>
          <w:sz w:val="16"/>
          <w:szCs w:val="16"/>
          <w:b w:val="1"/>
          <w:bCs w:val="1"/>
          <w:color w:val="F0EFEE"/>
        </w:rPr>
        <w:t>2024 Annual Incentive Plan Goals &amp; Results</w:t>
      </w:r>
    </w:p>
    <w:p>
      <w:pPr>
        <w:spacing w:after="0" w:line="5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vMerge w:val="restart"/>
          </w:tcPr>
          <w:p>
            <w:pPr>
              <w:jc w:val="right"/>
              <w:ind w:right="248"/>
              <w:spacing w:after="0"/>
              <w:rPr>
                <w:sz w:val="20"/>
                <w:szCs w:val="20"/>
                <w:color w:val="auto"/>
              </w:rPr>
            </w:pPr>
            <w:r>
              <w:rPr>
                <w:rFonts w:ascii="Verdana" w:cs="Verdana" w:eastAsia="Verdana" w:hAnsi="Verdana"/>
                <w:sz w:val="14"/>
                <w:szCs w:val="14"/>
                <w:b w:val="1"/>
                <w:bCs w:val="1"/>
                <w:color w:val="307FE2"/>
              </w:rPr>
              <w:t>Performance</w:t>
            </w:r>
          </w:p>
        </w:tc>
        <w:tc>
          <w:tcPr>
            <w:tcW w:w="1520" w:type="dxa"/>
            <w:vAlign w:val="bottom"/>
          </w:tcPr>
          <w:p>
            <w:pPr>
              <w:jc w:val="center"/>
              <w:ind w:right="48"/>
              <w:spacing w:after="0"/>
              <w:rPr>
                <w:sz w:val="20"/>
                <w:szCs w:val="20"/>
                <w:color w:val="auto"/>
              </w:rPr>
            </w:pPr>
            <w:r>
              <w:rPr>
                <w:rFonts w:ascii="Verdana" w:cs="Verdana" w:eastAsia="Verdana" w:hAnsi="Verdana"/>
                <w:sz w:val="14"/>
                <w:szCs w:val="14"/>
                <w:b w:val="1"/>
                <w:bCs w:val="1"/>
                <w:color w:val="307FE2"/>
              </w:rPr>
              <w:t>Performance</w:t>
            </w: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100" w:type="dxa"/>
            <w:vAlign w:val="bottom"/>
            <w:vMerge w:val="restart"/>
          </w:tcPr>
          <w:p>
            <w:pPr>
              <w:jc w:val="center"/>
              <w:ind w:left="48"/>
              <w:spacing w:after="0"/>
              <w:rPr>
                <w:sz w:val="20"/>
                <w:szCs w:val="20"/>
                <w:color w:val="auto"/>
              </w:rPr>
            </w:pPr>
            <w:r>
              <w:rPr>
                <w:rFonts w:ascii="Verdana" w:cs="Verdana" w:eastAsia="Verdana" w:hAnsi="Verdana"/>
                <w:sz w:val="14"/>
                <w:szCs w:val="14"/>
                <w:b w:val="1"/>
                <w:bCs w:val="1"/>
                <w:color w:val="307FE2"/>
              </w:rPr>
              <w:t>Weight</w:t>
            </w:r>
          </w:p>
        </w:tc>
        <w:tc>
          <w:tcPr>
            <w:tcW w:w="1220" w:type="dxa"/>
            <w:vAlign w:val="bottom"/>
            <w:vMerge w:val="restart"/>
          </w:tcPr>
          <w:p>
            <w:pPr>
              <w:jc w:val="center"/>
              <w:spacing w:after="0"/>
              <w:rPr>
                <w:sz w:val="20"/>
                <w:szCs w:val="20"/>
                <w:color w:val="auto"/>
              </w:rPr>
            </w:pPr>
            <w:r>
              <w:rPr>
                <w:rFonts w:ascii="Verdana" w:cs="Verdana" w:eastAsia="Verdana" w:hAnsi="Verdana"/>
                <w:sz w:val="14"/>
                <w:szCs w:val="14"/>
                <w:b w:val="1"/>
                <w:bCs w:val="1"/>
                <w:color w:val="307FE2"/>
              </w:rPr>
              <w:t>Threshold</w:t>
            </w:r>
          </w:p>
        </w:tc>
        <w:tc>
          <w:tcPr>
            <w:tcW w:w="1180" w:type="dxa"/>
            <w:vAlign w:val="bottom"/>
            <w:vMerge w:val="restart"/>
          </w:tcPr>
          <w:p>
            <w:pPr>
              <w:ind w:left="340"/>
              <w:spacing w:after="0"/>
              <w:rPr>
                <w:sz w:val="20"/>
                <w:szCs w:val="20"/>
                <w:color w:val="auto"/>
              </w:rPr>
            </w:pPr>
            <w:r>
              <w:rPr>
                <w:rFonts w:ascii="Verdana" w:cs="Verdana" w:eastAsia="Verdana" w:hAnsi="Verdana"/>
                <w:sz w:val="14"/>
                <w:szCs w:val="14"/>
                <w:b w:val="1"/>
                <w:bCs w:val="1"/>
                <w:color w:val="307FE2"/>
              </w:rPr>
              <w:t>Target</w:t>
            </w:r>
          </w:p>
        </w:tc>
        <w:tc>
          <w:tcPr>
            <w:tcW w:w="1080" w:type="dxa"/>
            <w:vAlign w:val="bottom"/>
            <w:vMerge w:val="restart"/>
          </w:tcPr>
          <w:p>
            <w:pPr>
              <w:ind w:left="260"/>
              <w:spacing w:after="0"/>
              <w:rPr>
                <w:sz w:val="20"/>
                <w:szCs w:val="20"/>
                <w:color w:val="auto"/>
              </w:rPr>
            </w:pPr>
            <w:r>
              <w:rPr>
                <w:rFonts w:ascii="Verdana" w:cs="Verdana" w:eastAsia="Verdana" w:hAnsi="Verdana"/>
                <w:sz w:val="14"/>
                <w:szCs w:val="14"/>
                <w:b w:val="1"/>
                <w:bCs w:val="1"/>
                <w:color w:val="307FE2"/>
              </w:rPr>
              <w:t>Maximum</w:t>
            </w:r>
          </w:p>
        </w:tc>
        <w:tc>
          <w:tcPr>
            <w:tcW w:w="1760" w:type="dxa"/>
            <w:vAlign w:val="bottom"/>
            <w:vMerge w:val="continue"/>
          </w:tcPr>
          <w:p>
            <w:pPr>
              <w:spacing w:after="0"/>
              <w:rPr>
                <w:sz w:val="7"/>
                <w:szCs w:val="7"/>
                <w:color w:val="auto"/>
              </w:rPr>
            </w:pPr>
          </w:p>
        </w:tc>
        <w:tc>
          <w:tcPr>
            <w:tcW w:w="1520" w:type="dxa"/>
            <w:vAlign w:val="bottom"/>
            <w:vMerge w:val="restart"/>
          </w:tcPr>
          <w:p>
            <w:pPr>
              <w:jc w:val="center"/>
              <w:ind w:right="28"/>
              <w:spacing w:after="0"/>
              <w:rPr>
                <w:sz w:val="20"/>
                <w:szCs w:val="20"/>
                <w:color w:val="auto"/>
              </w:rPr>
            </w:pPr>
            <w:r>
              <w:rPr>
                <w:rFonts w:ascii="Verdana" w:cs="Verdana" w:eastAsia="Verdana" w:hAnsi="Verdana"/>
                <w:sz w:val="14"/>
                <w:szCs w:val="14"/>
                <w:b w:val="1"/>
                <w:bCs w:val="1"/>
                <w:color w:val="307FE2"/>
              </w:rPr>
              <w:t>Result as % of</w:t>
            </w: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760" w:type="dxa"/>
            <w:vAlign w:val="bottom"/>
            <w:vMerge w:val="restart"/>
          </w:tcPr>
          <w:p>
            <w:pPr>
              <w:jc w:val="right"/>
              <w:ind w:right="528"/>
              <w:spacing w:after="0"/>
              <w:rPr>
                <w:sz w:val="20"/>
                <w:szCs w:val="20"/>
                <w:color w:val="auto"/>
              </w:rPr>
            </w:pPr>
            <w:r>
              <w:rPr>
                <w:rFonts w:ascii="Verdana" w:cs="Verdana" w:eastAsia="Verdana" w:hAnsi="Verdana"/>
                <w:sz w:val="14"/>
                <w:szCs w:val="14"/>
                <w:b w:val="1"/>
                <w:bCs w:val="1"/>
                <w:color w:val="307FE2"/>
              </w:rPr>
              <w:t>Result</w:t>
            </w: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520" w:type="dxa"/>
            <w:vAlign w:val="bottom"/>
            <w:vMerge w:val="restart"/>
          </w:tcPr>
          <w:p>
            <w:pPr>
              <w:jc w:val="center"/>
              <w:ind w:right="48"/>
              <w:spacing w:after="0"/>
              <w:rPr>
                <w:sz w:val="20"/>
                <w:szCs w:val="20"/>
                <w:color w:val="auto"/>
              </w:rPr>
            </w:pPr>
            <w:r>
              <w:rPr>
                <w:rFonts w:ascii="Verdana" w:cs="Verdana" w:eastAsia="Verdana" w:hAnsi="Verdana"/>
                <w:sz w:val="14"/>
                <w:szCs w:val="14"/>
                <w:b w:val="1"/>
                <w:bCs w:val="1"/>
                <w:color w:val="307FE2"/>
              </w:rPr>
              <w:t>Target</w:t>
            </w: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720" w:type="dxa"/>
            <w:vAlign w:val="bottom"/>
            <w:tcBorders>
              <w:bottom w:val="single" w:sz="8" w:color="1D428A"/>
            </w:tcBorders>
          </w:tcPr>
          <w:p>
            <w:pPr>
              <w:spacing w:after="0"/>
              <w:rPr>
                <w:sz w:val="2"/>
                <w:szCs w:val="2"/>
                <w:color w:val="auto"/>
              </w:rPr>
            </w:pPr>
          </w:p>
        </w:tc>
        <w:tc>
          <w:tcPr>
            <w:tcW w:w="1100" w:type="dxa"/>
            <w:vAlign w:val="bottom"/>
            <w:tcBorders>
              <w:bottom w:val="single" w:sz="8" w:color="1D428A"/>
            </w:tcBorders>
          </w:tcPr>
          <w:p>
            <w:pPr>
              <w:spacing w:after="0"/>
              <w:rPr>
                <w:sz w:val="2"/>
                <w:szCs w:val="2"/>
                <w:color w:val="auto"/>
              </w:rPr>
            </w:pPr>
          </w:p>
        </w:tc>
        <w:tc>
          <w:tcPr>
            <w:tcW w:w="1220" w:type="dxa"/>
            <w:vAlign w:val="bottom"/>
            <w:tcBorders>
              <w:bottom w:val="single" w:sz="8" w:color="1D428A"/>
            </w:tcBorders>
          </w:tcPr>
          <w:p>
            <w:pPr>
              <w:spacing w:after="0"/>
              <w:rPr>
                <w:sz w:val="2"/>
                <w:szCs w:val="2"/>
                <w:color w:val="auto"/>
              </w:rPr>
            </w:pPr>
          </w:p>
        </w:tc>
        <w:tc>
          <w:tcPr>
            <w:tcW w:w="1180" w:type="dxa"/>
            <w:vAlign w:val="bottom"/>
            <w:tcBorders>
              <w:bottom w:val="single" w:sz="8" w:color="1D428A"/>
            </w:tcBorders>
          </w:tcPr>
          <w:p>
            <w:pPr>
              <w:spacing w:after="0"/>
              <w:rPr>
                <w:sz w:val="2"/>
                <w:szCs w:val="2"/>
                <w:color w:val="auto"/>
              </w:rPr>
            </w:pPr>
          </w:p>
        </w:tc>
        <w:tc>
          <w:tcPr>
            <w:tcW w:w="1080" w:type="dxa"/>
            <w:vAlign w:val="bottom"/>
            <w:tcBorders>
              <w:bottom w:val="single" w:sz="8" w:color="1D428A"/>
            </w:tcBorders>
          </w:tcPr>
          <w:p>
            <w:pPr>
              <w:spacing w:after="0"/>
              <w:rPr>
                <w:sz w:val="2"/>
                <w:szCs w:val="2"/>
                <w:color w:val="auto"/>
              </w:rPr>
            </w:pPr>
          </w:p>
        </w:tc>
        <w:tc>
          <w:tcPr>
            <w:tcW w:w="1760" w:type="dxa"/>
            <w:vAlign w:val="bottom"/>
            <w:tcBorders>
              <w:bottom w:val="single" w:sz="8" w:color="1D428A"/>
            </w:tcBorders>
          </w:tcPr>
          <w:p>
            <w:pPr>
              <w:spacing w:after="0"/>
              <w:rPr>
                <w:sz w:val="2"/>
                <w:szCs w:val="2"/>
                <w:color w:val="auto"/>
              </w:rPr>
            </w:pPr>
          </w:p>
        </w:tc>
        <w:tc>
          <w:tcPr>
            <w:tcW w:w="152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20" w:type="dxa"/>
            <w:vAlign w:val="bottom"/>
          </w:tcPr>
          <w:p>
            <w:pPr>
              <w:jc w:val="center"/>
              <w:ind w:left="28"/>
              <w:spacing w:after="0"/>
              <w:rPr>
                <w:sz w:val="20"/>
                <w:szCs w:val="20"/>
                <w:color w:val="auto"/>
              </w:rPr>
            </w:pPr>
            <w:r>
              <w:rPr>
                <w:rFonts w:ascii="Verdana" w:cs="Verdana" w:eastAsia="Verdana" w:hAnsi="Verdana"/>
                <w:sz w:val="14"/>
                <w:szCs w:val="14"/>
                <w:color w:val="auto"/>
              </w:rPr>
              <w:t>Adjusted Operating Income</w:t>
            </w:r>
          </w:p>
        </w:tc>
        <w:tc>
          <w:tcPr>
            <w:tcW w:w="1100" w:type="dxa"/>
            <w:vAlign w:val="bottom"/>
          </w:tcPr>
          <w:p>
            <w:pPr>
              <w:jc w:val="center"/>
              <w:ind w:left="48"/>
              <w:spacing w:after="0"/>
              <w:rPr>
                <w:sz w:val="20"/>
                <w:szCs w:val="20"/>
                <w:color w:val="auto"/>
              </w:rPr>
            </w:pPr>
            <w:r>
              <w:rPr>
                <w:rFonts w:ascii="Verdana" w:cs="Verdana" w:eastAsia="Verdana" w:hAnsi="Verdana"/>
                <w:sz w:val="14"/>
                <w:szCs w:val="14"/>
                <w:color w:val="auto"/>
              </w:rPr>
              <w:t>50%</w:t>
            </w:r>
          </w:p>
        </w:tc>
        <w:tc>
          <w:tcPr>
            <w:tcW w:w="1220" w:type="dxa"/>
            <w:vAlign w:val="bottom"/>
          </w:tcPr>
          <w:p>
            <w:pPr>
              <w:jc w:val="center"/>
              <w:spacing w:after="0"/>
              <w:rPr>
                <w:sz w:val="20"/>
                <w:szCs w:val="20"/>
                <w:color w:val="auto"/>
              </w:rPr>
            </w:pPr>
            <w:r>
              <w:rPr>
                <w:rFonts w:ascii="Verdana" w:cs="Verdana" w:eastAsia="Verdana" w:hAnsi="Verdana"/>
                <w:sz w:val="14"/>
                <w:szCs w:val="14"/>
                <w:color w:val="auto"/>
              </w:rPr>
              <w:t>$911M</w:t>
            </w:r>
          </w:p>
        </w:tc>
        <w:tc>
          <w:tcPr>
            <w:tcW w:w="1180" w:type="dxa"/>
            <w:vAlign w:val="bottom"/>
          </w:tcPr>
          <w:p>
            <w:pPr>
              <w:jc w:val="center"/>
              <w:spacing w:after="0"/>
              <w:rPr>
                <w:sz w:val="20"/>
                <w:szCs w:val="20"/>
                <w:color w:val="auto"/>
              </w:rPr>
            </w:pPr>
            <w:r>
              <w:rPr>
                <w:rFonts w:ascii="Verdana" w:cs="Verdana" w:eastAsia="Verdana" w:hAnsi="Verdana"/>
                <w:sz w:val="14"/>
                <w:szCs w:val="14"/>
                <w:color w:val="auto"/>
              </w:rPr>
              <w:t>$1,215M</w:t>
            </w:r>
          </w:p>
        </w:tc>
        <w:tc>
          <w:tcPr>
            <w:tcW w:w="1080" w:type="dxa"/>
            <w:vAlign w:val="bottom"/>
          </w:tcPr>
          <w:p>
            <w:pPr>
              <w:jc w:val="center"/>
              <w:ind w:left="128"/>
              <w:spacing w:after="0"/>
              <w:rPr>
                <w:sz w:val="20"/>
                <w:szCs w:val="20"/>
                <w:color w:val="auto"/>
              </w:rPr>
            </w:pPr>
            <w:r>
              <w:rPr>
                <w:rFonts w:ascii="Verdana" w:cs="Verdana" w:eastAsia="Verdana" w:hAnsi="Verdana"/>
                <w:sz w:val="14"/>
                <w:szCs w:val="14"/>
                <w:color w:val="auto"/>
              </w:rPr>
              <w:t>$1,458M</w:t>
            </w:r>
          </w:p>
        </w:tc>
        <w:tc>
          <w:tcPr>
            <w:tcW w:w="1760" w:type="dxa"/>
            <w:vAlign w:val="bottom"/>
          </w:tcPr>
          <w:p>
            <w:pPr>
              <w:jc w:val="center"/>
              <w:spacing w:after="0"/>
              <w:rPr>
                <w:sz w:val="20"/>
                <w:szCs w:val="20"/>
                <w:color w:val="auto"/>
              </w:rPr>
            </w:pPr>
            <w:r>
              <w:rPr>
                <w:rFonts w:ascii="Verdana" w:cs="Verdana" w:eastAsia="Verdana" w:hAnsi="Verdana"/>
                <w:sz w:val="14"/>
                <w:szCs w:val="14"/>
                <w:color w:val="auto"/>
              </w:rPr>
              <w:t>$1,101M</w:t>
            </w:r>
          </w:p>
        </w:tc>
        <w:tc>
          <w:tcPr>
            <w:tcW w:w="1520" w:type="dxa"/>
            <w:vAlign w:val="bottom"/>
          </w:tcPr>
          <w:p>
            <w:pPr>
              <w:jc w:val="center"/>
              <w:ind w:right="28"/>
              <w:spacing w:after="0"/>
              <w:rPr>
                <w:sz w:val="20"/>
                <w:szCs w:val="20"/>
                <w:color w:val="auto"/>
              </w:rPr>
            </w:pPr>
            <w:r>
              <w:rPr>
                <w:rFonts w:ascii="Verdana" w:cs="Verdana" w:eastAsia="Verdana" w:hAnsi="Verdana"/>
                <w:sz w:val="14"/>
                <w:szCs w:val="14"/>
                <w:color w:val="auto"/>
              </w:rPr>
              <w:t>82%</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720" w:type="dxa"/>
            <w:vAlign w:val="bottom"/>
            <w:tcBorders>
              <w:bottom w:val="single" w:sz="8" w:color="D6E5F9"/>
            </w:tcBorders>
            <w:shd w:val="clear" w:color="auto" w:fill="D6E5F9"/>
          </w:tcPr>
          <w:p>
            <w:pPr>
              <w:jc w:val="center"/>
              <w:ind w:left="28"/>
              <w:spacing w:after="0"/>
              <w:rPr>
                <w:sz w:val="20"/>
                <w:szCs w:val="20"/>
                <w:color w:val="auto"/>
              </w:rPr>
            </w:pPr>
            <w:r>
              <w:rPr>
                <w:rFonts w:ascii="Verdana" w:cs="Verdana" w:eastAsia="Verdana" w:hAnsi="Verdana"/>
                <w:sz w:val="14"/>
                <w:szCs w:val="14"/>
                <w:color w:val="auto"/>
              </w:rPr>
              <w:t>Free Cash Flow</w:t>
            </w:r>
          </w:p>
        </w:tc>
        <w:tc>
          <w:tcPr>
            <w:tcW w:w="1100" w:type="dxa"/>
            <w:vAlign w:val="bottom"/>
            <w:tcBorders>
              <w:bottom w:val="single" w:sz="8" w:color="D6E5F9"/>
            </w:tcBorders>
            <w:shd w:val="clear" w:color="auto" w:fill="D6E5F9"/>
          </w:tcPr>
          <w:p>
            <w:pPr>
              <w:jc w:val="center"/>
              <w:ind w:left="48"/>
              <w:spacing w:after="0"/>
              <w:rPr>
                <w:sz w:val="20"/>
                <w:szCs w:val="20"/>
                <w:color w:val="auto"/>
              </w:rPr>
            </w:pPr>
            <w:r>
              <w:rPr>
                <w:rFonts w:ascii="Verdana" w:cs="Verdana" w:eastAsia="Verdana" w:hAnsi="Verdana"/>
                <w:sz w:val="14"/>
                <w:szCs w:val="14"/>
                <w:color w:val="auto"/>
              </w:rPr>
              <w:t>50%</w:t>
            </w:r>
          </w:p>
        </w:tc>
        <w:tc>
          <w:tcPr>
            <w:tcW w:w="1220" w:type="dxa"/>
            <w:vAlign w:val="bottom"/>
            <w:tcBorders>
              <w:bottom w:val="single" w:sz="8" w:color="D6E5F9"/>
            </w:tcBorders>
            <w:shd w:val="clear" w:color="auto" w:fill="D6E5F9"/>
          </w:tcPr>
          <w:p>
            <w:pPr>
              <w:jc w:val="center"/>
              <w:spacing w:after="0"/>
              <w:rPr>
                <w:sz w:val="20"/>
                <w:szCs w:val="20"/>
                <w:color w:val="auto"/>
              </w:rPr>
            </w:pPr>
            <w:r>
              <w:rPr>
                <w:rFonts w:ascii="Verdana" w:cs="Verdana" w:eastAsia="Verdana" w:hAnsi="Verdana"/>
                <w:sz w:val="14"/>
                <w:szCs w:val="14"/>
                <w:color w:val="auto"/>
              </w:rPr>
              <w:t>$473M</w:t>
            </w:r>
          </w:p>
        </w:tc>
        <w:tc>
          <w:tcPr>
            <w:tcW w:w="1180" w:type="dxa"/>
            <w:vAlign w:val="bottom"/>
            <w:tcBorders>
              <w:bottom w:val="single" w:sz="8" w:color="D6E5F9"/>
            </w:tcBorders>
            <w:shd w:val="clear" w:color="auto" w:fill="D6E5F9"/>
          </w:tcPr>
          <w:p>
            <w:pPr>
              <w:jc w:val="center"/>
              <w:spacing w:after="0"/>
              <w:rPr>
                <w:sz w:val="20"/>
                <w:szCs w:val="20"/>
                <w:color w:val="auto"/>
              </w:rPr>
            </w:pPr>
            <w:r>
              <w:rPr>
                <w:rFonts w:ascii="Verdana" w:cs="Verdana" w:eastAsia="Verdana" w:hAnsi="Verdana"/>
                <w:sz w:val="14"/>
                <w:szCs w:val="14"/>
                <w:color w:val="auto"/>
              </w:rPr>
              <w:t>$630M</w:t>
            </w:r>
          </w:p>
        </w:tc>
        <w:tc>
          <w:tcPr>
            <w:tcW w:w="1080" w:type="dxa"/>
            <w:vAlign w:val="bottom"/>
            <w:tcBorders>
              <w:bottom w:val="single" w:sz="8" w:color="D6E5F9"/>
            </w:tcBorders>
            <w:shd w:val="clear" w:color="auto" w:fill="D6E5F9"/>
          </w:tcPr>
          <w:p>
            <w:pPr>
              <w:jc w:val="center"/>
              <w:ind w:left="128"/>
              <w:spacing w:after="0"/>
              <w:rPr>
                <w:sz w:val="20"/>
                <w:szCs w:val="20"/>
                <w:color w:val="auto"/>
              </w:rPr>
            </w:pPr>
            <w:r>
              <w:rPr>
                <w:rFonts w:ascii="Verdana" w:cs="Verdana" w:eastAsia="Verdana" w:hAnsi="Verdana"/>
                <w:sz w:val="14"/>
                <w:szCs w:val="14"/>
                <w:color w:val="auto"/>
              </w:rPr>
              <w:t>$788M</w:t>
            </w:r>
          </w:p>
        </w:tc>
        <w:tc>
          <w:tcPr>
            <w:tcW w:w="1760" w:type="dxa"/>
            <w:vAlign w:val="bottom"/>
            <w:tcBorders>
              <w:bottom w:val="single" w:sz="8" w:color="D6E5F9"/>
            </w:tcBorders>
            <w:shd w:val="clear" w:color="auto" w:fill="D6E5F9"/>
          </w:tcPr>
          <w:p>
            <w:pPr>
              <w:jc w:val="center"/>
              <w:spacing w:after="0"/>
              <w:rPr>
                <w:sz w:val="20"/>
                <w:szCs w:val="20"/>
                <w:color w:val="auto"/>
              </w:rPr>
            </w:pPr>
            <w:r>
              <w:rPr>
                <w:rFonts w:ascii="Verdana" w:cs="Verdana" w:eastAsia="Verdana" w:hAnsi="Verdana"/>
                <w:sz w:val="14"/>
                <w:szCs w:val="14"/>
                <w:color w:val="auto"/>
              </w:rPr>
              <w:t>$561M</w:t>
            </w:r>
          </w:p>
        </w:tc>
        <w:tc>
          <w:tcPr>
            <w:tcW w:w="1520" w:type="dxa"/>
            <w:vAlign w:val="bottom"/>
            <w:tcBorders>
              <w:bottom w:val="single" w:sz="8" w:color="D6E5F9"/>
            </w:tcBorders>
            <w:shd w:val="clear" w:color="auto" w:fill="D6E5F9"/>
          </w:tcPr>
          <w:p>
            <w:pPr>
              <w:jc w:val="center"/>
              <w:ind w:right="28"/>
              <w:spacing w:after="0"/>
              <w:rPr>
                <w:sz w:val="20"/>
                <w:szCs w:val="20"/>
                <w:color w:val="auto"/>
              </w:rPr>
            </w:pPr>
            <w:r>
              <w:rPr>
                <w:rFonts w:ascii="Verdana" w:cs="Verdana" w:eastAsia="Verdana" w:hAnsi="Verdana"/>
                <w:sz w:val="14"/>
                <w:szCs w:val="14"/>
                <w:color w:val="auto"/>
              </w:rPr>
              <w:t>78%</w:t>
            </w:r>
          </w:p>
        </w:tc>
        <w:tc>
          <w:tcPr>
            <w:tcW w:w="0" w:type="dxa"/>
            <w:vAlign w:val="bottom"/>
          </w:tcPr>
          <w:p>
            <w:pPr>
              <w:spacing w:after="0"/>
              <w:rPr>
                <w:sz w:val="1"/>
                <w:szCs w:val="1"/>
                <w:color w:val="auto"/>
              </w:rPr>
            </w:pPr>
          </w:p>
        </w:tc>
      </w:tr>
      <w:tr>
        <w:trPr>
          <w:trHeight w:val="198"/>
        </w:trPr>
        <w:tc>
          <w:tcPr>
            <w:tcW w:w="2720" w:type="dxa"/>
            <w:vAlign w:val="bottom"/>
            <w:tcBorders>
              <w:top w:val="single" w:sz="8" w:color="B3B0AC"/>
            </w:tcBorders>
          </w:tcPr>
          <w:p>
            <w:pPr>
              <w:spacing w:after="0"/>
              <w:rPr>
                <w:sz w:val="17"/>
                <w:szCs w:val="17"/>
                <w:color w:val="auto"/>
              </w:rPr>
            </w:pPr>
          </w:p>
        </w:tc>
        <w:tc>
          <w:tcPr>
            <w:tcW w:w="1100" w:type="dxa"/>
            <w:vAlign w:val="bottom"/>
            <w:tcBorders>
              <w:top w:val="single" w:sz="8" w:color="B3B0AC"/>
            </w:tcBorders>
          </w:tcPr>
          <w:p>
            <w:pPr>
              <w:spacing w:after="0"/>
              <w:rPr>
                <w:sz w:val="17"/>
                <w:szCs w:val="17"/>
                <w:color w:val="auto"/>
              </w:rPr>
            </w:pPr>
          </w:p>
        </w:tc>
        <w:tc>
          <w:tcPr>
            <w:tcW w:w="1220" w:type="dxa"/>
            <w:vAlign w:val="bottom"/>
            <w:tcBorders>
              <w:top w:val="single" w:sz="8" w:color="B3B0AC"/>
            </w:tcBorders>
          </w:tcPr>
          <w:p>
            <w:pPr>
              <w:spacing w:after="0"/>
              <w:rPr>
                <w:sz w:val="17"/>
                <w:szCs w:val="17"/>
                <w:color w:val="auto"/>
              </w:rPr>
            </w:pPr>
          </w:p>
        </w:tc>
        <w:tc>
          <w:tcPr>
            <w:tcW w:w="1180" w:type="dxa"/>
            <w:vAlign w:val="bottom"/>
            <w:tcBorders>
              <w:top w:val="single" w:sz="8" w:color="B3B0AC"/>
            </w:tcBorders>
          </w:tcPr>
          <w:p>
            <w:pPr>
              <w:spacing w:after="0"/>
              <w:rPr>
                <w:sz w:val="17"/>
                <w:szCs w:val="17"/>
                <w:color w:val="auto"/>
              </w:rPr>
            </w:pPr>
          </w:p>
        </w:tc>
        <w:tc>
          <w:tcPr>
            <w:tcW w:w="2840" w:type="dxa"/>
            <w:vAlign w:val="bottom"/>
            <w:tcBorders>
              <w:top w:val="single" w:sz="8" w:color="B3B0AC"/>
            </w:tcBorders>
            <w:gridSpan w:val="2"/>
          </w:tcPr>
          <w:p>
            <w:pPr>
              <w:jc w:val="right"/>
              <w:ind w:right="48"/>
              <w:spacing w:after="0"/>
              <w:rPr>
                <w:sz w:val="20"/>
                <w:szCs w:val="20"/>
                <w:color w:val="auto"/>
              </w:rPr>
            </w:pPr>
            <w:r>
              <w:rPr>
                <w:rFonts w:ascii="Verdana" w:cs="Verdana" w:eastAsia="Verdana" w:hAnsi="Verdana"/>
                <w:sz w:val="14"/>
                <w:szCs w:val="14"/>
                <w:color w:val="auto"/>
              </w:rPr>
              <w:t>Financial Performance Payout</w:t>
            </w:r>
          </w:p>
        </w:tc>
        <w:tc>
          <w:tcPr>
            <w:tcW w:w="1520" w:type="dxa"/>
            <w:vAlign w:val="bottom"/>
            <w:tcBorders>
              <w:top w:val="single" w:sz="8" w:color="B3B0AC"/>
            </w:tcBorders>
          </w:tcPr>
          <w:p>
            <w:pPr>
              <w:jc w:val="center"/>
              <w:ind w:right="28"/>
              <w:spacing w:after="0"/>
              <w:rPr>
                <w:sz w:val="20"/>
                <w:szCs w:val="20"/>
                <w:color w:val="auto"/>
              </w:rPr>
            </w:pPr>
            <w:r>
              <w:rPr>
                <w:rFonts w:ascii="Verdana" w:cs="Verdana" w:eastAsia="Verdana" w:hAnsi="Verdana"/>
                <w:sz w:val="14"/>
                <w:szCs w:val="14"/>
                <w:color w:val="auto"/>
              </w:rPr>
              <w:t>80%</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760" w:type="dxa"/>
            <w:vAlign w:val="bottom"/>
            <w:tcBorders>
              <w:bottom w:val="single" w:sz="8" w:color="B3B0AC"/>
            </w:tcBorders>
          </w:tcPr>
          <w:p>
            <w:pPr>
              <w:spacing w:after="0"/>
              <w:rPr>
                <w:sz w:val="2"/>
                <w:szCs w:val="2"/>
                <w:color w:val="auto"/>
              </w:rPr>
            </w:pPr>
          </w:p>
        </w:tc>
        <w:tc>
          <w:tcPr>
            <w:tcW w:w="152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jc w:val="right"/>
              <w:ind w:right="48"/>
              <w:spacing w:after="0"/>
              <w:rPr>
                <w:sz w:val="20"/>
                <w:szCs w:val="20"/>
                <w:color w:val="auto"/>
              </w:rPr>
            </w:pPr>
            <w:r>
              <w:rPr>
                <w:rFonts w:ascii="Verdana" w:cs="Verdana" w:eastAsia="Verdana" w:hAnsi="Verdana"/>
                <w:sz w:val="14"/>
                <w:szCs w:val="14"/>
                <w:color w:val="auto"/>
              </w:rPr>
              <w:t>Scorecard Adjustment</w:t>
            </w:r>
          </w:p>
        </w:tc>
        <w:tc>
          <w:tcPr>
            <w:tcW w:w="1520" w:type="dxa"/>
            <w:vAlign w:val="bottom"/>
          </w:tcPr>
          <w:p>
            <w:pPr>
              <w:jc w:val="center"/>
              <w:ind w:right="48"/>
              <w:spacing w:after="0"/>
              <w:rPr>
                <w:sz w:val="20"/>
                <w:szCs w:val="20"/>
                <w:color w:val="auto"/>
              </w:rPr>
            </w:pPr>
            <w:r>
              <w:rPr>
                <w:rFonts w:ascii="Verdana" w:cs="Verdana" w:eastAsia="Verdana" w:hAnsi="Verdana"/>
                <w:sz w:val="14"/>
                <w:szCs w:val="14"/>
                <w:color w:val="auto"/>
                <w:w w:val="99"/>
              </w:rPr>
              <w:t>9%</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760" w:type="dxa"/>
            <w:vAlign w:val="bottom"/>
            <w:tcBorders>
              <w:bottom w:val="single" w:sz="8" w:color="B3B0AC"/>
            </w:tcBorders>
          </w:tcPr>
          <w:p>
            <w:pPr>
              <w:spacing w:after="0"/>
              <w:rPr>
                <w:sz w:val="2"/>
                <w:szCs w:val="2"/>
                <w:color w:val="auto"/>
              </w:rPr>
            </w:pPr>
          </w:p>
        </w:tc>
        <w:tc>
          <w:tcPr>
            <w:tcW w:w="152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jc w:val="right"/>
              <w:ind w:right="48"/>
              <w:spacing w:after="0"/>
              <w:rPr>
                <w:sz w:val="20"/>
                <w:szCs w:val="20"/>
                <w:color w:val="auto"/>
              </w:rPr>
            </w:pPr>
            <w:r>
              <w:rPr>
                <w:rFonts w:ascii="Verdana" w:cs="Verdana" w:eastAsia="Verdana" w:hAnsi="Verdana"/>
                <w:sz w:val="14"/>
                <w:szCs w:val="14"/>
                <w:b w:val="1"/>
                <w:bCs w:val="1"/>
                <w:color w:val="auto"/>
              </w:rPr>
              <w:t>Final Payout</w:t>
            </w:r>
          </w:p>
        </w:tc>
        <w:tc>
          <w:tcPr>
            <w:tcW w:w="1520" w:type="dxa"/>
            <w:vAlign w:val="bottom"/>
          </w:tcPr>
          <w:p>
            <w:pPr>
              <w:jc w:val="center"/>
              <w:ind w:right="28"/>
              <w:spacing w:after="0"/>
              <w:rPr>
                <w:sz w:val="20"/>
                <w:szCs w:val="20"/>
                <w:color w:val="auto"/>
              </w:rPr>
            </w:pPr>
            <w:r>
              <w:rPr>
                <w:rFonts w:ascii="Verdana" w:cs="Verdana" w:eastAsia="Verdana" w:hAnsi="Verdana"/>
                <w:sz w:val="14"/>
                <w:szCs w:val="14"/>
                <w:b w:val="1"/>
                <w:bCs w:val="1"/>
                <w:color w:val="auto"/>
              </w:rPr>
              <w:t>89%</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760" w:type="dxa"/>
            <w:vAlign w:val="bottom"/>
            <w:tcBorders>
              <w:bottom w:val="single" w:sz="8" w:color="B3B0AC"/>
            </w:tcBorders>
          </w:tcPr>
          <w:p>
            <w:pPr>
              <w:spacing w:after="0"/>
              <w:rPr>
                <w:sz w:val="2"/>
                <w:szCs w:val="2"/>
                <w:color w:val="auto"/>
              </w:rPr>
            </w:pPr>
          </w:p>
        </w:tc>
        <w:tc>
          <w:tcPr>
            <w:tcW w:w="152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Verdana" w:cs="Verdana" w:eastAsia="Verdana" w:hAnsi="Verdana"/>
          <w:sz w:val="16"/>
          <w:szCs w:val="16"/>
          <w:color w:val="auto"/>
        </w:rPr>
        <w:t>The AIP award for each NEO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10921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09210" cy="162560"/>
                    </a:xfrm>
                    <a:prstGeom prst="rect">
                      <a:avLst/>
                    </a:prstGeom>
                    <a:noFill/>
                  </pic:spPr>
                </pic:pic>
              </a:graphicData>
            </a:graphic>
          </wp:anchor>
        </w:drawing>
      </w:r>
    </w:p>
    <w:p>
      <w:pPr>
        <w:spacing w:after="0" w:line="164" w:lineRule="exact"/>
        <w:rPr>
          <w:sz w:val="20"/>
          <w:szCs w:val="20"/>
          <w:color w:val="auto"/>
        </w:rPr>
      </w:pPr>
    </w:p>
    <w:p>
      <w:pPr>
        <w:ind w:left="2380"/>
        <w:spacing w:after="0"/>
        <w:rPr>
          <w:sz w:val="20"/>
          <w:szCs w:val="20"/>
          <w:color w:val="auto"/>
        </w:rPr>
      </w:pPr>
      <w:r>
        <w:rPr>
          <w:rFonts w:ascii="Verdana" w:cs="Verdana" w:eastAsia="Verdana" w:hAnsi="Verdana"/>
          <w:sz w:val="16"/>
          <w:szCs w:val="16"/>
          <w:b w:val="1"/>
          <w:bCs w:val="1"/>
          <w:color w:val="F0EFEE"/>
        </w:rPr>
        <w:t>2024 Annual Incentive Plan Payouts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Borders>
              <w:top w:val="single" w:sz="8" w:color="696158"/>
            </w:tcBorders>
          </w:tcPr>
          <w:p>
            <w:pPr>
              <w:spacing w:after="0"/>
              <w:rPr>
                <w:sz w:val="16"/>
                <w:szCs w:val="16"/>
                <w:color w:val="auto"/>
              </w:rPr>
            </w:pPr>
          </w:p>
        </w:tc>
        <w:tc>
          <w:tcPr>
            <w:tcW w:w="2000" w:type="dxa"/>
            <w:vAlign w:val="bottom"/>
            <w:tcBorders>
              <w:top w:val="single" w:sz="8" w:color="696158"/>
            </w:tcBorders>
          </w:tcPr>
          <w:p>
            <w:pPr>
              <w:jc w:val="center"/>
              <w:ind w:left="228"/>
              <w:spacing w:after="0"/>
              <w:rPr>
                <w:sz w:val="20"/>
                <w:szCs w:val="20"/>
                <w:color w:val="auto"/>
              </w:rPr>
            </w:pPr>
            <w:r>
              <w:rPr>
                <w:rFonts w:ascii="Verdana" w:cs="Verdana" w:eastAsia="Verdana" w:hAnsi="Verdana"/>
                <w:sz w:val="14"/>
                <w:szCs w:val="14"/>
                <w:b w:val="1"/>
                <w:bCs w:val="1"/>
                <w:color w:val="307FE2"/>
              </w:rPr>
              <w:t>Target Opportunity</w:t>
            </w:r>
          </w:p>
        </w:tc>
        <w:tc>
          <w:tcPr>
            <w:tcW w:w="240" w:type="dxa"/>
            <w:vAlign w:val="bottom"/>
            <w:tcBorders>
              <w:top w:val="single" w:sz="8" w:color="696158"/>
            </w:tcBorders>
          </w:tcPr>
          <w:p>
            <w:pPr>
              <w:spacing w:after="0"/>
              <w:rPr>
                <w:sz w:val="16"/>
                <w:szCs w:val="16"/>
                <w:color w:val="auto"/>
              </w:rPr>
            </w:pPr>
          </w:p>
        </w:tc>
        <w:tc>
          <w:tcPr>
            <w:tcW w:w="1340" w:type="dxa"/>
            <w:vAlign w:val="bottom"/>
            <w:tcBorders>
              <w:top w:val="single" w:sz="8" w:color="696158"/>
            </w:tcBorders>
          </w:tcPr>
          <w:p>
            <w:pPr>
              <w:jc w:val="right"/>
              <w:ind w:right="508"/>
              <w:spacing w:after="0"/>
              <w:rPr>
                <w:sz w:val="20"/>
                <w:szCs w:val="20"/>
                <w:color w:val="auto"/>
              </w:rPr>
            </w:pPr>
            <w:r>
              <w:rPr>
                <w:rFonts w:ascii="Verdana" w:cs="Verdana" w:eastAsia="Verdana" w:hAnsi="Verdana"/>
                <w:sz w:val="14"/>
                <w:szCs w:val="14"/>
                <w:b w:val="1"/>
                <w:bCs w:val="1"/>
                <w:color w:val="307FE2"/>
              </w:rPr>
              <w:t>Target</w:t>
            </w:r>
          </w:p>
        </w:tc>
        <w:tc>
          <w:tcPr>
            <w:tcW w:w="1200" w:type="dxa"/>
            <w:vAlign w:val="bottom"/>
            <w:tcBorders>
              <w:top w:val="single" w:sz="8" w:color="696158"/>
            </w:tcBorders>
          </w:tcPr>
          <w:p>
            <w:pPr>
              <w:spacing w:after="0"/>
              <w:rPr>
                <w:sz w:val="16"/>
                <w:szCs w:val="16"/>
                <w:color w:val="auto"/>
              </w:rPr>
            </w:pPr>
          </w:p>
        </w:tc>
        <w:tc>
          <w:tcPr>
            <w:tcW w:w="1560" w:type="dxa"/>
            <w:vAlign w:val="bottom"/>
            <w:tcBorders>
              <w:top w:val="single" w:sz="8" w:color="696158"/>
            </w:tcBorders>
            <w:gridSpan w:val="2"/>
          </w:tcPr>
          <w:p>
            <w:pPr>
              <w:jc w:val="right"/>
              <w:ind w:right="8"/>
              <w:spacing w:after="0"/>
              <w:rPr>
                <w:sz w:val="20"/>
                <w:szCs w:val="20"/>
                <w:color w:val="auto"/>
              </w:rPr>
            </w:pPr>
            <w:r>
              <w:rPr>
                <w:rFonts w:ascii="Verdana" w:cs="Verdana" w:eastAsia="Verdana" w:hAnsi="Verdana"/>
                <w:sz w:val="14"/>
                <w:szCs w:val="14"/>
                <w:b w:val="1"/>
                <w:bCs w:val="1"/>
                <w:color w:val="307FE2"/>
              </w:rPr>
              <w:t>2024 Incentive</w:t>
            </w:r>
          </w:p>
        </w:tc>
      </w:tr>
      <w:tr>
        <w:trPr>
          <w:trHeight w:val="214"/>
        </w:trPr>
        <w:tc>
          <w:tcPr>
            <w:tcW w:w="1720" w:type="dxa"/>
            <w:vAlign w:val="bottom"/>
          </w:tcPr>
          <w:p>
            <w:pPr>
              <w:spacing w:after="0"/>
              <w:rPr>
                <w:sz w:val="18"/>
                <w:szCs w:val="18"/>
                <w:color w:val="auto"/>
              </w:rPr>
            </w:pPr>
          </w:p>
        </w:tc>
        <w:tc>
          <w:tcPr>
            <w:tcW w:w="2000" w:type="dxa"/>
            <w:vAlign w:val="bottom"/>
          </w:tcPr>
          <w:p>
            <w:pPr>
              <w:jc w:val="center"/>
              <w:ind w:left="228"/>
              <w:spacing w:after="0"/>
              <w:rPr>
                <w:sz w:val="20"/>
                <w:szCs w:val="20"/>
                <w:color w:val="auto"/>
              </w:rPr>
            </w:pPr>
            <w:r>
              <w:rPr>
                <w:rFonts w:ascii="Verdana" w:cs="Verdana" w:eastAsia="Verdana" w:hAnsi="Verdana"/>
                <w:sz w:val="14"/>
                <w:szCs w:val="14"/>
                <w:b w:val="1"/>
                <w:bCs w:val="1"/>
                <w:color w:val="307FE2"/>
              </w:rPr>
              <w:t>(as % of Base)</w:t>
            </w:r>
          </w:p>
        </w:tc>
        <w:tc>
          <w:tcPr>
            <w:tcW w:w="240" w:type="dxa"/>
            <w:vAlign w:val="bottom"/>
          </w:tcPr>
          <w:p>
            <w:pPr>
              <w:spacing w:after="0"/>
              <w:rPr>
                <w:sz w:val="18"/>
                <w:szCs w:val="18"/>
                <w:color w:val="auto"/>
              </w:rPr>
            </w:pPr>
          </w:p>
        </w:tc>
        <w:tc>
          <w:tcPr>
            <w:tcW w:w="1340" w:type="dxa"/>
            <w:vAlign w:val="bottom"/>
          </w:tcPr>
          <w:p>
            <w:pPr>
              <w:jc w:val="right"/>
              <w:ind w:right="368"/>
              <w:spacing w:after="0"/>
              <w:rPr>
                <w:sz w:val="20"/>
                <w:szCs w:val="20"/>
                <w:color w:val="auto"/>
              </w:rPr>
            </w:pPr>
            <w:r>
              <w:rPr>
                <w:rFonts w:ascii="Verdana" w:cs="Verdana" w:eastAsia="Verdana" w:hAnsi="Verdana"/>
                <w:sz w:val="14"/>
                <w:szCs w:val="14"/>
                <w:b w:val="1"/>
                <w:bCs w:val="1"/>
                <w:color w:val="307FE2"/>
              </w:rPr>
              <w:t>Amount</w:t>
            </w:r>
            <w:r>
              <w:rPr>
                <w:rFonts w:ascii="Verdana" w:cs="Verdana" w:eastAsia="Verdana" w:hAnsi="Verdana"/>
                <w:sz w:val="9"/>
                <w:szCs w:val="9"/>
                <w:b w:val="1"/>
                <w:bCs w:val="1"/>
                <w:color w:val="307FE2"/>
              </w:rPr>
              <w:t>(1)</w:t>
            </w:r>
          </w:p>
        </w:tc>
        <w:tc>
          <w:tcPr>
            <w:tcW w:w="1200" w:type="dxa"/>
            <w:vAlign w:val="bottom"/>
          </w:tcPr>
          <w:p>
            <w:pPr>
              <w:jc w:val="center"/>
              <w:spacing w:after="0"/>
              <w:rPr>
                <w:sz w:val="20"/>
                <w:szCs w:val="20"/>
                <w:color w:val="auto"/>
              </w:rPr>
            </w:pPr>
            <w:r>
              <w:rPr>
                <w:rFonts w:ascii="Verdana" w:cs="Verdana" w:eastAsia="Verdana" w:hAnsi="Verdana"/>
                <w:sz w:val="14"/>
                <w:szCs w:val="14"/>
                <w:b w:val="1"/>
                <w:bCs w:val="1"/>
                <w:color w:val="307FE2"/>
              </w:rPr>
              <w:t>Payout %</w:t>
            </w:r>
          </w:p>
        </w:tc>
        <w:tc>
          <w:tcPr>
            <w:tcW w:w="360" w:type="dxa"/>
            <w:vAlign w:val="bottom"/>
          </w:tcPr>
          <w:p>
            <w:pPr>
              <w:spacing w:after="0"/>
              <w:rPr>
                <w:sz w:val="18"/>
                <w:szCs w:val="18"/>
                <w:color w:val="auto"/>
              </w:rPr>
            </w:pPr>
          </w:p>
        </w:tc>
        <w:tc>
          <w:tcPr>
            <w:tcW w:w="1200" w:type="dxa"/>
            <w:vAlign w:val="bottom"/>
          </w:tcPr>
          <w:p>
            <w:pPr>
              <w:jc w:val="right"/>
              <w:ind w:right="228"/>
              <w:spacing w:after="0"/>
              <w:rPr>
                <w:sz w:val="20"/>
                <w:szCs w:val="20"/>
                <w:color w:val="auto"/>
              </w:rPr>
            </w:pPr>
            <w:r>
              <w:rPr>
                <w:rFonts w:ascii="Verdana" w:cs="Verdana" w:eastAsia="Verdana" w:hAnsi="Verdana"/>
                <w:sz w:val="14"/>
                <w:szCs w:val="14"/>
                <w:b w:val="1"/>
                <w:bCs w:val="1"/>
                <w:color w:val="307FE2"/>
              </w:rPr>
              <w:t>Amount</w:t>
            </w:r>
            <w:r>
              <w:rPr>
                <w:rFonts w:ascii="Verdana" w:cs="Verdana" w:eastAsia="Verdana" w:hAnsi="Verdana"/>
                <w:sz w:val="9"/>
                <w:szCs w:val="9"/>
                <w:b w:val="1"/>
                <w:bCs w:val="1"/>
                <w:color w:val="307FE2"/>
              </w:rPr>
              <w:t>(2)</w:t>
            </w:r>
          </w:p>
        </w:tc>
      </w:tr>
      <w:tr>
        <w:trPr>
          <w:trHeight w:val="25"/>
        </w:trPr>
        <w:tc>
          <w:tcPr>
            <w:tcW w:w="1720" w:type="dxa"/>
            <w:vAlign w:val="bottom"/>
            <w:tcBorders>
              <w:bottom w:val="single" w:sz="8" w:color="307FE2"/>
            </w:tcBorders>
          </w:tcPr>
          <w:p>
            <w:pPr>
              <w:spacing w:after="0"/>
              <w:rPr>
                <w:sz w:val="2"/>
                <w:szCs w:val="2"/>
                <w:color w:val="auto"/>
              </w:rPr>
            </w:pPr>
          </w:p>
        </w:tc>
        <w:tc>
          <w:tcPr>
            <w:tcW w:w="2000" w:type="dxa"/>
            <w:vAlign w:val="bottom"/>
            <w:tcBorders>
              <w:bottom w:val="single" w:sz="8" w:color="307FE2"/>
            </w:tcBorders>
          </w:tcPr>
          <w:p>
            <w:pPr>
              <w:spacing w:after="0"/>
              <w:rPr>
                <w:sz w:val="2"/>
                <w:szCs w:val="2"/>
                <w:color w:val="auto"/>
              </w:rPr>
            </w:pPr>
          </w:p>
        </w:tc>
        <w:tc>
          <w:tcPr>
            <w:tcW w:w="240" w:type="dxa"/>
            <w:vAlign w:val="bottom"/>
            <w:tcBorders>
              <w:bottom w:val="single" w:sz="8" w:color="307FE2"/>
            </w:tcBorders>
          </w:tcPr>
          <w:p>
            <w:pPr>
              <w:spacing w:after="0"/>
              <w:rPr>
                <w:sz w:val="2"/>
                <w:szCs w:val="2"/>
                <w:color w:val="auto"/>
              </w:rPr>
            </w:pPr>
          </w:p>
        </w:tc>
        <w:tc>
          <w:tcPr>
            <w:tcW w:w="1340" w:type="dxa"/>
            <w:vAlign w:val="bottom"/>
            <w:tcBorders>
              <w:bottom w:val="single" w:sz="8" w:color="307FE2"/>
            </w:tcBorders>
          </w:tcPr>
          <w:p>
            <w:pPr>
              <w:spacing w:after="0"/>
              <w:rPr>
                <w:sz w:val="2"/>
                <w:szCs w:val="2"/>
                <w:color w:val="auto"/>
              </w:rPr>
            </w:pPr>
          </w:p>
        </w:tc>
        <w:tc>
          <w:tcPr>
            <w:tcW w:w="1200" w:type="dxa"/>
            <w:vAlign w:val="bottom"/>
            <w:tcBorders>
              <w:bottom w:val="single" w:sz="8" w:color="307FE2"/>
            </w:tcBorders>
          </w:tcPr>
          <w:p>
            <w:pPr>
              <w:spacing w:after="0"/>
              <w:rPr>
                <w:sz w:val="2"/>
                <w:szCs w:val="2"/>
                <w:color w:val="auto"/>
              </w:rPr>
            </w:pPr>
          </w:p>
        </w:tc>
        <w:tc>
          <w:tcPr>
            <w:tcW w:w="360" w:type="dxa"/>
            <w:vAlign w:val="bottom"/>
            <w:tcBorders>
              <w:bottom w:val="single" w:sz="8" w:color="307FE2"/>
            </w:tcBorders>
          </w:tcPr>
          <w:p>
            <w:pPr>
              <w:spacing w:after="0"/>
              <w:rPr>
                <w:sz w:val="2"/>
                <w:szCs w:val="2"/>
                <w:color w:val="auto"/>
              </w:rPr>
            </w:pPr>
          </w:p>
        </w:tc>
        <w:tc>
          <w:tcPr>
            <w:tcW w:w="1200" w:type="dxa"/>
            <w:vAlign w:val="bottom"/>
            <w:tcBorders>
              <w:bottom w:val="single" w:sz="8" w:color="307FE2"/>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Raymond E. Scott</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160%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2,192,000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89%</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1,950,880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Jason M. Cardew</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100%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880,000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89%</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783,200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Frank C. Orsini</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100%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900,000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89%</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801,000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Carl A. Esposito</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90%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675,338</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89%</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601,050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Harry A. Kemp</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90%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675,000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89%</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600,750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Alicia J. Davis</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80%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464,000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89%</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412,960</w:t>
            </w:r>
          </w:p>
        </w:tc>
      </w:tr>
      <w:tr>
        <w:trPr>
          <w:trHeight w:val="25"/>
        </w:trPr>
        <w:tc>
          <w:tcPr>
            <w:tcW w:w="1720" w:type="dxa"/>
            <w:vAlign w:val="bottom"/>
            <w:tcBorders>
              <w:bottom w:val="single" w:sz="8" w:color="696158"/>
            </w:tcBorders>
          </w:tcPr>
          <w:p>
            <w:pPr>
              <w:spacing w:after="0"/>
              <w:rPr>
                <w:sz w:val="2"/>
                <w:szCs w:val="2"/>
                <w:color w:val="auto"/>
              </w:rPr>
            </w:pPr>
          </w:p>
        </w:tc>
        <w:tc>
          <w:tcPr>
            <w:tcW w:w="2000" w:type="dxa"/>
            <w:vAlign w:val="bottom"/>
            <w:tcBorders>
              <w:bottom w:val="single" w:sz="8" w:color="696158"/>
            </w:tcBorders>
          </w:tcPr>
          <w:p>
            <w:pPr>
              <w:spacing w:after="0"/>
              <w:rPr>
                <w:sz w:val="2"/>
                <w:szCs w:val="2"/>
                <w:color w:val="auto"/>
              </w:rPr>
            </w:pPr>
          </w:p>
        </w:tc>
        <w:tc>
          <w:tcPr>
            <w:tcW w:w="240" w:type="dxa"/>
            <w:vAlign w:val="bottom"/>
            <w:tcBorders>
              <w:bottom w:val="single" w:sz="8" w:color="696158"/>
            </w:tcBorders>
          </w:tcPr>
          <w:p>
            <w:pPr>
              <w:spacing w:after="0"/>
              <w:rPr>
                <w:sz w:val="2"/>
                <w:szCs w:val="2"/>
                <w:color w:val="auto"/>
              </w:rPr>
            </w:pPr>
          </w:p>
        </w:tc>
        <w:tc>
          <w:tcPr>
            <w:tcW w:w="1340" w:type="dxa"/>
            <w:vAlign w:val="bottom"/>
            <w:tcBorders>
              <w:bottom w:val="single" w:sz="8" w:color="696158"/>
            </w:tcBorders>
          </w:tcPr>
          <w:p>
            <w:pPr>
              <w:spacing w:after="0"/>
              <w:rPr>
                <w:sz w:val="2"/>
                <w:szCs w:val="2"/>
                <w:color w:val="auto"/>
              </w:rPr>
            </w:pPr>
          </w:p>
        </w:tc>
        <w:tc>
          <w:tcPr>
            <w:tcW w:w="1200" w:type="dxa"/>
            <w:vAlign w:val="bottom"/>
            <w:tcBorders>
              <w:bottom w:val="single" w:sz="8" w:color="696158"/>
            </w:tcBorders>
          </w:tcPr>
          <w:p>
            <w:pPr>
              <w:spacing w:after="0"/>
              <w:rPr>
                <w:sz w:val="2"/>
                <w:szCs w:val="2"/>
                <w:color w:val="auto"/>
              </w:rPr>
            </w:pPr>
          </w:p>
        </w:tc>
        <w:tc>
          <w:tcPr>
            <w:tcW w:w="360" w:type="dxa"/>
            <w:vAlign w:val="bottom"/>
            <w:tcBorders>
              <w:bottom w:val="single" w:sz="8" w:color="696158"/>
            </w:tcBorders>
          </w:tcPr>
          <w:p>
            <w:pPr>
              <w:spacing w:after="0"/>
              <w:rPr>
                <w:sz w:val="2"/>
                <w:szCs w:val="2"/>
                <w:color w:val="auto"/>
              </w:rPr>
            </w:pPr>
          </w:p>
        </w:tc>
        <w:tc>
          <w:tcPr>
            <w:tcW w:w="1200" w:type="dxa"/>
            <w:vAlign w:val="bottom"/>
            <w:tcBorders>
              <w:bottom w:val="single" w:sz="8" w:color="696158"/>
            </w:tcBorders>
          </w:tcPr>
          <w:p>
            <w:pPr>
              <w:spacing w:after="0"/>
              <w:rPr>
                <w:sz w:val="2"/>
                <w:szCs w:val="2"/>
                <w:color w:val="auto"/>
              </w:rPr>
            </w:pPr>
          </w:p>
        </w:tc>
      </w:tr>
    </w:tbl>
    <w:p>
      <w:pPr>
        <w:spacing w:after="0" w:line="179" w:lineRule="exact"/>
        <w:rPr>
          <w:sz w:val="20"/>
          <w:szCs w:val="20"/>
          <w:color w:val="auto"/>
        </w:rPr>
      </w:pPr>
    </w:p>
    <w:p>
      <w:pPr>
        <w:ind w:left="320" w:hanging="312"/>
        <w:spacing w:after="0"/>
        <w:tabs>
          <w:tab w:leader="none" w:pos="320" w:val="left"/>
        </w:tabs>
        <w:numPr>
          <w:ilvl w:val="0"/>
          <w:numId w:val="75"/>
        </w:numPr>
        <w:rPr>
          <w:rFonts w:ascii="Verdana" w:cs="Verdana" w:eastAsia="Verdana" w:hAnsi="Verdana"/>
          <w:sz w:val="13"/>
          <w:szCs w:val="13"/>
          <w:color w:val="auto"/>
        </w:rPr>
      </w:pPr>
      <w:r>
        <w:rPr>
          <w:rFonts w:ascii="Verdana" w:cs="Verdana" w:eastAsia="Verdana" w:hAnsi="Verdana"/>
          <w:sz w:val="14"/>
          <w:szCs w:val="14"/>
          <w:color w:val="auto"/>
        </w:rPr>
        <w:t>Reflects base salary as of December 31, 2024, multiplied by the Target Opportunity.</w:t>
      </w:r>
    </w:p>
    <w:p>
      <w:pPr>
        <w:spacing w:after="0" w:line="5" w:lineRule="exact"/>
        <w:rPr>
          <w:rFonts w:ascii="Verdana" w:cs="Verdana" w:eastAsia="Verdana" w:hAnsi="Verdana"/>
          <w:sz w:val="13"/>
          <w:szCs w:val="13"/>
          <w:color w:val="auto"/>
        </w:rPr>
      </w:pPr>
    </w:p>
    <w:p>
      <w:pPr>
        <w:ind w:left="320" w:hanging="312"/>
        <w:spacing w:after="0"/>
        <w:tabs>
          <w:tab w:leader="none" w:pos="320" w:val="left"/>
        </w:tabs>
        <w:numPr>
          <w:ilvl w:val="0"/>
          <w:numId w:val="75"/>
        </w:numPr>
        <w:rPr>
          <w:rFonts w:ascii="Verdana" w:cs="Verdana" w:eastAsia="Verdana" w:hAnsi="Verdana"/>
          <w:sz w:val="13"/>
          <w:szCs w:val="13"/>
          <w:color w:val="auto"/>
        </w:rPr>
      </w:pPr>
      <w:r>
        <w:rPr>
          <w:rFonts w:ascii="Verdana" w:cs="Verdana" w:eastAsia="Verdana" w:hAnsi="Verdana"/>
          <w:sz w:val="14"/>
          <w:szCs w:val="14"/>
          <w:color w:val="auto"/>
        </w:rPr>
        <w:t>The 2024 Incentive Amount represents the amount actually earned, which is calculated as the Target Amount multiplied by the Payout %.</w:t>
      </w:r>
    </w:p>
    <w:p>
      <w:pPr>
        <w:spacing w:after="0" w:line="15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Long-Term Stock Incentive Plan ("LTI") Compensation</w:t>
      </w:r>
    </w:p>
    <w:p>
      <w:pPr>
        <w:spacing w:after="0" w:line="131"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with those of our shareholders.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47</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2022-2024 Performance Results and Corresponding Payouts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LTI payouts are aligned and directly commensurate with our financial results. Earned equity awards are also subject to changes in our</w:t>
      </w:r>
    </w:p>
    <w:p>
      <w:pPr>
        <w:spacing w:after="0" w:line="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stock price over a multi-year period. Our strategic, operational and financial performance over time is reflected in our results and returns to shareholders. At the end of 2024, the 2022-2024 performance-based incentive cycle was completed, with the results summarized below, and a payout of 112% of target, reflecting our performance against three years of Adjusted Annual Pretax Income goals</w:t>
      </w:r>
    </w:p>
    <w:p>
      <w:pPr>
        <w:spacing w:after="0" w:line="2"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 xml:space="preserve">(including certain adjustments as described below and on pages </w:t>
      </w:r>
      <w:r>
        <w:rPr>
          <w:rFonts w:ascii="Verdana" w:cs="Verdana" w:eastAsia="Verdana" w:hAnsi="Verdana"/>
          <w:sz w:val="16"/>
          <w:szCs w:val="16"/>
          <w:u w:val="single" w:color="auto"/>
          <w:color w:val="0000FF"/>
        </w:rPr>
        <w:t>90</w:t>
      </w:r>
      <w:r>
        <w:rPr>
          <w:rFonts w:ascii="Verdana" w:cs="Verdana" w:eastAsia="Verdana" w:hAnsi="Verdana"/>
          <w:sz w:val="16"/>
          <w:szCs w:val="16"/>
          <w:color w:val="auto"/>
        </w:rPr>
        <w:t>-</w:t>
      </w:r>
      <w:r>
        <w:rPr>
          <w:rFonts w:ascii="Verdana" w:cs="Verdana" w:eastAsia="Verdana" w:hAnsi="Verdana"/>
          <w:sz w:val="16"/>
          <w:szCs w:val="16"/>
          <w:u w:val="single" w:color="auto"/>
          <w:color w:val="0000FF"/>
        </w:rPr>
        <w:t>91</w:t>
      </w:r>
      <w:r>
        <w:rPr>
          <w:rFonts w:ascii="Verdana" w:cs="Verdana" w:eastAsia="Verdana" w:hAnsi="Verdana"/>
          <w:sz w:val="16"/>
          <w:szCs w:val="16"/>
          <w:color w:val="auto"/>
        </w:rPr>
        <w:t>) and our three-year Relative TSR performance. For each year in the performance period, the P&amp;C Committee set the Adjusted Annual Pretax Income goal based on the Board-approved budget which</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reflected its performance expectations for the upcoming year.</w:t>
      </w:r>
    </w:p>
    <w:p>
      <w:pPr>
        <w:spacing w:after="0" w:line="103"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The 2022-2024 Performance Shares were distributed on February 13, 2025, based on our performance for the three-year performance period beginning January 1, 2022. Final performance share results were approved by the P&amp;C Committee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F0EFEE"/>
        </w:rPr>
        <w:t>2022-2024 Performance Shares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Borders>
              <w:top w:val="single" w:sz="8" w:color="696158"/>
            </w:tcBorders>
          </w:tcPr>
          <w:p>
            <w:pPr>
              <w:spacing w:after="0"/>
              <w:rPr>
                <w:sz w:val="18"/>
                <w:szCs w:val="18"/>
                <w:color w:val="auto"/>
              </w:rPr>
            </w:pPr>
          </w:p>
        </w:tc>
        <w:tc>
          <w:tcPr>
            <w:tcW w:w="1220" w:type="dxa"/>
            <w:vAlign w:val="bottom"/>
            <w:tcBorders>
              <w:top w:val="single" w:sz="8" w:color="696158"/>
            </w:tcBorders>
            <w:vMerge w:val="restart"/>
          </w:tcPr>
          <w:p>
            <w:pPr>
              <w:jc w:val="center"/>
              <w:ind w:left="39"/>
              <w:spacing w:after="0"/>
              <w:rPr>
                <w:sz w:val="20"/>
                <w:szCs w:val="20"/>
                <w:color w:val="auto"/>
              </w:rPr>
            </w:pPr>
            <w:r>
              <w:rPr>
                <w:rFonts w:ascii="Verdana" w:cs="Verdana" w:eastAsia="Verdana" w:hAnsi="Verdana"/>
                <w:sz w:val="16"/>
                <w:szCs w:val="16"/>
                <w:b w:val="1"/>
                <w:bCs w:val="1"/>
                <w:color w:val="0070C0"/>
              </w:rPr>
              <w:t>Weight</w:t>
            </w:r>
          </w:p>
        </w:tc>
        <w:tc>
          <w:tcPr>
            <w:tcW w:w="1460" w:type="dxa"/>
            <w:vAlign w:val="bottom"/>
            <w:tcBorders>
              <w:top w:val="single" w:sz="8" w:color="696158"/>
            </w:tcBorders>
            <w:vMerge w:val="restart"/>
          </w:tcPr>
          <w:p>
            <w:pPr>
              <w:ind w:left="220"/>
              <w:spacing w:after="0"/>
              <w:rPr>
                <w:sz w:val="20"/>
                <w:szCs w:val="20"/>
                <w:color w:val="auto"/>
              </w:rPr>
            </w:pPr>
            <w:r>
              <w:rPr>
                <w:rFonts w:ascii="Verdana" w:cs="Verdana" w:eastAsia="Verdana" w:hAnsi="Verdana"/>
                <w:sz w:val="16"/>
                <w:szCs w:val="16"/>
                <w:b w:val="1"/>
                <w:bCs w:val="1"/>
                <w:color w:val="0070C0"/>
              </w:rPr>
              <w:t>Threshold</w:t>
            </w:r>
          </w:p>
        </w:tc>
        <w:tc>
          <w:tcPr>
            <w:tcW w:w="1400" w:type="dxa"/>
            <w:vAlign w:val="bottom"/>
            <w:tcBorders>
              <w:top w:val="single" w:sz="8" w:color="696158"/>
            </w:tcBorders>
            <w:vMerge w:val="restart"/>
          </w:tcPr>
          <w:p>
            <w:pPr>
              <w:ind w:left="400"/>
              <w:spacing w:after="0"/>
              <w:rPr>
                <w:sz w:val="20"/>
                <w:szCs w:val="20"/>
                <w:color w:val="auto"/>
              </w:rPr>
            </w:pPr>
            <w:r>
              <w:rPr>
                <w:rFonts w:ascii="Verdana" w:cs="Verdana" w:eastAsia="Verdana" w:hAnsi="Verdana"/>
                <w:sz w:val="16"/>
                <w:szCs w:val="16"/>
                <w:b w:val="1"/>
                <w:bCs w:val="1"/>
                <w:color w:val="0070C0"/>
              </w:rPr>
              <w:t>Target</w:t>
            </w:r>
          </w:p>
        </w:tc>
        <w:tc>
          <w:tcPr>
            <w:tcW w:w="1360" w:type="dxa"/>
            <w:vAlign w:val="bottom"/>
            <w:tcBorders>
              <w:top w:val="single" w:sz="8" w:color="696158"/>
            </w:tcBorders>
            <w:vMerge w:val="restart"/>
          </w:tcPr>
          <w:p>
            <w:pPr>
              <w:ind w:left="340"/>
              <w:spacing w:after="0"/>
              <w:rPr>
                <w:sz w:val="20"/>
                <w:szCs w:val="20"/>
                <w:color w:val="auto"/>
              </w:rPr>
            </w:pPr>
            <w:r>
              <w:rPr>
                <w:rFonts w:ascii="Verdana" w:cs="Verdana" w:eastAsia="Verdana" w:hAnsi="Verdana"/>
                <w:sz w:val="16"/>
                <w:szCs w:val="16"/>
                <w:b w:val="1"/>
                <w:bCs w:val="1"/>
                <w:color w:val="0070C0"/>
              </w:rPr>
              <w:t>Maximum</w:t>
            </w:r>
          </w:p>
        </w:tc>
        <w:tc>
          <w:tcPr>
            <w:tcW w:w="1500" w:type="dxa"/>
            <w:vAlign w:val="bottom"/>
            <w:tcBorders>
              <w:top w:val="single" w:sz="8" w:color="696158"/>
            </w:tcBorders>
          </w:tcPr>
          <w:p>
            <w:pPr>
              <w:jc w:val="center"/>
              <w:spacing w:after="0"/>
              <w:rPr>
                <w:sz w:val="20"/>
                <w:szCs w:val="20"/>
                <w:color w:val="auto"/>
              </w:rPr>
            </w:pPr>
            <w:r>
              <w:rPr>
                <w:rFonts w:ascii="Verdana" w:cs="Verdana" w:eastAsia="Verdana" w:hAnsi="Verdana"/>
                <w:sz w:val="16"/>
                <w:szCs w:val="16"/>
                <w:b w:val="1"/>
                <w:bCs w:val="1"/>
                <w:color w:val="0070C0"/>
              </w:rPr>
              <w:t>Performance</w:t>
            </w:r>
          </w:p>
        </w:tc>
        <w:tc>
          <w:tcPr>
            <w:tcW w:w="360" w:type="dxa"/>
            <w:vAlign w:val="bottom"/>
            <w:tcBorders>
              <w:top w:val="single" w:sz="8" w:color="696158"/>
            </w:tcBorders>
          </w:tcPr>
          <w:p>
            <w:pPr>
              <w:spacing w:after="0"/>
              <w:rPr>
                <w:sz w:val="18"/>
                <w:szCs w:val="18"/>
                <w:color w:val="auto"/>
              </w:rPr>
            </w:pPr>
          </w:p>
        </w:tc>
        <w:tc>
          <w:tcPr>
            <w:tcW w:w="1560" w:type="dxa"/>
            <w:vAlign w:val="bottom"/>
            <w:tcBorders>
              <w:top w:val="single" w:sz="8" w:color="696158"/>
            </w:tcBorders>
          </w:tcPr>
          <w:p>
            <w:pPr>
              <w:ind w:left="100"/>
              <w:spacing w:after="0"/>
              <w:rPr>
                <w:sz w:val="20"/>
                <w:szCs w:val="20"/>
                <w:color w:val="auto"/>
              </w:rPr>
            </w:pPr>
            <w:r>
              <w:rPr>
                <w:rFonts w:ascii="Verdana" w:cs="Verdana" w:eastAsia="Verdana" w:hAnsi="Verdana"/>
                <w:sz w:val="16"/>
                <w:szCs w:val="16"/>
                <w:b w:val="1"/>
                <w:bCs w:val="1"/>
                <w:color w:val="0070C0"/>
              </w:rPr>
              <w:t>Payout Results</w:t>
            </w: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Verdana" w:cs="Verdana" w:eastAsia="Verdana" w:hAnsi="Verdana"/>
                <w:sz w:val="16"/>
                <w:szCs w:val="16"/>
                <w:b w:val="1"/>
                <w:bCs w:val="1"/>
                <w:color w:val="0070C0"/>
              </w:rPr>
              <w:t>Result</w:t>
            </w:r>
          </w:p>
        </w:tc>
        <w:tc>
          <w:tcPr>
            <w:tcW w:w="360" w:type="dxa"/>
            <w:vAlign w:val="bottom"/>
          </w:tcPr>
          <w:p>
            <w:pPr>
              <w:spacing w:after="0"/>
              <w:rPr>
                <w:sz w:val="10"/>
                <w:szCs w:val="10"/>
                <w:color w:val="auto"/>
              </w:rPr>
            </w:pPr>
          </w:p>
        </w:tc>
        <w:tc>
          <w:tcPr>
            <w:tcW w:w="1560" w:type="dxa"/>
            <w:vAlign w:val="bottom"/>
            <w:vMerge w:val="restart"/>
          </w:tcPr>
          <w:p>
            <w:pPr>
              <w:ind w:left="100"/>
              <w:spacing w:after="0"/>
              <w:rPr>
                <w:sz w:val="20"/>
                <w:szCs w:val="20"/>
                <w:color w:val="auto"/>
              </w:rPr>
            </w:pPr>
            <w:r>
              <w:rPr>
                <w:rFonts w:ascii="Verdana" w:cs="Verdana" w:eastAsia="Verdana" w:hAnsi="Verdana"/>
                <w:sz w:val="16"/>
                <w:szCs w:val="16"/>
                <w:b w:val="1"/>
                <w:bCs w:val="1"/>
                <w:color w:val="0070C0"/>
              </w:rPr>
              <w:t>as % of Target</w:t>
            </w: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380" w:type="dxa"/>
            <w:vAlign w:val="bottom"/>
            <w:tcBorders>
              <w:bottom w:val="single" w:sz="8" w:color="0070C0"/>
            </w:tcBorders>
          </w:tcPr>
          <w:p>
            <w:pPr>
              <w:spacing w:after="0"/>
              <w:rPr>
                <w:sz w:val="2"/>
                <w:szCs w:val="2"/>
                <w:color w:val="auto"/>
              </w:rPr>
            </w:pPr>
          </w:p>
        </w:tc>
        <w:tc>
          <w:tcPr>
            <w:tcW w:w="1220" w:type="dxa"/>
            <w:vAlign w:val="bottom"/>
            <w:tcBorders>
              <w:bottom w:val="single" w:sz="8" w:color="0070C0"/>
            </w:tcBorders>
          </w:tcPr>
          <w:p>
            <w:pPr>
              <w:spacing w:after="0"/>
              <w:rPr>
                <w:sz w:val="2"/>
                <w:szCs w:val="2"/>
                <w:color w:val="auto"/>
              </w:rPr>
            </w:pPr>
          </w:p>
        </w:tc>
        <w:tc>
          <w:tcPr>
            <w:tcW w:w="1460" w:type="dxa"/>
            <w:vAlign w:val="bottom"/>
            <w:tcBorders>
              <w:bottom w:val="single" w:sz="8" w:color="0070C0"/>
            </w:tcBorders>
          </w:tcPr>
          <w:p>
            <w:pPr>
              <w:spacing w:after="0"/>
              <w:rPr>
                <w:sz w:val="2"/>
                <w:szCs w:val="2"/>
                <w:color w:val="auto"/>
              </w:rPr>
            </w:pPr>
          </w:p>
        </w:tc>
        <w:tc>
          <w:tcPr>
            <w:tcW w:w="1400" w:type="dxa"/>
            <w:vAlign w:val="bottom"/>
            <w:tcBorders>
              <w:bottom w:val="single" w:sz="8" w:color="0070C0"/>
            </w:tcBorders>
          </w:tcPr>
          <w:p>
            <w:pPr>
              <w:spacing w:after="0"/>
              <w:rPr>
                <w:sz w:val="2"/>
                <w:szCs w:val="2"/>
                <w:color w:val="auto"/>
              </w:rPr>
            </w:pPr>
          </w:p>
        </w:tc>
        <w:tc>
          <w:tcPr>
            <w:tcW w:w="1360" w:type="dxa"/>
            <w:vAlign w:val="bottom"/>
            <w:tcBorders>
              <w:bottom w:val="single" w:sz="8" w:color="0070C0"/>
            </w:tcBorders>
          </w:tcPr>
          <w:p>
            <w:pPr>
              <w:spacing w:after="0"/>
              <w:rPr>
                <w:sz w:val="2"/>
                <w:szCs w:val="2"/>
                <w:color w:val="auto"/>
              </w:rPr>
            </w:pPr>
          </w:p>
        </w:tc>
        <w:tc>
          <w:tcPr>
            <w:tcW w:w="1500" w:type="dxa"/>
            <w:vAlign w:val="bottom"/>
            <w:tcBorders>
              <w:bottom w:val="single" w:sz="8" w:color="0070C0"/>
            </w:tcBorders>
          </w:tcPr>
          <w:p>
            <w:pPr>
              <w:spacing w:after="0"/>
              <w:rPr>
                <w:sz w:val="2"/>
                <w:szCs w:val="2"/>
                <w:color w:val="auto"/>
              </w:rPr>
            </w:pPr>
          </w:p>
        </w:tc>
        <w:tc>
          <w:tcPr>
            <w:tcW w:w="360" w:type="dxa"/>
            <w:vAlign w:val="bottom"/>
            <w:tcBorders>
              <w:bottom w:val="single" w:sz="8" w:color="0070C0"/>
            </w:tcBorders>
          </w:tcPr>
          <w:p>
            <w:pPr>
              <w:spacing w:after="0"/>
              <w:rPr>
                <w:sz w:val="2"/>
                <w:szCs w:val="2"/>
                <w:color w:val="auto"/>
              </w:rPr>
            </w:pPr>
          </w:p>
        </w:tc>
        <w:tc>
          <w:tcPr>
            <w:tcW w:w="1560" w:type="dxa"/>
            <w:vAlign w:val="bottom"/>
            <w:tcBorders>
              <w:bottom w:val="single" w:sz="8" w:color="0070C0"/>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20"/>
              <w:spacing w:after="0"/>
              <w:rPr>
                <w:sz w:val="20"/>
                <w:szCs w:val="20"/>
                <w:color w:val="auto"/>
              </w:rPr>
            </w:pPr>
            <w:r>
              <w:rPr>
                <w:rFonts w:ascii="Verdana" w:cs="Verdana" w:eastAsia="Verdana" w:hAnsi="Verdana"/>
                <w:sz w:val="16"/>
                <w:szCs w:val="16"/>
                <w:color w:val="auto"/>
              </w:rPr>
              <w:t>Adjusted Annual Pretax</w:t>
            </w:r>
          </w:p>
        </w:tc>
        <w:tc>
          <w:tcPr>
            <w:tcW w:w="1220" w:type="dxa"/>
            <w:vAlign w:val="bottom"/>
            <w:vMerge w:val="restart"/>
          </w:tcPr>
          <w:p>
            <w:pPr>
              <w:jc w:val="center"/>
              <w:ind w:left="39"/>
              <w:spacing w:after="0"/>
              <w:rPr>
                <w:sz w:val="20"/>
                <w:szCs w:val="20"/>
                <w:color w:val="auto"/>
              </w:rPr>
            </w:pPr>
            <w:r>
              <w:rPr>
                <w:rFonts w:ascii="Verdana" w:cs="Verdana" w:eastAsia="Verdana" w:hAnsi="Verdana"/>
                <w:sz w:val="16"/>
                <w:szCs w:val="16"/>
                <w:color w:val="auto"/>
              </w:rPr>
              <w:t>66.7%</w:t>
            </w:r>
          </w:p>
        </w:tc>
        <w:tc>
          <w:tcPr>
            <w:tcW w:w="1460" w:type="dxa"/>
            <w:vAlign w:val="bottom"/>
            <w:vMerge w:val="restart"/>
          </w:tcPr>
          <w:p>
            <w:pPr>
              <w:jc w:val="center"/>
              <w:ind w:right="39"/>
              <w:spacing w:after="0"/>
              <w:rPr>
                <w:sz w:val="20"/>
                <w:szCs w:val="20"/>
                <w:color w:val="auto"/>
              </w:rPr>
            </w:pPr>
            <w:r>
              <w:rPr>
                <w:rFonts w:ascii="Verdana" w:cs="Verdana" w:eastAsia="Verdana" w:hAnsi="Verdana"/>
                <w:sz w:val="16"/>
                <w:szCs w:val="16"/>
                <w:color w:val="auto"/>
                <w:w w:val="99"/>
              </w:rPr>
              <w:t>$1,697M</w:t>
            </w:r>
          </w:p>
        </w:tc>
        <w:tc>
          <w:tcPr>
            <w:tcW w:w="1400" w:type="dxa"/>
            <w:vAlign w:val="bottom"/>
            <w:vMerge w:val="restart"/>
          </w:tcPr>
          <w:p>
            <w:pPr>
              <w:jc w:val="center"/>
              <w:spacing w:after="0"/>
              <w:rPr>
                <w:sz w:val="20"/>
                <w:szCs w:val="20"/>
                <w:color w:val="auto"/>
              </w:rPr>
            </w:pPr>
            <w:r>
              <w:rPr>
                <w:rFonts w:ascii="Verdana" w:cs="Verdana" w:eastAsia="Verdana" w:hAnsi="Verdana"/>
                <w:sz w:val="16"/>
                <w:szCs w:val="16"/>
                <w:color w:val="auto"/>
              </w:rPr>
              <w:t>$2,610M</w:t>
            </w:r>
          </w:p>
        </w:tc>
        <w:tc>
          <w:tcPr>
            <w:tcW w:w="1360" w:type="dxa"/>
            <w:vAlign w:val="bottom"/>
            <w:vMerge w:val="restart"/>
          </w:tcPr>
          <w:p>
            <w:pPr>
              <w:jc w:val="center"/>
              <w:ind w:left="119"/>
              <w:spacing w:after="0"/>
              <w:rPr>
                <w:sz w:val="20"/>
                <w:szCs w:val="20"/>
                <w:color w:val="auto"/>
              </w:rPr>
            </w:pPr>
            <w:r>
              <w:rPr>
                <w:rFonts w:ascii="Verdana" w:cs="Verdana" w:eastAsia="Verdana" w:hAnsi="Verdana"/>
                <w:sz w:val="16"/>
                <w:szCs w:val="16"/>
                <w:color w:val="auto"/>
              </w:rPr>
              <w:t>$3,002M</w:t>
            </w:r>
          </w:p>
        </w:tc>
        <w:tc>
          <w:tcPr>
            <w:tcW w:w="1500" w:type="dxa"/>
            <w:vAlign w:val="bottom"/>
            <w:vMerge w:val="restart"/>
          </w:tcPr>
          <w:p>
            <w:pPr>
              <w:jc w:val="center"/>
              <w:spacing w:after="0"/>
              <w:rPr>
                <w:sz w:val="20"/>
                <w:szCs w:val="20"/>
                <w:color w:val="auto"/>
              </w:rPr>
            </w:pPr>
            <w:r>
              <w:rPr>
                <w:rFonts w:ascii="Verdana" w:cs="Verdana" w:eastAsia="Verdana" w:hAnsi="Verdana"/>
                <w:sz w:val="16"/>
                <w:szCs w:val="16"/>
                <w:color w:val="auto"/>
                <w:w w:val="99"/>
              </w:rPr>
              <w:t>$2,799M</w:t>
            </w:r>
          </w:p>
        </w:tc>
        <w:tc>
          <w:tcPr>
            <w:tcW w:w="360" w:type="dxa"/>
            <w:vAlign w:val="bottom"/>
            <w:vMerge w:val="restart"/>
          </w:tcPr>
          <w:p>
            <w:pPr>
              <w:jc w:val="right"/>
              <w:ind w:right="37"/>
              <w:spacing w:after="0"/>
              <w:rPr>
                <w:sz w:val="20"/>
                <w:szCs w:val="20"/>
                <w:color w:val="auto"/>
              </w:rPr>
            </w:pPr>
            <w:r>
              <w:rPr>
                <w:rFonts w:ascii="Verdana" w:cs="Verdana" w:eastAsia="Verdana" w:hAnsi="Verdana"/>
                <w:sz w:val="13"/>
                <w:szCs w:val="13"/>
                <w:color w:val="auto"/>
              </w:rPr>
              <w:t>(1)</w:t>
            </w:r>
          </w:p>
        </w:tc>
        <w:tc>
          <w:tcPr>
            <w:tcW w:w="1560" w:type="dxa"/>
            <w:vAlign w:val="bottom"/>
            <w:vMerge w:val="restart"/>
          </w:tcPr>
          <w:p>
            <w:pPr>
              <w:jc w:val="center"/>
              <w:spacing w:after="0"/>
              <w:rPr>
                <w:sz w:val="20"/>
                <w:szCs w:val="20"/>
                <w:color w:val="auto"/>
              </w:rPr>
            </w:pPr>
            <w:r>
              <w:rPr>
                <w:rFonts w:ascii="Verdana" w:cs="Verdana" w:eastAsia="Verdana" w:hAnsi="Verdana"/>
                <w:sz w:val="16"/>
                <w:szCs w:val="16"/>
                <w:color w:val="auto"/>
              </w:rPr>
              <w:t>141%</w:t>
            </w:r>
          </w:p>
        </w:tc>
        <w:tc>
          <w:tcPr>
            <w:tcW w:w="0" w:type="dxa"/>
            <w:vAlign w:val="bottom"/>
          </w:tcPr>
          <w:p>
            <w:pPr>
              <w:spacing w:after="0"/>
              <w:rPr>
                <w:sz w:val="1"/>
                <w:szCs w:val="1"/>
                <w:color w:val="auto"/>
              </w:rPr>
            </w:pPr>
          </w:p>
        </w:tc>
      </w:tr>
      <w:tr>
        <w:trPr>
          <w:trHeight w:val="116"/>
        </w:trPr>
        <w:tc>
          <w:tcPr>
            <w:tcW w:w="2380" w:type="dxa"/>
            <w:vAlign w:val="bottom"/>
            <w:vMerge w:val="restart"/>
          </w:tcPr>
          <w:p>
            <w:pPr>
              <w:ind w:left="20"/>
              <w:spacing w:after="0"/>
              <w:rPr>
                <w:sz w:val="20"/>
                <w:szCs w:val="20"/>
                <w:color w:val="auto"/>
              </w:rPr>
            </w:pPr>
            <w:r>
              <w:rPr>
                <w:rFonts w:ascii="Verdana" w:cs="Verdana" w:eastAsia="Verdana" w:hAnsi="Verdana"/>
                <w:sz w:val="16"/>
                <w:szCs w:val="16"/>
                <w:color w:val="auto"/>
              </w:rPr>
              <w:t>Income ($)</w:t>
            </w:r>
          </w:p>
        </w:tc>
        <w:tc>
          <w:tcPr>
            <w:tcW w:w="12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80" w:type="dxa"/>
            <w:vAlign w:val="bottom"/>
            <w:tcBorders>
              <w:bottom w:val="single" w:sz="8" w:color="696158"/>
            </w:tcBorders>
            <w:shd w:val="clear" w:color="auto" w:fill="D6E5F9"/>
          </w:tcPr>
          <w:p>
            <w:pPr>
              <w:ind w:left="20"/>
              <w:spacing w:after="0"/>
              <w:rPr>
                <w:sz w:val="20"/>
                <w:szCs w:val="20"/>
                <w:color w:val="auto"/>
              </w:rPr>
            </w:pPr>
            <w:r>
              <w:rPr>
                <w:rFonts w:ascii="Verdana" w:cs="Verdana" w:eastAsia="Verdana" w:hAnsi="Verdana"/>
                <w:sz w:val="16"/>
                <w:szCs w:val="16"/>
                <w:color w:val="auto"/>
              </w:rPr>
              <w:t>Relative TSR (Percentile)</w:t>
            </w:r>
          </w:p>
        </w:tc>
        <w:tc>
          <w:tcPr>
            <w:tcW w:w="1220" w:type="dxa"/>
            <w:vAlign w:val="bottom"/>
            <w:tcBorders>
              <w:bottom w:val="single" w:sz="8" w:color="696158"/>
            </w:tcBorders>
            <w:shd w:val="clear" w:color="auto" w:fill="D6E5F9"/>
          </w:tcPr>
          <w:p>
            <w:pPr>
              <w:jc w:val="center"/>
              <w:ind w:left="39"/>
              <w:spacing w:after="0"/>
              <w:rPr>
                <w:sz w:val="20"/>
                <w:szCs w:val="20"/>
                <w:color w:val="auto"/>
              </w:rPr>
            </w:pPr>
            <w:r>
              <w:rPr>
                <w:rFonts w:ascii="Verdana" w:cs="Verdana" w:eastAsia="Verdana" w:hAnsi="Verdana"/>
                <w:sz w:val="16"/>
                <w:szCs w:val="16"/>
                <w:color w:val="auto"/>
              </w:rPr>
              <w:t>33.3%</w:t>
            </w:r>
          </w:p>
        </w:tc>
        <w:tc>
          <w:tcPr>
            <w:tcW w:w="1460" w:type="dxa"/>
            <w:vAlign w:val="bottom"/>
            <w:tcBorders>
              <w:bottom w:val="single" w:sz="8" w:color="696158"/>
            </w:tcBorders>
            <w:shd w:val="clear" w:color="auto" w:fill="D6E5F9"/>
          </w:tcPr>
          <w:p>
            <w:pPr>
              <w:jc w:val="center"/>
              <w:ind w:right="39"/>
              <w:spacing w:after="0"/>
              <w:rPr>
                <w:sz w:val="20"/>
                <w:szCs w:val="20"/>
                <w:color w:val="auto"/>
              </w:rPr>
            </w:pPr>
            <w:r>
              <w:rPr>
                <w:rFonts w:ascii="Verdana" w:cs="Verdana" w:eastAsia="Verdana" w:hAnsi="Verdana"/>
                <w:sz w:val="16"/>
                <w:szCs w:val="16"/>
                <w:color w:val="auto"/>
              </w:rPr>
              <w:t>25th</w:t>
            </w:r>
          </w:p>
        </w:tc>
        <w:tc>
          <w:tcPr>
            <w:tcW w:w="1400" w:type="dxa"/>
            <w:vAlign w:val="bottom"/>
            <w:tcBorders>
              <w:bottom w:val="single" w:sz="8" w:color="696158"/>
            </w:tcBorders>
            <w:shd w:val="clear" w:color="auto" w:fill="D6E5F9"/>
          </w:tcPr>
          <w:p>
            <w:pPr>
              <w:jc w:val="center"/>
              <w:spacing w:after="0"/>
              <w:rPr>
                <w:sz w:val="20"/>
                <w:szCs w:val="20"/>
                <w:color w:val="auto"/>
              </w:rPr>
            </w:pPr>
            <w:r>
              <w:rPr>
                <w:rFonts w:ascii="Verdana" w:cs="Verdana" w:eastAsia="Verdana" w:hAnsi="Verdana"/>
                <w:sz w:val="16"/>
                <w:szCs w:val="16"/>
                <w:color w:val="auto"/>
                <w:w w:val="97"/>
              </w:rPr>
              <w:t>50th</w:t>
            </w:r>
          </w:p>
        </w:tc>
        <w:tc>
          <w:tcPr>
            <w:tcW w:w="1360" w:type="dxa"/>
            <w:vAlign w:val="bottom"/>
            <w:tcBorders>
              <w:bottom w:val="single" w:sz="8" w:color="696158"/>
            </w:tcBorders>
            <w:shd w:val="clear" w:color="auto" w:fill="D6E5F9"/>
          </w:tcPr>
          <w:p>
            <w:pPr>
              <w:jc w:val="center"/>
              <w:ind w:left="119"/>
              <w:spacing w:after="0"/>
              <w:rPr>
                <w:sz w:val="20"/>
                <w:szCs w:val="20"/>
                <w:color w:val="auto"/>
              </w:rPr>
            </w:pPr>
            <w:r>
              <w:rPr>
                <w:rFonts w:ascii="Verdana" w:cs="Verdana" w:eastAsia="Verdana" w:hAnsi="Verdana"/>
                <w:sz w:val="16"/>
                <w:szCs w:val="16"/>
                <w:color w:val="auto"/>
                <w:w w:val="97"/>
              </w:rPr>
              <w:t>75th</w:t>
            </w:r>
          </w:p>
        </w:tc>
        <w:tc>
          <w:tcPr>
            <w:tcW w:w="1500" w:type="dxa"/>
            <w:vAlign w:val="bottom"/>
            <w:tcBorders>
              <w:bottom w:val="single" w:sz="8" w:color="696158"/>
            </w:tcBorders>
            <w:shd w:val="clear" w:color="auto" w:fill="D6E5F9"/>
          </w:tcPr>
          <w:p>
            <w:pPr>
              <w:jc w:val="center"/>
              <w:spacing w:after="0"/>
              <w:rPr>
                <w:sz w:val="20"/>
                <w:szCs w:val="20"/>
                <w:color w:val="auto"/>
              </w:rPr>
            </w:pPr>
            <w:r>
              <w:rPr>
                <w:rFonts w:ascii="Verdana" w:cs="Verdana" w:eastAsia="Verdana" w:hAnsi="Verdana"/>
                <w:sz w:val="16"/>
                <w:szCs w:val="16"/>
                <w:color w:val="auto"/>
              </w:rPr>
              <w:t>26.7th</w:t>
            </w:r>
          </w:p>
        </w:tc>
        <w:tc>
          <w:tcPr>
            <w:tcW w:w="360" w:type="dxa"/>
            <w:vAlign w:val="bottom"/>
            <w:tcBorders>
              <w:bottom w:val="single" w:sz="8" w:color="696158"/>
            </w:tcBorders>
            <w:shd w:val="clear" w:color="auto" w:fill="D6E5F9"/>
          </w:tcPr>
          <w:p>
            <w:pPr>
              <w:spacing w:after="0"/>
              <w:rPr>
                <w:sz w:val="20"/>
                <w:szCs w:val="20"/>
                <w:color w:val="auto"/>
              </w:rPr>
            </w:pPr>
          </w:p>
        </w:tc>
        <w:tc>
          <w:tcPr>
            <w:tcW w:w="1560" w:type="dxa"/>
            <w:vAlign w:val="bottom"/>
            <w:tcBorders>
              <w:bottom w:val="single" w:sz="8" w:color="696158"/>
            </w:tcBorders>
            <w:shd w:val="clear" w:color="auto" w:fill="D6E5F9"/>
          </w:tcPr>
          <w:p>
            <w:pPr>
              <w:jc w:val="center"/>
              <w:spacing w:after="0"/>
              <w:rPr>
                <w:sz w:val="20"/>
                <w:szCs w:val="20"/>
                <w:color w:val="auto"/>
              </w:rPr>
            </w:pPr>
            <w:r>
              <w:rPr>
                <w:rFonts w:ascii="Verdana" w:cs="Verdana" w:eastAsia="Verdana" w:hAnsi="Verdana"/>
                <w:sz w:val="16"/>
                <w:szCs w:val="16"/>
                <w:color w:val="auto"/>
              </w:rPr>
              <w:t>53%</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696158"/>
            </w:tcBorders>
          </w:tcPr>
          <w:p>
            <w:pPr>
              <w:spacing w:after="0"/>
              <w:rPr>
                <w:sz w:val="20"/>
                <w:szCs w:val="20"/>
                <w:color w:val="auto"/>
              </w:rPr>
            </w:pPr>
          </w:p>
        </w:tc>
        <w:tc>
          <w:tcPr>
            <w:tcW w:w="1220" w:type="dxa"/>
            <w:vAlign w:val="bottom"/>
            <w:tcBorders>
              <w:bottom w:val="single" w:sz="8" w:color="696158"/>
            </w:tcBorders>
          </w:tcPr>
          <w:p>
            <w:pPr>
              <w:spacing w:after="0"/>
              <w:rPr>
                <w:sz w:val="20"/>
                <w:szCs w:val="20"/>
                <w:color w:val="auto"/>
              </w:rPr>
            </w:pPr>
          </w:p>
        </w:tc>
        <w:tc>
          <w:tcPr>
            <w:tcW w:w="1460" w:type="dxa"/>
            <w:vAlign w:val="bottom"/>
            <w:tcBorders>
              <w:bottom w:val="single" w:sz="8" w:color="696158"/>
            </w:tcBorders>
          </w:tcPr>
          <w:p>
            <w:pPr>
              <w:spacing w:after="0"/>
              <w:rPr>
                <w:sz w:val="20"/>
                <w:szCs w:val="20"/>
                <w:color w:val="auto"/>
              </w:rPr>
            </w:pPr>
          </w:p>
        </w:tc>
        <w:tc>
          <w:tcPr>
            <w:tcW w:w="1400" w:type="dxa"/>
            <w:vAlign w:val="bottom"/>
            <w:tcBorders>
              <w:bottom w:val="single" w:sz="8" w:color="696158"/>
            </w:tcBorders>
          </w:tcPr>
          <w:p>
            <w:pPr>
              <w:spacing w:after="0"/>
              <w:rPr>
                <w:sz w:val="20"/>
                <w:szCs w:val="20"/>
                <w:color w:val="auto"/>
              </w:rPr>
            </w:pPr>
          </w:p>
        </w:tc>
        <w:tc>
          <w:tcPr>
            <w:tcW w:w="1360" w:type="dxa"/>
            <w:vAlign w:val="bottom"/>
            <w:tcBorders>
              <w:bottom w:val="single" w:sz="8" w:color="696158"/>
            </w:tcBorders>
          </w:tcPr>
          <w:p>
            <w:pPr>
              <w:spacing w:after="0"/>
              <w:rPr>
                <w:sz w:val="20"/>
                <w:szCs w:val="20"/>
                <w:color w:val="auto"/>
              </w:rPr>
            </w:pPr>
          </w:p>
        </w:tc>
        <w:tc>
          <w:tcPr>
            <w:tcW w:w="1500" w:type="dxa"/>
            <w:vAlign w:val="bottom"/>
            <w:tcBorders>
              <w:bottom w:val="single" w:sz="8" w:color="696158"/>
            </w:tcBorders>
          </w:tcPr>
          <w:p>
            <w:pPr>
              <w:ind w:left="340"/>
              <w:spacing w:after="0"/>
              <w:rPr>
                <w:sz w:val="20"/>
                <w:szCs w:val="20"/>
                <w:color w:val="auto"/>
              </w:rPr>
            </w:pPr>
            <w:r>
              <w:rPr>
                <w:rFonts w:ascii="Verdana" w:cs="Verdana" w:eastAsia="Verdana" w:hAnsi="Verdana"/>
                <w:sz w:val="16"/>
                <w:szCs w:val="16"/>
                <w:b w:val="1"/>
                <w:bCs w:val="1"/>
                <w:color w:val="auto"/>
              </w:rPr>
              <w:t>Final Payout</w:t>
            </w:r>
          </w:p>
        </w:tc>
        <w:tc>
          <w:tcPr>
            <w:tcW w:w="360" w:type="dxa"/>
            <w:vAlign w:val="bottom"/>
            <w:tcBorders>
              <w:bottom w:val="single" w:sz="8" w:color="696158"/>
            </w:tcBorders>
          </w:tcPr>
          <w:p>
            <w:pPr>
              <w:spacing w:after="0"/>
              <w:rPr>
                <w:sz w:val="20"/>
                <w:szCs w:val="20"/>
                <w:color w:val="auto"/>
              </w:rPr>
            </w:pPr>
          </w:p>
        </w:tc>
        <w:tc>
          <w:tcPr>
            <w:tcW w:w="1560" w:type="dxa"/>
            <w:vAlign w:val="bottom"/>
            <w:tcBorders>
              <w:bottom w:val="single" w:sz="8" w:color="696158"/>
            </w:tcBorders>
          </w:tcPr>
          <w:p>
            <w:pPr>
              <w:jc w:val="center"/>
              <w:spacing w:after="0"/>
              <w:rPr>
                <w:sz w:val="20"/>
                <w:szCs w:val="20"/>
                <w:color w:val="auto"/>
              </w:rPr>
            </w:pPr>
            <w:r>
              <w:rPr>
                <w:rFonts w:ascii="Verdana" w:cs="Verdana" w:eastAsia="Verdana" w:hAnsi="Verdana"/>
                <w:sz w:val="16"/>
                <w:szCs w:val="16"/>
                <w:b w:val="1"/>
                <w:bCs w:val="1"/>
                <w:color w:val="auto"/>
                <w:w w:val="98"/>
              </w:rPr>
              <w:t>112%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0" w:hanging="332"/>
        <w:spacing w:after="0" w:line="248" w:lineRule="auto"/>
        <w:tabs>
          <w:tab w:leader="none" w:pos="491" w:val="left"/>
        </w:tabs>
        <w:numPr>
          <w:ilvl w:val="0"/>
          <w:numId w:val="76"/>
        </w:numPr>
        <w:rPr>
          <w:rFonts w:ascii="Verdana" w:cs="Verdana" w:eastAsia="Verdana" w:hAnsi="Verdana"/>
          <w:sz w:val="14"/>
          <w:szCs w:val="14"/>
          <w:color w:val="auto"/>
        </w:rPr>
      </w:pPr>
      <w:r>
        <w:rPr>
          <w:rFonts w:ascii="Verdana" w:cs="Verdana" w:eastAsia="Verdana" w:hAnsi="Verdana"/>
          <w:sz w:val="14"/>
          <w:szCs w:val="14"/>
          <w:color w:val="auto"/>
        </w:rPr>
        <w:t>In determining the payouts, consistent with historical practice, the P&amp;C Committee adjusted the Adjusted Annual Pretax Income results to eliminate the impact of acquisitions and divestitures made during the performance period. These adjustments increased the cumulative Adjusted Annual Pretax Income result by $15 million over the performance period. For 2022, the impact of two acquisitions was excluded as the acquisitions were not contemplated when the 2022 goal was set. For 2023, the impact of a divestiture that did not occur was excluded as the divestiture was contemplated when the 2023 goal was set. For 2024, the impact of a divestiture that did occur was excluded as the divestiture was not contemplated when the 2024 goal was set.</w:t>
      </w:r>
    </w:p>
    <w:p>
      <w:pPr>
        <w:spacing w:after="0" w:line="88" w:lineRule="exact"/>
        <w:rPr>
          <w:sz w:val="20"/>
          <w:szCs w:val="20"/>
          <w:color w:val="auto"/>
        </w:rPr>
      </w:pPr>
    </w:p>
    <w:p>
      <w:pPr>
        <w:spacing w:after="0"/>
        <w:rPr>
          <w:sz w:val="20"/>
          <w:szCs w:val="20"/>
          <w:color w:val="auto"/>
        </w:rPr>
      </w:pPr>
      <w:r>
        <w:rPr>
          <w:rFonts w:ascii="Verdana" w:cs="Verdana" w:eastAsia="Verdana" w:hAnsi="Verdana"/>
          <w:sz w:val="16"/>
          <w:szCs w:val="16"/>
          <w:color w:val="auto"/>
        </w:rPr>
        <w:t>The resulting share amounts earned by our NEOs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376301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763010" cy="179705"/>
                    </a:xfrm>
                    <a:prstGeom prst="rect">
                      <a:avLst/>
                    </a:prstGeom>
                    <a:noFill/>
                  </pic:spPr>
                </pic:pic>
              </a:graphicData>
            </a:graphic>
          </wp:anchor>
        </w:drawing>
      </w:r>
    </w:p>
    <w:p>
      <w:pPr>
        <w:spacing w:after="0" w:line="172" w:lineRule="exact"/>
        <w:rPr>
          <w:sz w:val="20"/>
          <w:szCs w:val="20"/>
          <w:color w:val="auto"/>
        </w:rPr>
      </w:pPr>
    </w:p>
    <w:p>
      <w:pPr>
        <w:ind w:left="1360"/>
        <w:spacing w:after="0"/>
        <w:rPr>
          <w:sz w:val="20"/>
          <w:szCs w:val="20"/>
          <w:color w:val="auto"/>
        </w:rPr>
      </w:pPr>
      <w:r>
        <w:rPr>
          <w:rFonts w:ascii="Verdana" w:cs="Verdana" w:eastAsia="Verdana" w:hAnsi="Verdana"/>
          <w:sz w:val="18"/>
          <w:szCs w:val="18"/>
          <w:b w:val="1"/>
          <w:bCs w:val="1"/>
          <w:color w:val="F0EFEE"/>
        </w:rPr>
        <w:t>2022-2024 Performance Shares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Borders>
              <w:top w:val="single" w:sz="8" w:color="696158"/>
            </w:tcBorders>
          </w:tcPr>
          <w:p>
            <w:pPr>
              <w:spacing w:after="0"/>
              <w:rPr>
                <w:sz w:val="16"/>
                <w:szCs w:val="16"/>
                <w:color w:val="auto"/>
              </w:rPr>
            </w:pPr>
          </w:p>
        </w:tc>
        <w:tc>
          <w:tcPr>
            <w:tcW w:w="1720" w:type="dxa"/>
            <w:vAlign w:val="bottom"/>
            <w:tcBorders>
              <w:top w:val="single" w:sz="8" w:color="696158"/>
            </w:tcBorders>
          </w:tcPr>
          <w:p>
            <w:pPr>
              <w:spacing w:after="0"/>
              <w:rPr>
                <w:sz w:val="16"/>
                <w:szCs w:val="16"/>
                <w:color w:val="auto"/>
              </w:rPr>
            </w:pPr>
          </w:p>
        </w:tc>
        <w:tc>
          <w:tcPr>
            <w:tcW w:w="1120" w:type="dxa"/>
            <w:vAlign w:val="bottom"/>
            <w:tcBorders>
              <w:top w:val="single" w:sz="8" w:color="696158"/>
            </w:tcBorders>
          </w:tcPr>
          <w:p>
            <w:pPr>
              <w:spacing w:after="0"/>
              <w:rPr>
                <w:sz w:val="16"/>
                <w:szCs w:val="16"/>
                <w:color w:val="auto"/>
              </w:rPr>
            </w:pPr>
          </w:p>
        </w:tc>
        <w:tc>
          <w:tcPr>
            <w:tcW w:w="1460" w:type="dxa"/>
            <w:vAlign w:val="bottom"/>
            <w:tcBorders>
              <w:top w:val="single" w:sz="8" w:color="696158"/>
            </w:tcBorders>
          </w:tcPr>
          <w:p>
            <w:pPr>
              <w:jc w:val="center"/>
              <w:ind w:left="148"/>
              <w:spacing w:after="0"/>
              <w:rPr>
                <w:sz w:val="20"/>
                <w:szCs w:val="20"/>
                <w:color w:val="auto"/>
              </w:rPr>
            </w:pPr>
            <w:r>
              <w:rPr>
                <w:rFonts w:ascii="Verdana" w:cs="Verdana" w:eastAsia="Verdana" w:hAnsi="Verdana"/>
                <w:sz w:val="14"/>
                <w:szCs w:val="14"/>
                <w:b w:val="1"/>
                <w:bCs w:val="1"/>
                <w:color w:val="307FE2"/>
              </w:rPr>
              <w:t>Actual Shares</w:t>
            </w:r>
          </w:p>
        </w:tc>
      </w:tr>
      <w:tr>
        <w:trPr>
          <w:trHeight w:val="162"/>
        </w:trPr>
        <w:tc>
          <w:tcPr>
            <w:tcW w:w="1640" w:type="dxa"/>
            <w:vAlign w:val="bottom"/>
          </w:tcPr>
          <w:p>
            <w:pPr>
              <w:spacing w:after="0"/>
              <w:rPr>
                <w:sz w:val="14"/>
                <w:szCs w:val="14"/>
                <w:color w:val="auto"/>
              </w:rPr>
            </w:pPr>
          </w:p>
        </w:tc>
        <w:tc>
          <w:tcPr>
            <w:tcW w:w="1720" w:type="dxa"/>
            <w:vAlign w:val="bottom"/>
          </w:tcPr>
          <w:p>
            <w:pPr>
              <w:ind w:left="280"/>
              <w:spacing w:after="0" w:line="162" w:lineRule="exact"/>
              <w:rPr>
                <w:sz w:val="20"/>
                <w:szCs w:val="20"/>
                <w:color w:val="auto"/>
              </w:rPr>
            </w:pPr>
            <w:r>
              <w:rPr>
                <w:rFonts w:ascii="Verdana" w:cs="Verdana" w:eastAsia="Verdana" w:hAnsi="Verdana"/>
                <w:sz w:val="14"/>
                <w:szCs w:val="14"/>
                <w:b w:val="1"/>
                <w:bCs w:val="1"/>
                <w:color w:val="307FE2"/>
              </w:rPr>
              <w:t>Target Shares</w:t>
            </w:r>
          </w:p>
        </w:tc>
        <w:tc>
          <w:tcPr>
            <w:tcW w:w="1120" w:type="dxa"/>
            <w:vAlign w:val="bottom"/>
          </w:tcPr>
          <w:p>
            <w:pPr>
              <w:spacing w:after="0"/>
              <w:rPr>
                <w:sz w:val="14"/>
                <w:szCs w:val="14"/>
                <w:color w:val="auto"/>
              </w:rPr>
            </w:pPr>
          </w:p>
        </w:tc>
        <w:tc>
          <w:tcPr>
            <w:tcW w:w="1460" w:type="dxa"/>
            <w:vAlign w:val="bottom"/>
          </w:tcPr>
          <w:p>
            <w:pPr>
              <w:jc w:val="center"/>
              <w:ind w:left="148"/>
              <w:spacing w:after="0" w:line="162" w:lineRule="exact"/>
              <w:rPr>
                <w:sz w:val="20"/>
                <w:szCs w:val="20"/>
                <w:color w:val="auto"/>
              </w:rPr>
            </w:pPr>
            <w:r>
              <w:rPr>
                <w:rFonts w:ascii="Verdana" w:cs="Verdana" w:eastAsia="Verdana" w:hAnsi="Verdana"/>
                <w:sz w:val="14"/>
                <w:szCs w:val="14"/>
                <w:b w:val="1"/>
                <w:bCs w:val="1"/>
                <w:color w:val="307FE2"/>
              </w:rPr>
              <w:t>Earned</w:t>
            </w:r>
          </w:p>
        </w:tc>
      </w:tr>
      <w:tr>
        <w:trPr>
          <w:trHeight w:val="200"/>
        </w:trPr>
        <w:tc>
          <w:tcPr>
            <w:tcW w:w="16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Verdana" w:cs="Verdana" w:eastAsia="Verdana" w:hAnsi="Verdana"/>
                <w:sz w:val="14"/>
                <w:szCs w:val="14"/>
                <w:b w:val="1"/>
                <w:bCs w:val="1"/>
                <w:color w:val="307FE2"/>
              </w:rPr>
              <w:t>(#)</w:t>
            </w:r>
          </w:p>
        </w:tc>
        <w:tc>
          <w:tcPr>
            <w:tcW w:w="1120" w:type="dxa"/>
            <w:vAlign w:val="bottom"/>
          </w:tcPr>
          <w:p>
            <w:pPr>
              <w:jc w:val="center"/>
              <w:spacing w:after="0"/>
              <w:rPr>
                <w:sz w:val="20"/>
                <w:szCs w:val="20"/>
                <w:color w:val="auto"/>
              </w:rPr>
            </w:pPr>
            <w:r>
              <w:rPr>
                <w:rFonts w:ascii="Verdana" w:cs="Verdana" w:eastAsia="Verdana" w:hAnsi="Verdana"/>
                <w:sz w:val="14"/>
                <w:szCs w:val="14"/>
                <w:b w:val="1"/>
                <w:bCs w:val="1"/>
                <w:color w:val="307FE2"/>
              </w:rPr>
              <w:t>Result</w:t>
            </w:r>
          </w:p>
        </w:tc>
        <w:tc>
          <w:tcPr>
            <w:tcW w:w="1460" w:type="dxa"/>
            <w:vAlign w:val="bottom"/>
          </w:tcPr>
          <w:p>
            <w:pPr>
              <w:jc w:val="center"/>
              <w:ind w:left="148"/>
              <w:spacing w:after="0"/>
              <w:rPr>
                <w:sz w:val="20"/>
                <w:szCs w:val="20"/>
                <w:color w:val="auto"/>
              </w:rPr>
            </w:pPr>
            <w:r>
              <w:rPr>
                <w:rFonts w:ascii="Verdana" w:cs="Verdana" w:eastAsia="Verdana" w:hAnsi="Verdana"/>
                <w:sz w:val="14"/>
                <w:szCs w:val="14"/>
                <w:b w:val="1"/>
                <w:bCs w:val="1"/>
                <w:color w:val="307FE2"/>
              </w:rPr>
              <w:t>(#)</w:t>
            </w:r>
          </w:p>
        </w:tc>
      </w:tr>
      <w:tr>
        <w:trPr>
          <w:trHeight w:val="25"/>
        </w:trPr>
        <w:tc>
          <w:tcPr>
            <w:tcW w:w="1640" w:type="dxa"/>
            <w:vAlign w:val="bottom"/>
            <w:tcBorders>
              <w:bottom w:val="single" w:sz="8" w:color="1D428A"/>
            </w:tcBorders>
          </w:tcPr>
          <w:p>
            <w:pPr>
              <w:spacing w:after="0"/>
              <w:rPr>
                <w:sz w:val="2"/>
                <w:szCs w:val="2"/>
                <w:color w:val="auto"/>
              </w:rPr>
            </w:pPr>
          </w:p>
        </w:tc>
        <w:tc>
          <w:tcPr>
            <w:tcW w:w="1720" w:type="dxa"/>
            <w:vAlign w:val="bottom"/>
            <w:tcBorders>
              <w:bottom w:val="single" w:sz="8" w:color="1D428A"/>
            </w:tcBorders>
          </w:tcPr>
          <w:p>
            <w:pPr>
              <w:spacing w:after="0"/>
              <w:rPr>
                <w:sz w:val="2"/>
                <w:szCs w:val="2"/>
                <w:color w:val="auto"/>
              </w:rPr>
            </w:pPr>
          </w:p>
        </w:tc>
        <w:tc>
          <w:tcPr>
            <w:tcW w:w="1120" w:type="dxa"/>
            <w:vAlign w:val="bottom"/>
            <w:tcBorders>
              <w:bottom w:val="single" w:sz="8" w:color="1D428A"/>
            </w:tcBorders>
          </w:tcPr>
          <w:p>
            <w:pPr>
              <w:spacing w:after="0"/>
              <w:rPr>
                <w:sz w:val="2"/>
                <w:szCs w:val="2"/>
                <w:color w:val="auto"/>
              </w:rPr>
            </w:pPr>
          </w:p>
        </w:tc>
        <w:tc>
          <w:tcPr>
            <w:tcW w:w="1460" w:type="dxa"/>
            <w:vAlign w:val="bottom"/>
            <w:tcBorders>
              <w:bottom w:val="single" w:sz="8" w:color="1D428A"/>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Raymond E. Scott</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34,580</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112%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rPr>
              <w:t>38,729</w:t>
            </w: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Jason M. Cardew</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8,974</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112%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rPr>
              <w:t>10,050</w:t>
            </w: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Frank C. Orsini</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8,974</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112%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rPr>
              <w:t>10,050</w:t>
            </w: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Carl A. Esposito</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6,861</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112%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w w:val="97"/>
              </w:rPr>
              <w:t>7,683</w:t>
            </w: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Harry A. Kemp</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5,218</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112%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w w:val="97"/>
              </w:rPr>
              <w:t>5,844</w:t>
            </w: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Alicia J. Davis</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3,630</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112%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w w:val="97"/>
              </w:rPr>
              <w:t>4,063</w:t>
            </w:r>
          </w:p>
        </w:tc>
      </w:tr>
      <w:tr>
        <w:trPr>
          <w:trHeight w:val="25"/>
        </w:trPr>
        <w:tc>
          <w:tcPr>
            <w:tcW w:w="1640" w:type="dxa"/>
            <w:vAlign w:val="bottom"/>
            <w:tcBorders>
              <w:bottom w:val="single" w:sz="8" w:color="696158"/>
            </w:tcBorders>
          </w:tcPr>
          <w:p>
            <w:pPr>
              <w:spacing w:after="0"/>
              <w:rPr>
                <w:sz w:val="2"/>
                <w:szCs w:val="2"/>
                <w:color w:val="auto"/>
              </w:rPr>
            </w:pPr>
          </w:p>
        </w:tc>
        <w:tc>
          <w:tcPr>
            <w:tcW w:w="1720" w:type="dxa"/>
            <w:vAlign w:val="bottom"/>
            <w:tcBorders>
              <w:bottom w:val="single" w:sz="8" w:color="696158"/>
            </w:tcBorders>
          </w:tcPr>
          <w:p>
            <w:pPr>
              <w:spacing w:after="0"/>
              <w:rPr>
                <w:sz w:val="2"/>
                <w:szCs w:val="2"/>
                <w:color w:val="auto"/>
              </w:rPr>
            </w:pPr>
          </w:p>
        </w:tc>
        <w:tc>
          <w:tcPr>
            <w:tcW w:w="1120" w:type="dxa"/>
            <w:vAlign w:val="bottom"/>
            <w:tcBorders>
              <w:bottom w:val="single" w:sz="8" w:color="696158"/>
            </w:tcBorders>
          </w:tcPr>
          <w:p>
            <w:pPr>
              <w:spacing w:after="0"/>
              <w:rPr>
                <w:sz w:val="2"/>
                <w:szCs w:val="2"/>
                <w:color w:val="auto"/>
              </w:rPr>
            </w:pPr>
          </w:p>
        </w:tc>
        <w:tc>
          <w:tcPr>
            <w:tcW w:w="1460" w:type="dxa"/>
            <w:vAlign w:val="bottom"/>
            <w:tcBorders>
              <w:bottom w:val="single" w:sz="8" w:color="696158"/>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2024-2026 Long-Term Incentive Award Opportunity</w:t>
      </w:r>
    </w:p>
    <w:p>
      <w:pPr>
        <w:spacing w:after="0" w:line="137" w:lineRule="exact"/>
        <w:rPr>
          <w:sz w:val="20"/>
          <w:szCs w:val="20"/>
          <w:color w:val="auto"/>
        </w:rPr>
      </w:pPr>
    </w:p>
    <w:p>
      <w:pPr>
        <w:jc w:val="both"/>
        <w:ind w:right="20"/>
        <w:spacing w:after="0" w:line="238" w:lineRule="auto"/>
        <w:rPr>
          <w:sz w:val="20"/>
          <w:szCs w:val="20"/>
          <w:color w:val="auto"/>
        </w:rPr>
      </w:pPr>
      <w:r>
        <w:rPr>
          <w:rFonts w:ascii="Verdana" w:cs="Verdana" w:eastAsia="Verdana" w:hAnsi="Verdana"/>
          <w:sz w:val="16"/>
          <w:szCs w:val="16"/>
          <w:color w:val="auto"/>
        </w:rPr>
        <w:t>The 2024 LTI award mix for our CEO was approximately 75% Performance Shares and 25% RSUs and was 70% Performance Shares and 30% RSUs for our other NEOs. The weightings and the target LTI opportunity as a percentage of salary for each NEO is unchanged from 2023. Vesting of the Performance Shares is based on the achievement of performance goals over the three-year performance period</w:t>
      </w:r>
    </w:p>
    <w:p>
      <w:pPr>
        <w:spacing w:after="0" w:line="2" w:lineRule="exact"/>
        <w:rPr>
          <w:sz w:val="20"/>
          <w:szCs w:val="20"/>
          <w:color w:val="auto"/>
        </w:rPr>
      </w:pPr>
    </w:p>
    <w:p>
      <w:pPr>
        <w:ind w:right="840"/>
        <w:spacing w:after="0" w:line="253" w:lineRule="auto"/>
        <w:rPr>
          <w:sz w:val="20"/>
          <w:szCs w:val="20"/>
          <w:color w:val="auto"/>
        </w:rPr>
      </w:pPr>
      <w:r>
        <w:rPr>
          <w:rFonts w:ascii="Verdana" w:cs="Verdana" w:eastAsia="Verdana" w:hAnsi="Verdana"/>
          <w:sz w:val="16"/>
          <w:szCs w:val="16"/>
          <w:color w:val="auto"/>
        </w:rPr>
        <w:t>(2024-2026). The RSUs cliff vest on the third anniversary of the date of grant, with exceptions for death, disability, retirement, qualifying terminations within two years following a change in control and certain other qualifying involuntary terminations.</w:t>
      </w:r>
    </w:p>
    <w:p>
      <w:pPr>
        <w:spacing w:after="0" w:line="90"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Our weighting of Performance Shares is higher than most of the Comparator Group and many other large industrial companies, which often assign Performance Shares a lower weighting (e.g., typically 50% to 60% of the regular annual equity award mix). Our heavy weighting of Performance Shares increases the sensitivity of the value of our NEOs’ long-term equity incentives to Company performance</w:t>
      </w:r>
    </w:p>
    <w:p>
      <w:pPr>
        <w:spacing w:after="0" w:line="2" w:lineRule="exact"/>
        <w:rPr>
          <w:sz w:val="20"/>
          <w:szCs w:val="20"/>
          <w:color w:val="auto"/>
        </w:rPr>
      </w:pPr>
    </w:p>
    <w:p>
      <w:pPr>
        <w:ind w:right="360"/>
        <w:spacing w:after="0" w:line="253" w:lineRule="auto"/>
        <w:rPr>
          <w:sz w:val="20"/>
          <w:szCs w:val="20"/>
          <w:color w:val="auto"/>
        </w:rPr>
      </w:pPr>
      <w:r>
        <w:rPr>
          <w:rFonts w:ascii="Verdana" w:cs="Verdana" w:eastAsia="Verdana" w:hAnsi="Verdana"/>
          <w:sz w:val="16"/>
          <w:szCs w:val="16"/>
          <w:color w:val="auto"/>
        </w:rPr>
        <w:t>– not only does the underlying value of a Performance Share fluctuate with changes in the Company’s stock price, but the number of shares earned varies based on the Company’s achievement of financial and relative TSR goals.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78"/>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471487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14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40"/>
        <w:spacing w:after="0"/>
        <w:rPr>
          <w:sz w:val="20"/>
          <w:szCs w:val="20"/>
          <w:color w:val="auto"/>
        </w:rPr>
      </w:pPr>
      <w:r>
        <w:rPr>
          <w:rFonts w:ascii="Verdana" w:cs="Verdana" w:eastAsia="Verdana" w:hAnsi="Verdana"/>
          <w:sz w:val="16"/>
          <w:szCs w:val="16"/>
          <w:b w:val="1"/>
          <w:bCs w:val="1"/>
          <w:color w:val="F0EFEE"/>
        </w:rPr>
        <w:t>2024-2026 Target Long-Term Incentive Opportunity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60" w:type="dxa"/>
            <w:vAlign w:val="bottom"/>
            <w:tcBorders>
              <w:top w:val="single" w:sz="8" w:color="696158"/>
            </w:tcBorders>
          </w:tcPr>
          <w:p>
            <w:pPr>
              <w:spacing w:after="0"/>
              <w:rPr>
                <w:sz w:val="17"/>
                <w:szCs w:val="17"/>
                <w:color w:val="auto"/>
              </w:rPr>
            </w:pPr>
          </w:p>
        </w:tc>
        <w:tc>
          <w:tcPr>
            <w:tcW w:w="2220" w:type="dxa"/>
            <w:vAlign w:val="bottom"/>
            <w:tcBorders>
              <w:top w:val="single" w:sz="8" w:color="696158"/>
            </w:tcBorders>
            <w:gridSpan w:val="2"/>
          </w:tcPr>
          <w:p>
            <w:pPr>
              <w:jc w:val="right"/>
              <w:ind w:right="68"/>
              <w:spacing w:after="0"/>
              <w:rPr>
                <w:sz w:val="20"/>
                <w:szCs w:val="20"/>
                <w:color w:val="auto"/>
              </w:rPr>
            </w:pPr>
            <w:r>
              <w:rPr>
                <w:rFonts w:ascii="Verdana" w:cs="Verdana" w:eastAsia="Verdana" w:hAnsi="Verdana"/>
                <w:sz w:val="14"/>
                <w:szCs w:val="14"/>
                <w:b w:val="1"/>
                <w:bCs w:val="1"/>
                <w:color w:val="307FE2"/>
              </w:rPr>
              <w:t>2024 Base Salary</w:t>
            </w:r>
          </w:p>
        </w:tc>
        <w:tc>
          <w:tcPr>
            <w:tcW w:w="1600" w:type="dxa"/>
            <w:vAlign w:val="bottom"/>
            <w:tcBorders>
              <w:top w:val="single" w:sz="8" w:color="696158"/>
            </w:tcBorders>
          </w:tcPr>
          <w:p>
            <w:pPr>
              <w:jc w:val="center"/>
              <w:spacing w:after="0"/>
              <w:rPr>
                <w:sz w:val="20"/>
                <w:szCs w:val="20"/>
                <w:color w:val="auto"/>
              </w:rPr>
            </w:pPr>
            <w:r>
              <w:rPr>
                <w:rFonts w:ascii="Verdana" w:cs="Verdana" w:eastAsia="Verdana" w:hAnsi="Verdana"/>
                <w:sz w:val="14"/>
                <w:szCs w:val="14"/>
                <w:b w:val="1"/>
                <w:bCs w:val="1"/>
                <w:color w:val="307FE2"/>
              </w:rPr>
              <w:t>Target LTI (% of</w:t>
            </w:r>
          </w:p>
        </w:tc>
        <w:tc>
          <w:tcPr>
            <w:tcW w:w="240" w:type="dxa"/>
            <w:vAlign w:val="bottom"/>
            <w:tcBorders>
              <w:top w:val="single" w:sz="8" w:color="696158"/>
            </w:tcBorders>
          </w:tcPr>
          <w:p>
            <w:pPr>
              <w:spacing w:after="0"/>
              <w:rPr>
                <w:sz w:val="17"/>
                <w:szCs w:val="17"/>
                <w:color w:val="auto"/>
              </w:rPr>
            </w:pPr>
          </w:p>
        </w:tc>
        <w:tc>
          <w:tcPr>
            <w:tcW w:w="1420" w:type="dxa"/>
            <w:vAlign w:val="bottom"/>
            <w:tcBorders>
              <w:top w:val="single" w:sz="8" w:color="696158"/>
            </w:tcBorders>
          </w:tcPr>
          <w:p>
            <w:pPr>
              <w:jc w:val="right"/>
              <w:ind w:right="288"/>
              <w:spacing w:after="0"/>
              <w:rPr>
                <w:sz w:val="20"/>
                <w:szCs w:val="20"/>
                <w:color w:val="auto"/>
              </w:rPr>
            </w:pPr>
            <w:r>
              <w:rPr>
                <w:rFonts w:ascii="Verdana" w:cs="Verdana" w:eastAsia="Verdana" w:hAnsi="Verdana"/>
                <w:sz w:val="14"/>
                <w:szCs w:val="14"/>
                <w:b w:val="1"/>
                <w:bCs w:val="1"/>
                <w:color w:val="307FE2"/>
              </w:rPr>
              <w:t>Target LTI</w:t>
            </w:r>
          </w:p>
        </w:tc>
      </w:tr>
      <w:tr>
        <w:trPr>
          <w:trHeight w:val="216"/>
        </w:trPr>
        <w:tc>
          <w:tcPr>
            <w:tcW w:w="1960" w:type="dxa"/>
            <w:vAlign w:val="bottom"/>
            <w:tcBorders>
              <w:bottom w:val="single" w:sz="8" w:color="307FE2"/>
            </w:tcBorders>
          </w:tcPr>
          <w:p>
            <w:pPr>
              <w:spacing w:after="0"/>
              <w:rPr>
                <w:sz w:val="18"/>
                <w:szCs w:val="18"/>
                <w:color w:val="auto"/>
              </w:rPr>
            </w:pPr>
          </w:p>
        </w:tc>
        <w:tc>
          <w:tcPr>
            <w:tcW w:w="900" w:type="dxa"/>
            <w:vAlign w:val="bottom"/>
            <w:tcBorders>
              <w:bottom w:val="single" w:sz="8" w:color="307FE2"/>
            </w:tcBorders>
          </w:tcPr>
          <w:p>
            <w:pPr>
              <w:spacing w:after="0"/>
              <w:rPr>
                <w:sz w:val="18"/>
                <w:szCs w:val="18"/>
                <w:color w:val="auto"/>
              </w:rPr>
            </w:pPr>
          </w:p>
        </w:tc>
        <w:tc>
          <w:tcPr>
            <w:tcW w:w="1320" w:type="dxa"/>
            <w:vAlign w:val="bottom"/>
            <w:tcBorders>
              <w:bottom w:val="single" w:sz="8" w:color="307FE2"/>
            </w:tcBorders>
          </w:tcPr>
          <w:p>
            <w:pPr>
              <w:jc w:val="right"/>
              <w:ind w:right="508"/>
              <w:spacing w:after="0" w:line="216" w:lineRule="exact"/>
              <w:rPr>
                <w:sz w:val="20"/>
                <w:szCs w:val="20"/>
                <w:color w:val="auto"/>
              </w:rPr>
            </w:pPr>
            <w:r>
              <w:rPr>
                <w:rFonts w:ascii="Verdana" w:cs="Verdana" w:eastAsia="Verdana" w:hAnsi="Verdana"/>
                <w:sz w:val="14"/>
                <w:szCs w:val="14"/>
                <w:b w:val="1"/>
                <w:bCs w:val="1"/>
                <w:color w:val="307FE2"/>
              </w:rPr>
              <w:t>Rate</w:t>
            </w:r>
            <w:r>
              <w:rPr>
                <w:rFonts w:ascii="Verdana" w:cs="Verdana" w:eastAsia="Verdana" w:hAnsi="Verdana"/>
                <w:sz w:val="18"/>
                <w:szCs w:val="18"/>
                <w:b w:val="1"/>
                <w:bCs w:val="1"/>
                <w:color w:val="307FE2"/>
                <w:vertAlign w:val="superscript"/>
              </w:rPr>
              <w:t>(1)</w:t>
            </w:r>
          </w:p>
        </w:tc>
        <w:tc>
          <w:tcPr>
            <w:tcW w:w="1600" w:type="dxa"/>
            <w:vAlign w:val="bottom"/>
            <w:tcBorders>
              <w:bottom w:val="single" w:sz="8" w:color="307FE2"/>
            </w:tcBorders>
          </w:tcPr>
          <w:p>
            <w:pPr>
              <w:jc w:val="center"/>
              <w:spacing w:after="0"/>
              <w:rPr>
                <w:sz w:val="20"/>
                <w:szCs w:val="20"/>
                <w:color w:val="auto"/>
              </w:rPr>
            </w:pPr>
            <w:r>
              <w:rPr>
                <w:rFonts w:ascii="Verdana" w:cs="Verdana" w:eastAsia="Verdana" w:hAnsi="Verdana"/>
                <w:sz w:val="14"/>
                <w:szCs w:val="14"/>
                <w:b w:val="1"/>
                <w:bCs w:val="1"/>
                <w:color w:val="307FE2"/>
              </w:rPr>
              <w:t>Base Salary)</w:t>
            </w:r>
          </w:p>
        </w:tc>
        <w:tc>
          <w:tcPr>
            <w:tcW w:w="240" w:type="dxa"/>
            <w:vAlign w:val="bottom"/>
            <w:tcBorders>
              <w:bottom w:val="single" w:sz="8" w:color="307FE2"/>
            </w:tcBorders>
          </w:tcPr>
          <w:p>
            <w:pPr>
              <w:spacing w:after="0"/>
              <w:rPr>
                <w:sz w:val="18"/>
                <w:szCs w:val="18"/>
                <w:color w:val="auto"/>
              </w:rPr>
            </w:pPr>
          </w:p>
        </w:tc>
        <w:tc>
          <w:tcPr>
            <w:tcW w:w="1420" w:type="dxa"/>
            <w:vAlign w:val="bottom"/>
            <w:tcBorders>
              <w:bottom w:val="single" w:sz="8" w:color="307FE2"/>
            </w:tcBorders>
          </w:tcPr>
          <w:p>
            <w:pPr>
              <w:jc w:val="right"/>
              <w:ind w:right="148"/>
              <w:spacing w:after="0" w:line="216" w:lineRule="exact"/>
              <w:rPr>
                <w:sz w:val="20"/>
                <w:szCs w:val="20"/>
                <w:color w:val="auto"/>
              </w:rPr>
            </w:pPr>
            <w:r>
              <w:rPr>
                <w:rFonts w:ascii="Verdana" w:cs="Verdana" w:eastAsia="Verdana" w:hAnsi="Verdana"/>
                <w:sz w:val="14"/>
                <w:szCs w:val="14"/>
                <w:b w:val="1"/>
                <w:bCs w:val="1"/>
                <w:color w:val="307FE2"/>
              </w:rPr>
              <w:t>Opportunity</w:t>
            </w:r>
            <w:r>
              <w:rPr>
                <w:rFonts w:ascii="Verdana" w:cs="Verdana" w:eastAsia="Verdana" w:hAnsi="Verdana"/>
                <w:sz w:val="18"/>
                <w:szCs w:val="18"/>
                <w:b w:val="1"/>
                <w:bCs w:val="1"/>
                <w:color w:val="307FE2"/>
                <w:vertAlign w:val="superscript"/>
              </w:rPr>
              <w:t>(2)</w:t>
            </w: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Raymond E. Scott</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1,300,000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900%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11,700,000</w:t>
            </w:r>
          </w:p>
        </w:tc>
      </w:tr>
      <w:tr>
        <w:trPr>
          <w:trHeight w:val="26"/>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7"/>
        </w:trPr>
        <w:tc>
          <w:tcPr>
            <w:tcW w:w="1960" w:type="dxa"/>
            <w:vAlign w:val="bottom"/>
          </w:tcPr>
          <w:p>
            <w:pPr>
              <w:ind w:left="40"/>
              <w:spacing w:after="0"/>
              <w:rPr>
                <w:sz w:val="20"/>
                <w:szCs w:val="20"/>
                <w:color w:val="auto"/>
              </w:rPr>
            </w:pPr>
            <w:r>
              <w:rPr>
                <w:rFonts w:ascii="Verdana" w:cs="Verdana" w:eastAsia="Verdana" w:hAnsi="Verdana"/>
                <w:sz w:val="14"/>
                <w:szCs w:val="14"/>
                <w:color w:val="auto"/>
              </w:rPr>
              <w:t>Jason M. Cardew</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850,000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400%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3,400,000</w:t>
            </w:r>
          </w:p>
        </w:tc>
      </w:tr>
      <w:tr>
        <w:trPr>
          <w:trHeight w:val="26"/>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Frank C. Orsini</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850,000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400%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3,400,000</w:t>
            </w:r>
          </w:p>
        </w:tc>
      </w:tr>
      <w:tr>
        <w:trPr>
          <w:trHeight w:val="26"/>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7"/>
        </w:trPr>
        <w:tc>
          <w:tcPr>
            <w:tcW w:w="1960" w:type="dxa"/>
            <w:vAlign w:val="bottom"/>
          </w:tcPr>
          <w:p>
            <w:pPr>
              <w:ind w:left="40"/>
              <w:spacing w:after="0"/>
              <w:rPr>
                <w:sz w:val="20"/>
                <w:szCs w:val="20"/>
                <w:color w:val="auto"/>
              </w:rPr>
            </w:pPr>
            <w:r>
              <w:rPr>
                <w:rFonts w:ascii="Verdana" w:cs="Verdana" w:eastAsia="Verdana" w:hAnsi="Verdana"/>
                <w:sz w:val="14"/>
                <w:szCs w:val="14"/>
                <w:color w:val="auto"/>
              </w:rPr>
              <w:t>Carl A. Esposito</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725,000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300%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2,175,000</w:t>
            </w:r>
          </w:p>
        </w:tc>
      </w:tr>
      <w:tr>
        <w:trPr>
          <w:trHeight w:val="26"/>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Harry A. Kemp</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700,000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255%</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1,785,000</w:t>
            </w:r>
          </w:p>
        </w:tc>
      </w:tr>
      <w:tr>
        <w:trPr>
          <w:trHeight w:val="26"/>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Alicia J. Davis</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550,000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250%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1,375,000</w:t>
            </w:r>
          </w:p>
        </w:tc>
      </w:tr>
      <w:tr>
        <w:trPr>
          <w:trHeight w:val="26"/>
        </w:trPr>
        <w:tc>
          <w:tcPr>
            <w:tcW w:w="19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132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240" w:type="dxa"/>
            <w:vAlign w:val="bottom"/>
            <w:tcBorders>
              <w:bottom w:val="single" w:sz="8" w:color="696158"/>
            </w:tcBorders>
          </w:tcPr>
          <w:p>
            <w:pPr>
              <w:spacing w:after="0"/>
              <w:rPr>
                <w:sz w:val="2"/>
                <w:szCs w:val="2"/>
                <w:color w:val="auto"/>
              </w:rPr>
            </w:pPr>
          </w:p>
        </w:tc>
        <w:tc>
          <w:tcPr>
            <w:tcW w:w="1420" w:type="dxa"/>
            <w:vAlign w:val="bottom"/>
            <w:tcBorders>
              <w:bottom w:val="single" w:sz="8" w:color="696158"/>
            </w:tcBorders>
          </w:tcPr>
          <w:p>
            <w:pPr>
              <w:spacing w:after="0"/>
              <w:rPr>
                <w:sz w:val="2"/>
                <w:szCs w:val="2"/>
                <w:color w:val="auto"/>
              </w:rPr>
            </w:pPr>
          </w:p>
        </w:tc>
      </w:tr>
    </w:tbl>
    <w:p>
      <w:pPr>
        <w:spacing w:after="0" w:line="193" w:lineRule="exact"/>
        <w:rPr>
          <w:sz w:val="20"/>
          <w:szCs w:val="20"/>
          <w:color w:val="auto"/>
        </w:rPr>
      </w:pPr>
    </w:p>
    <w:p>
      <w:pPr>
        <w:ind w:left="340" w:right="640" w:hanging="332"/>
        <w:spacing w:after="0" w:line="238" w:lineRule="auto"/>
        <w:tabs>
          <w:tab w:leader="none" w:pos="332" w:val="left"/>
        </w:tabs>
        <w:numPr>
          <w:ilvl w:val="0"/>
          <w:numId w:val="79"/>
        </w:numPr>
        <w:rPr>
          <w:rFonts w:ascii="Verdana" w:cs="Verdana" w:eastAsia="Verdana" w:hAnsi="Verdana"/>
          <w:sz w:val="13"/>
          <w:szCs w:val="13"/>
          <w:color w:val="auto"/>
        </w:rPr>
      </w:pPr>
      <w:r>
        <w:rPr>
          <w:rFonts w:ascii="Verdana" w:cs="Verdana" w:eastAsia="Verdana" w:hAnsi="Verdana"/>
          <w:sz w:val="14"/>
          <w:szCs w:val="14"/>
          <w:color w:val="auto"/>
        </w:rPr>
        <w:t xml:space="preserve">The values reflect the base salary rate in effect when the awards were granted in January 2024. As discussed on page </w:t>
      </w:r>
      <w:r>
        <w:rPr>
          <w:rFonts w:ascii="Verdana" w:cs="Verdana" w:eastAsia="Verdana" w:hAnsi="Verdana"/>
          <w:sz w:val="14"/>
          <w:szCs w:val="14"/>
          <w:u w:val="single" w:color="auto"/>
          <w:color w:val="0000FF"/>
        </w:rPr>
        <w:t>44</w:t>
      </w:r>
      <w:r>
        <w:rPr>
          <w:rFonts w:ascii="Verdana" w:cs="Verdana" w:eastAsia="Verdana" w:hAnsi="Verdana"/>
          <w:sz w:val="14"/>
          <w:szCs w:val="14"/>
          <w:color w:val="auto"/>
        </w:rPr>
        <w:t>, base salaries were increased effective September 1, 2024.</w:t>
      </w:r>
    </w:p>
    <w:p>
      <w:pPr>
        <w:ind w:left="340" w:right="140" w:hanging="332"/>
        <w:spacing w:after="0" w:line="259" w:lineRule="auto"/>
        <w:tabs>
          <w:tab w:leader="none" w:pos="332" w:val="left"/>
        </w:tabs>
        <w:numPr>
          <w:ilvl w:val="0"/>
          <w:numId w:val="79"/>
        </w:numPr>
        <w:rPr>
          <w:rFonts w:ascii="Verdana" w:cs="Verdana" w:eastAsia="Verdana" w:hAnsi="Verdana"/>
          <w:sz w:val="13"/>
          <w:szCs w:val="13"/>
          <w:color w:val="auto"/>
        </w:rPr>
      </w:pPr>
      <w:r>
        <w:rPr>
          <w:rFonts w:ascii="Verdana" w:cs="Verdana" w:eastAsia="Verdana" w:hAnsi="Verdana"/>
          <w:sz w:val="14"/>
          <w:szCs w:val="14"/>
          <w:color w:val="auto"/>
        </w:rPr>
        <w:t xml:space="preserve">The values reflected in the Summary Compensation Table and the 2024 Grants of Plan-Based Awards table, both shown in "Executive Compensation Tables" beginning on page </w:t>
      </w:r>
      <w:r>
        <w:rPr>
          <w:rFonts w:ascii="Verdana" w:cs="Verdana" w:eastAsia="Verdana" w:hAnsi="Verdana"/>
          <w:sz w:val="14"/>
          <w:szCs w:val="14"/>
          <w:u w:val="single" w:color="auto"/>
          <w:color w:val="0000FF"/>
        </w:rPr>
        <w:t>56</w:t>
      </w:r>
      <w:r>
        <w:rPr>
          <w:rFonts w:ascii="Verdana" w:cs="Verdana" w:eastAsia="Verdana" w:hAnsi="Verdana"/>
          <w:sz w:val="14"/>
          <w:szCs w:val="14"/>
          <w:color w:val="auto"/>
        </w:rPr>
        <w:t>, may differ from these target values due to the fair value determination of the Relative TSR component under the accounting standards.</w:t>
      </w:r>
    </w:p>
    <w:p>
      <w:pPr>
        <w:spacing w:after="0" w:line="11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2024-2026 Performance Measures and Goals</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The Performance Shares granted for the performance period are earned based on three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74295</wp:posOffset>
            </wp:positionV>
            <wp:extent cx="3505835" cy="1611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0583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Adjusted Pretax Income (50% weighting)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Adjusted Pretax Income goals for the full three-year performance period were approved by the P&amp;C Committee in November 2023</w:t>
      </w:r>
    </w:p>
    <w:p>
      <w:pPr>
        <w:spacing w:after="0" w:line="8" w:lineRule="exact"/>
        <w:rPr>
          <w:sz w:val="20"/>
          <w:szCs w:val="20"/>
          <w:color w:val="auto"/>
        </w:rPr>
      </w:pPr>
    </w:p>
    <w:p>
      <w:pPr>
        <w:jc w:val="both"/>
        <w:ind w:right="100"/>
        <w:spacing w:after="0" w:line="238" w:lineRule="auto"/>
        <w:rPr>
          <w:sz w:val="20"/>
          <w:szCs w:val="20"/>
          <w:color w:val="auto"/>
        </w:rPr>
      </w:pPr>
      <w:r>
        <w:rPr>
          <w:rFonts w:ascii="Verdana" w:cs="Verdana" w:eastAsia="Verdana" w:hAnsi="Verdana"/>
          <w:sz w:val="16"/>
          <w:szCs w:val="16"/>
          <w:color w:val="auto"/>
        </w:rPr>
        <w:t>based on our Board-approved 2024 annual budget and our expectations for 2025 and 2026 set forth in our long-range plan. The target goal for 2024-2026 is 31.8% higher than that used for the 2023-2025 performance period, and the 2024-2026 target goal represents a 32% increase over our 2022-2024 performance period results. The results for each year will be measured, and the final payout will be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based on the average of the annual results.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Adjusted ROIC Improvement (25% Weighting)</w:t>
      </w:r>
    </w:p>
    <w:p>
      <w:pPr>
        <w:spacing w:after="0" w:line="137" w:lineRule="exact"/>
        <w:rPr>
          <w:sz w:val="20"/>
          <w:szCs w:val="20"/>
          <w:color w:val="auto"/>
        </w:rPr>
      </w:pPr>
    </w:p>
    <w:p>
      <w:pPr>
        <w:ind w:right="60"/>
        <w:spacing w:after="0" w:line="243" w:lineRule="auto"/>
        <w:rPr>
          <w:sz w:val="20"/>
          <w:szCs w:val="20"/>
          <w:color w:val="auto"/>
        </w:rPr>
      </w:pPr>
      <w:r>
        <w:rPr>
          <w:rFonts w:ascii="Verdana" w:cs="Verdana" w:eastAsia="Verdana" w:hAnsi="Verdana"/>
          <w:sz w:val="16"/>
          <w:szCs w:val="16"/>
          <w:color w:val="auto"/>
        </w:rPr>
        <w:t>The Adjusted ROIC Improvement goals were approved in November 2023 based on our Board-approved 2024 annual budget and the expectations for 2025 and 2026 set forth in our long-range plan. The results for each year will be measured, and the final payout will be based on the average of the annual results.</w:t>
      </w:r>
    </w:p>
    <w:p>
      <w:pPr>
        <w:spacing w:after="0" w:line="98"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Our 2023 Adjusted ROIC was 10.28%. Over the 2024-2026 performance period, an improvement of 160 basis points compared to 2023 Adjusted ROIC is needed for target performance, a 260 basis point improvement is needed for maximum performance, and a 60 basis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point improvement is needed for threshold performance.</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Relative TSR (25% Weighting)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Relative TSR performance will be measured based on the Company’s three-year TSR relative to the TSR of the Relative TSR Peer Group,</w:t>
      </w:r>
    </w:p>
    <w:p>
      <w:pPr>
        <w:spacing w:after="0" w:line="8"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which is comprised of automotive suppliers and other industrial companies. Unlike the Comparator Group that is selected, in part, based on comparable revenues and is used for compensation benchmarking and pay decisions, the Relative TSR Peer Group includes companies with a wider range of revenues and a strong historical stock price correlation to our common stock and is used to assess</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performance versus peer companies. The portion of the Performance Share award based on the achievement of this metric is capped at the target payout (i.e., 100%) if our TSR is negative for the performance period even if our TSR outperforms that of the Relative TSR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Peer Group.</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4" w:name="page55"/>
    <w:bookmarkEnd w:id="5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380"/>
        <w:spacing w:after="0" w:line="241" w:lineRule="auto"/>
        <w:rPr>
          <w:sz w:val="20"/>
          <w:szCs w:val="20"/>
          <w:color w:val="auto"/>
        </w:rPr>
      </w:pPr>
      <w:r>
        <w:rPr>
          <w:rFonts w:ascii="Verdana" w:cs="Verdana" w:eastAsia="Verdana" w:hAnsi="Verdana"/>
          <w:sz w:val="16"/>
          <w:szCs w:val="16"/>
          <w:color w:val="auto"/>
        </w:rPr>
        <w:t>Consistent with our market median-based pay philosophy, the relative TSR target payout is set at the 50th percentile (“P50”) of the Relative TSR Peer Group. This directly aligns the award payout with relative performance (i.e., P50 pay for P50 TSR) and reflects the</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most common practice among our Comparator Group and other similarly situated large companies. The design limits payouts to 100% of target in the event our absolute TSR is negative at the end of the three-year performance period. Collectively, these design features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reflect our guiding principles of providing market competitive compensation that aligns with the long-term interests of our shareholders.</w:t>
      </w:r>
    </w:p>
    <w:p>
      <w:pPr>
        <w:spacing w:after="0" w:line="103"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Companies in the Relative TSR Peer Group may vary slightly cycle-to-cycle, reflecting mergers and acquisitions, significant changes in company structure and other factors. For the 2024-2026 cycle, Cooper-Standard Holdings was replaced with Phinia Inc., a spin off of</w:t>
      </w:r>
    </w:p>
    <w:p>
      <w:pPr>
        <w:spacing w:after="0" w:line="1" w:lineRule="exact"/>
        <w:rPr>
          <w:sz w:val="20"/>
          <w:szCs w:val="20"/>
          <w:color w:val="auto"/>
        </w:rPr>
      </w:pPr>
    </w:p>
    <w:p>
      <w:pPr>
        <w:ind w:right="480"/>
        <w:spacing w:after="0" w:line="253" w:lineRule="auto"/>
        <w:rPr>
          <w:sz w:val="20"/>
          <w:szCs w:val="20"/>
          <w:color w:val="auto"/>
        </w:rPr>
      </w:pPr>
      <w:r>
        <w:rPr>
          <w:rFonts w:ascii="Verdana" w:cs="Verdana" w:eastAsia="Verdana" w:hAnsi="Verdana"/>
          <w:sz w:val="16"/>
          <w:szCs w:val="16"/>
          <w:color w:val="auto"/>
        </w:rPr>
        <w:t>BorgWarner Inc.'s fuel injection business. Cooper-Standard Holdings was replaced because its relatively small market capitalization made it more susceptible to large TSR fluctuations. The Relative TSR Peer Group for the 2024-2026 cycle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653224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32245" cy="1543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780"/>
        <w:spacing w:after="0"/>
        <w:rPr>
          <w:sz w:val="20"/>
          <w:szCs w:val="20"/>
          <w:color w:val="auto"/>
        </w:rPr>
      </w:pPr>
      <w:r>
        <w:rPr>
          <w:rFonts w:ascii="Verdana" w:cs="Verdana" w:eastAsia="Verdana" w:hAnsi="Verdana"/>
          <w:sz w:val="14"/>
          <w:szCs w:val="14"/>
          <w:b w:val="1"/>
          <w:bCs w:val="1"/>
          <w:color w:val="F0EFEE"/>
        </w:rPr>
        <w:t>2024-2026 Performance Shares – Relative TSR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5322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540" w:type="dxa"/>
            <w:vAlign w:val="bottom"/>
            <w:vMerge w:val="restart"/>
          </w:tcPr>
          <w:p>
            <w:pPr>
              <w:spacing w:after="0"/>
              <w:rPr>
                <w:sz w:val="20"/>
                <w:szCs w:val="20"/>
                <w:color w:val="auto"/>
              </w:rPr>
            </w:pPr>
            <w:r>
              <w:rPr>
                <w:rFonts w:ascii="Verdana" w:cs="Verdana" w:eastAsia="Verdana" w:hAnsi="Verdana"/>
                <w:sz w:val="14"/>
                <w:szCs w:val="14"/>
                <w:color w:val="auto"/>
              </w:rPr>
              <w:t>Adient plc (ADNT)</w:t>
            </w:r>
          </w:p>
        </w:tc>
        <w:tc>
          <w:tcPr>
            <w:tcW w:w="2200" w:type="dxa"/>
            <w:vAlign w:val="bottom"/>
          </w:tcPr>
          <w:p>
            <w:pPr>
              <w:ind w:left="20"/>
              <w:spacing w:after="0"/>
              <w:rPr>
                <w:sz w:val="20"/>
                <w:szCs w:val="20"/>
                <w:color w:val="auto"/>
              </w:rPr>
            </w:pPr>
            <w:r>
              <w:rPr>
                <w:rFonts w:ascii="Verdana" w:cs="Verdana" w:eastAsia="Verdana" w:hAnsi="Verdana"/>
                <w:sz w:val="14"/>
                <w:szCs w:val="14"/>
                <w:color w:val="auto"/>
              </w:rPr>
              <w:t>Continental Aktiengesellschaft</w:t>
            </w:r>
          </w:p>
        </w:tc>
        <w:tc>
          <w:tcPr>
            <w:tcW w:w="0" w:type="dxa"/>
            <w:vAlign w:val="bottom"/>
          </w:tcPr>
          <w:p>
            <w:pPr>
              <w:spacing w:after="0"/>
              <w:rPr>
                <w:sz w:val="1"/>
                <w:szCs w:val="1"/>
                <w:color w:val="auto"/>
              </w:rPr>
            </w:pPr>
          </w:p>
        </w:tc>
      </w:tr>
      <w:tr>
        <w:trPr>
          <w:trHeight w:val="106"/>
        </w:trPr>
        <w:tc>
          <w:tcPr>
            <w:tcW w:w="2540" w:type="dxa"/>
            <w:vAlign w:val="bottom"/>
            <w:vMerge w:val="continue"/>
          </w:tcPr>
          <w:p>
            <w:pPr>
              <w:spacing w:after="0"/>
              <w:rPr>
                <w:sz w:val="9"/>
                <w:szCs w:val="9"/>
                <w:color w:val="auto"/>
              </w:rPr>
            </w:pPr>
          </w:p>
        </w:tc>
        <w:tc>
          <w:tcPr>
            <w:tcW w:w="2200" w:type="dxa"/>
            <w:vAlign w:val="bottom"/>
            <w:vMerge w:val="restart"/>
          </w:tcPr>
          <w:p>
            <w:pPr>
              <w:ind w:left="20"/>
              <w:spacing w:after="0"/>
              <w:rPr>
                <w:sz w:val="20"/>
                <w:szCs w:val="20"/>
                <w:color w:val="auto"/>
              </w:rPr>
            </w:pPr>
            <w:r>
              <w:rPr>
                <w:rFonts w:ascii="Verdana" w:cs="Verdana" w:eastAsia="Verdana" w:hAnsi="Verdana"/>
                <w:sz w:val="14"/>
                <w:szCs w:val="14"/>
                <w:color w:val="auto"/>
              </w:rPr>
              <w:t>(CON)</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540" w:type="dxa"/>
            <w:vAlign w:val="bottom"/>
          </w:tcPr>
          <w:p>
            <w:pPr>
              <w:spacing w:after="0"/>
              <w:rPr>
                <w:sz w:val="20"/>
                <w:szCs w:val="20"/>
                <w:color w:val="auto"/>
              </w:rPr>
            </w:pPr>
            <w:r>
              <w:rPr>
                <w:rFonts w:ascii="Verdana" w:cs="Verdana" w:eastAsia="Verdana" w:hAnsi="Verdana"/>
                <w:sz w:val="14"/>
                <w:szCs w:val="14"/>
                <w:color w:val="auto"/>
              </w:rPr>
              <w:t>Allison Transmission Holdings, Inc.</w:t>
            </w:r>
          </w:p>
        </w:tc>
        <w:tc>
          <w:tcPr>
            <w:tcW w:w="2200" w:type="dxa"/>
            <w:vAlign w:val="bottom"/>
          </w:tcPr>
          <w:p>
            <w:pPr>
              <w:ind w:left="20"/>
              <w:spacing w:after="0"/>
              <w:rPr>
                <w:sz w:val="20"/>
                <w:szCs w:val="20"/>
                <w:color w:val="auto"/>
              </w:rPr>
            </w:pPr>
            <w:r>
              <w:rPr>
                <w:rFonts w:ascii="Verdana" w:cs="Verdana" w:eastAsia="Verdana" w:hAnsi="Verdana"/>
                <w:sz w:val="14"/>
                <w:szCs w:val="14"/>
                <w:color w:val="auto"/>
              </w:rPr>
              <w:t>Cummins Inc. (CMI)</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20"/>
                <w:szCs w:val="20"/>
                <w:color w:val="auto"/>
              </w:rPr>
            </w:pPr>
            <w:r>
              <w:rPr>
                <w:rFonts w:ascii="Verdana" w:cs="Verdana" w:eastAsia="Verdana" w:hAnsi="Verdana"/>
                <w:sz w:val="14"/>
                <w:szCs w:val="14"/>
                <w:color w:val="auto"/>
              </w:rPr>
              <w:t>(ALSN)</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line="162" w:lineRule="exact"/>
              <w:rPr>
                <w:sz w:val="20"/>
                <w:szCs w:val="20"/>
                <w:color w:val="auto"/>
              </w:rPr>
            </w:pPr>
            <w:r>
              <w:rPr>
                <w:rFonts w:ascii="Verdana" w:cs="Verdana" w:eastAsia="Verdana" w:hAnsi="Verdana"/>
                <w:sz w:val="14"/>
                <w:szCs w:val="14"/>
                <w:color w:val="auto"/>
              </w:rPr>
              <w:t>American Axle &amp; Mfg. Holdings,</w:t>
            </w:r>
          </w:p>
        </w:tc>
        <w:tc>
          <w:tcPr>
            <w:tcW w:w="2200" w:type="dxa"/>
            <w:vAlign w:val="bottom"/>
            <w:vMerge w:val="restart"/>
          </w:tcPr>
          <w:p>
            <w:pPr>
              <w:ind w:left="20"/>
              <w:spacing w:after="0"/>
              <w:rPr>
                <w:sz w:val="20"/>
                <w:szCs w:val="20"/>
                <w:color w:val="auto"/>
              </w:rPr>
            </w:pPr>
            <w:r>
              <w:rPr>
                <w:rFonts w:ascii="Verdana" w:cs="Verdana" w:eastAsia="Verdana" w:hAnsi="Verdana"/>
                <w:sz w:val="14"/>
                <w:szCs w:val="14"/>
                <w:color w:val="auto"/>
              </w:rPr>
              <w:t>Dana Incorporated (DAN)</w:t>
            </w:r>
          </w:p>
        </w:tc>
        <w:tc>
          <w:tcPr>
            <w:tcW w:w="0" w:type="dxa"/>
            <w:vAlign w:val="bottom"/>
          </w:tcPr>
          <w:p>
            <w:pPr>
              <w:spacing w:after="0"/>
              <w:rPr>
                <w:sz w:val="1"/>
                <w:szCs w:val="1"/>
                <w:color w:val="auto"/>
              </w:rPr>
            </w:pPr>
          </w:p>
        </w:tc>
      </w:tr>
      <w:tr>
        <w:trPr>
          <w:trHeight w:val="106"/>
        </w:trPr>
        <w:tc>
          <w:tcPr>
            <w:tcW w:w="2540" w:type="dxa"/>
            <w:vAlign w:val="bottom"/>
            <w:vMerge w:val="restart"/>
          </w:tcPr>
          <w:p>
            <w:pPr>
              <w:spacing w:after="0"/>
              <w:rPr>
                <w:sz w:val="20"/>
                <w:szCs w:val="20"/>
                <w:color w:val="auto"/>
              </w:rPr>
            </w:pPr>
            <w:r>
              <w:rPr>
                <w:rFonts w:ascii="Verdana" w:cs="Verdana" w:eastAsia="Verdana" w:hAnsi="Verdana"/>
                <w:sz w:val="14"/>
                <w:szCs w:val="14"/>
                <w:color w:val="auto"/>
              </w:rPr>
              <w:t>Inc. (AXL)</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4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0"/>
                <w:szCs w:val="20"/>
                <w:color w:val="auto"/>
              </w:rPr>
            </w:pPr>
            <w:r>
              <w:rPr>
                <w:rFonts w:ascii="Verdana" w:cs="Verdana" w:eastAsia="Verdana" w:hAnsi="Verdana"/>
                <w:sz w:val="14"/>
                <w:szCs w:val="14"/>
                <w:color w:val="auto"/>
              </w:rPr>
              <w:t>Aptiv PLC (APTV)</w:t>
            </w:r>
          </w:p>
        </w:tc>
        <w:tc>
          <w:tcPr>
            <w:tcW w:w="2200" w:type="dxa"/>
            <w:vAlign w:val="bottom"/>
          </w:tcPr>
          <w:p>
            <w:pPr>
              <w:ind w:left="20"/>
              <w:spacing w:after="0"/>
              <w:rPr>
                <w:sz w:val="20"/>
                <w:szCs w:val="20"/>
                <w:color w:val="auto"/>
              </w:rPr>
            </w:pPr>
            <w:r>
              <w:rPr>
                <w:rFonts w:ascii="Verdana" w:cs="Verdana" w:eastAsia="Verdana" w:hAnsi="Verdana"/>
                <w:sz w:val="14"/>
                <w:szCs w:val="14"/>
                <w:color w:val="auto"/>
              </w:rPr>
              <w:t>Eaton Corporation plc (ETN)</w:t>
            </w: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0"/>
                <w:szCs w:val="20"/>
                <w:color w:val="auto"/>
              </w:rPr>
            </w:pPr>
            <w:r>
              <w:rPr>
                <w:rFonts w:ascii="Verdana" w:cs="Verdana" w:eastAsia="Verdana" w:hAnsi="Verdana"/>
                <w:sz w:val="14"/>
                <w:szCs w:val="14"/>
                <w:color w:val="auto"/>
              </w:rPr>
              <w:t>Autoliv, Inc. (ALV)</w:t>
            </w:r>
          </w:p>
        </w:tc>
        <w:tc>
          <w:tcPr>
            <w:tcW w:w="2200" w:type="dxa"/>
            <w:vAlign w:val="bottom"/>
          </w:tcPr>
          <w:p>
            <w:pPr>
              <w:ind w:left="20"/>
              <w:spacing w:after="0"/>
              <w:rPr>
                <w:sz w:val="20"/>
                <w:szCs w:val="20"/>
                <w:color w:val="auto"/>
              </w:rPr>
            </w:pPr>
            <w:r>
              <w:rPr>
                <w:rFonts w:ascii="Verdana" w:cs="Verdana" w:eastAsia="Verdana" w:hAnsi="Verdana"/>
                <w:sz w:val="14"/>
                <w:szCs w:val="14"/>
                <w:color w:val="auto"/>
              </w:rPr>
              <w:t>Forvia SE (FRVIA)</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Verdana" w:cs="Verdana" w:eastAsia="Verdana" w:hAnsi="Verdana"/>
                <w:sz w:val="14"/>
                <w:szCs w:val="14"/>
                <w:color w:val="auto"/>
              </w:rPr>
              <w:t>BorgWarner Inc. (BWA)</w:t>
            </w:r>
          </w:p>
        </w:tc>
        <w:tc>
          <w:tcPr>
            <w:tcW w:w="2200" w:type="dxa"/>
            <w:vAlign w:val="bottom"/>
          </w:tcPr>
          <w:p>
            <w:pPr>
              <w:ind w:left="20"/>
              <w:spacing w:after="0"/>
              <w:rPr>
                <w:sz w:val="20"/>
                <w:szCs w:val="20"/>
                <w:color w:val="auto"/>
              </w:rPr>
            </w:pPr>
            <w:r>
              <w:rPr>
                <w:rFonts w:ascii="Verdana" w:cs="Verdana" w:eastAsia="Verdana" w:hAnsi="Verdana"/>
                <w:sz w:val="14"/>
                <w:szCs w:val="14"/>
                <w:color w:val="auto"/>
              </w:rPr>
              <w:t>Gentex Corporation (GNTX)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440" w:type="dxa"/>
            <w:vAlign w:val="bottom"/>
            <w:vMerge w:val="restart"/>
          </w:tcPr>
          <w:p>
            <w:pPr>
              <w:spacing w:after="0"/>
              <w:rPr>
                <w:sz w:val="20"/>
                <w:szCs w:val="20"/>
                <w:color w:val="auto"/>
              </w:rPr>
            </w:pPr>
            <w:r>
              <w:rPr>
                <w:rFonts w:ascii="Verdana" w:cs="Verdana" w:eastAsia="Verdana" w:hAnsi="Verdana"/>
                <w:sz w:val="14"/>
                <w:szCs w:val="14"/>
                <w:color w:val="auto"/>
              </w:rPr>
              <w:t>Gentherm Incorporated (THRM)</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Standard Motor Products, Inc.</w:t>
            </w:r>
          </w:p>
        </w:tc>
        <w:tc>
          <w:tcPr>
            <w:tcW w:w="0" w:type="dxa"/>
            <w:vAlign w:val="bottom"/>
          </w:tcPr>
          <w:p>
            <w:pPr>
              <w:spacing w:after="0"/>
              <w:rPr>
                <w:sz w:val="1"/>
                <w:szCs w:val="1"/>
                <w:color w:val="auto"/>
              </w:rPr>
            </w:pPr>
          </w:p>
        </w:tc>
      </w:tr>
      <w:tr>
        <w:trPr>
          <w:trHeight w:val="106"/>
        </w:trPr>
        <w:tc>
          <w:tcPr>
            <w:tcW w:w="2440" w:type="dxa"/>
            <w:vAlign w:val="bottom"/>
            <w:vMerge w:val="continue"/>
          </w:tcPr>
          <w:p>
            <w:pPr>
              <w:spacing w:after="0"/>
              <w:rPr>
                <w:sz w:val="9"/>
                <w:szCs w:val="9"/>
                <w:color w:val="auto"/>
              </w:rPr>
            </w:pPr>
          </w:p>
        </w:tc>
        <w:tc>
          <w:tcPr>
            <w:tcW w:w="2320" w:type="dxa"/>
            <w:vAlign w:val="bottom"/>
            <w:vMerge w:val="restart"/>
          </w:tcPr>
          <w:p>
            <w:pPr>
              <w:ind w:left="140"/>
              <w:spacing w:after="0"/>
              <w:rPr>
                <w:sz w:val="20"/>
                <w:szCs w:val="20"/>
                <w:color w:val="auto"/>
              </w:rPr>
            </w:pPr>
            <w:r>
              <w:rPr>
                <w:rFonts w:ascii="Verdana" w:cs="Verdana" w:eastAsia="Verdana" w:hAnsi="Verdana"/>
                <w:sz w:val="14"/>
                <w:szCs w:val="14"/>
                <w:color w:val="auto"/>
              </w:rPr>
              <w:t>(SMP)</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440" w:type="dxa"/>
            <w:vAlign w:val="bottom"/>
          </w:tcPr>
          <w:p>
            <w:pPr>
              <w:spacing w:after="0"/>
              <w:rPr>
                <w:sz w:val="20"/>
                <w:szCs w:val="20"/>
                <w:color w:val="auto"/>
              </w:rPr>
            </w:pPr>
            <w:r>
              <w:rPr>
                <w:rFonts w:ascii="Verdana" w:cs="Verdana" w:eastAsia="Verdana" w:hAnsi="Verdana"/>
                <w:sz w:val="14"/>
                <w:szCs w:val="14"/>
                <w:color w:val="auto"/>
              </w:rPr>
              <w:t>LCI Industries (LCII)</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TE Connectivity PLC (TEL)</w:t>
            </w:r>
          </w:p>
        </w:tc>
        <w:tc>
          <w:tcPr>
            <w:tcW w:w="0" w:type="dxa"/>
            <w:vAlign w:val="bottom"/>
          </w:tcPr>
          <w:p>
            <w:pPr>
              <w:spacing w:after="0"/>
              <w:rPr>
                <w:sz w:val="1"/>
                <w:szCs w:val="1"/>
                <w:color w:val="auto"/>
              </w:rPr>
            </w:pPr>
          </w:p>
        </w:tc>
      </w:tr>
      <w:tr>
        <w:trPr>
          <w:trHeight w:val="405"/>
        </w:trPr>
        <w:tc>
          <w:tcPr>
            <w:tcW w:w="2440" w:type="dxa"/>
            <w:vAlign w:val="bottom"/>
          </w:tcPr>
          <w:p>
            <w:pPr>
              <w:spacing w:after="0"/>
              <w:rPr>
                <w:sz w:val="20"/>
                <w:szCs w:val="20"/>
                <w:color w:val="auto"/>
              </w:rPr>
            </w:pPr>
            <w:r>
              <w:rPr>
                <w:rFonts w:ascii="Verdana" w:cs="Verdana" w:eastAsia="Verdana" w:hAnsi="Verdana"/>
                <w:sz w:val="14"/>
                <w:szCs w:val="14"/>
                <w:color w:val="auto"/>
              </w:rPr>
              <w:t>Magna International Inc. (MGA)</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Textron Inc. (TXT)</w:t>
            </w:r>
          </w:p>
        </w:tc>
        <w:tc>
          <w:tcPr>
            <w:tcW w:w="0" w:type="dxa"/>
            <w:vAlign w:val="bottom"/>
          </w:tcPr>
          <w:p>
            <w:pPr>
              <w:spacing w:after="0"/>
              <w:rPr>
                <w:sz w:val="1"/>
                <w:szCs w:val="1"/>
                <w:color w:val="auto"/>
              </w:rPr>
            </w:pPr>
          </w:p>
        </w:tc>
      </w:tr>
      <w:tr>
        <w:trPr>
          <w:trHeight w:val="299"/>
        </w:trPr>
        <w:tc>
          <w:tcPr>
            <w:tcW w:w="2440" w:type="dxa"/>
            <w:vAlign w:val="bottom"/>
          </w:tcPr>
          <w:p>
            <w:pPr>
              <w:spacing w:after="0"/>
              <w:rPr>
                <w:sz w:val="20"/>
                <w:szCs w:val="20"/>
                <w:color w:val="auto"/>
              </w:rPr>
            </w:pPr>
            <w:r>
              <w:rPr>
                <w:rFonts w:ascii="Verdana" w:cs="Verdana" w:eastAsia="Verdana" w:hAnsi="Verdana"/>
                <w:sz w:val="14"/>
                <w:szCs w:val="14"/>
                <w:color w:val="auto"/>
              </w:rPr>
              <w:t>Modine Manufacturing Company</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The Goodyear Tire &amp; Rubber</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20"/>
                <w:szCs w:val="20"/>
                <w:color w:val="auto"/>
              </w:rPr>
            </w:pPr>
            <w:r>
              <w:rPr>
                <w:rFonts w:ascii="Verdana" w:cs="Verdana" w:eastAsia="Verdana" w:hAnsi="Verdana"/>
                <w:sz w:val="14"/>
                <w:szCs w:val="14"/>
                <w:color w:val="auto"/>
              </w:rPr>
              <w:t>(MOD)</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Company (GT)</w:t>
            </w: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Verdana" w:cs="Verdana" w:eastAsia="Verdana" w:hAnsi="Verdana"/>
                <w:sz w:val="14"/>
                <w:szCs w:val="14"/>
                <w:color w:val="auto"/>
              </w:rPr>
              <w:t>PACCAR Inc. (PCAR)</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Valeo SA (FR)</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Verdana" w:cs="Verdana" w:eastAsia="Verdana" w:hAnsi="Verdana"/>
                <w:sz w:val="14"/>
                <w:szCs w:val="14"/>
                <w:color w:val="auto"/>
              </w:rPr>
              <w:t>Phinia Inc. (PHIN)</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Visteon Corporation (VC)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-1045845</wp:posOffset>
            </wp:positionV>
            <wp:extent cx="6532245"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32245" cy="25717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-531495</wp:posOffset>
            </wp:positionV>
            <wp:extent cx="6532245"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32245" cy="25717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-128905</wp:posOffset>
            </wp:positionV>
            <wp:extent cx="6532245"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3224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400"/>
            <w:col w:w="6060"/>
          </w:cols>
          <w:pgMar w:left="320" w:top="130" w:right="35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Summary of Outstanding Performance Periods</w:t>
      </w:r>
    </w:p>
    <w:p>
      <w:pPr>
        <w:spacing w:after="0" w:line="123" w:lineRule="exact"/>
        <w:rPr>
          <w:sz w:val="20"/>
          <w:szCs w:val="20"/>
          <w:color w:val="auto"/>
        </w:rPr>
      </w:pPr>
    </w:p>
    <w:p>
      <w:pPr>
        <w:ind w:right="160"/>
        <w:spacing w:after="0" w:line="270" w:lineRule="auto"/>
        <w:rPr>
          <w:sz w:val="20"/>
          <w:szCs w:val="20"/>
          <w:color w:val="auto"/>
        </w:rPr>
      </w:pPr>
      <w:r>
        <w:rPr>
          <w:rFonts w:ascii="Verdana" w:cs="Verdana" w:eastAsia="Verdana" w:hAnsi="Verdana"/>
          <w:sz w:val="16"/>
          <w:szCs w:val="16"/>
          <w:color w:val="auto"/>
        </w:rPr>
        <w:t>Each Performance Share award reflects a three-year performance period resulting in overlapping awards. The potential payout for each Performance Share ranges from 0 to 200 percent of the target opportunity.</w:t>
      </w:r>
    </w:p>
    <w:p>
      <w:pPr>
        <w:spacing w:after="0" w:line="62" w:lineRule="exact"/>
        <w:rPr>
          <w:sz w:val="20"/>
          <w:szCs w:val="20"/>
          <w:color w:val="auto"/>
        </w:rPr>
      </w:pPr>
    </w:p>
    <w:p>
      <w:pPr>
        <w:ind w:left="660" w:right="120" w:hanging="328"/>
        <w:spacing w:after="0" w:line="245" w:lineRule="auto"/>
        <w:tabs>
          <w:tab w:leader="none" w:pos="654" w:val="left"/>
        </w:tabs>
        <w:numPr>
          <w:ilvl w:val="0"/>
          <w:numId w:val="80"/>
        </w:numPr>
        <w:rPr>
          <w:rFonts w:ascii="Verdana" w:cs="Verdana" w:eastAsia="Verdana" w:hAnsi="Verdana"/>
          <w:sz w:val="16"/>
          <w:szCs w:val="16"/>
          <w:color w:val="auto"/>
        </w:rPr>
      </w:pPr>
      <w:r>
        <w:rPr>
          <w:rFonts w:ascii="Verdana" w:cs="Verdana" w:eastAsia="Verdana" w:hAnsi="Verdana"/>
          <w:sz w:val="16"/>
          <w:szCs w:val="16"/>
          <w:color w:val="auto"/>
        </w:rPr>
        <w:t>For the 2023-2025 Performance Shares, ongoing industry volatility, supply chain disruptions and other macroeconomic conditions made it difficult to set performance goals for all three years prior to the start of the performance period. As a result, one-year Adjusted Annual Pretax Income performance goals were set each November or December for the following year based on the Board-approved budget for that year.</w:t>
      </w:r>
    </w:p>
    <w:p>
      <w:pPr>
        <w:spacing w:after="0" w:line="96" w:lineRule="exact"/>
        <w:rPr>
          <w:rFonts w:ascii="Verdana" w:cs="Verdana" w:eastAsia="Verdana" w:hAnsi="Verdana"/>
          <w:sz w:val="16"/>
          <w:szCs w:val="16"/>
          <w:color w:val="auto"/>
        </w:rPr>
      </w:pPr>
    </w:p>
    <w:p>
      <w:pPr>
        <w:ind w:left="1300" w:right="160" w:hanging="320"/>
        <w:spacing w:after="0" w:line="253" w:lineRule="auto"/>
        <w:tabs>
          <w:tab w:leader="none" w:pos="1290" w:val="left"/>
        </w:tabs>
        <w:numPr>
          <w:ilvl w:val="1"/>
          <w:numId w:val="80"/>
        </w:numPr>
        <w:rPr>
          <w:rFonts w:ascii="Verdana" w:cs="Verdana" w:eastAsia="Verdana" w:hAnsi="Verdana"/>
          <w:sz w:val="16"/>
          <w:szCs w:val="16"/>
          <w:color w:val="auto"/>
        </w:rPr>
      </w:pPr>
      <w:r>
        <w:rPr>
          <w:rFonts w:ascii="Verdana" w:cs="Verdana" w:eastAsia="Verdana" w:hAnsi="Verdana"/>
          <w:sz w:val="16"/>
          <w:szCs w:val="16"/>
          <w:color w:val="auto"/>
        </w:rPr>
        <w:t>The 2023-2025 Performance Shares are tracking slightly above target for Adjusted Annual Pretax Income and Adjusted ROIC Improvement and below target with respect to Relative TSR.</w:t>
      </w:r>
    </w:p>
    <w:p>
      <w:pPr>
        <w:spacing w:after="0" w:line="89" w:lineRule="exact"/>
        <w:rPr>
          <w:rFonts w:ascii="Verdana" w:cs="Verdana" w:eastAsia="Verdana" w:hAnsi="Verdana"/>
          <w:sz w:val="16"/>
          <w:szCs w:val="16"/>
          <w:color w:val="auto"/>
        </w:rPr>
      </w:pPr>
    </w:p>
    <w:p>
      <w:pPr>
        <w:ind w:left="660" w:right="40" w:hanging="328"/>
        <w:spacing w:after="0" w:line="242" w:lineRule="auto"/>
        <w:tabs>
          <w:tab w:leader="none" w:pos="654" w:val="left"/>
        </w:tabs>
        <w:numPr>
          <w:ilvl w:val="0"/>
          <w:numId w:val="80"/>
        </w:numPr>
        <w:rPr>
          <w:rFonts w:ascii="Verdana" w:cs="Verdana" w:eastAsia="Verdana" w:hAnsi="Verdana"/>
          <w:sz w:val="16"/>
          <w:szCs w:val="16"/>
          <w:color w:val="auto"/>
        </w:rPr>
      </w:pPr>
      <w:r>
        <w:rPr>
          <w:rFonts w:ascii="Verdana" w:cs="Verdana" w:eastAsia="Verdana" w:hAnsi="Verdana"/>
          <w:sz w:val="16"/>
          <w:szCs w:val="16"/>
          <w:color w:val="auto"/>
        </w:rPr>
        <w:t>For the 2024-2026 Performance Shares, we returned to the traditional approach of setting all performance goals for the three-year performance period prior to the start of the performance period based on the Board-approved 2024 annual budget and the expectations for 2025 and 2026 set forth in our long-range plan. For the performance period, the Adjusted Pretax Income target goal was set 31.8% higher than the 2023-2025 target goal, and the Adjusted ROIC target goal requires improvement over the performance period.</w:t>
      </w:r>
    </w:p>
    <w:p>
      <w:pPr>
        <w:spacing w:after="0" w:line="99" w:lineRule="exact"/>
        <w:rPr>
          <w:rFonts w:ascii="Verdana" w:cs="Verdana" w:eastAsia="Verdana" w:hAnsi="Verdana"/>
          <w:sz w:val="16"/>
          <w:szCs w:val="16"/>
          <w:color w:val="auto"/>
        </w:rPr>
      </w:pPr>
    </w:p>
    <w:p>
      <w:pPr>
        <w:ind w:left="1300" w:right="460" w:hanging="320"/>
        <w:spacing w:after="0" w:line="253" w:lineRule="auto"/>
        <w:tabs>
          <w:tab w:leader="none" w:pos="1290" w:val="left"/>
        </w:tabs>
        <w:numPr>
          <w:ilvl w:val="1"/>
          <w:numId w:val="80"/>
        </w:numPr>
        <w:rPr>
          <w:rFonts w:ascii="Verdana" w:cs="Verdana" w:eastAsia="Verdana" w:hAnsi="Verdana"/>
          <w:sz w:val="16"/>
          <w:szCs w:val="16"/>
          <w:color w:val="auto"/>
        </w:rPr>
      </w:pPr>
      <w:r>
        <w:rPr>
          <w:rFonts w:ascii="Verdana" w:cs="Verdana" w:eastAsia="Verdana" w:hAnsi="Verdana"/>
          <w:sz w:val="16"/>
          <w:szCs w:val="16"/>
          <w:color w:val="auto"/>
        </w:rPr>
        <w:t>The 2024-2026 Performance Shares are tracking below target for Adjusted Pretax Income and below threshold with respect to both Adjusted ROIC Improvement and Relative TSR.</w:t>
      </w:r>
    </w:p>
    <w:p>
      <w:pPr>
        <w:spacing w:after="0" w:line="76" w:lineRule="exact"/>
        <w:rPr>
          <w:rFonts w:ascii="Verdana" w:cs="Verdana" w:eastAsia="Verdana" w:hAnsi="Verdana"/>
          <w:sz w:val="16"/>
          <w:szCs w:val="16"/>
          <w:color w:val="auto"/>
        </w:rPr>
      </w:pPr>
    </w:p>
    <w:p>
      <w:pPr>
        <w:ind w:left="660" w:right="100" w:hanging="328"/>
        <w:spacing w:after="0" w:line="251" w:lineRule="auto"/>
        <w:tabs>
          <w:tab w:leader="none" w:pos="654" w:val="left"/>
        </w:tabs>
        <w:numPr>
          <w:ilvl w:val="0"/>
          <w:numId w:val="80"/>
        </w:numPr>
        <w:rPr>
          <w:rFonts w:ascii="Verdana" w:cs="Verdana" w:eastAsia="Verdana" w:hAnsi="Verdana"/>
          <w:sz w:val="16"/>
          <w:szCs w:val="16"/>
          <w:color w:val="auto"/>
        </w:rPr>
      </w:pPr>
      <w:r>
        <w:rPr>
          <w:rFonts w:ascii="Verdana" w:cs="Verdana" w:eastAsia="Verdana" w:hAnsi="Verdana"/>
          <w:sz w:val="16"/>
          <w:szCs w:val="16"/>
          <w:color w:val="auto"/>
        </w:rPr>
        <w:t>For the 2025-2027 Performance Shares, we set all performance goals for the three-year performance period in December 2024, prior to the start of the performance period. The Adjusted Pretax Income target goal was set lower than the 2024-2026 target goal given the expected decline in industry production volumes and EV adoption rates in Europe and North America.</w:t>
      </w:r>
    </w:p>
    <w:p>
      <w:pPr>
        <w:spacing w:after="0" w:line="92" w:lineRule="exact"/>
        <w:rPr>
          <w:sz w:val="20"/>
          <w:szCs w:val="20"/>
          <w:color w:val="auto"/>
        </w:rPr>
      </w:pPr>
    </w:p>
    <w:p>
      <w:pPr>
        <w:ind w:right="220"/>
        <w:spacing w:after="0" w:line="253" w:lineRule="auto"/>
        <w:rPr>
          <w:sz w:val="20"/>
          <w:szCs w:val="20"/>
          <w:color w:val="auto"/>
        </w:rPr>
      </w:pPr>
      <w:r>
        <w:rPr>
          <w:rFonts w:ascii="Verdana" w:cs="Verdana" w:eastAsia="Verdana" w:hAnsi="Verdana"/>
          <w:sz w:val="16"/>
          <w:szCs w:val="16"/>
          <w:color w:val="auto"/>
        </w:rPr>
        <w:t>The chart below reflects the performance period for the three outstanding Performance Share awards as of the filing date of this proxy statement, including the corresponding performance measures and weightings.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81"/>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5" w:name="page56"/>
    <w:bookmarkEnd w:id="5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6172200" cy="20320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72200"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Special RSU Awards</w:t>
      </w:r>
    </w:p>
    <w:p>
      <w:pPr>
        <w:spacing w:after="0" w:line="137" w:lineRule="exact"/>
        <w:rPr>
          <w:sz w:val="20"/>
          <w:szCs w:val="20"/>
          <w:color w:val="auto"/>
        </w:rPr>
      </w:pPr>
    </w:p>
    <w:p>
      <w:pPr>
        <w:jc w:val="both"/>
        <w:ind w:right="320"/>
        <w:spacing w:after="0" w:line="241" w:lineRule="auto"/>
        <w:rPr>
          <w:sz w:val="20"/>
          <w:szCs w:val="20"/>
          <w:color w:val="auto"/>
        </w:rPr>
      </w:pPr>
      <w:r>
        <w:rPr>
          <w:rFonts w:ascii="Verdana" w:cs="Verdana" w:eastAsia="Verdana" w:hAnsi="Verdana"/>
          <w:sz w:val="16"/>
          <w:szCs w:val="16"/>
          <w:color w:val="auto"/>
        </w:rPr>
        <w:t>In August 2024, the P&amp;C Committee granted special RSU awards to Mr. Cardew, our Senior Vice President and CFO, and to Mr. Orsini, our Executive Vice President and President of our Seating business. The P&amp;C Committee does not typically grant special awards (e.g.,</w:t>
      </w:r>
    </w:p>
    <w:p>
      <w:pPr>
        <w:spacing w:after="0" w:line="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the last such grant to a named executive officer was made in 2019 to compensate the officer for equity awards from his prior employer that were forfeited upon joining Lear) and has no plans to grant special awards to any other executive officers. The P&amp;C Committee</w:t>
      </w:r>
    </w:p>
    <w:p>
      <w:pPr>
        <w:spacing w:after="0" w:line="1"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determined that these special awards were needed for succession planning and to recognize each officer's strong performance. In determining the size of the special RSU awards for Messrs. Cardew and Orsini, the P&amp;C Committee considered the criticality of their roles, the date on which each will become retirement eligible, successor readiness, the size of similar awards made by other companies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within the 2024 Comparator Group and expectations for stock price improvement when industry conditions improve.</w:t>
      </w:r>
    </w:p>
    <w:p>
      <w:pPr>
        <w:spacing w:after="0" w:line="103"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Mr. Cardew, a strategic leader as we navigate highly volatile market conditions and declining automotive volumes, becomes retirement eligible in June 2025. Mr. Cardew received RSUs with a grant date value of $1 million that vest in two equal installments on December</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31, 2026 and December 31, 2027, subject to his continued employment with us. Mr. Orsini, who has been integral in leading our largest business unit and expanding its capabilities, efficiencies and innovations, becomes retirement eligible in April 2027. Mr. Orsini received</w:t>
      </w:r>
    </w:p>
    <w:p>
      <w:pPr>
        <w:spacing w:after="0" w:line="1" w:lineRule="exact"/>
        <w:rPr>
          <w:sz w:val="20"/>
          <w:szCs w:val="20"/>
          <w:color w:val="auto"/>
        </w:rPr>
      </w:pPr>
    </w:p>
    <w:p>
      <w:pPr>
        <w:ind w:right="300"/>
        <w:spacing w:after="0" w:line="243" w:lineRule="auto"/>
        <w:rPr>
          <w:sz w:val="20"/>
          <w:szCs w:val="20"/>
          <w:color w:val="auto"/>
        </w:rPr>
      </w:pPr>
      <w:r>
        <w:rPr>
          <w:rFonts w:ascii="Verdana" w:cs="Verdana" w:eastAsia="Verdana" w:hAnsi="Verdana"/>
          <w:sz w:val="16"/>
          <w:szCs w:val="16"/>
          <w:color w:val="auto"/>
        </w:rPr>
        <w:t>RSUs with a grant date value of $2 million that vest in three equal installments on the third, fourth and fifth anniversaries of grant (in August 2027, 2028 and 2029), subject to his continued employment with us. Unlike our annual equity awards, these awards do not contain retirement vesting provisions, to reinforce retention.</w:t>
      </w:r>
    </w:p>
    <w:p>
      <w:pPr>
        <w:spacing w:after="0" w:line="118"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Other Pay Elements</w:t>
      </w:r>
    </w:p>
    <w:p>
      <w:pPr>
        <w:spacing w:after="0" w:line="16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Perquisites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To remain competitive in the market, we provide our executives with enhanced life insurance benefits and a low-cost annual executive</w:t>
      </w:r>
    </w:p>
    <w:p>
      <w:pPr>
        <w:spacing w:after="0" w:line="8" w:lineRule="exact"/>
        <w:rPr>
          <w:sz w:val="20"/>
          <w:szCs w:val="20"/>
          <w:color w:val="auto"/>
        </w:rPr>
      </w:pPr>
    </w:p>
    <w:p>
      <w:pPr>
        <w:ind w:right="300"/>
        <w:spacing w:after="0" w:line="238" w:lineRule="auto"/>
        <w:rPr>
          <w:sz w:val="20"/>
          <w:szCs w:val="20"/>
          <w:color w:val="auto"/>
        </w:rPr>
      </w:pPr>
      <w:r>
        <w:rPr>
          <w:rFonts w:ascii="Verdana" w:cs="Verdana" w:eastAsia="Verdana" w:hAnsi="Verdana"/>
          <w:sz w:val="16"/>
          <w:szCs w:val="16"/>
          <w:color w:val="auto"/>
        </w:rPr>
        <w:t>physical through a company-designated provider. In addition, we permit Mr. Scott, our CEO, to have limited personal use of corporate aircraft so long as the aggregate incremental cost to Lear does not exceed $50,000 per year. Due to credible threats made, we also commissioned an overall, third-party security review in 2024. Based on that review, the Board determined that additional security</w:t>
      </w:r>
    </w:p>
    <w:p>
      <w:pPr>
        <w:spacing w:after="0" w:line="2"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services should be provided to our executive officers for their protection and to protect Lear's interests. During 2024, we provided our named executive officers with an executive protection risk assessment, a home security system installation with monitoring and</w:t>
      </w:r>
    </w:p>
    <w:p>
      <w:pPr>
        <w:spacing w:after="0" w:line="1" w:lineRule="exact"/>
        <w:rPr>
          <w:sz w:val="20"/>
          <w:szCs w:val="20"/>
          <w:color w:val="auto"/>
        </w:rPr>
      </w:pPr>
    </w:p>
    <w:p>
      <w:pPr>
        <w:jc w:val="both"/>
        <w:ind w:right="80"/>
        <w:spacing w:after="0" w:line="238" w:lineRule="auto"/>
        <w:rPr>
          <w:sz w:val="20"/>
          <w:szCs w:val="20"/>
          <w:color w:val="auto"/>
        </w:rPr>
      </w:pPr>
      <w:r>
        <w:rPr>
          <w:rFonts w:ascii="Verdana" w:cs="Verdana" w:eastAsia="Verdana" w:hAnsi="Verdana"/>
          <w:sz w:val="16"/>
          <w:szCs w:val="16"/>
          <w:color w:val="auto"/>
        </w:rPr>
        <w:t>cybersecurity protection (e.g., digital privacy protection, personal device security, home network security). The P&amp;C Committee and the Board believe the costs of our security program are an appropriate and necessary business expense and does not consider such costs to be a perquisite. Pursuant to SEC guidance, we have reported the aggregate incremental costs of the security program in the "All Other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Compensation" column of the Summary Compensation Table.</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Retirement Benefits</w:t>
      </w:r>
    </w:p>
    <w:p>
      <w:pPr>
        <w:spacing w:after="0" w:line="131"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Our NEOs participate in our 401(k) retirement savings plan, frozen qualified pension plan, frozen pension equalization plan and supplemental savings plan, as eligible. These benefits provide rewards for long-term service to the Company and an income source in an</w:t>
      </w:r>
    </w:p>
    <w:p>
      <w:pPr>
        <w:spacing w:after="0" w:line="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executive’s post-employment years. The various components of our retirement benefit program (including our frozen defined benefit pension plans) disclosed in this proxy statement are summarized in the table below. The general terms of these plans and formulas for</w:t>
      </w:r>
    </w:p>
    <w:p>
      <w:pPr>
        <w:spacing w:after="0" w:line="1"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color w:val="auto"/>
        </w:rPr>
        <w:t xml:space="preserve">calculating benefits are summarized following the Summary Compensation Table, 2024 Pension Benefits table and 2024 Nonqualified Deferred Compensation table, respectively, in “Executive Compensation” beginning on page </w:t>
      </w:r>
      <w:r>
        <w:rPr>
          <w:rFonts w:ascii="Verdana" w:cs="Verdana" w:eastAsia="Verdana" w:hAnsi="Verdana"/>
          <w:sz w:val="16"/>
          <w:szCs w:val="16"/>
          <w:u w:val="single" w:color="auto"/>
          <w:color w:val="0000FF"/>
        </w:rPr>
        <w:t>56</w:t>
      </w:r>
      <w:r>
        <w:rPr>
          <w:rFonts w:ascii="Verdana" w:cs="Verdana" w:eastAsia="Verdana" w:hAnsi="Verdana"/>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51</w:t>
            </w:r>
          </w:p>
        </w:tc>
      </w:tr>
      <w:tr>
        <w:trPr>
          <w:trHeight w:val="318"/>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6549390" cy="27343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4939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Verdana" w:cs="Verdana" w:eastAsia="Verdana" w:hAnsi="Verdana"/>
          <w:sz w:val="16"/>
          <w:szCs w:val="16"/>
          <w:b w:val="1"/>
          <w:bCs w:val="1"/>
          <w:color w:val="FFFFFF"/>
        </w:rPr>
        <w:t>Summary of Retirement Benefits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gridSpan w:val="4"/>
          </w:tcPr>
          <w:p>
            <w:pPr>
              <w:jc w:val="center"/>
              <w:ind w:right="40"/>
              <w:spacing w:after="0"/>
              <w:rPr>
                <w:sz w:val="20"/>
                <w:szCs w:val="20"/>
                <w:color w:val="auto"/>
              </w:rPr>
            </w:pPr>
            <w:r>
              <w:rPr>
                <w:rFonts w:ascii="Verdana" w:cs="Verdana" w:eastAsia="Verdana" w:hAnsi="Verdana"/>
                <w:sz w:val="14"/>
                <w:szCs w:val="14"/>
                <w:b w:val="1"/>
                <w:bCs w:val="1"/>
                <w:color w:val="307FE2"/>
              </w:rPr>
              <w:t>Pages for Further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40" w:type="dxa"/>
            <w:vAlign w:val="bottom"/>
          </w:tcPr>
          <w:p>
            <w:pPr>
              <w:ind w:left="820"/>
              <w:spacing w:after="0"/>
              <w:rPr>
                <w:sz w:val="20"/>
                <w:szCs w:val="20"/>
                <w:color w:val="auto"/>
              </w:rPr>
            </w:pPr>
            <w:r>
              <w:rPr>
                <w:rFonts w:ascii="Verdana" w:cs="Verdana" w:eastAsia="Verdana" w:hAnsi="Verdana"/>
                <w:sz w:val="14"/>
                <w:szCs w:val="14"/>
                <w:b w:val="1"/>
                <w:bCs w:val="1"/>
                <w:color w:val="307FE2"/>
              </w:rPr>
              <w:t>Type</w:t>
            </w:r>
          </w:p>
        </w:tc>
        <w:tc>
          <w:tcPr>
            <w:tcW w:w="2060" w:type="dxa"/>
            <w:vAlign w:val="bottom"/>
          </w:tcPr>
          <w:p>
            <w:pPr>
              <w:jc w:val="center"/>
              <w:spacing w:after="0"/>
              <w:rPr>
                <w:sz w:val="20"/>
                <w:szCs w:val="20"/>
                <w:color w:val="auto"/>
              </w:rPr>
            </w:pPr>
            <w:r>
              <w:rPr>
                <w:rFonts w:ascii="Verdana" w:cs="Verdana" w:eastAsia="Verdana" w:hAnsi="Verdana"/>
                <w:sz w:val="14"/>
                <w:szCs w:val="14"/>
                <w:b w:val="1"/>
                <w:bCs w:val="1"/>
                <w:color w:val="307FE2"/>
              </w:rPr>
              <w:t>Plan/Program</w:t>
            </w:r>
          </w:p>
        </w:tc>
        <w:tc>
          <w:tcPr>
            <w:tcW w:w="2060" w:type="dxa"/>
            <w:vAlign w:val="bottom"/>
          </w:tcPr>
          <w:p>
            <w:pPr>
              <w:jc w:val="center"/>
              <w:spacing w:after="0"/>
              <w:rPr>
                <w:sz w:val="20"/>
                <w:szCs w:val="20"/>
                <w:color w:val="auto"/>
              </w:rPr>
            </w:pPr>
            <w:r>
              <w:rPr>
                <w:rFonts w:ascii="Verdana" w:cs="Verdana" w:eastAsia="Verdana" w:hAnsi="Verdana"/>
                <w:sz w:val="14"/>
                <w:szCs w:val="14"/>
                <w:b w:val="1"/>
                <w:bCs w:val="1"/>
                <w:color w:val="307FE2"/>
              </w:rPr>
              <w:t>Component/Feature</w:t>
            </w:r>
          </w:p>
        </w:tc>
        <w:tc>
          <w:tcPr>
            <w:tcW w:w="2060" w:type="dxa"/>
            <w:vAlign w:val="bottom"/>
          </w:tcPr>
          <w:p>
            <w:pPr>
              <w:jc w:val="center"/>
              <w:spacing w:after="0"/>
              <w:rPr>
                <w:sz w:val="20"/>
                <w:szCs w:val="20"/>
                <w:color w:val="auto"/>
              </w:rPr>
            </w:pPr>
            <w:r>
              <w:rPr>
                <w:rFonts w:ascii="Verdana" w:cs="Verdana" w:eastAsia="Verdana" w:hAnsi="Verdana"/>
                <w:sz w:val="14"/>
                <w:szCs w:val="14"/>
                <w:b w:val="1"/>
                <w:bCs w:val="1"/>
                <w:color w:val="307FE2"/>
              </w:rPr>
              <w:t>Purpose</w:t>
            </w:r>
          </w:p>
        </w:tc>
        <w:tc>
          <w:tcPr>
            <w:tcW w:w="2060" w:type="dxa"/>
            <w:vAlign w:val="bottom"/>
            <w:gridSpan w:val="4"/>
          </w:tcPr>
          <w:p>
            <w:pPr>
              <w:jc w:val="center"/>
              <w:ind w:right="20"/>
              <w:spacing w:after="0"/>
              <w:rPr>
                <w:sz w:val="20"/>
                <w:szCs w:val="20"/>
                <w:color w:val="auto"/>
              </w:rPr>
            </w:pPr>
            <w:r>
              <w:rPr>
                <w:rFonts w:ascii="Verdana" w:cs="Verdana" w:eastAsia="Verdana" w:hAnsi="Verdana"/>
                <w:sz w:val="14"/>
                <w:szCs w:val="14"/>
                <w:b w:val="1"/>
                <w:bCs w:val="1"/>
                <w:color w:val="307FE2"/>
              </w:rPr>
              <w:t>Details</w:t>
            </w:r>
          </w:p>
        </w:tc>
        <w:tc>
          <w:tcPr>
            <w:tcW w:w="0" w:type="dxa"/>
            <w:vAlign w:val="bottom"/>
          </w:tcPr>
          <w:p>
            <w:pPr>
              <w:spacing w:after="0"/>
              <w:rPr>
                <w:sz w:val="1"/>
                <w:szCs w:val="1"/>
                <w:color w:val="auto"/>
              </w:rPr>
            </w:pPr>
          </w:p>
        </w:tc>
      </w:tr>
      <w:tr>
        <w:trPr>
          <w:trHeight w:val="26"/>
        </w:trPr>
        <w:tc>
          <w:tcPr>
            <w:tcW w:w="20" w:type="dxa"/>
            <w:vAlign w:val="bottom"/>
            <w:tcBorders>
              <w:bottom w:val="single" w:sz="8" w:color="D6E5F9"/>
            </w:tcBorders>
          </w:tcPr>
          <w:p>
            <w:pPr>
              <w:spacing w:after="0"/>
              <w:rPr>
                <w:sz w:val="2"/>
                <w:szCs w:val="2"/>
                <w:color w:val="auto"/>
              </w:rPr>
            </w:pPr>
          </w:p>
        </w:tc>
        <w:tc>
          <w:tcPr>
            <w:tcW w:w="2040" w:type="dxa"/>
            <w:vAlign w:val="bottom"/>
            <w:tcBorders>
              <w:bottom w:val="single" w:sz="8" w:color="1D428A"/>
            </w:tcBorders>
          </w:tcPr>
          <w:p>
            <w:pPr>
              <w:spacing w:after="0"/>
              <w:rPr>
                <w:sz w:val="2"/>
                <w:szCs w:val="2"/>
                <w:color w:val="auto"/>
              </w:rPr>
            </w:pPr>
          </w:p>
        </w:tc>
        <w:tc>
          <w:tcPr>
            <w:tcW w:w="2060" w:type="dxa"/>
            <w:vAlign w:val="bottom"/>
            <w:tcBorders>
              <w:bottom w:val="single" w:sz="8" w:color="1D428A"/>
            </w:tcBorders>
          </w:tcPr>
          <w:p>
            <w:pPr>
              <w:spacing w:after="0"/>
              <w:rPr>
                <w:sz w:val="2"/>
                <w:szCs w:val="2"/>
                <w:color w:val="auto"/>
              </w:rPr>
            </w:pPr>
          </w:p>
        </w:tc>
        <w:tc>
          <w:tcPr>
            <w:tcW w:w="2060" w:type="dxa"/>
            <w:vAlign w:val="bottom"/>
            <w:tcBorders>
              <w:bottom w:val="single" w:sz="8" w:color="1D428A"/>
            </w:tcBorders>
          </w:tcPr>
          <w:p>
            <w:pPr>
              <w:spacing w:after="0"/>
              <w:rPr>
                <w:sz w:val="2"/>
                <w:szCs w:val="2"/>
                <w:color w:val="auto"/>
              </w:rPr>
            </w:pPr>
          </w:p>
        </w:tc>
        <w:tc>
          <w:tcPr>
            <w:tcW w:w="2060" w:type="dxa"/>
            <w:vAlign w:val="bottom"/>
            <w:tcBorders>
              <w:bottom w:val="single" w:sz="8" w:color="1D428A"/>
            </w:tcBorders>
          </w:tcPr>
          <w:p>
            <w:pPr>
              <w:spacing w:after="0"/>
              <w:rPr>
                <w:sz w:val="2"/>
                <w:szCs w:val="2"/>
                <w:color w:val="auto"/>
              </w:rPr>
            </w:pPr>
          </w:p>
        </w:tc>
        <w:tc>
          <w:tcPr>
            <w:tcW w:w="940" w:type="dxa"/>
            <w:vAlign w:val="bottom"/>
            <w:tcBorders>
              <w:bottom w:val="single" w:sz="8" w:color="1D428A"/>
            </w:tcBorders>
          </w:tcPr>
          <w:p>
            <w:pPr>
              <w:spacing w:after="0"/>
              <w:rPr>
                <w:sz w:val="2"/>
                <w:szCs w:val="2"/>
                <w:color w:val="auto"/>
              </w:rPr>
            </w:pPr>
          </w:p>
        </w:tc>
        <w:tc>
          <w:tcPr>
            <w:tcW w:w="160" w:type="dxa"/>
            <w:vAlign w:val="bottom"/>
            <w:tcBorders>
              <w:bottom w:val="single" w:sz="8" w:color="1D428A"/>
            </w:tcBorders>
          </w:tcPr>
          <w:p>
            <w:pPr>
              <w:spacing w:after="0"/>
              <w:rPr>
                <w:sz w:val="2"/>
                <w:szCs w:val="2"/>
                <w:color w:val="auto"/>
              </w:rPr>
            </w:pPr>
          </w:p>
        </w:tc>
        <w:tc>
          <w:tcPr>
            <w:tcW w:w="940" w:type="dxa"/>
            <w:vAlign w:val="bottom"/>
            <w:tcBorders>
              <w:bottom w:val="single" w:sz="8" w:color="1D428A"/>
            </w:tcBorders>
          </w:tcPr>
          <w:p>
            <w:pPr>
              <w:spacing w:after="0"/>
              <w:rPr>
                <w:sz w:val="2"/>
                <w:szCs w:val="2"/>
                <w:color w:val="auto"/>
              </w:rPr>
            </w:pPr>
          </w:p>
        </w:tc>
        <w:tc>
          <w:tcPr>
            <w:tcW w:w="20" w:type="dxa"/>
            <w:vAlign w:val="bottom"/>
            <w:tcBorders>
              <w:bottom w:val="single" w:sz="8" w:color="D6E5F9"/>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D6E5F9"/>
            </w:tcBorders>
            <w:shd w:val="clear" w:color="auto" w:fill="D6E5F9"/>
          </w:tcPr>
          <w:p>
            <w:pPr>
              <w:spacing w:after="0"/>
              <w:rPr>
                <w:sz w:val="16"/>
                <w:szCs w:val="16"/>
                <w:color w:val="auto"/>
              </w:rPr>
            </w:pPr>
          </w:p>
        </w:tc>
        <w:tc>
          <w:tcPr>
            <w:tcW w:w="204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B3B0AC"/>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8"/>
              </w:rPr>
              <w:t>Deferral</w:t>
            </w: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Standard 401(k) plan and</w:t>
            </w:r>
          </w:p>
        </w:tc>
        <w:tc>
          <w:tcPr>
            <w:tcW w:w="940" w:type="dxa"/>
            <w:vAlign w:val="bottom"/>
            <w:tcBorders>
              <w:bottom w:val="single" w:sz="8" w:color="D6E5F9"/>
            </w:tcBorders>
            <w:shd w:val="clear" w:color="auto" w:fill="D6E5F9"/>
          </w:tcPr>
          <w:p>
            <w:pPr>
              <w:spacing w:after="0"/>
              <w:rPr>
                <w:sz w:val="16"/>
                <w:szCs w:val="16"/>
                <w:color w:val="auto"/>
              </w:rPr>
            </w:pPr>
          </w:p>
        </w:tc>
        <w:tc>
          <w:tcPr>
            <w:tcW w:w="160" w:type="dxa"/>
            <w:vAlign w:val="bottom"/>
            <w:tcBorders>
              <w:bottom w:val="single" w:sz="8" w:color="D6E5F9"/>
            </w:tcBorders>
            <w:shd w:val="clear" w:color="auto" w:fill="D6E5F9"/>
          </w:tcPr>
          <w:p>
            <w:pPr>
              <w:spacing w:after="0"/>
              <w:rPr>
                <w:sz w:val="16"/>
                <w:szCs w:val="16"/>
                <w:color w:val="auto"/>
              </w:rPr>
            </w:pPr>
          </w:p>
        </w:tc>
        <w:tc>
          <w:tcPr>
            <w:tcW w:w="940" w:type="dxa"/>
            <w:vAlign w:val="bottom"/>
            <w:tcBorders>
              <w:bottom w:val="single" w:sz="8" w:color="D6E5F9"/>
            </w:tcBorders>
            <w:shd w:val="clear" w:color="auto" w:fill="D6E5F9"/>
          </w:tcPr>
          <w:p>
            <w:pPr>
              <w:spacing w:after="0"/>
              <w:rPr>
                <w:sz w:val="16"/>
                <w:szCs w:val="16"/>
                <w:color w:val="auto"/>
              </w:rPr>
            </w:pPr>
          </w:p>
        </w:tc>
        <w:tc>
          <w:tcPr>
            <w:tcW w:w="20" w:type="dxa"/>
            <w:vAlign w:val="bottom"/>
            <w:tcBorders>
              <w:bottom w:val="single" w:sz="8" w:color="D6E5F9"/>
            </w:tcBorders>
            <w:shd w:val="clear" w:color="auto" w:fill="D6E5F9"/>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D6E5F9"/>
            </w:tcBorders>
            <w:shd w:val="clear" w:color="auto" w:fill="D6E5F9"/>
          </w:tcPr>
          <w:p>
            <w:pPr>
              <w:spacing w:after="0"/>
              <w:rPr>
                <w:sz w:val="17"/>
                <w:szCs w:val="17"/>
                <w:color w:val="auto"/>
              </w:rPr>
            </w:pPr>
          </w:p>
        </w:tc>
        <w:tc>
          <w:tcPr>
            <w:tcW w:w="2040" w:type="dxa"/>
            <w:vAlign w:val="bottom"/>
            <w:tcBorders>
              <w:bottom w:val="single" w:sz="8" w:color="D6E5F9"/>
              <w:right w:val="single" w:sz="8" w:color="B3B0AC"/>
            </w:tcBorders>
            <w:shd w:val="clear" w:color="auto" w:fill="D6E5F9"/>
          </w:tcPr>
          <w:p>
            <w:pPr>
              <w:spacing w:after="0"/>
              <w:rPr>
                <w:sz w:val="17"/>
                <w:szCs w:val="17"/>
                <w:color w:val="auto"/>
              </w:rPr>
            </w:pP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Salaried Retirement Program</w:t>
            </w: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5"/>
              </w:rPr>
              <w:t>Company Match</w:t>
            </w:r>
          </w:p>
        </w:tc>
        <w:tc>
          <w:tcPr>
            <w:tcW w:w="2060" w:type="dxa"/>
            <w:vAlign w:val="bottom"/>
            <w:tcBorders>
              <w:bottom w:val="single" w:sz="8" w:color="D6E5F9"/>
              <w:right w:val="single" w:sz="8" w:color="B3B0AC"/>
            </w:tcBorders>
            <w:shd w:val="clear" w:color="auto" w:fill="D6E5F9"/>
          </w:tcPr>
          <w:p>
            <w:pPr>
              <w:jc w:val="center"/>
              <w:spacing w:after="0" w:line="145" w:lineRule="exact"/>
              <w:rPr>
                <w:sz w:val="20"/>
                <w:szCs w:val="20"/>
                <w:color w:val="auto"/>
              </w:rPr>
            </w:pPr>
            <w:r>
              <w:rPr>
                <w:rFonts w:ascii="Verdana" w:cs="Verdana" w:eastAsia="Verdana" w:hAnsi="Verdana"/>
                <w:sz w:val="13"/>
                <w:szCs w:val="13"/>
                <w:color w:val="auto"/>
                <w:w w:val="97"/>
              </w:rPr>
              <w:t>matching contribution</w:t>
            </w:r>
          </w:p>
        </w:tc>
        <w:tc>
          <w:tcPr>
            <w:tcW w:w="2040" w:type="dxa"/>
            <w:vAlign w:val="bottom"/>
            <w:tcBorders>
              <w:bottom w:val="single" w:sz="8" w:color="D6E5F9"/>
            </w:tcBorders>
            <w:gridSpan w:val="3"/>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58</w:t>
            </w:r>
          </w:p>
        </w:tc>
        <w:tc>
          <w:tcPr>
            <w:tcW w:w="20" w:type="dxa"/>
            <w:vAlign w:val="bottom"/>
            <w:tcBorders>
              <w:bottom w:val="single" w:sz="8" w:color="D6E5F9"/>
            </w:tcBorders>
            <w:shd w:val="clear" w:color="auto" w:fill="D6E5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6E5F9"/>
            </w:tcBorders>
            <w:shd w:val="clear" w:color="auto" w:fill="D6E5F9"/>
          </w:tcPr>
          <w:p>
            <w:pPr>
              <w:spacing w:after="0" w:line="20" w:lineRule="exact"/>
              <w:rPr>
                <w:sz w:val="1"/>
                <w:szCs w:val="1"/>
                <w:color w:val="auto"/>
              </w:rPr>
            </w:pPr>
          </w:p>
        </w:tc>
        <w:tc>
          <w:tcPr>
            <w:tcW w:w="2040" w:type="dxa"/>
            <w:vAlign w:val="bottom"/>
            <w:tcBorders>
              <w:top w:val="single" w:sz="8" w:color="D6E5F9"/>
              <w:right w:val="single" w:sz="8" w:color="B3B0AC"/>
            </w:tcBorders>
            <w:shd w:val="clear" w:color="auto" w:fill="D6E5F9"/>
          </w:tcPr>
          <w:p>
            <w:pPr>
              <w:spacing w:after="0" w:line="20" w:lineRule="exact"/>
              <w:rPr>
                <w:sz w:val="1"/>
                <w:szCs w:val="1"/>
                <w:color w:val="auto"/>
              </w:rPr>
            </w:pPr>
          </w:p>
        </w:tc>
        <w:tc>
          <w:tcPr>
            <w:tcW w:w="2060" w:type="dxa"/>
            <w:vAlign w:val="bottom"/>
            <w:tcBorders>
              <w:top w:val="single" w:sz="8" w:color="D6E5F9"/>
              <w:right w:val="single" w:sz="8" w:color="B3B0AC"/>
            </w:tcBorders>
            <w:vMerge w:val="restart"/>
            <w:shd w:val="clear" w:color="auto" w:fill="D6E5F9"/>
          </w:tcPr>
          <w:p>
            <w:pPr>
              <w:jc w:val="center"/>
              <w:spacing w:after="0" w:line="113" w:lineRule="exact"/>
              <w:rPr>
                <w:sz w:val="20"/>
                <w:szCs w:val="20"/>
                <w:color w:val="auto"/>
              </w:rPr>
            </w:pPr>
            <w:r>
              <w:rPr>
                <w:rFonts w:ascii="Verdana" w:cs="Verdana" w:eastAsia="Verdana" w:hAnsi="Verdana"/>
                <w:sz w:val="12"/>
                <w:szCs w:val="12"/>
                <w:color w:val="auto"/>
              </w:rPr>
              <w:t>(Qualified)</w:t>
            </w:r>
          </w:p>
        </w:tc>
        <w:tc>
          <w:tcPr>
            <w:tcW w:w="2060" w:type="dxa"/>
            <w:vAlign w:val="bottom"/>
            <w:tcBorders>
              <w:top w:val="single" w:sz="8" w:color="B3B0AC"/>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Automatic Company</w:t>
            </w:r>
          </w:p>
        </w:tc>
        <w:tc>
          <w:tcPr>
            <w:tcW w:w="2060" w:type="dxa"/>
            <w:vAlign w:val="bottom"/>
            <w:tcBorders>
              <w:top w:val="single" w:sz="8" w:color="B3B0AC"/>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7"/>
              </w:rPr>
              <w:t>Non-matching contribution</w:t>
            </w:r>
          </w:p>
        </w:tc>
        <w:tc>
          <w:tcPr>
            <w:tcW w:w="2040" w:type="dxa"/>
            <w:vAlign w:val="bottom"/>
            <w:tcBorders>
              <w:top w:val="single" w:sz="8" w:color="D6E5F9"/>
            </w:tcBorders>
            <w:gridSpan w:val="3"/>
            <w:vMerge w:val="continue"/>
            <w:shd w:val="clear" w:color="auto" w:fill="D6E5F9"/>
          </w:tcPr>
          <w:p>
            <w:pPr>
              <w:spacing w:after="0" w:line="20" w:lineRule="exact"/>
              <w:rPr>
                <w:sz w:val="1"/>
                <w:szCs w:val="1"/>
                <w:color w:val="auto"/>
              </w:rPr>
            </w:pPr>
          </w:p>
        </w:tc>
        <w:tc>
          <w:tcPr>
            <w:tcW w:w="20" w:type="dxa"/>
            <w:vAlign w:val="bottom"/>
            <w:tcBorders>
              <w:top w:val="single" w:sz="8" w:color="D6E5F9"/>
            </w:tcBorders>
            <w:shd w:val="clear" w:color="auto" w:fill="D6E5F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B3B0AC"/>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B3B0AC"/>
              <w:right w:val="single" w:sz="8" w:color="B3B0AC"/>
            </w:tcBorders>
            <w:vMerge w:val="continue"/>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160" w:type="dxa"/>
            <w:vAlign w:val="bottom"/>
            <w:tcBorders>
              <w:top w:val="single" w:sz="8" w:color="auto"/>
            </w:tcBorders>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shd w:val="clear" w:color="auto" w:fill="D6E5F9"/>
          </w:tcPr>
          <w:p>
            <w:pPr>
              <w:spacing w:after="0"/>
              <w:rPr>
                <w:sz w:val="4"/>
                <w:szCs w:val="4"/>
                <w:color w:val="auto"/>
              </w:rPr>
            </w:pPr>
          </w:p>
        </w:tc>
        <w:tc>
          <w:tcPr>
            <w:tcW w:w="2040" w:type="dxa"/>
            <w:vAlign w:val="bottom"/>
            <w:tcBorders>
              <w:right w:val="single" w:sz="8" w:color="B3B0AC"/>
            </w:tcBorders>
            <w:shd w:val="clear" w:color="auto" w:fill="D6E5F9"/>
          </w:tcPr>
          <w:p>
            <w:pPr>
              <w:spacing w:after="0"/>
              <w:rPr>
                <w:sz w:val="4"/>
                <w:szCs w:val="4"/>
                <w:color w:val="auto"/>
              </w:rPr>
            </w:pPr>
          </w:p>
        </w:tc>
        <w:tc>
          <w:tcPr>
            <w:tcW w:w="2060" w:type="dxa"/>
            <w:vAlign w:val="bottom"/>
            <w:tcBorders>
              <w:right w:val="single" w:sz="8" w:color="B3B0AC"/>
            </w:tcBorders>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160" w:type="dxa"/>
            <w:vAlign w:val="bottom"/>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20" w:type="dxa"/>
            <w:vAlign w:val="bottom"/>
            <w:shd w:val="clear" w:color="auto" w:fill="D6E5F9"/>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D6E5F9"/>
          </w:tcPr>
          <w:p>
            <w:pPr>
              <w:spacing w:after="0"/>
              <w:rPr>
                <w:sz w:val="8"/>
                <w:szCs w:val="8"/>
                <w:color w:val="auto"/>
              </w:rPr>
            </w:pPr>
          </w:p>
        </w:tc>
        <w:tc>
          <w:tcPr>
            <w:tcW w:w="2040" w:type="dxa"/>
            <w:vAlign w:val="bottom"/>
            <w:tcBorders>
              <w:right w:val="single" w:sz="8" w:color="B3B0AC"/>
            </w:tcBorders>
            <w:shd w:val="clear" w:color="auto" w:fill="D6E5F9"/>
          </w:tcPr>
          <w:p>
            <w:pPr>
              <w:spacing w:after="0"/>
              <w:rPr>
                <w:sz w:val="8"/>
                <w:szCs w:val="8"/>
                <w:color w:val="auto"/>
              </w:rPr>
            </w:pPr>
          </w:p>
        </w:tc>
        <w:tc>
          <w:tcPr>
            <w:tcW w:w="2060" w:type="dxa"/>
            <w:vAlign w:val="bottom"/>
            <w:tcBorders>
              <w:right w:val="single" w:sz="8" w:color="B3B0AC"/>
            </w:tcBorders>
            <w:shd w:val="clear" w:color="auto" w:fill="D6E5F9"/>
          </w:tcPr>
          <w:p>
            <w:pPr>
              <w:spacing w:after="0"/>
              <w:rPr>
                <w:sz w:val="8"/>
                <w:szCs w:val="8"/>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Contribution</w:t>
            </w:r>
          </w:p>
        </w:tc>
        <w:tc>
          <w:tcPr>
            <w:tcW w:w="2060" w:type="dxa"/>
            <w:vAlign w:val="bottom"/>
            <w:tcBorders>
              <w:right w:val="single" w:sz="8" w:color="B3B0AC"/>
            </w:tcBorders>
            <w:vMerge w:val="continue"/>
            <w:shd w:val="clear" w:color="auto" w:fill="D6E5F9"/>
          </w:tcPr>
          <w:p>
            <w:pPr>
              <w:spacing w:after="0"/>
              <w:rPr>
                <w:sz w:val="8"/>
                <w:szCs w:val="8"/>
                <w:color w:val="auto"/>
              </w:rPr>
            </w:pPr>
          </w:p>
        </w:tc>
        <w:tc>
          <w:tcPr>
            <w:tcW w:w="940" w:type="dxa"/>
            <w:vAlign w:val="bottom"/>
            <w:shd w:val="clear" w:color="auto" w:fill="D6E5F9"/>
          </w:tcPr>
          <w:p>
            <w:pPr>
              <w:spacing w:after="0"/>
              <w:rPr>
                <w:sz w:val="8"/>
                <w:szCs w:val="8"/>
                <w:color w:val="auto"/>
              </w:rPr>
            </w:pPr>
          </w:p>
        </w:tc>
        <w:tc>
          <w:tcPr>
            <w:tcW w:w="160" w:type="dxa"/>
            <w:vAlign w:val="bottom"/>
            <w:shd w:val="clear" w:color="auto" w:fill="D6E5F9"/>
          </w:tcPr>
          <w:p>
            <w:pPr>
              <w:spacing w:after="0"/>
              <w:rPr>
                <w:sz w:val="8"/>
                <w:szCs w:val="8"/>
                <w:color w:val="auto"/>
              </w:rPr>
            </w:pPr>
          </w:p>
        </w:tc>
        <w:tc>
          <w:tcPr>
            <w:tcW w:w="940" w:type="dxa"/>
            <w:vAlign w:val="bottom"/>
            <w:shd w:val="clear" w:color="auto" w:fill="D6E5F9"/>
          </w:tcPr>
          <w:p>
            <w:pPr>
              <w:spacing w:after="0"/>
              <w:rPr>
                <w:sz w:val="8"/>
                <w:szCs w:val="8"/>
                <w:color w:val="auto"/>
              </w:rPr>
            </w:pPr>
          </w:p>
        </w:tc>
        <w:tc>
          <w:tcPr>
            <w:tcW w:w="20" w:type="dxa"/>
            <w:vAlign w:val="bottom"/>
            <w:shd w:val="clear" w:color="auto" w:fill="D6E5F9"/>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D6E5F9"/>
            </w:tcBorders>
            <w:shd w:val="clear" w:color="auto" w:fill="D6E5F9"/>
          </w:tcPr>
          <w:p>
            <w:pPr>
              <w:spacing w:after="0"/>
              <w:rPr>
                <w:sz w:val="8"/>
                <w:szCs w:val="8"/>
                <w:color w:val="auto"/>
              </w:rPr>
            </w:pPr>
          </w:p>
        </w:tc>
        <w:tc>
          <w:tcPr>
            <w:tcW w:w="2040" w:type="dxa"/>
            <w:vAlign w:val="bottom"/>
            <w:tcBorders>
              <w:bottom w:val="single" w:sz="8" w:color="D6E5F9"/>
              <w:right w:val="single" w:sz="8" w:color="B3B0AC"/>
            </w:tcBorders>
            <w:vMerge w:val="restart"/>
            <w:shd w:val="clear" w:color="auto" w:fill="D6E5F9"/>
          </w:tcPr>
          <w:p>
            <w:pPr>
              <w:ind w:left="20"/>
              <w:spacing w:after="0"/>
              <w:rPr>
                <w:sz w:val="20"/>
                <w:szCs w:val="20"/>
                <w:color w:val="auto"/>
              </w:rPr>
            </w:pPr>
            <w:r>
              <w:rPr>
                <w:rFonts w:ascii="Verdana" w:cs="Verdana" w:eastAsia="Verdana" w:hAnsi="Verdana"/>
                <w:sz w:val="13"/>
                <w:szCs w:val="13"/>
                <w:b w:val="1"/>
                <w:bCs w:val="1"/>
                <w:color w:val="auto"/>
              </w:rPr>
              <w:t>Defined Contribution</w:t>
            </w:r>
          </w:p>
        </w:tc>
        <w:tc>
          <w:tcPr>
            <w:tcW w:w="2060" w:type="dxa"/>
            <w:vAlign w:val="bottom"/>
            <w:tcBorders>
              <w:bottom w:val="single" w:sz="8" w:color="D6E5F9"/>
              <w:right w:val="single" w:sz="8" w:color="B3B0AC"/>
            </w:tcBorders>
            <w:shd w:val="clear" w:color="auto" w:fill="D6E5F9"/>
          </w:tcPr>
          <w:p>
            <w:pPr>
              <w:spacing w:after="0"/>
              <w:rPr>
                <w:sz w:val="8"/>
                <w:szCs w:val="8"/>
                <w:color w:val="auto"/>
              </w:rPr>
            </w:pPr>
          </w:p>
        </w:tc>
        <w:tc>
          <w:tcPr>
            <w:tcW w:w="2060" w:type="dxa"/>
            <w:vAlign w:val="bottom"/>
            <w:tcBorders>
              <w:bottom w:val="single" w:sz="8" w:color="D6E5F9"/>
              <w:right w:val="single" w:sz="8" w:color="B3B0AC"/>
            </w:tcBorders>
            <w:vMerge w:val="continue"/>
            <w:shd w:val="clear" w:color="auto" w:fill="D6E5F9"/>
          </w:tcPr>
          <w:p>
            <w:pPr>
              <w:spacing w:after="0"/>
              <w:rPr>
                <w:sz w:val="8"/>
                <w:szCs w:val="8"/>
                <w:color w:val="auto"/>
              </w:rPr>
            </w:pPr>
          </w:p>
        </w:tc>
        <w:tc>
          <w:tcPr>
            <w:tcW w:w="2060" w:type="dxa"/>
            <w:vAlign w:val="bottom"/>
            <w:tcBorders>
              <w:bottom w:val="single" w:sz="8" w:color="D6E5F9"/>
              <w:right w:val="single" w:sz="8" w:color="B3B0AC"/>
            </w:tcBorders>
            <w:shd w:val="clear" w:color="auto" w:fill="D6E5F9"/>
          </w:tcPr>
          <w:p>
            <w:pPr>
              <w:spacing w:after="0"/>
              <w:rPr>
                <w:sz w:val="8"/>
                <w:szCs w:val="8"/>
                <w:color w:val="auto"/>
              </w:rPr>
            </w:pPr>
          </w:p>
        </w:tc>
        <w:tc>
          <w:tcPr>
            <w:tcW w:w="940" w:type="dxa"/>
            <w:vAlign w:val="bottom"/>
            <w:tcBorders>
              <w:bottom w:val="single" w:sz="8" w:color="D6E5F9"/>
            </w:tcBorders>
            <w:shd w:val="clear" w:color="auto" w:fill="D6E5F9"/>
          </w:tcPr>
          <w:p>
            <w:pPr>
              <w:spacing w:after="0"/>
              <w:rPr>
                <w:sz w:val="8"/>
                <w:szCs w:val="8"/>
                <w:color w:val="auto"/>
              </w:rPr>
            </w:pPr>
          </w:p>
        </w:tc>
        <w:tc>
          <w:tcPr>
            <w:tcW w:w="160" w:type="dxa"/>
            <w:vAlign w:val="bottom"/>
            <w:tcBorders>
              <w:bottom w:val="single" w:sz="8" w:color="D6E5F9"/>
            </w:tcBorders>
            <w:shd w:val="clear" w:color="auto" w:fill="D6E5F9"/>
          </w:tcPr>
          <w:p>
            <w:pPr>
              <w:spacing w:after="0"/>
              <w:rPr>
                <w:sz w:val="8"/>
                <w:szCs w:val="8"/>
                <w:color w:val="auto"/>
              </w:rPr>
            </w:pPr>
          </w:p>
        </w:tc>
        <w:tc>
          <w:tcPr>
            <w:tcW w:w="940" w:type="dxa"/>
            <w:vAlign w:val="bottom"/>
            <w:tcBorders>
              <w:bottom w:val="single" w:sz="8" w:color="D6E5F9"/>
            </w:tcBorders>
            <w:shd w:val="clear" w:color="auto" w:fill="D6E5F9"/>
          </w:tcPr>
          <w:p>
            <w:pPr>
              <w:spacing w:after="0"/>
              <w:rPr>
                <w:sz w:val="8"/>
                <w:szCs w:val="8"/>
                <w:color w:val="auto"/>
              </w:rPr>
            </w:pPr>
          </w:p>
        </w:tc>
        <w:tc>
          <w:tcPr>
            <w:tcW w:w="20" w:type="dxa"/>
            <w:vAlign w:val="bottom"/>
            <w:tcBorders>
              <w:bottom w:val="single" w:sz="8" w:color="D6E5F9"/>
            </w:tcBorders>
            <w:shd w:val="clear" w:color="auto" w:fill="D6E5F9"/>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B3B0AC"/>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Salaried Retirement</w:t>
            </w:r>
          </w:p>
        </w:tc>
        <w:tc>
          <w:tcPr>
            <w:tcW w:w="2060" w:type="dxa"/>
            <w:vAlign w:val="bottom"/>
            <w:tcBorders>
              <w:top w:val="single" w:sz="8" w:color="B3B0AC"/>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8"/>
              </w:rPr>
              <w:t>Deferral</w:t>
            </w:r>
          </w:p>
        </w:tc>
        <w:tc>
          <w:tcPr>
            <w:tcW w:w="2060" w:type="dxa"/>
            <w:vAlign w:val="bottom"/>
            <w:tcBorders>
              <w:top w:val="single" w:sz="8" w:color="B3B0AC"/>
              <w:right w:val="single" w:sz="8" w:color="B3B0AC"/>
            </w:tcBorders>
            <w:shd w:val="clear" w:color="auto" w:fill="D6E5F9"/>
          </w:tcPr>
          <w:p>
            <w:pPr>
              <w:spacing w:after="0"/>
              <w:rPr>
                <w:sz w:val="6"/>
                <w:szCs w:val="6"/>
                <w:color w:val="auto"/>
              </w:rPr>
            </w:pPr>
          </w:p>
        </w:tc>
        <w:tc>
          <w:tcPr>
            <w:tcW w:w="940" w:type="dxa"/>
            <w:vAlign w:val="bottom"/>
            <w:tcBorders>
              <w:top w:val="single" w:sz="8" w:color="B3B0AC"/>
            </w:tcBorders>
            <w:shd w:val="clear" w:color="auto" w:fill="D6E5F9"/>
          </w:tcPr>
          <w:p>
            <w:pPr>
              <w:spacing w:after="0"/>
              <w:rPr>
                <w:sz w:val="6"/>
                <w:szCs w:val="6"/>
                <w:color w:val="auto"/>
              </w:rPr>
            </w:pPr>
          </w:p>
        </w:tc>
        <w:tc>
          <w:tcPr>
            <w:tcW w:w="160" w:type="dxa"/>
            <w:vAlign w:val="bottom"/>
            <w:tcBorders>
              <w:top w:val="single" w:sz="8" w:color="B3B0AC"/>
            </w:tcBorders>
            <w:shd w:val="clear" w:color="auto" w:fill="D6E5F9"/>
          </w:tcPr>
          <w:p>
            <w:pPr>
              <w:spacing w:after="0"/>
              <w:rPr>
                <w:sz w:val="6"/>
                <w:szCs w:val="6"/>
                <w:color w:val="auto"/>
              </w:rPr>
            </w:pPr>
          </w:p>
        </w:tc>
        <w:tc>
          <w:tcPr>
            <w:tcW w:w="940" w:type="dxa"/>
            <w:vAlign w:val="bottom"/>
            <w:tcBorders>
              <w:top w:val="single" w:sz="8" w:color="B3B0AC"/>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D6E5F9"/>
            </w:tcBorders>
            <w:shd w:val="clear" w:color="auto" w:fill="D6E5F9"/>
          </w:tcPr>
          <w:p>
            <w:pPr>
              <w:spacing w:after="0"/>
              <w:rPr>
                <w:sz w:val="10"/>
                <w:szCs w:val="10"/>
                <w:color w:val="auto"/>
              </w:rPr>
            </w:pPr>
          </w:p>
        </w:tc>
        <w:tc>
          <w:tcPr>
            <w:tcW w:w="2040" w:type="dxa"/>
            <w:vAlign w:val="bottom"/>
            <w:tcBorders>
              <w:bottom w:val="single" w:sz="8" w:color="D6E5F9"/>
              <w:right w:val="single" w:sz="8" w:color="B3B0AC"/>
            </w:tcBorders>
            <w:shd w:val="clear" w:color="auto" w:fill="D6E5F9"/>
          </w:tcPr>
          <w:p>
            <w:pPr>
              <w:spacing w:after="0"/>
              <w:rPr>
                <w:sz w:val="10"/>
                <w:szCs w:val="10"/>
                <w:color w:val="auto"/>
              </w:rPr>
            </w:pPr>
          </w:p>
        </w:tc>
        <w:tc>
          <w:tcPr>
            <w:tcW w:w="2060" w:type="dxa"/>
            <w:vAlign w:val="bottom"/>
            <w:tcBorders>
              <w:bottom w:val="single" w:sz="8" w:color="B3B0AC"/>
              <w:right w:val="single" w:sz="8" w:color="B3B0AC"/>
            </w:tcBorders>
            <w:vMerge w:val="continue"/>
            <w:shd w:val="clear" w:color="auto" w:fill="D6E5F9"/>
          </w:tcPr>
          <w:p>
            <w:pPr>
              <w:spacing w:after="0"/>
              <w:rPr>
                <w:sz w:val="10"/>
                <w:szCs w:val="10"/>
                <w:color w:val="auto"/>
              </w:rPr>
            </w:pPr>
          </w:p>
        </w:tc>
        <w:tc>
          <w:tcPr>
            <w:tcW w:w="2060" w:type="dxa"/>
            <w:vAlign w:val="bottom"/>
            <w:tcBorders>
              <w:bottom w:val="single" w:sz="8" w:color="B3B0AC"/>
              <w:right w:val="single" w:sz="8" w:color="B3B0AC"/>
            </w:tcBorders>
            <w:vMerge w:val="continue"/>
            <w:shd w:val="clear" w:color="auto" w:fill="D6E5F9"/>
          </w:tcPr>
          <w:p>
            <w:pPr>
              <w:spacing w:after="0"/>
              <w:rPr>
                <w:sz w:val="10"/>
                <w:szCs w:val="10"/>
                <w:color w:val="auto"/>
              </w:rPr>
            </w:pPr>
          </w:p>
        </w:tc>
        <w:tc>
          <w:tcPr>
            <w:tcW w:w="2060" w:type="dxa"/>
            <w:vAlign w:val="bottom"/>
            <w:tcBorders>
              <w:bottom w:val="single" w:sz="8" w:color="D6E5F9"/>
              <w:right w:val="single" w:sz="8" w:color="B3B0AC"/>
            </w:tcBorders>
            <w:shd w:val="clear" w:color="auto" w:fill="D6E5F9"/>
          </w:tcPr>
          <w:p>
            <w:pPr>
              <w:spacing w:after="0"/>
              <w:rPr>
                <w:sz w:val="10"/>
                <w:szCs w:val="10"/>
                <w:color w:val="auto"/>
              </w:rPr>
            </w:pPr>
          </w:p>
        </w:tc>
        <w:tc>
          <w:tcPr>
            <w:tcW w:w="940" w:type="dxa"/>
            <w:vAlign w:val="bottom"/>
            <w:tcBorders>
              <w:bottom w:val="single" w:sz="8" w:color="D6E5F9"/>
            </w:tcBorders>
            <w:shd w:val="clear" w:color="auto" w:fill="D6E5F9"/>
          </w:tcPr>
          <w:p>
            <w:pPr>
              <w:spacing w:after="0"/>
              <w:rPr>
                <w:sz w:val="10"/>
                <w:szCs w:val="10"/>
                <w:color w:val="auto"/>
              </w:rPr>
            </w:pPr>
          </w:p>
        </w:tc>
        <w:tc>
          <w:tcPr>
            <w:tcW w:w="160" w:type="dxa"/>
            <w:vAlign w:val="bottom"/>
            <w:tcBorders>
              <w:bottom w:val="single" w:sz="8" w:color="D6E5F9"/>
            </w:tcBorders>
            <w:shd w:val="clear" w:color="auto" w:fill="D6E5F9"/>
          </w:tcPr>
          <w:p>
            <w:pPr>
              <w:spacing w:after="0"/>
              <w:rPr>
                <w:sz w:val="10"/>
                <w:szCs w:val="10"/>
                <w:color w:val="auto"/>
              </w:rPr>
            </w:pPr>
          </w:p>
        </w:tc>
        <w:tc>
          <w:tcPr>
            <w:tcW w:w="940" w:type="dxa"/>
            <w:vAlign w:val="bottom"/>
            <w:tcBorders>
              <w:bottom w:val="single" w:sz="8" w:color="D6E5F9"/>
            </w:tcBorders>
            <w:shd w:val="clear" w:color="auto" w:fill="D6E5F9"/>
          </w:tcPr>
          <w:p>
            <w:pPr>
              <w:spacing w:after="0"/>
              <w:rPr>
                <w:sz w:val="10"/>
                <w:szCs w:val="10"/>
                <w:color w:val="auto"/>
              </w:rPr>
            </w:pPr>
          </w:p>
        </w:tc>
        <w:tc>
          <w:tcPr>
            <w:tcW w:w="20" w:type="dxa"/>
            <w:vAlign w:val="bottom"/>
            <w:tcBorders>
              <w:bottom w:val="single" w:sz="8" w:color="D6E5F9"/>
            </w:tcBorders>
            <w:shd w:val="clear" w:color="auto" w:fill="D6E5F9"/>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shd w:val="clear" w:color="auto" w:fill="D6E5F9"/>
          </w:tcPr>
          <w:p>
            <w:pPr>
              <w:spacing w:after="0"/>
              <w:rPr>
                <w:sz w:val="7"/>
                <w:szCs w:val="7"/>
                <w:color w:val="auto"/>
              </w:rPr>
            </w:pPr>
          </w:p>
        </w:tc>
        <w:tc>
          <w:tcPr>
            <w:tcW w:w="2040" w:type="dxa"/>
            <w:vAlign w:val="bottom"/>
            <w:tcBorders>
              <w:right w:val="single" w:sz="8" w:color="B3B0AC"/>
            </w:tcBorders>
            <w:shd w:val="clear" w:color="auto" w:fill="D6E5F9"/>
          </w:tcPr>
          <w:p>
            <w:pPr>
              <w:spacing w:after="0"/>
              <w:rPr>
                <w:sz w:val="7"/>
                <w:szCs w:val="7"/>
                <w:color w:val="auto"/>
              </w:rPr>
            </w:pPr>
          </w:p>
        </w:tc>
        <w:tc>
          <w:tcPr>
            <w:tcW w:w="2060" w:type="dxa"/>
            <w:vAlign w:val="bottom"/>
            <w:tcBorders>
              <w:right w:val="single" w:sz="8" w:color="B3B0AC"/>
            </w:tcBorders>
            <w:vMerge w:val="continue"/>
            <w:shd w:val="clear" w:color="auto" w:fill="D6E5F9"/>
          </w:tcPr>
          <w:p>
            <w:pPr>
              <w:spacing w:after="0"/>
              <w:rPr>
                <w:sz w:val="7"/>
                <w:szCs w:val="7"/>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Company Match</w:t>
            </w: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Program for amounts above</w:t>
            </w:r>
          </w:p>
        </w:tc>
        <w:tc>
          <w:tcPr>
            <w:tcW w:w="940" w:type="dxa"/>
            <w:vAlign w:val="bottom"/>
            <w:shd w:val="clear" w:color="auto" w:fill="D6E5F9"/>
          </w:tcPr>
          <w:p>
            <w:pPr>
              <w:spacing w:after="0"/>
              <w:rPr>
                <w:sz w:val="7"/>
                <w:szCs w:val="7"/>
                <w:color w:val="auto"/>
              </w:rPr>
            </w:pPr>
          </w:p>
        </w:tc>
        <w:tc>
          <w:tcPr>
            <w:tcW w:w="160" w:type="dxa"/>
            <w:vAlign w:val="bottom"/>
            <w:shd w:val="clear" w:color="auto" w:fill="D6E5F9"/>
          </w:tcPr>
          <w:p>
            <w:pPr>
              <w:spacing w:after="0"/>
              <w:rPr>
                <w:sz w:val="7"/>
                <w:szCs w:val="7"/>
                <w:color w:val="auto"/>
              </w:rPr>
            </w:pPr>
          </w:p>
        </w:tc>
        <w:tc>
          <w:tcPr>
            <w:tcW w:w="940" w:type="dxa"/>
            <w:vAlign w:val="bottom"/>
            <w:shd w:val="clear" w:color="auto" w:fill="D6E5F9"/>
          </w:tcPr>
          <w:p>
            <w:pPr>
              <w:spacing w:after="0"/>
              <w:rPr>
                <w:sz w:val="7"/>
                <w:szCs w:val="7"/>
                <w:color w:val="auto"/>
              </w:rPr>
            </w:pPr>
          </w:p>
        </w:tc>
        <w:tc>
          <w:tcPr>
            <w:tcW w:w="20" w:type="dxa"/>
            <w:vAlign w:val="bottom"/>
            <w:shd w:val="clear" w:color="auto" w:fill="D6E5F9"/>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D6E5F9"/>
            </w:tcBorders>
            <w:shd w:val="clear" w:color="auto" w:fill="D6E5F9"/>
          </w:tcPr>
          <w:p>
            <w:pPr>
              <w:spacing w:after="0"/>
              <w:rPr>
                <w:sz w:val="13"/>
                <w:szCs w:val="13"/>
                <w:color w:val="auto"/>
              </w:rPr>
            </w:pPr>
          </w:p>
        </w:tc>
        <w:tc>
          <w:tcPr>
            <w:tcW w:w="2040" w:type="dxa"/>
            <w:vAlign w:val="bottom"/>
            <w:tcBorders>
              <w:bottom w:val="single" w:sz="8" w:color="D6E5F9"/>
              <w:right w:val="single" w:sz="8" w:color="B3B0AC"/>
            </w:tcBorders>
            <w:shd w:val="clear" w:color="auto" w:fill="D6E5F9"/>
          </w:tcPr>
          <w:p>
            <w:pPr>
              <w:spacing w:after="0"/>
              <w:rPr>
                <w:sz w:val="13"/>
                <w:szCs w:val="13"/>
                <w:color w:val="auto"/>
              </w:rPr>
            </w:pPr>
          </w:p>
        </w:tc>
        <w:tc>
          <w:tcPr>
            <w:tcW w:w="2060" w:type="dxa"/>
            <w:vAlign w:val="bottom"/>
            <w:tcBorders>
              <w:bottom w:val="single" w:sz="8" w:color="D6E5F9"/>
              <w:right w:val="single" w:sz="8" w:color="B3B0AC"/>
            </w:tcBorders>
            <w:shd w:val="clear" w:color="auto" w:fill="D6E5F9"/>
          </w:tcPr>
          <w:p>
            <w:pPr>
              <w:jc w:val="center"/>
              <w:spacing w:after="0" w:line="107" w:lineRule="exact"/>
              <w:rPr>
                <w:sz w:val="20"/>
                <w:szCs w:val="20"/>
                <w:color w:val="auto"/>
              </w:rPr>
            </w:pPr>
            <w:r>
              <w:rPr>
                <w:rFonts w:ascii="Verdana" w:cs="Verdana" w:eastAsia="Verdana" w:hAnsi="Verdana"/>
                <w:sz w:val="10"/>
                <w:szCs w:val="10"/>
                <w:color w:val="auto"/>
              </w:rPr>
              <w:t>Restoration Program (Non-</w:t>
            </w:r>
          </w:p>
        </w:tc>
        <w:tc>
          <w:tcPr>
            <w:tcW w:w="2060" w:type="dxa"/>
            <w:vAlign w:val="bottom"/>
            <w:tcBorders>
              <w:bottom w:val="single" w:sz="8" w:color="D6E5F9"/>
              <w:right w:val="single" w:sz="8" w:color="B3B0AC"/>
            </w:tcBorders>
            <w:vMerge w:val="continue"/>
            <w:shd w:val="clear" w:color="auto" w:fill="D6E5F9"/>
          </w:tcPr>
          <w:p>
            <w:pPr>
              <w:spacing w:after="0"/>
              <w:rPr>
                <w:sz w:val="13"/>
                <w:szCs w:val="13"/>
                <w:color w:val="auto"/>
              </w:rPr>
            </w:pPr>
          </w:p>
        </w:tc>
        <w:tc>
          <w:tcPr>
            <w:tcW w:w="2060" w:type="dxa"/>
            <w:vAlign w:val="bottom"/>
            <w:tcBorders>
              <w:bottom w:val="single" w:sz="8" w:color="D6E5F9"/>
              <w:right w:val="single" w:sz="8" w:color="B3B0AC"/>
            </w:tcBorders>
            <w:vMerge w:val="continue"/>
            <w:shd w:val="clear" w:color="auto" w:fill="D6E5F9"/>
          </w:tcPr>
          <w:p>
            <w:pPr>
              <w:spacing w:after="0"/>
              <w:rPr>
                <w:sz w:val="13"/>
                <w:szCs w:val="13"/>
                <w:color w:val="auto"/>
              </w:rPr>
            </w:pPr>
          </w:p>
        </w:tc>
        <w:tc>
          <w:tcPr>
            <w:tcW w:w="2040" w:type="dxa"/>
            <w:vAlign w:val="bottom"/>
            <w:tcBorders>
              <w:bottom w:val="single" w:sz="8" w:color="D6E5F9"/>
            </w:tcBorders>
            <w:gridSpan w:val="3"/>
            <w:shd w:val="clear" w:color="auto" w:fill="D6E5F9"/>
          </w:tcPr>
          <w:p>
            <w:pPr>
              <w:jc w:val="center"/>
              <w:spacing w:after="0" w:line="107" w:lineRule="exact"/>
              <w:rPr>
                <w:sz w:val="20"/>
                <w:szCs w:val="20"/>
                <w:color w:val="auto"/>
              </w:rPr>
            </w:pPr>
            <w:r>
              <w:rPr>
                <w:rFonts w:ascii="Verdana" w:cs="Verdana" w:eastAsia="Verdana" w:hAnsi="Verdana"/>
                <w:sz w:val="10"/>
                <w:szCs w:val="10"/>
                <w:color w:val="auto"/>
              </w:rPr>
              <w:t>58</w:t>
            </w:r>
          </w:p>
        </w:tc>
        <w:tc>
          <w:tcPr>
            <w:tcW w:w="20" w:type="dxa"/>
            <w:vAlign w:val="bottom"/>
            <w:tcBorders>
              <w:bottom w:val="single" w:sz="8" w:color="D6E5F9"/>
            </w:tcBorders>
            <w:shd w:val="clear" w:color="auto" w:fill="D6E5F9"/>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restart"/>
            <w:shd w:val="clear" w:color="auto" w:fill="D6E5F9"/>
          </w:tcPr>
          <w:p>
            <w:pPr>
              <w:jc w:val="center"/>
              <w:spacing w:after="0" w:line="124" w:lineRule="exact"/>
              <w:rPr>
                <w:sz w:val="20"/>
                <w:szCs w:val="20"/>
                <w:color w:val="auto"/>
              </w:rPr>
            </w:pPr>
            <w:r>
              <w:rPr>
                <w:rFonts w:ascii="Verdana" w:cs="Verdana" w:eastAsia="Verdana" w:hAnsi="Verdana"/>
                <w:sz w:val="13"/>
                <w:szCs w:val="13"/>
                <w:color w:val="auto"/>
                <w:w w:val="94"/>
              </w:rPr>
              <w:t>Qualified)</w:t>
            </w:r>
          </w:p>
        </w:tc>
        <w:tc>
          <w:tcPr>
            <w:tcW w:w="2060" w:type="dxa"/>
            <w:vAlign w:val="bottom"/>
            <w:tcBorders>
              <w:top w:val="single" w:sz="8" w:color="B3B0AC"/>
              <w:right w:val="single" w:sz="8" w:color="B3B0AC"/>
            </w:tcBorders>
            <w:vMerge w:val="restart"/>
            <w:shd w:val="clear" w:color="auto" w:fill="D6E5F9"/>
          </w:tcPr>
          <w:p>
            <w:pPr>
              <w:jc w:val="center"/>
              <w:spacing w:after="0" w:line="124" w:lineRule="exact"/>
              <w:rPr>
                <w:sz w:val="20"/>
                <w:szCs w:val="20"/>
                <w:color w:val="auto"/>
              </w:rPr>
            </w:pPr>
            <w:r>
              <w:rPr>
                <w:rFonts w:ascii="Verdana" w:cs="Verdana" w:eastAsia="Verdana" w:hAnsi="Verdana"/>
                <w:sz w:val="13"/>
                <w:szCs w:val="13"/>
                <w:color w:val="auto"/>
                <w:w w:val="96"/>
              </w:rPr>
              <w:t>Automatic Company</w:t>
            </w:r>
          </w:p>
        </w:tc>
        <w:tc>
          <w:tcPr>
            <w:tcW w:w="2060" w:type="dxa"/>
            <w:vAlign w:val="bottom"/>
            <w:tcBorders>
              <w:top w:val="single" w:sz="8" w:color="D6E5F9"/>
              <w:right w:val="single" w:sz="8" w:color="B3B0AC"/>
            </w:tcBorders>
            <w:shd w:val="clear" w:color="auto" w:fill="D6E5F9"/>
          </w:tcPr>
          <w:p>
            <w:pPr>
              <w:jc w:val="center"/>
              <w:spacing w:after="0" w:line="72" w:lineRule="exact"/>
              <w:rPr>
                <w:sz w:val="20"/>
                <w:szCs w:val="20"/>
                <w:color w:val="auto"/>
              </w:rPr>
            </w:pPr>
            <w:r>
              <w:rPr>
                <w:rFonts w:ascii="Verdana" w:cs="Verdana" w:eastAsia="Verdana" w:hAnsi="Verdana"/>
                <w:sz w:val="7"/>
                <w:szCs w:val="7"/>
                <w:color w:val="auto"/>
              </w:rPr>
              <w:t>tax-qualified plan limits</w:t>
            </w:r>
          </w:p>
        </w:tc>
        <w:tc>
          <w:tcPr>
            <w:tcW w:w="940" w:type="dxa"/>
            <w:vAlign w:val="bottom"/>
            <w:tcBorders>
              <w:top w:val="single" w:sz="8" w:color="D6E5F9"/>
            </w:tcBorders>
            <w:shd w:val="clear" w:color="auto" w:fill="D6E5F9"/>
          </w:tcPr>
          <w:p>
            <w:pPr>
              <w:spacing w:after="0"/>
              <w:rPr>
                <w:sz w:val="6"/>
                <w:szCs w:val="6"/>
                <w:color w:val="auto"/>
              </w:rPr>
            </w:pPr>
          </w:p>
        </w:tc>
        <w:tc>
          <w:tcPr>
            <w:tcW w:w="160" w:type="dxa"/>
            <w:vAlign w:val="bottom"/>
            <w:tcBorders>
              <w:top w:val="single" w:sz="8" w:color="auto"/>
            </w:tcBorders>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shd w:val="clear" w:color="auto" w:fill="D6E5F9"/>
          </w:tcPr>
          <w:p>
            <w:pPr>
              <w:spacing w:after="0"/>
              <w:rPr>
                <w:sz w:val="4"/>
                <w:szCs w:val="4"/>
                <w:color w:val="auto"/>
              </w:rPr>
            </w:pPr>
          </w:p>
        </w:tc>
        <w:tc>
          <w:tcPr>
            <w:tcW w:w="2040" w:type="dxa"/>
            <w:vAlign w:val="bottom"/>
            <w:tcBorders>
              <w:right w:val="single" w:sz="8" w:color="B3B0AC"/>
            </w:tcBorders>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2060" w:type="dxa"/>
            <w:vAlign w:val="bottom"/>
            <w:tcBorders>
              <w:right w:val="single" w:sz="8" w:color="B3B0AC"/>
            </w:tcBorders>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160" w:type="dxa"/>
            <w:vAlign w:val="bottom"/>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20" w:type="dxa"/>
            <w:vAlign w:val="bottom"/>
            <w:shd w:val="clear" w:color="auto" w:fill="D6E5F9"/>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D6E5F9"/>
            </w:tcBorders>
            <w:shd w:val="clear" w:color="auto" w:fill="D6E5F9"/>
          </w:tcPr>
          <w:p>
            <w:pPr>
              <w:spacing w:after="0"/>
              <w:rPr>
                <w:sz w:val="16"/>
                <w:szCs w:val="16"/>
                <w:color w:val="auto"/>
              </w:rPr>
            </w:pPr>
          </w:p>
        </w:tc>
        <w:tc>
          <w:tcPr>
            <w:tcW w:w="204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Contribution</w:t>
            </w:r>
          </w:p>
        </w:tc>
        <w:tc>
          <w:tcPr>
            <w:tcW w:w="2060" w:type="dxa"/>
            <w:vAlign w:val="bottom"/>
            <w:tcBorders>
              <w:bottom w:val="single" w:sz="8" w:color="D6E5F9"/>
              <w:right w:val="single" w:sz="8" w:color="B3B0AC"/>
            </w:tcBorders>
            <w:shd w:val="clear" w:color="auto" w:fill="D6E5F9"/>
          </w:tcPr>
          <w:p>
            <w:pPr>
              <w:spacing w:after="0"/>
              <w:rPr>
                <w:sz w:val="16"/>
                <w:szCs w:val="16"/>
                <w:color w:val="auto"/>
              </w:rPr>
            </w:pPr>
          </w:p>
        </w:tc>
        <w:tc>
          <w:tcPr>
            <w:tcW w:w="940" w:type="dxa"/>
            <w:vAlign w:val="bottom"/>
            <w:tcBorders>
              <w:bottom w:val="single" w:sz="8" w:color="D6E5F9"/>
            </w:tcBorders>
            <w:shd w:val="clear" w:color="auto" w:fill="D6E5F9"/>
          </w:tcPr>
          <w:p>
            <w:pPr>
              <w:spacing w:after="0"/>
              <w:rPr>
                <w:sz w:val="16"/>
                <w:szCs w:val="16"/>
                <w:color w:val="auto"/>
              </w:rPr>
            </w:pPr>
          </w:p>
        </w:tc>
        <w:tc>
          <w:tcPr>
            <w:tcW w:w="160" w:type="dxa"/>
            <w:vAlign w:val="bottom"/>
            <w:tcBorders>
              <w:bottom w:val="single" w:sz="8" w:color="D6E5F9"/>
            </w:tcBorders>
            <w:shd w:val="clear" w:color="auto" w:fill="D6E5F9"/>
          </w:tcPr>
          <w:p>
            <w:pPr>
              <w:spacing w:after="0"/>
              <w:rPr>
                <w:sz w:val="16"/>
                <w:szCs w:val="16"/>
                <w:color w:val="auto"/>
              </w:rPr>
            </w:pPr>
          </w:p>
        </w:tc>
        <w:tc>
          <w:tcPr>
            <w:tcW w:w="940" w:type="dxa"/>
            <w:vAlign w:val="bottom"/>
            <w:tcBorders>
              <w:bottom w:val="single" w:sz="8" w:color="D6E5F9"/>
            </w:tcBorders>
            <w:shd w:val="clear" w:color="auto" w:fill="D6E5F9"/>
          </w:tcPr>
          <w:p>
            <w:pPr>
              <w:spacing w:after="0"/>
              <w:rPr>
                <w:sz w:val="16"/>
                <w:szCs w:val="16"/>
                <w:color w:val="auto"/>
              </w:rPr>
            </w:pPr>
          </w:p>
        </w:tc>
        <w:tc>
          <w:tcPr>
            <w:tcW w:w="20" w:type="dxa"/>
            <w:vAlign w:val="bottom"/>
            <w:tcBorders>
              <w:bottom w:val="single" w:sz="8" w:color="D6E5F9"/>
            </w:tcBorders>
            <w:shd w:val="clear" w:color="auto" w:fill="D6E5F9"/>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D6E5F9"/>
            </w:tcBorders>
          </w:tcPr>
          <w:p>
            <w:pPr>
              <w:spacing w:after="0"/>
              <w:rPr>
                <w:sz w:val="20"/>
                <w:szCs w:val="20"/>
                <w:color w:val="auto"/>
              </w:rPr>
            </w:pPr>
          </w:p>
        </w:tc>
        <w:tc>
          <w:tcPr>
            <w:tcW w:w="2040" w:type="dxa"/>
            <w:vAlign w:val="bottom"/>
            <w:tcBorders>
              <w:top w:val="single" w:sz="8" w:color="B3B0AC"/>
              <w:right w:val="single" w:sz="8" w:color="B3B0AC"/>
            </w:tcBorders>
          </w:tcPr>
          <w:p>
            <w:pPr>
              <w:spacing w:after="0"/>
              <w:rPr>
                <w:sz w:val="20"/>
                <w:szCs w:val="20"/>
                <w:color w:val="auto"/>
              </w:rPr>
            </w:pPr>
          </w:p>
        </w:tc>
        <w:tc>
          <w:tcPr>
            <w:tcW w:w="2060" w:type="dxa"/>
            <w:vAlign w:val="bottom"/>
            <w:tcBorders>
              <w:top w:val="single" w:sz="8" w:color="B3B0AC"/>
              <w:right w:val="single" w:sz="8" w:color="B3B0AC"/>
            </w:tcBorders>
          </w:tcPr>
          <w:p>
            <w:pPr>
              <w:jc w:val="center"/>
              <w:spacing w:after="0"/>
              <w:rPr>
                <w:sz w:val="20"/>
                <w:szCs w:val="20"/>
                <w:color w:val="auto"/>
              </w:rPr>
            </w:pPr>
            <w:r>
              <w:rPr>
                <w:rFonts w:ascii="Verdana" w:cs="Verdana" w:eastAsia="Verdana" w:hAnsi="Verdana"/>
                <w:sz w:val="13"/>
                <w:szCs w:val="13"/>
                <w:color w:val="auto"/>
                <w:w w:val="95"/>
              </w:rPr>
              <w:t>Lear Corporation Pension Plan</w:t>
            </w:r>
          </w:p>
        </w:tc>
        <w:tc>
          <w:tcPr>
            <w:tcW w:w="2060" w:type="dxa"/>
            <w:vAlign w:val="bottom"/>
            <w:tcBorders>
              <w:top w:val="single" w:sz="8" w:color="B3B0AC"/>
              <w:right w:val="single" w:sz="8" w:color="B3B0AC"/>
            </w:tcBorders>
          </w:tcPr>
          <w:p>
            <w:pPr>
              <w:jc w:val="center"/>
              <w:spacing w:after="0"/>
              <w:rPr>
                <w:sz w:val="20"/>
                <w:szCs w:val="20"/>
                <w:color w:val="auto"/>
              </w:rPr>
            </w:pPr>
            <w:r>
              <w:rPr>
                <w:rFonts w:ascii="Verdana" w:cs="Verdana" w:eastAsia="Verdana" w:hAnsi="Verdana"/>
                <w:sz w:val="13"/>
                <w:szCs w:val="13"/>
                <w:color w:val="auto"/>
                <w:w w:val="97"/>
              </w:rPr>
              <w:t>Qualified Pension Plan (frozen)</w:t>
            </w:r>
          </w:p>
        </w:tc>
        <w:tc>
          <w:tcPr>
            <w:tcW w:w="2060" w:type="dxa"/>
            <w:vAlign w:val="bottom"/>
            <w:tcBorders>
              <w:top w:val="single" w:sz="8" w:color="B3B0AC"/>
              <w:right w:val="single" w:sz="8" w:color="B3B0AC"/>
            </w:tcBorders>
          </w:tcPr>
          <w:p>
            <w:pPr>
              <w:spacing w:after="0"/>
              <w:rPr>
                <w:sz w:val="20"/>
                <w:szCs w:val="20"/>
                <w:color w:val="auto"/>
              </w:rPr>
            </w:pPr>
          </w:p>
        </w:tc>
        <w:tc>
          <w:tcPr>
            <w:tcW w:w="2040" w:type="dxa"/>
            <w:vAlign w:val="bottom"/>
            <w:tcBorders>
              <w:top w:val="single" w:sz="8" w:color="B3B0AC"/>
            </w:tcBorders>
            <w:gridSpan w:val="3"/>
          </w:tcPr>
          <w:p>
            <w:pPr>
              <w:jc w:val="center"/>
              <w:spacing w:after="0"/>
              <w:rPr>
                <w:sz w:val="20"/>
                <w:szCs w:val="20"/>
                <w:color w:val="auto"/>
              </w:rPr>
            </w:pPr>
            <w:r>
              <w:rPr>
                <w:rFonts w:ascii="Verdana" w:cs="Verdana" w:eastAsia="Verdana" w:hAnsi="Verdana"/>
                <w:sz w:val="13"/>
                <w:szCs w:val="13"/>
                <w:color w:val="auto"/>
                <w:w w:val="96"/>
              </w:rPr>
              <w:t>63</w:t>
            </w:r>
          </w:p>
        </w:tc>
        <w:tc>
          <w:tcPr>
            <w:tcW w:w="20" w:type="dxa"/>
            <w:vAlign w:val="bottom"/>
            <w:tcBorders>
              <w:top w:val="single" w:sz="8" w:color="D6E5F9"/>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Borders>
              <w:right w:val="single" w:sz="8" w:color="B3B0AC"/>
            </w:tcBorders>
          </w:tcPr>
          <w:p>
            <w:pPr>
              <w:spacing w:after="0"/>
              <w:rPr>
                <w:sz w:val="8"/>
                <w:szCs w:val="8"/>
                <w:color w:val="auto"/>
              </w:rPr>
            </w:pPr>
          </w:p>
        </w:tc>
        <w:tc>
          <w:tcPr>
            <w:tcW w:w="2060" w:type="dxa"/>
            <w:vAlign w:val="bottom"/>
            <w:tcBorders>
              <w:bottom w:val="single" w:sz="8" w:color="B3B0AC"/>
              <w:right w:val="single" w:sz="8" w:color="B3B0AC"/>
            </w:tcBorders>
          </w:tcPr>
          <w:p>
            <w:pPr>
              <w:spacing w:after="0"/>
              <w:rPr>
                <w:sz w:val="8"/>
                <w:szCs w:val="8"/>
                <w:color w:val="auto"/>
              </w:rPr>
            </w:pPr>
          </w:p>
        </w:tc>
        <w:tc>
          <w:tcPr>
            <w:tcW w:w="2060" w:type="dxa"/>
            <w:vAlign w:val="bottom"/>
            <w:tcBorders>
              <w:bottom w:val="single" w:sz="8" w:color="B3B0AC"/>
              <w:right w:val="single" w:sz="8" w:color="B3B0AC"/>
            </w:tcBorders>
          </w:tcPr>
          <w:p>
            <w:pPr>
              <w:spacing w:after="0"/>
              <w:rPr>
                <w:sz w:val="8"/>
                <w:szCs w:val="8"/>
                <w:color w:val="auto"/>
              </w:rPr>
            </w:pPr>
          </w:p>
        </w:tc>
        <w:tc>
          <w:tcPr>
            <w:tcW w:w="2060" w:type="dxa"/>
            <w:vAlign w:val="bottom"/>
            <w:tcBorders>
              <w:right w:val="single" w:sz="8" w:color="B3B0AC"/>
            </w:tcBorders>
          </w:tcPr>
          <w:p>
            <w:pPr>
              <w:spacing w:after="0"/>
              <w:rPr>
                <w:sz w:val="8"/>
                <w:szCs w:val="8"/>
                <w:color w:val="auto"/>
              </w:rPr>
            </w:pPr>
          </w:p>
        </w:tc>
        <w:tc>
          <w:tcPr>
            <w:tcW w:w="940" w:type="dxa"/>
            <w:vAlign w:val="bottom"/>
            <w:tcBorders>
              <w:bottom w:val="single" w:sz="8" w:color="B3B0AC"/>
            </w:tcBorders>
          </w:tcPr>
          <w:p>
            <w:pPr>
              <w:spacing w:after="0"/>
              <w:rPr>
                <w:sz w:val="8"/>
                <w:szCs w:val="8"/>
                <w:color w:val="auto"/>
              </w:rPr>
            </w:pPr>
          </w:p>
        </w:tc>
        <w:tc>
          <w:tcPr>
            <w:tcW w:w="160" w:type="dxa"/>
            <w:vAlign w:val="bottom"/>
            <w:tcBorders>
              <w:top w:val="single" w:sz="8" w:color="auto"/>
              <w:bottom w:val="single" w:sz="8" w:color="B3B0AC"/>
            </w:tcBorders>
          </w:tcPr>
          <w:p>
            <w:pPr>
              <w:spacing w:after="0"/>
              <w:rPr>
                <w:sz w:val="8"/>
                <w:szCs w:val="8"/>
                <w:color w:val="auto"/>
              </w:rPr>
            </w:pPr>
          </w:p>
        </w:tc>
        <w:tc>
          <w:tcPr>
            <w:tcW w:w="940" w:type="dxa"/>
            <w:vAlign w:val="bottom"/>
            <w:tcBorders>
              <w:bottom w:val="single" w:sz="8" w:color="B3B0A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right w:val="single" w:sz="8" w:color="B3B0AC"/>
            </w:tcBorders>
          </w:tcPr>
          <w:p>
            <w:pPr>
              <w:ind w:left="20"/>
              <w:spacing w:after="0"/>
              <w:rPr>
                <w:sz w:val="20"/>
                <w:szCs w:val="20"/>
                <w:color w:val="auto"/>
              </w:rPr>
            </w:pPr>
            <w:r>
              <w:rPr>
                <w:rFonts w:ascii="Verdana" w:cs="Verdana" w:eastAsia="Verdana" w:hAnsi="Verdana"/>
                <w:sz w:val="13"/>
                <w:szCs w:val="13"/>
                <w:b w:val="1"/>
                <w:bCs w:val="1"/>
                <w:color w:val="auto"/>
              </w:rPr>
              <w:t>Defined Benefit (frozen as</w:t>
            </w:r>
          </w:p>
        </w:tc>
        <w:tc>
          <w:tcPr>
            <w:tcW w:w="2060" w:type="dxa"/>
            <w:vAlign w:val="bottom"/>
            <w:tcBorders>
              <w:right w:val="single" w:sz="8" w:color="B3B0AC"/>
            </w:tcBorders>
          </w:tcPr>
          <w:p>
            <w:pPr>
              <w:jc w:val="center"/>
              <w:spacing w:after="0"/>
              <w:rPr>
                <w:sz w:val="20"/>
                <w:szCs w:val="20"/>
                <w:color w:val="auto"/>
              </w:rPr>
            </w:pPr>
            <w:r>
              <w:rPr>
                <w:rFonts w:ascii="Verdana" w:cs="Verdana" w:eastAsia="Verdana" w:hAnsi="Verdana"/>
                <w:sz w:val="13"/>
                <w:szCs w:val="13"/>
                <w:color w:val="auto"/>
                <w:w w:val="96"/>
              </w:rPr>
              <w:t>Pension Equalization Program</w:t>
            </w:r>
          </w:p>
        </w:tc>
        <w:tc>
          <w:tcPr>
            <w:tcW w:w="2060" w:type="dxa"/>
            <w:vAlign w:val="bottom"/>
            <w:tcBorders>
              <w:right w:val="single" w:sz="8" w:color="B3B0AC"/>
            </w:tcBorders>
          </w:tcPr>
          <w:p>
            <w:pPr>
              <w:jc w:val="center"/>
              <w:spacing w:after="0"/>
              <w:rPr>
                <w:sz w:val="20"/>
                <w:szCs w:val="20"/>
                <w:color w:val="auto"/>
              </w:rPr>
            </w:pPr>
            <w:r>
              <w:rPr>
                <w:rFonts w:ascii="Verdana" w:cs="Verdana" w:eastAsia="Verdana" w:hAnsi="Verdana"/>
                <w:sz w:val="13"/>
                <w:szCs w:val="13"/>
                <w:color w:val="auto"/>
                <w:w w:val="96"/>
              </w:rPr>
              <w:t>Part of SERP (frozen)</w:t>
            </w:r>
          </w:p>
        </w:tc>
        <w:tc>
          <w:tcPr>
            <w:tcW w:w="2060" w:type="dxa"/>
            <w:vAlign w:val="bottom"/>
            <w:tcBorders>
              <w:right w:val="single" w:sz="8" w:color="B3B0AC"/>
            </w:tcBorders>
            <w:vMerge w:val="restart"/>
          </w:tcPr>
          <w:p>
            <w:pPr>
              <w:jc w:val="center"/>
              <w:spacing w:after="0"/>
              <w:rPr>
                <w:sz w:val="20"/>
                <w:szCs w:val="20"/>
                <w:color w:val="auto"/>
              </w:rPr>
            </w:pPr>
            <w:r>
              <w:rPr>
                <w:rFonts w:ascii="Verdana" w:cs="Verdana" w:eastAsia="Verdana" w:hAnsi="Verdana"/>
                <w:sz w:val="13"/>
                <w:szCs w:val="13"/>
                <w:color w:val="auto"/>
                <w:w w:val="97"/>
              </w:rPr>
              <w:t>N/A</w:t>
            </w:r>
          </w:p>
        </w:tc>
        <w:tc>
          <w:tcPr>
            <w:tcW w:w="2040" w:type="dxa"/>
            <w:vAlign w:val="bottom"/>
            <w:gridSpan w:val="3"/>
          </w:tcPr>
          <w:p>
            <w:pPr>
              <w:jc w:val="center"/>
              <w:spacing w:after="0"/>
              <w:rPr>
                <w:sz w:val="20"/>
                <w:szCs w:val="20"/>
                <w:color w:val="auto"/>
              </w:rPr>
            </w:pPr>
            <w:r>
              <w:rPr>
                <w:rFonts w:ascii="Verdana" w:cs="Verdana" w:eastAsia="Verdana" w:hAnsi="Verdana"/>
                <w:sz w:val="13"/>
                <w:szCs w:val="13"/>
                <w:color w:val="auto"/>
                <w:w w:val="96"/>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40" w:type="dxa"/>
            <w:vAlign w:val="bottom"/>
            <w:tcBorders>
              <w:right w:val="single" w:sz="8" w:color="B3B0AC"/>
            </w:tcBorders>
            <w:vMerge w:val="restart"/>
          </w:tcPr>
          <w:p>
            <w:pPr>
              <w:ind w:left="20"/>
              <w:spacing w:after="0" w:line="95" w:lineRule="exact"/>
              <w:rPr>
                <w:sz w:val="20"/>
                <w:szCs w:val="20"/>
                <w:color w:val="auto"/>
              </w:rPr>
            </w:pPr>
            <w:r>
              <w:rPr>
                <w:rFonts w:ascii="Verdana" w:cs="Verdana" w:eastAsia="Verdana" w:hAnsi="Verdana"/>
                <w:sz w:val="10"/>
                <w:szCs w:val="10"/>
                <w:b w:val="1"/>
                <w:bCs w:val="1"/>
                <w:color w:val="auto"/>
              </w:rPr>
              <w:t>of 12/31/06)</w:t>
            </w:r>
          </w:p>
        </w:tc>
        <w:tc>
          <w:tcPr>
            <w:tcW w:w="2060" w:type="dxa"/>
            <w:vAlign w:val="bottom"/>
            <w:tcBorders>
              <w:right w:val="single" w:sz="8" w:color="B3B0AC"/>
            </w:tcBorders>
          </w:tcPr>
          <w:p>
            <w:pPr>
              <w:spacing w:after="0"/>
              <w:rPr>
                <w:sz w:val="6"/>
                <w:szCs w:val="6"/>
                <w:color w:val="auto"/>
              </w:rPr>
            </w:pPr>
          </w:p>
        </w:tc>
        <w:tc>
          <w:tcPr>
            <w:tcW w:w="2060" w:type="dxa"/>
            <w:vAlign w:val="bottom"/>
            <w:tcBorders>
              <w:right w:val="single" w:sz="8" w:color="B3B0AC"/>
            </w:tcBorders>
          </w:tcPr>
          <w:p>
            <w:pPr>
              <w:spacing w:after="0"/>
              <w:rPr>
                <w:sz w:val="6"/>
                <w:szCs w:val="6"/>
                <w:color w:val="auto"/>
              </w:rPr>
            </w:pPr>
          </w:p>
        </w:tc>
        <w:tc>
          <w:tcPr>
            <w:tcW w:w="2060" w:type="dxa"/>
            <w:vAlign w:val="bottom"/>
            <w:tcBorders>
              <w:right w:val="single" w:sz="8" w:color="B3B0AC"/>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40" w:type="dxa"/>
            <w:vAlign w:val="bottom"/>
            <w:tcBorders>
              <w:right w:val="single" w:sz="8" w:color="B3B0AC"/>
            </w:tcBorders>
            <w:vMerge w:val="continue"/>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right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160" w:type="dxa"/>
            <w:vAlign w:val="bottom"/>
            <w:tcBorders>
              <w:bottom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40" w:type="dxa"/>
            <w:vAlign w:val="bottom"/>
            <w:tcBorders>
              <w:right w:val="single" w:sz="8" w:color="B3B0AC"/>
            </w:tcBorders>
          </w:tcPr>
          <w:p>
            <w:pPr>
              <w:spacing w:after="0"/>
              <w:rPr>
                <w:sz w:val="14"/>
                <w:szCs w:val="14"/>
                <w:color w:val="auto"/>
              </w:rPr>
            </w:pPr>
          </w:p>
        </w:tc>
        <w:tc>
          <w:tcPr>
            <w:tcW w:w="2060" w:type="dxa"/>
            <w:vAlign w:val="bottom"/>
            <w:tcBorders>
              <w:right w:val="single" w:sz="8" w:color="B3B0AC"/>
            </w:tcBorders>
          </w:tcPr>
          <w:p>
            <w:pPr>
              <w:jc w:val="center"/>
              <w:spacing w:after="0"/>
              <w:rPr>
                <w:sz w:val="20"/>
                <w:szCs w:val="20"/>
                <w:color w:val="auto"/>
              </w:rPr>
            </w:pPr>
            <w:r>
              <w:rPr>
                <w:rFonts w:ascii="Verdana" w:cs="Verdana" w:eastAsia="Verdana" w:hAnsi="Verdana"/>
                <w:sz w:val="13"/>
                <w:szCs w:val="13"/>
                <w:color w:val="auto"/>
                <w:w w:val="95"/>
              </w:rPr>
              <w:t>Salaried Retirement</w:t>
            </w:r>
          </w:p>
        </w:tc>
        <w:tc>
          <w:tcPr>
            <w:tcW w:w="2060" w:type="dxa"/>
            <w:vAlign w:val="bottom"/>
            <w:tcBorders>
              <w:right w:val="single" w:sz="8" w:color="B3B0AC"/>
            </w:tcBorders>
          </w:tcPr>
          <w:p>
            <w:pPr>
              <w:spacing w:after="0"/>
              <w:rPr>
                <w:sz w:val="14"/>
                <w:szCs w:val="14"/>
                <w:color w:val="auto"/>
              </w:rPr>
            </w:pPr>
          </w:p>
        </w:tc>
        <w:tc>
          <w:tcPr>
            <w:tcW w:w="2060" w:type="dxa"/>
            <w:vAlign w:val="bottom"/>
            <w:tcBorders>
              <w:right w:val="single" w:sz="8" w:color="B3B0AC"/>
            </w:tcBorders>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tcBorders>
              <w:right w:val="single" w:sz="8" w:color="B3B0AC"/>
            </w:tcBorders>
          </w:tcPr>
          <w:p>
            <w:pPr>
              <w:spacing w:after="0"/>
              <w:rPr>
                <w:sz w:val="12"/>
                <w:szCs w:val="12"/>
                <w:color w:val="auto"/>
              </w:rPr>
            </w:pPr>
          </w:p>
        </w:tc>
        <w:tc>
          <w:tcPr>
            <w:tcW w:w="2060" w:type="dxa"/>
            <w:vAlign w:val="bottom"/>
            <w:tcBorders>
              <w:right w:val="single" w:sz="8" w:color="B3B0AC"/>
            </w:tcBorders>
          </w:tcPr>
          <w:p>
            <w:pPr>
              <w:jc w:val="center"/>
              <w:spacing w:after="0" w:line="140" w:lineRule="exact"/>
              <w:rPr>
                <w:sz w:val="20"/>
                <w:szCs w:val="20"/>
                <w:color w:val="auto"/>
              </w:rPr>
            </w:pPr>
            <w:r>
              <w:rPr>
                <w:rFonts w:ascii="Verdana" w:cs="Verdana" w:eastAsia="Verdana" w:hAnsi="Verdana"/>
                <w:sz w:val="13"/>
                <w:szCs w:val="13"/>
                <w:color w:val="auto"/>
                <w:w w:val="96"/>
              </w:rPr>
              <w:t>Restoration Program (Pension</w:t>
            </w:r>
          </w:p>
        </w:tc>
        <w:tc>
          <w:tcPr>
            <w:tcW w:w="2060" w:type="dxa"/>
            <w:vAlign w:val="bottom"/>
            <w:tcBorders>
              <w:right w:val="single" w:sz="8" w:color="B3B0AC"/>
            </w:tcBorders>
          </w:tcPr>
          <w:p>
            <w:pPr>
              <w:jc w:val="center"/>
              <w:spacing w:after="0" w:line="140" w:lineRule="exact"/>
              <w:rPr>
                <w:sz w:val="20"/>
                <w:szCs w:val="20"/>
                <w:color w:val="auto"/>
              </w:rPr>
            </w:pPr>
            <w:r>
              <w:rPr>
                <w:rFonts w:ascii="Verdana" w:cs="Verdana" w:eastAsia="Verdana" w:hAnsi="Verdana"/>
                <w:sz w:val="13"/>
                <w:szCs w:val="13"/>
                <w:color w:val="auto"/>
                <w:w w:val="96"/>
              </w:rPr>
              <w:t>Part of SERP (frozen)</w:t>
            </w:r>
          </w:p>
        </w:tc>
        <w:tc>
          <w:tcPr>
            <w:tcW w:w="2060" w:type="dxa"/>
            <w:vAlign w:val="bottom"/>
            <w:tcBorders>
              <w:right w:val="single" w:sz="8" w:color="B3B0AC"/>
            </w:tcBorders>
          </w:tcPr>
          <w:p>
            <w:pPr>
              <w:spacing w:after="0"/>
              <w:rPr>
                <w:sz w:val="12"/>
                <w:szCs w:val="12"/>
                <w:color w:val="auto"/>
              </w:rPr>
            </w:pPr>
          </w:p>
        </w:tc>
        <w:tc>
          <w:tcPr>
            <w:tcW w:w="2040" w:type="dxa"/>
            <w:vAlign w:val="bottom"/>
            <w:gridSpan w:val="3"/>
          </w:tcPr>
          <w:p>
            <w:pPr>
              <w:jc w:val="center"/>
              <w:spacing w:after="0" w:line="140" w:lineRule="exact"/>
              <w:rPr>
                <w:sz w:val="20"/>
                <w:szCs w:val="20"/>
                <w:color w:val="auto"/>
              </w:rPr>
            </w:pPr>
            <w:r>
              <w:rPr>
                <w:rFonts w:ascii="Verdana" w:cs="Verdana" w:eastAsia="Verdana" w:hAnsi="Verdana"/>
                <w:sz w:val="13"/>
                <w:szCs w:val="13"/>
                <w:color w:val="auto"/>
                <w:w w:val="96"/>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tcBorders>
              <w:right w:val="single" w:sz="8" w:color="B3B0AC"/>
            </w:tcBorders>
          </w:tcPr>
          <w:p>
            <w:pPr>
              <w:spacing w:after="0"/>
              <w:rPr>
                <w:sz w:val="13"/>
                <w:szCs w:val="13"/>
                <w:color w:val="auto"/>
              </w:rPr>
            </w:pPr>
          </w:p>
        </w:tc>
        <w:tc>
          <w:tcPr>
            <w:tcW w:w="2060" w:type="dxa"/>
            <w:vAlign w:val="bottom"/>
            <w:tcBorders>
              <w:right w:val="single" w:sz="8" w:color="B3B0AC"/>
            </w:tcBorders>
          </w:tcPr>
          <w:p>
            <w:pPr>
              <w:jc w:val="center"/>
              <w:spacing w:after="0" w:line="153" w:lineRule="exact"/>
              <w:rPr>
                <w:sz w:val="20"/>
                <w:szCs w:val="20"/>
                <w:color w:val="auto"/>
              </w:rPr>
            </w:pPr>
            <w:r>
              <w:rPr>
                <w:rFonts w:ascii="Verdana" w:cs="Verdana" w:eastAsia="Verdana" w:hAnsi="Verdana"/>
                <w:sz w:val="13"/>
                <w:szCs w:val="13"/>
                <w:color w:val="auto"/>
                <w:w w:val="99"/>
              </w:rPr>
              <w:t>Makeup)</w:t>
            </w:r>
          </w:p>
        </w:tc>
        <w:tc>
          <w:tcPr>
            <w:tcW w:w="2060" w:type="dxa"/>
            <w:vAlign w:val="bottom"/>
            <w:tcBorders>
              <w:right w:val="single" w:sz="8" w:color="B3B0AC"/>
            </w:tcBorders>
          </w:tcPr>
          <w:p>
            <w:pPr>
              <w:spacing w:after="0"/>
              <w:rPr>
                <w:sz w:val="13"/>
                <w:szCs w:val="13"/>
                <w:color w:val="auto"/>
              </w:rPr>
            </w:pPr>
          </w:p>
        </w:tc>
        <w:tc>
          <w:tcPr>
            <w:tcW w:w="2060" w:type="dxa"/>
            <w:vAlign w:val="bottom"/>
            <w:tcBorders>
              <w:right w:val="single" w:sz="8" w:color="B3B0AC"/>
            </w:tcBorders>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D6E5F9"/>
            </w:tcBorders>
          </w:tcPr>
          <w:p>
            <w:pPr>
              <w:spacing w:after="0"/>
              <w:rPr>
                <w:sz w:val="2"/>
                <w:szCs w:val="2"/>
                <w:color w:val="auto"/>
              </w:rPr>
            </w:pPr>
          </w:p>
        </w:tc>
        <w:tc>
          <w:tcPr>
            <w:tcW w:w="204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160" w:type="dxa"/>
            <w:vAlign w:val="bottom"/>
            <w:tcBorders>
              <w:bottom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20" w:type="dxa"/>
            <w:vAlign w:val="bottom"/>
            <w:tcBorders>
              <w:bottom w:val="single" w:sz="8" w:color="D6E5F9"/>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D6E5F9"/>
          </w:tcPr>
          <w:p>
            <w:pPr>
              <w:spacing w:after="0"/>
              <w:rPr>
                <w:sz w:val="14"/>
                <w:szCs w:val="14"/>
                <w:color w:val="auto"/>
              </w:rPr>
            </w:pPr>
          </w:p>
        </w:tc>
        <w:tc>
          <w:tcPr>
            <w:tcW w:w="2040" w:type="dxa"/>
            <w:vAlign w:val="bottom"/>
            <w:tcBorders>
              <w:right w:val="single" w:sz="8" w:color="B3B0AC"/>
            </w:tcBorders>
            <w:shd w:val="clear" w:color="auto" w:fill="D6E5F9"/>
          </w:tcPr>
          <w:p>
            <w:pPr>
              <w:spacing w:after="0"/>
              <w:rPr>
                <w:sz w:val="14"/>
                <w:szCs w:val="14"/>
                <w:color w:val="auto"/>
              </w:rPr>
            </w:pPr>
          </w:p>
        </w:tc>
        <w:tc>
          <w:tcPr>
            <w:tcW w:w="2060" w:type="dxa"/>
            <w:vAlign w:val="bottom"/>
            <w:tcBorders>
              <w:right w:val="single" w:sz="8" w:color="B3B0AC"/>
            </w:tcBorders>
            <w:shd w:val="clear" w:color="auto" w:fill="D6E5F9"/>
          </w:tcPr>
          <w:p>
            <w:pPr>
              <w:spacing w:after="0"/>
              <w:rPr>
                <w:sz w:val="14"/>
                <w:szCs w:val="14"/>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Shares not distributed until</w:t>
            </w:r>
          </w:p>
        </w:tc>
        <w:tc>
          <w:tcPr>
            <w:tcW w:w="2060" w:type="dxa"/>
            <w:vAlign w:val="bottom"/>
            <w:tcBorders>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Facilitates a very long-term</w:t>
            </w:r>
          </w:p>
        </w:tc>
        <w:tc>
          <w:tcPr>
            <w:tcW w:w="940" w:type="dxa"/>
            <w:vAlign w:val="bottom"/>
            <w:shd w:val="clear" w:color="auto" w:fill="D6E5F9"/>
          </w:tcPr>
          <w:p>
            <w:pPr>
              <w:spacing w:after="0"/>
              <w:rPr>
                <w:sz w:val="14"/>
                <w:szCs w:val="14"/>
                <w:color w:val="auto"/>
              </w:rPr>
            </w:pPr>
          </w:p>
        </w:tc>
        <w:tc>
          <w:tcPr>
            <w:tcW w:w="160" w:type="dxa"/>
            <w:vAlign w:val="bottom"/>
            <w:shd w:val="clear" w:color="auto" w:fill="D6E5F9"/>
          </w:tcPr>
          <w:p>
            <w:pPr>
              <w:spacing w:after="0"/>
              <w:rPr>
                <w:sz w:val="14"/>
                <w:szCs w:val="14"/>
                <w:color w:val="auto"/>
              </w:rPr>
            </w:pPr>
          </w:p>
        </w:tc>
        <w:tc>
          <w:tcPr>
            <w:tcW w:w="940" w:type="dxa"/>
            <w:vAlign w:val="bottom"/>
            <w:shd w:val="clear" w:color="auto" w:fill="D6E5F9"/>
          </w:tcPr>
          <w:p>
            <w:pPr>
              <w:spacing w:after="0"/>
              <w:rPr>
                <w:sz w:val="14"/>
                <w:szCs w:val="14"/>
                <w:color w:val="auto"/>
              </w:rPr>
            </w:pPr>
          </w:p>
        </w:tc>
        <w:tc>
          <w:tcPr>
            <w:tcW w:w="20" w:type="dxa"/>
            <w:vAlign w:val="bottom"/>
            <w:shd w:val="clear" w:color="auto" w:fill="D6E5F9"/>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D6E5F9"/>
          </w:tcPr>
          <w:p>
            <w:pPr>
              <w:spacing w:after="0"/>
              <w:rPr>
                <w:sz w:val="5"/>
                <w:szCs w:val="5"/>
                <w:color w:val="auto"/>
              </w:rPr>
            </w:pPr>
          </w:p>
        </w:tc>
        <w:tc>
          <w:tcPr>
            <w:tcW w:w="2040" w:type="dxa"/>
            <w:vAlign w:val="bottom"/>
            <w:tcBorders>
              <w:right w:val="single" w:sz="8" w:color="B3B0AC"/>
            </w:tcBorders>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Career Shares</w:t>
            </w:r>
          </w:p>
        </w:tc>
        <w:tc>
          <w:tcPr>
            <w:tcW w:w="2060" w:type="dxa"/>
            <w:vAlign w:val="bottom"/>
            <w:tcBorders>
              <w:right w:val="single" w:sz="8" w:color="B3B0AC"/>
            </w:tcBorders>
            <w:vMerge w:val="continue"/>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shareholder perspective by the</w:t>
            </w:r>
          </w:p>
        </w:tc>
        <w:tc>
          <w:tcPr>
            <w:tcW w:w="940" w:type="dxa"/>
            <w:vAlign w:val="bottom"/>
            <w:shd w:val="clear" w:color="auto" w:fill="D6E5F9"/>
          </w:tcPr>
          <w:p>
            <w:pPr>
              <w:spacing w:after="0"/>
              <w:rPr>
                <w:sz w:val="5"/>
                <w:szCs w:val="5"/>
                <w:color w:val="auto"/>
              </w:rPr>
            </w:pPr>
          </w:p>
        </w:tc>
        <w:tc>
          <w:tcPr>
            <w:tcW w:w="160" w:type="dxa"/>
            <w:vAlign w:val="bottom"/>
            <w:shd w:val="clear" w:color="auto" w:fill="D6E5F9"/>
          </w:tcPr>
          <w:p>
            <w:pPr>
              <w:spacing w:after="0"/>
              <w:rPr>
                <w:sz w:val="5"/>
                <w:szCs w:val="5"/>
                <w:color w:val="auto"/>
              </w:rPr>
            </w:pPr>
          </w:p>
        </w:tc>
        <w:tc>
          <w:tcPr>
            <w:tcW w:w="940" w:type="dxa"/>
            <w:vAlign w:val="bottom"/>
            <w:shd w:val="clear" w:color="auto" w:fill="D6E5F9"/>
          </w:tcPr>
          <w:p>
            <w:pPr>
              <w:spacing w:after="0"/>
              <w:rPr>
                <w:sz w:val="5"/>
                <w:szCs w:val="5"/>
                <w:color w:val="auto"/>
              </w:rPr>
            </w:pPr>
          </w:p>
        </w:tc>
        <w:tc>
          <w:tcPr>
            <w:tcW w:w="20" w:type="dxa"/>
            <w:vAlign w:val="bottom"/>
            <w:shd w:val="clear" w:color="auto" w:fill="D6E5F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shd w:val="clear" w:color="auto" w:fill="D6E5F9"/>
          </w:tcPr>
          <w:p>
            <w:pPr>
              <w:spacing w:after="0"/>
              <w:rPr>
                <w:sz w:val="7"/>
                <w:szCs w:val="7"/>
                <w:color w:val="auto"/>
              </w:rPr>
            </w:pPr>
          </w:p>
        </w:tc>
        <w:tc>
          <w:tcPr>
            <w:tcW w:w="2040" w:type="dxa"/>
            <w:vAlign w:val="bottom"/>
            <w:tcBorders>
              <w:right w:val="single" w:sz="8" w:color="B3B0AC"/>
            </w:tcBorders>
            <w:vMerge w:val="restart"/>
            <w:shd w:val="clear" w:color="auto" w:fill="D6E5F9"/>
          </w:tcPr>
          <w:p>
            <w:pPr>
              <w:ind w:left="20"/>
              <w:spacing w:after="0" w:line="149" w:lineRule="exact"/>
              <w:rPr>
                <w:sz w:val="20"/>
                <w:szCs w:val="20"/>
                <w:color w:val="auto"/>
              </w:rPr>
            </w:pPr>
            <w:r>
              <w:rPr>
                <w:rFonts w:ascii="Verdana" w:cs="Verdana" w:eastAsia="Verdana" w:hAnsi="Verdana"/>
                <w:sz w:val="13"/>
                <w:szCs w:val="13"/>
                <w:b w:val="1"/>
                <w:bCs w:val="1"/>
                <w:color w:val="auto"/>
              </w:rPr>
              <w:t>Additional</w:t>
            </w:r>
          </w:p>
        </w:tc>
        <w:tc>
          <w:tcPr>
            <w:tcW w:w="2060" w:type="dxa"/>
            <w:vAlign w:val="bottom"/>
            <w:tcBorders>
              <w:right w:val="single" w:sz="8" w:color="B3B0AC"/>
            </w:tcBorders>
            <w:vMerge w:val="continue"/>
            <w:shd w:val="clear" w:color="auto" w:fill="D6E5F9"/>
          </w:tcPr>
          <w:p>
            <w:pPr>
              <w:spacing w:after="0"/>
              <w:rPr>
                <w:sz w:val="7"/>
                <w:szCs w:val="7"/>
                <w:color w:val="auto"/>
              </w:rPr>
            </w:pPr>
          </w:p>
        </w:tc>
        <w:tc>
          <w:tcPr>
            <w:tcW w:w="2060" w:type="dxa"/>
            <w:vAlign w:val="bottom"/>
            <w:tcBorders>
              <w:right w:val="single" w:sz="8" w:color="B3B0AC"/>
            </w:tcBorders>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earlier of age 62 or 3 years</w:t>
            </w:r>
          </w:p>
        </w:tc>
        <w:tc>
          <w:tcPr>
            <w:tcW w:w="2060" w:type="dxa"/>
            <w:vAlign w:val="bottom"/>
            <w:tcBorders>
              <w:right w:val="single" w:sz="8" w:color="B3B0AC"/>
            </w:tcBorders>
            <w:vMerge w:val="continue"/>
            <w:shd w:val="clear" w:color="auto" w:fill="D6E5F9"/>
          </w:tcPr>
          <w:p>
            <w:pPr>
              <w:spacing w:after="0"/>
              <w:rPr>
                <w:sz w:val="7"/>
                <w:szCs w:val="7"/>
                <w:color w:val="auto"/>
              </w:rPr>
            </w:pPr>
          </w:p>
        </w:tc>
        <w:tc>
          <w:tcPr>
            <w:tcW w:w="2040" w:type="dxa"/>
            <w:vAlign w:val="bottom"/>
            <w:gridSpan w:val="3"/>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52</w:t>
            </w:r>
          </w:p>
        </w:tc>
        <w:tc>
          <w:tcPr>
            <w:tcW w:w="20" w:type="dxa"/>
            <w:vAlign w:val="bottom"/>
            <w:shd w:val="clear" w:color="auto" w:fill="D6E5F9"/>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D6E5F9"/>
          </w:tcPr>
          <w:p>
            <w:pPr>
              <w:spacing w:after="0"/>
              <w:rPr>
                <w:sz w:val="5"/>
                <w:szCs w:val="5"/>
                <w:color w:val="auto"/>
              </w:rPr>
            </w:pPr>
          </w:p>
        </w:tc>
        <w:tc>
          <w:tcPr>
            <w:tcW w:w="2040" w:type="dxa"/>
            <w:vAlign w:val="bottom"/>
            <w:tcBorders>
              <w:right w:val="single" w:sz="8" w:color="B3B0AC"/>
            </w:tcBorders>
            <w:vMerge w:val="continue"/>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(described below)</w:t>
            </w:r>
          </w:p>
        </w:tc>
        <w:tc>
          <w:tcPr>
            <w:tcW w:w="2060" w:type="dxa"/>
            <w:vAlign w:val="bottom"/>
            <w:tcBorders>
              <w:right w:val="single" w:sz="8" w:color="B3B0AC"/>
            </w:tcBorders>
            <w:vMerge w:val="continue"/>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NEOs and other senior</w:t>
            </w:r>
          </w:p>
        </w:tc>
        <w:tc>
          <w:tcPr>
            <w:tcW w:w="2040" w:type="dxa"/>
            <w:vAlign w:val="bottom"/>
            <w:gridSpan w:val="3"/>
            <w:vMerge w:val="continue"/>
            <w:shd w:val="clear" w:color="auto" w:fill="D6E5F9"/>
          </w:tcPr>
          <w:p>
            <w:pPr>
              <w:spacing w:after="0"/>
              <w:rPr>
                <w:sz w:val="5"/>
                <w:szCs w:val="5"/>
                <w:color w:val="auto"/>
              </w:rPr>
            </w:pPr>
          </w:p>
        </w:tc>
        <w:tc>
          <w:tcPr>
            <w:tcW w:w="20" w:type="dxa"/>
            <w:vAlign w:val="bottom"/>
            <w:shd w:val="clear" w:color="auto" w:fill="D6E5F9"/>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restart"/>
            <w:shd w:val="clear" w:color="auto" w:fill="D6E5F9"/>
          </w:tcPr>
          <w:p>
            <w:pPr>
              <w:jc w:val="center"/>
              <w:spacing w:after="0" w:line="145" w:lineRule="exact"/>
              <w:rPr>
                <w:sz w:val="20"/>
                <w:szCs w:val="20"/>
                <w:color w:val="auto"/>
              </w:rPr>
            </w:pPr>
            <w:r>
              <w:rPr>
                <w:rFonts w:ascii="Verdana" w:cs="Verdana" w:eastAsia="Verdana" w:hAnsi="Verdana"/>
                <w:sz w:val="13"/>
                <w:szCs w:val="13"/>
                <w:color w:val="auto"/>
                <w:w w:val="95"/>
              </w:rPr>
              <w:t>after retirement</w:t>
            </w:r>
          </w:p>
        </w:tc>
        <w:tc>
          <w:tcPr>
            <w:tcW w:w="206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160" w:type="dxa"/>
            <w:vAlign w:val="bottom"/>
            <w:tcBorders>
              <w:top w:val="single" w:sz="8" w:color="auto"/>
            </w:tcBorders>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D6E5F9"/>
          </w:tcPr>
          <w:p>
            <w:pPr>
              <w:spacing w:after="0"/>
              <w:rPr>
                <w:sz w:val="6"/>
                <w:szCs w:val="6"/>
                <w:color w:val="auto"/>
              </w:rPr>
            </w:pPr>
          </w:p>
        </w:tc>
        <w:tc>
          <w:tcPr>
            <w:tcW w:w="2040" w:type="dxa"/>
            <w:vAlign w:val="bottom"/>
            <w:tcBorders>
              <w:right w:val="single" w:sz="8" w:color="B3B0AC"/>
            </w:tcBorders>
            <w:shd w:val="clear" w:color="auto" w:fill="D6E5F9"/>
          </w:tcPr>
          <w:p>
            <w:pPr>
              <w:spacing w:after="0"/>
              <w:rPr>
                <w:sz w:val="6"/>
                <w:szCs w:val="6"/>
                <w:color w:val="auto"/>
              </w:rPr>
            </w:pPr>
          </w:p>
        </w:tc>
        <w:tc>
          <w:tcPr>
            <w:tcW w:w="2060" w:type="dxa"/>
            <w:vAlign w:val="bottom"/>
            <w:tcBorders>
              <w:right w:val="single" w:sz="8" w:color="B3B0AC"/>
            </w:tcBorders>
            <w:shd w:val="clear" w:color="auto" w:fill="D6E5F9"/>
          </w:tcPr>
          <w:p>
            <w:pPr>
              <w:spacing w:after="0"/>
              <w:rPr>
                <w:sz w:val="6"/>
                <w:szCs w:val="6"/>
                <w:color w:val="auto"/>
              </w:rPr>
            </w:pPr>
          </w:p>
        </w:tc>
        <w:tc>
          <w:tcPr>
            <w:tcW w:w="2060" w:type="dxa"/>
            <w:vAlign w:val="bottom"/>
            <w:tcBorders>
              <w:right w:val="single" w:sz="8" w:color="B3B0AC"/>
            </w:tcBorders>
            <w:vMerge w:val="continue"/>
            <w:shd w:val="clear" w:color="auto" w:fill="D6E5F9"/>
          </w:tcPr>
          <w:p>
            <w:pPr>
              <w:spacing w:after="0"/>
              <w:rPr>
                <w:sz w:val="6"/>
                <w:szCs w:val="6"/>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executives</w:t>
            </w:r>
          </w:p>
        </w:tc>
        <w:tc>
          <w:tcPr>
            <w:tcW w:w="940" w:type="dxa"/>
            <w:vAlign w:val="bottom"/>
            <w:shd w:val="clear" w:color="auto" w:fill="D6E5F9"/>
          </w:tcPr>
          <w:p>
            <w:pPr>
              <w:spacing w:after="0"/>
              <w:rPr>
                <w:sz w:val="6"/>
                <w:szCs w:val="6"/>
                <w:color w:val="auto"/>
              </w:rPr>
            </w:pPr>
          </w:p>
        </w:tc>
        <w:tc>
          <w:tcPr>
            <w:tcW w:w="160" w:type="dxa"/>
            <w:vAlign w:val="bottom"/>
            <w:shd w:val="clear" w:color="auto" w:fill="D6E5F9"/>
          </w:tcPr>
          <w:p>
            <w:pPr>
              <w:spacing w:after="0"/>
              <w:rPr>
                <w:sz w:val="6"/>
                <w:szCs w:val="6"/>
                <w:color w:val="auto"/>
              </w:rPr>
            </w:pPr>
          </w:p>
        </w:tc>
        <w:tc>
          <w:tcPr>
            <w:tcW w:w="940" w:type="dxa"/>
            <w:vAlign w:val="bottom"/>
            <w:shd w:val="clear" w:color="auto" w:fill="D6E5F9"/>
          </w:tcPr>
          <w:p>
            <w:pPr>
              <w:spacing w:after="0"/>
              <w:rPr>
                <w:sz w:val="6"/>
                <w:szCs w:val="6"/>
                <w:color w:val="auto"/>
              </w:rPr>
            </w:pPr>
          </w:p>
        </w:tc>
        <w:tc>
          <w:tcPr>
            <w:tcW w:w="20" w:type="dxa"/>
            <w:vAlign w:val="bottom"/>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D6E5F9"/>
            </w:tcBorders>
            <w:shd w:val="clear" w:color="auto" w:fill="D6E5F9"/>
          </w:tcPr>
          <w:p>
            <w:pPr>
              <w:spacing w:after="0"/>
              <w:rPr>
                <w:sz w:val="9"/>
                <w:szCs w:val="9"/>
                <w:color w:val="auto"/>
              </w:rPr>
            </w:pPr>
          </w:p>
        </w:tc>
        <w:tc>
          <w:tcPr>
            <w:tcW w:w="2040" w:type="dxa"/>
            <w:vAlign w:val="bottom"/>
            <w:tcBorders>
              <w:bottom w:val="single" w:sz="8" w:color="D6E5F9"/>
              <w:right w:val="single" w:sz="8" w:color="B3B0AC"/>
            </w:tcBorders>
            <w:shd w:val="clear" w:color="auto" w:fill="D6E5F9"/>
          </w:tcPr>
          <w:p>
            <w:pPr>
              <w:spacing w:after="0"/>
              <w:rPr>
                <w:sz w:val="9"/>
                <w:szCs w:val="9"/>
                <w:color w:val="auto"/>
              </w:rPr>
            </w:pPr>
          </w:p>
        </w:tc>
        <w:tc>
          <w:tcPr>
            <w:tcW w:w="2060" w:type="dxa"/>
            <w:vAlign w:val="bottom"/>
            <w:tcBorders>
              <w:bottom w:val="single" w:sz="8" w:color="D6E5F9"/>
              <w:right w:val="single" w:sz="8" w:color="B3B0AC"/>
            </w:tcBorders>
            <w:shd w:val="clear" w:color="auto" w:fill="D6E5F9"/>
          </w:tcPr>
          <w:p>
            <w:pPr>
              <w:spacing w:after="0"/>
              <w:rPr>
                <w:sz w:val="9"/>
                <w:szCs w:val="9"/>
                <w:color w:val="auto"/>
              </w:rPr>
            </w:pPr>
          </w:p>
        </w:tc>
        <w:tc>
          <w:tcPr>
            <w:tcW w:w="2060" w:type="dxa"/>
            <w:vAlign w:val="bottom"/>
            <w:tcBorders>
              <w:bottom w:val="single" w:sz="8" w:color="D6E5F9"/>
              <w:right w:val="single" w:sz="8" w:color="B3B0AC"/>
            </w:tcBorders>
            <w:shd w:val="clear" w:color="auto" w:fill="D6E5F9"/>
          </w:tcPr>
          <w:p>
            <w:pPr>
              <w:spacing w:after="0"/>
              <w:rPr>
                <w:sz w:val="9"/>
                <w:szCs w:val="9"/>
                <w:color w:val="auto"/>
              </w:rPr>
            </w:pPr>
          </w:p>
        </w:tc>
        <w:tc>
          <w:tcPr>
            <w:tcW w:w="2060" w:type="dxa"/>
            <w:vAlign w:val="bottom"/>
            <w:tcBorders>
              <w:bottom w:val="single" w:sz="8" w:color="D6E5F9"/>
              <w:right w:val="single" w:sz="8" w:color="B3B0AC"/>
            </w:tcBorders>
            <w:vMerge w:val="continue"/>
            <w:shd w:val="clear" w:color="auto" w:fill="D6E5F9"/>
          </w:tcPr>
          <w:p>
            <w:pPr>
              <w:spacing w:after="0"/>
              <w:rPr>
                <w:sz w:val="9"/>
                <w:szCs w:val="9"/>
                <w:color w:val="auto"/>
              </w:rPr>
            </w:pPr>
          </w:p>
        </w:tc>
        <w:tc>
          <w:tcPr>
            <w:tcW w:w="940" w:type="dxa"/>
            <w:vAlign w:val="bottom"/>
            <w:tcBorders>
              <w:bottom w:val="single" w:sz="8" w:color="D6E5F9"/>
            </w:tcBorders>
            <w:shd w:val="clear" w:color="auto" w:fill="D6E5F9"/>
          </w:tcPr>
          <w:p>
            <w:pPr>
              <w:spacing w:after="0"/>
              <w:rPr>
                <w:sz w:val="9"/>
                <w:szCs w:val="9"/>
                <w:color w:val="auto"/>
              </w:rPr>
            </w:pPr>
          </w:p>
        </w:tc>
        <w:tc>
          <w:tcPr>
            <w:tcW w:w="160" w:type="dxa"/>
            <w:vAlign w:val="bottom"/>
            <w:tcBorders>
              <w:bottom w:val="single" w:sz="8" w:color="D6E5F9"/>
            </w:tcBorders>
            <w:shd w:val="clear" w:color="auto" w:fill="D6E5F9"/>
          </w:tcPr>
          <w:p>
            <w:pPr>
              <w:spacing w:after="0"/>
              <w:rPr>
                <w:sz w:val="9"/>
                <w:szCs w:val="9"/>
                <w:color w:val="auto"/>
              </w:rPr>
            </w:pPr>
          </w:p>
        </w:tc>
        <w:tc>
          <w:tcPr>
            <w:tcW w:w="940" w:type="dxa"/>
            <w:vAlign w:val="bottom"/>
            <w:tcBorders>
              <w:bottom w:val="single" w:sz="8" w:color="D6E5F9"/>
            </w:tcBorders>
            <w:shd w:val="clear" w:color="auto" w:fill="D6E5F9"/>
          </w:tcPr>
          <w:p>
            <w:pPr>
              <w:spacing w:after="0"/>
              <w:rPr>
                <w:sz w:val="9"/>
                <w:szCs w:val="9"/>
                <w:color w:val="auto"/>
              </w:rPr>
            </w:pPr>
          </w:p>
        </w:tc>
        <w:tc>
          <w:tcPr>
            <w:tcW w:w="20" w:type="dxa"/>
            <w:vAlign w:val="bottom"/>
            <w:tcBorders>
              <w:bottom w:val="single" w:sz="8" w:color="D6E5F9"/>
            </w:tcBorders>
            <w:shd w:val="clear" w:color="auto" w:fill="D6E5F9"/>
          </w:tcPr>
          <w:p>
            <w:pPr>
              <w:spacing w:after="0"/>
              <w:rPr>
                <w:sz w:val="9"/>
                <w:szCs w:val="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Career Shares</w:t>
      </w:r>
    </w:p>
    <w:p>
      <w:pPr>
        <w:spacing w:after="0" w:line="144"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Each November, the P&amp;C Committee grants Career Shares, which are RSUs that generally must be held until after retirement. The annual granting of Career Shares is an integral component of the Company’s strategy to align NEOs and other senior executives with the mindset of a very long-term shareholder. The grants are also intended to motivate and retain key talent during industry cycles and</w:t>
      </w:r>
    </w:p>
    <w:p>
      <w:pPr>
        <w:spacing w:after="0" w:line="2"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color w:val="auto"/>
        </w:rPr>
        <w:t>support long-term talent initiatives and succession planning. Individual awards are differentiated by position level, performance and other factors.</w:t>
      </w:r>
    </w:p>
    <w:p>
      <w:pPr>
        <w:spacing w:after="0" w:line="90" w:lineRule="exact"/>
        <w:rPr>
          <w:sz w:val="20"/>
          <w:szCs w:val="20"/>
          <w:color w:val="auto"/>
        </w:rPr>
      </w:pPr>
    </w:p>
    <w:p>
      <w:pPr>
        <w:jc w:val="both"/>
        <w:ind w:right="180"/>
        <w:spacing w:after="0" w:line="238" w:lineRule="auto"/>
        <w:rPr>
          <w:sz w:val="20"/>
          <w:szCs w:val="20"/>
          <w:color w:val="auto"/>
        </w:rPr>
      </w:pPr>
      <w:r>
        <w:rPr>
          <w:rFonts w:ascii="Verdana" w:cs="Verdana" w:eastAsia="Verdana" w:hAnsi="Verdana"/>
          <w:sz w:val="16"/>
          <w:szCs w:val="16"/>
          <w:color w:val="auto"/>
        </w:rPr>
        <w:t xml:space="preserve">On November 20, 2024, the P&amp;C Committee approved grants of Career Shares to our NEOs, in the amounts reported in the Summary Compensation Table on page </w:t>
      </w:r>
      <w:r>
        <w:rPr>
          <w:rFonts w:ascii="Verdana" w:cs="Verdana" w:eastAsia="Verdana" w:hAnsi="Verdana"/>
          <w:sz w:val="16"/>
          <w:szCs w:val="16"/>
          <w:u w:val="single" w:color="auto"/>
          <w:color w:val="0000FF"/>
        </w:rPr>
        <w:t>56</w:t>
      </w:r>
      <w:r>
        <w:rPr>
          <w:rFonts w:ascii="Verdana" w:cs="Verdana" w:eastAsia="Verdana" w:hAnsi="Verdana"/>
          <w:sz w:val="16"/>
          <w:szCs w:val="16"/>
          <w:color w:val="auto"/>
        </w:rPr>
        <w:t xml:space="preserve"> and the 2024 Grants of Plan-Based Awards table on page </w:t>
      </w:r>
      <w:r>
        <w:rPr>
          <w:rFonts w:ascii="Verdana" w:cs="Verdana" w:eastAsia="Verdana" w:hAnsi="Verdana"/>
          <w:sz w:val="16"/>
          <w:szCs w:val="16"/>
          <w:u w:val="single" w:color="auto"/>
          <w:color w:val="0000FF"/>
        </w:rPr>
        <w:t>59</w:t>
      </w:r>
      <w:r>
        <w:rPr>
          <w:rFonts w:ascii="Verdana" w:cs="Verdana" w:eastAsia="Verdana" w:hAnsi="Verdana"/>
          <w:sz w:val="16"/>
          <w:szCs w:val="16"/>
          <w:color w:val="auto"/>
        </w:rPr>
        <w:t>, and other senior leaders. Career Shares are generally required to be held until retirement, since they are not distributed until the later of age 62 or the vesting date. For</w:t>
      </w:r>
    </w:p>
    <w:p>
      <w:pPr>
        <w:spacing w:after="0" w:line="2" w:lineRule="exact"/>
        <w:rPr>
          <w:sz w:val="20"/>
          <w:szCs w:val="20"/>
          <w:color w:val="auto"/>
        </w:rPr>
      </w:pPr>
    </w:p>
    <w:p>
      <w:pPr>
        <w:jc w:val="both"/>
        <w:ind w:right="140"/>
        <w:spacing w:after="0" w:line="243" w:lineRule="auto"/>
        <w:rPr>
          <w:sz w:val="20"/>
          <w:szCs w:val="20"/>
          <w:color w:val="auto"/>
        </w:rPr>
      </w:pPr>
      <w:r>
        <w:rPr>
          <w:rFonts w:ascii="Verdana" w:cs="Verdana" w:eastAsia="Verdana" w:hAnsi="Verdana"/>
          <w:sz w:val="16"/>
          <w:szCs w:val="16"/>
          <w:color w:val="auto"/>
        </w:rPr>
        <w:t>purposes of illustration, our NEOs are required to hold earned Career Shares for an average of six years from the grant date (based on the number of years until the earliest distribution opportunity), during which time the Career Shares will remain subject to forfeiture in the event of a voluntary resignation or termination for Cause before achievement of retirement eligibility.</w:t>
      </w:r>
    </w:p>
    <w:p>
      <w:pPr>
        <w:spacing w:after="0" w:line="132"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Governance Policies and Practices</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Equity Award Policy</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We do not time the grant of equity awards in coordination with the release of material non-public information. Our equity awards are</w:t>
      </w:r>
    </w:p>
    <w:p>
      <w:pPr>
        <w:spacing w:after="0" w:line="8"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generally approved on the dates of our regularly scheduled P&amp;C Committee meetings and are effective as of such dates or specified prospective dates.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Committee's equity award policy provides that the effective grant date of equity awards must be either the date of P&amp;C</w:t>
      </w:r>
    </w:p>
    <w:p>
      <w:pPr>
        <w:spacing w:after="0" w:line="8"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Committee or other committee approval or some future date or event date specifically identified in such approval. We currently do not grant stock options or stock appreciation rights, but if such awards were to be granted, the exercise price would not be less than the</w:t>
      </w:r>
    </w:p>
    <w:p>
      <w:pPr>
        <w:spacing w:after="0" w:line="1"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closing market price of our common stock on the grant date. The P&amp;C Committee must approve all awards to our executive officers. The policy also allows the P&amp;C Committee to delegate to the CEO the ability to grant equity awards to non-executive officer employees who are newly hired or promoted or deemed to be deserving of special retention or recognition awards. The CEO must report to the P&amp;C</w:t>
      </w:r>
    </w:p>
    <w:p>
      <w:pPr>
        <w:spacing w:after="0" w:line="2" w:lineRule="exact"/>
        <w:rPr>
          <w:sz w:val="20"/>
          <w:szCs w:val="20"/>
          <w:color w:val="auto"/>
        </w:rPr>
      </w:pPr>
    </w:p>
    <w:p>
      <w:pPr>
        <w:ind w:right="680"/>
        <w:spacing w:after="0" w:line="253" w:lineRule="auto"/>
        <w:rPr>
          <w:sz w:val="20"/>
          <w:szCs w:val="20"/>
          <w:color w:val="auto"/>
        </w:rPr>
      </w:pPr>
      <w:r>
        <w:rPr>
          <w:rFonts w:ascii="Verdana" w:cs="Verdana" w:eastAsia="Verdana" w:hAnsi="Verdana"/>
          <w:sz w:val="16"/>
          <w:szCs w:val="16"/>
          <w:color w:val="auto"/>
        </w:rPr>
        <w:t>Committee at least annually on the exercise of his authority under this delegation. The aggregate award pool for awards to non-executive officers is approved by the P&amp;C Committee.</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Employment Agreements/Termination/Change in Control Benefits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As described in detail and quantified in “Executive Compensation — Potential Payments Upon Termination or Change in Control” on page</w:t>
      </w:r>
    </w:p>
    <w:p>
      <w:pPr>
        <w:spacing w:after="0" w:line="8"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u w:val="single" w:color="auto"/>
          <w:color w:val="0000FF"/>
        </w:rPr>
        <w:t>66</w:t>
      </w:r>
      <w:r>
        <w:rPr>
          <w:rFonts w:ascii="Verdana" w:cs="Verdana" w:eastAsia="Verdana" w:hAnsi="Verdana"/>
          <w:sz w:val="16"/>
          <w:szCs w:val="16"/>
          <w:color w:val="000000"/>
        </w:rPr>
        <w:t>, our NEOs receive certain benefits under their employment agreements upon their termination by the Company without “cause” or</w:t>
      </w:r>
      <w:r>
        <w:rPr>
          <w:rFonts w:ascii="Verdana" w:cs="Verdana" w:eastAsia="Verdana" w:hAnsi="Verdana"/>
          <w:sz w:val="16"/>
          <w:szCs w:val="16"/>
          <w:color w:val="0000FF"/>
        </w:rPr>
        <w:t xml:space="preserve"> </w:t>
      </w:r>
      <w:r>
        <w:rPr>
          <w:rFonts w:ascii="Verdana" w:cs="Verdana" w:eastAsia="Verdana" w:hAnsi="Verdana"/>
          <w:sz w:val="16"/>
          <w:szCs w:val="16"/>
          <w:color w:val="000000"/>
        </w:rPr>
        <w:t>upon their resignation for “good reason,” including such terminations following a change in control of the Company. The employment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agreements also provide for restrictive covenants relating to non-</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hanging="534"/>
        <w:spacing w:after="0"/>
        <w:tabs>
          <w:tab w:leader="none" w:pos="560" w:val="left"/>
        </w:tabs>
        <w:numPr>
          <w:ilvl w:val="0"/>
          <w:numId w:val="82"/>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57" w:name="page58"/>
    <w:bookmarkEnd w:id="5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competition, confidential information and non-solicitation of the Company’s employees and customers. These benefits are intended to ensure that members of senior management are not influenced by their personal situations and are able to be objective in evaluating a</w:t>
      </w:r>
    </w:p>
    <w:p>
      <w:pPr>
        <w:spacing w:after="0" w:line="1"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potential change in control transaction. The P&amp;C Committee regularly reviews termination and change in control benefits and believes that the severance benefits in connection with certain terminations of employment constitute reasonable levels of protection for our</w:t>
      </w:r>
    </w:p>
    <w:p>
      <w:pPr>
        <w:spacing w:after="0" w:line="1" w:lineRule="exact"/>
        <w:rPr>
          <w:sz w:val="20"/>
          <w:szCs w:val="20"/>
          <w:color w:val="auto"/>
        </w:rPr>
      </w:pPr>
    </w:p>
    <w:p>
      <w:pPr>
        <w:ind w:right="120"/>
        <w:spacing w:after="0" w:line="243" w:lineRule="auto"/>
        <w:rPr>
          <w:sz w:val="20"/>
          <w:szCs w:val="20"/>
          <w:color w:val="auto"/>
        </w:rPr>
      </w:pPr>
      <w:r>
        <w:rPr>
          <w:rFonts w:ascii="Verdana" w:cs="Verdana" w:eastAsia="Verdana" w:hAnsi="Verdana"/>
          <w:sz w:val="16"/>
          <w:szCs w:val="16"/>
          <w:color w:val="auto"/>
        </w:rPr>
        <w:t>executives. The LTI provides all participants, including NEOs, double-trigger vesting (i.e., qualifying termination of employment within two years following a change in control) of equity awards (that are not assumed or replaced by the successor company), which protects employees and supports an orderly transition of leadership.</w:t>
      </w:r>
    </w:p>
    <w:p>
      <w:pPr>
        <w:spacing w:after="0" w:line="98" w:lineRule="exact"/>
        <w:rPr>
          <w:sz w:val="20"/>
          <w:szCs w:val="20"/>
          <w:color w:val="auto"/>
        </w:rPr>
      </w:pPr>
    </w:p>
    <w:p>
      <w:pPr>
        <w:spacing w:after="0"/>
        <w:rPr>
          <w:sz w:val="20"/>
          <w:szCs w:val="20"/>
          <w:color w:val="auto"/>
        </w:rPr>
      </w:pPr>
      <w:r>
        <w:rPr>
          <w:rFonts w:ascii="Verdana" w:cs="Verdana" w:eastAsia="Verdana" w:hAnsi="Verdana"/>
          <w:sz w:val="16"/>
          <w:szCs w:val="16"/>
          <w:color w:val="auto"/>
        </w:rPr>
        <w:t>None of the employment agreements with the Company’s executive officers contains an excise tax gross-up provision.</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and Risk</w:t>
      </w:r>
    </w:p>
    <w:p>
      <w:pPr>
        <w:spacing w:after="0" w:line="131"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Annually, the P&amp;C Committee reviews the potential impact of our compensation programs on organizational risk. The risk assessment was conducted by senior leaders of the Company, including representatives from finance, legal and human resources, and included a</w:t>
      </w:r>
    </w:p>
    <w:p>
      <w:pPr>
        <w:spacing w:after="0" w:line="1" w:lineRule="exact"/>
        <w:rPr>
          <w:sz w:val="20"/>
          <w:szCs w:val="20"/>
          <w:color w:val="auto"/>
        </w:rPr>
      </w:pPr>
    </w:p>
    <w:p>
      <w:pPr>
        <w:ind w:right="680"/>
        <w:spacing w:after="0" w:line="241" w:lineRule="auto"/>
        <w:rPr>
          <w:sz w:val="20"/>
          <w:szCs w:val="20"/>
          <w:color w:val="auto"/>
        </w:rPr>
      </w:pPr>
      <w:r>
        <w:rPr>
          <w:rFonts w:ascii="Verdana" w:cs="Verdana" w:eastAsia="Verdana" w:hAnsi="Verdana"/>
          <w:sz w:val="16"/>
          <w:szCs w:val="16"/>
          <w:color w:val="auto"/>
        </w:rPr>
        <w:t>review of the employee compensation structures and pay administration practices. The P&amp;C Committee and its independent compensation consultant reviewed and discussed the findings of the assessment and concluded that our employee compensation</w:t>
      </w:r>
    </w:p>
    <w:p>
      <w:pPr>
        <w:spacing w:after="0" w:line="1"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programs are designed with the appropriate balance of risk and reward in relation to our overall business strategy and do not incent executives or other employees to take unnecessary or excessive risks.</w:t>
      </w:r>
    </w:p>
    <w:p>
      <w:pPr>
        <w:spacing w:after="0" w:line="76" w:lineRule="exact"/>
        <w:rPr>
          <w:sz w:val="20"/>
          <w:szCs w:val="20"/>
          <w:color w:val="auto"/>
        </w:rPr>
      </w:pPr>
    </w:p>
    <w:p>
      <w:pPr>
        <w:ind w:right="260"/>
        <w:spacing w:after="0" w:line="270" w:lineRule="auto"/>
        <w:rPr>
          <w:sz w:val="20"/>
          <w:szCs w:val="20"/>
          <w:color w:val="auto"/>
        </w:rPr>
      </w:pPr>
      <w:r>
        <w:rPr>
          <w:rFonts w:ascii="Verdana" w:cs="Verdana" w:eastAsia="Verdana" w:hAnsi="Verdana"/>
          <w:sz w:val="16"/>
          <w:szCs w:val="16"/>
          <w:color w:val="auto"/>
        </w:rPr>
        <w:t>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62" w:lineRule="exact"/>
        <w:rPr>
          <w:sz w:val="20"/>
          <w:szCs w:val="20"/>
          <w:color w:val="auto"/>
        </w:rPr>
      </w:pPr>
    </w:p>
    <w:p>
      <w:pPr>
        <w:ind w:left="640" w:hanging="308"/>
        <w:spacing w:after="0"/>
        <w:tabs>
          <w:tab w:leader="none" w:pos="640"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Appropriate compensation mix between fixed (base salary) and variable (annual and long-term incentive) pay opportunities;</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Review of market data and competitive practices for elements of executive compensation;</w:t>
      </w:r>
    </w:p>
    <w:p>
      <w:pPr>
        <w:spacing w:after="0" w:line="102" w:lineRule="exact"/>
        <w:rPr>
          <w:rFonts w:ascii="Verdana" w:cs="Verdana" w:eastAsia="Verdana" w:hAnsi="Verdana"/>
          <w:sz w:val="16"/>
          <w:szCs w:val="16"/>
          <w:color w:val="auto"/>
        </w:rPr>
      </w:pPr>
    </w:p>
    <w:p>
      <w:pPr>
        <w:ind w:left="660" w:right="320" w:hanging="328"/>
        <w:spacing w:after="0" w:line="253" w:lineRule="auto"/>
        <w:tabs>
          <w:tab w:leader="none" w:pos="654"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Performance measures tied to key Company annual and long-term performance measures and correlated to total shareholder returns;</w:t>
      </w:r>
    </w:p>
    <w:p>
      <w:pPr>
        <w:spacing w:after="0" w:line="89" w:lineRule="exact"/>
        <w:rPr>
          <w:rFonts w:ascii="Verdana" w:cs="Verdana" w:eastAsia="Verdana" w:hAnsi="Verdana"/>
          <w:sz w:val="16"/>
          <w:szCs w:val="16"/>
          <w:color w:val="auto"/>
        </w:rPr>
      </w:pPr>
    </w:p>
    <w:p>
      <w:pPr>
        <w:ind w:left="660" w:right="340" w:hanging="328"/>
        <w:spacing w:after="0" w:line="253" w:lineRule="auto"/>
        <w:tabs>
          <w:tab w:leader="none" w:pos="654"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Alignment of annual and long-term award objectives to ensure that both types of awards encourage consistent behaviors and sustainable performance results;</w:t>
      </w:r>
    </w:p>
    <w:p>
      <w:pPr>
        <w:spacing w:after="0" w:line="89" w:lineRule="exact"/>
        <w:rPr>
          <w:rFonts w:ascii="Verdana" w:cs="Verdana" w:eastAsia="Verdana" w:hAnsi="Verdana"/>
          <w:sz w:val="16"/>
          <w:szCs w:val="16"/>
          <w:color w:val="auto"/>
        </w:rPr>
      </w:pPr>
    </w:p>
    <w:p>
      <w:pPr>
        <w:jc w:val="both"/>
        <w:ind w:left="660" w:right="520" w:hanging="328"/>
        <w:spacing w:after="0" w:line="253" w:lineRule="auto"/>
        <w:tabs>
          <w:tab w:leader="none" w:pos="654"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Balanced mix of performance measures for incentive awards (Adjusted Operating Income, Free Cash Flow, Adjusted Pretax Income, Adjusted ROIC Improvement, Relative TSR) that encourage value creation, retention and stock price appreciation;</w:t>
      </w:r>
    </w:p>
    <w:p>
      <w:pPr>
        <w:spacing w:after="0" w:line="76" w:lineRule="exact"/>
        <w:rPr>
          <w:rFonts w:ascii="Verdana" w:cs="Verdana" w:eastAsia="Verdana" w:hAnsi="Verdana"/>
          <w:sz w:val="16"/>
          <w:szCs w:val="16"/>
          <w:color w:val="auto"/>
        </w:rPr>
      </w:pPr>
    </w:p>
    <w:p>
      <w:pPr>
        <w:ind w:left="660" w:right="160" w:hanging="328"/>
        <w:spacing w:after="0" w:line="270" w:lineRule="auto"/>
        <w:tabs>
          <w:tab w:leader="none" w:pos="654"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Long history of pay outcomes aligning to our performance with incentive opportunities and payouts varying commensurate with our financial and TSR performance results;</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Stock Ownership Guidelines; and</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Robust clawback policies for improper conduct and accounting restatements.</w:t>
      </w:r>
    </w:p>
    <w:p>
      <w:pPr>
        <w:spacing w:after="0" w:line="116"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w:t>
      </w:r>
    </w:p>
    <w:p>
      <w:pPr>
        <w:spacing w:after="0" w:line="1" w:lineRule="exact"/>
        <w:rPr>
          <w:sz w:val="20"/>
          <w:szCs w:val="20"/>
          <w:color w:val="auto"/>
        </w:rPr>
      </w:pPr>
    </w:p>
    <w:p>
      <w:pPr>
        <w:ind w:right="560"/>
        <w:spacing w:after="0" w:line="253" w:lineRule="auto"/>
        <w:rPr>
          <w:sz w:val="20"/>
          <w:szCs w:val="20"/>
          <w:color w:val="auto"/>
        </w:rPr>
      </w:pPr>
      <w:r>
        <w:rPr>
          <w:rFonts w:ascii="Verdana" w:cs="Verdana" w:eastAsia="Verdana" w:hAnsi="Verdana"/>
          <w:sz w:val="16"/>
          <w:szCs w:val="16"/>
          <w:color w:val="auto"/>
        </w:rPr>
        <w:t>steep payout cliffs at certain performance levels that may encourage short-term business decisions to meet payout thresholds. We concluded that our compensation programs do not include such elements.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Stock Ownership Guidelines</w:t>
      </w:r>
    </w:p>
    <w:p>
      <w:pPr>
        <w:spacing w:after="0" w:line="131"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The management stock ownership guidelines create a strong link between our long-term success and the ultimate pay of our executive officers, as shown in the table below.</w:t>
      </w:r>
    </w:p>
    <w:p>
      <w:pPr>
        <w:spacing w:after="0" w:line="117" w:lineRule="exact"/>
        <w:rPr>
          <w:sz w:val="20"/>
          <w:szCs w:val="20"/>
          <w:color w:val="auto"/>
        </w:rPr>
      </w:pPr>
    </w:p>
    <w:p>
      <w:pPr>
        <w:ind w:left="640" w:hanging="308"/>
        <w:spacing w:after="0"/>
        <w:tabs>
          <w:tab w:leader="none" w:pos="640" w:val="left"/>
        </w:tabs>
        <w:numPr>
          <w:ilvl w:val="0"/>
          <w:numId w:val="84"/>
        </w:numPr>
        <w:rPr>
          <w:rFonts w:ascii="Verdana" w:cs="Verdana" w:eastAsia="Verdana" w:hAnsi="Verdana"/>
          <w:sz w:val="16"/>
          <w:szCs w:val="16"/>
          <w:color w:val="auto"/>
        </w:rPr>
      </w:pPr>
      <w:r>
        <w:rPr>
          <w:rFonts w:ascii="Verdana" w:cs="Verdana" w:eastAsia="Verdana" w:hAnsi="Verdana"/>
          <w:sz w:val="16"/>
          <w:szCs w:val="16"/>
          <w:color w:val="auto"/>
        </w:rPr>
        <w:t>Covers all executive officers and establishes a multiple of each executive officer's base salary.</w:t>
      </w:r>
    </w:p>
    <w:p>
      <w:pPr>
        <w:spacing w:after="0" w:line="102" w:lineRule="exact"/>
        <w:rPr>
          <w:rFonts w:ascii="Verdana" w:cs="Verdana" w:eastAsia="Verdana" w:hAnsi="Verdana"/>
          <w:sz w:val="16"/>
          <w:szCs w:val="16"/>
          <w:color w:val="auto"/>
        </w:rPr>
      </w:pPr>
    </w:p>
    <w:p>
      <w:pPr>
        <w:ind w:left="660" w:right="40" w:hanging="328"/>
        <w:spacing w:after="0" w:line="270" w:lineRule="auto"/>
        <w:tabs>
          <w:tab w:leader="none" w:pos="654" w:val="left"/>
        </w:tabs>
        <w:numPr>
          <w:ilvl w:val="0"/>
          <w:numId w:val="84"/>
        </w:numPr>
        <w:rPr>
          <w:rFonts w:ascii="Verdana" w:cs="Verdana" w:eastAsia="Verdana" w:hAnsi="Verdana"/>
          <w:sz w:val="16"/>
          <w:szCs w:val="16"/>
          <w:color w:val="auto"/>
        </w:rPr>
      </w:pPr>
      <w:r>
        <w:rPr>
          <w:rFonts w:ascii="Verdana" w:cs="Verdana" w:eastAsia="Verdana" w:hAnsi="Verdana"/>
          <w:sz w:val="16"/>
          <w:szCs w:val="16"/>
          <w:color w:val="auto"/>
        </w:rPr>
        <w:t>Includes only actual share holdings and a portion of unvested RSUs (60%) if the executive is retirement eligible and has held the RSUs a minimum of 12 months.</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84"/>
        </w:numPr>
        <w:rPr>
          <w:rFonts w:ascii="Verdana" w:cs="Verdana" w:eastAsia="Verdana" w:hAnsi="Verdana"/>
          <w:sz w:val="16"/>
          <w:szCs w:val="16"/>
          <w:color w:val="auto"/>
        </w:rPr>
      </w:pPr>
      <w:r>
        <w:rPr>
          <w:rFonts w:ascii="Verdana" w:cs="Verdana" w:eastAsia="Verdana" w:hAnsi="Verdana"/>
          <w:sz w:val="16"/>
          <w:szCs w:val="16"/>
          <w:color w:val="auto"/>
        </w:rPr>
        <w:t>Excludes unvested Performance Shares and excludes unvested RSUs (except as otherwise described above).</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4"/>
        </w:numPr>
        <w:rPr>
          <w:rFonts w:ascii="Verdana" w:cs="Verdana" w:eastAsia="Verdana" w:hAnsi="Verdana"/>
          <w:sz w:val="16"/>
          <w:szCs w:val="16"/>
          <w:color w:val="auto"/>
        </w:rPr>
      </w:pPr>
      <w:r>
        <w:rPr>
          <w:rFonts w:ascii="Verdana" w:cs="Verdana" w:eastAsia="Verdana" w:hAnsi="Verdana"/>
          <w:sz w:val="16"/>
          <w:szCs w:val="16"/>
          <w:color w:val="auto"/>
        </w:rPr>
        <w:t>Excludes stock options.</w:t>
      </w:r>
    </w:p>
    <w:p>
      <w:pPr>
        <w:spacing w:after="0" w:line="116" w:lineRule="exact"/>
        <w:rPr>
          <w:rFonts w:ascii="Verdana" w:cs="Verdana" w:eastAsia="Verdana" w:hAnsi="Verdana"/>
          <w:sz w:val="16"/>
          <w:szCs w:val="16"/>
          <w:color w:val="auto"/>
        </w:rPr>
      </w:pPr>
    </w:p>
    <w:p>
      <w:pPr>
        <w:ind w:left="660" w:right="900" w:hanging="328"/>
        <w:spacing w:after="0" w:line="253" w:lineRule="auto"/>
        <w:tabs>
          <w:tab w:leader="none" w:pos="654" w:val="left"/>
        </w:tabs>
        <w:numPr>
          <w:ilvl w:val="0"/>
          <w:numId w:val="84"/>
        </w:numPr>
        <w:rPr>
          <w:rFonts w:ascii="Verdana" w:cs="Verdana" w:eastAsia="Verdana" w:hAnsi="Verdana"/>
          <w:sz w:val="16"/>
          <w:szCs w:val="16"/>
          <w:color w:val="auto"/>
        </w:rPr>
      </w:pPr>
      <w:r>
        <w:rPr>
          <w:rFonts w:ascii="Verdana" w:cs="Verdana" w:eastAsia="Verdana" w:hAnsi="Verdana"/>
          <w:sz w:val="16"/>
          <w:szCs w:val="16"/>
          <w:color w:val="auto"/>
        </w:rPr>
        <w:t>Requires each executive to hold 50% of the net shares acquired upon the vesting of equity awards until the ownership requirement is achieved.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53</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640" w:hanging="308"/>
        <w:spacing w:after="0"/>
        <w:tabs>
          <w:tab w:leader="none" w:pos="640" w:val="left"/>
        </w:tabs>
        <w:numPr>
          <w:ilvl w:val="0"/>
          <w:numId w:val="85"/>
        </w:numPr>
        <w:rPr>
          <w:rFonts w:ascii="Verdana" w:cs="Verdana" w:eastAsia="Verdana" w:hAnsi="Verdana"/>
          <w:sz w:val="16"/>
          <w:szCs w:val="16"/>
          <w:color w:val="auto"/>
        </w:rPr>
      </w:pPr>
      <w:r>
        <w:rPr>
          <w:rFonts w:ascii="Verdana" w:cs="Verdana" w:eastAsia="Verdana" w:hAnsi="Verdana"/>
          <w:sz w:val="16"/>
          <w:szCs w:val="16"/>
          <w:color w:val="auto"/>
        </w:rPr>
        <w:t>Share ownership targets for executives reaching age 60 are reduced by 10% annually up to a maximum reduction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74295</wp:posOffset>
            </wp:positionV>
            <wp:extent cx="6086475" cy="1148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8647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Our stock ownership guidelines are reviewed periodically to ensure ongoing alignment with market practice and for reasonableness. As of our latest measurement date (December 31, 2024), all NEOs have met their respective ownership requirement, other than Mr. Kemp</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and Ms. Davis, each of whom continues to retain at least 50% of the net shares acquired upon vesting of equity awards until the stock ownership target guideline is achieved.</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Insider Trading Policy</w:t>
      </w:r>
    </w:p>
    <w:p>
      <w:pPr>
        <w:spacing w:after="0" w:line="144"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We have adopted an Insider Trading Policy applicable to our directors, officers and certain other designated employees, as well as related persons and controlled entities of the foregoing, that governs the purchase, sale and other dispositions of the Company's securities. While the Company is not subject to the Insider Trading Policy itself, the Company will not engage in transactions in its securities while</w:t>
      </w:r>
    </w:p>
    <w:p>
      <w:pPr>
        <w:spacing w:after="0" w:line="2" w:lineRule="exact"/>
        <w:rPr>
          <w:sz w:val="20"/>
          <w:szCs w:val="20"/>
          <w:color w:val="auto"/>
        </w:rPr>
      </w:pPr>
    </w:p>
    <w:p>
      <w:pPr>
        <w:ind w:right="640"/>
        <w:spacing w:after="0" w:line="253" w:lineRule="auto"/>
        <w:rPr>
          <w:sz w:val="20"/>
          <w:szCs w:val="20"/>
          <w:color w:val="auto"/>
        </w:rPr>
      </w:pPr>
      <w:r>
        <w:rPr>
          <w:rFonts w:ascii="Verdana" w:cs="Verdana" w:eastAsia="Verdana" w:hAnsi="Verdana"/>
          <w:sz w:val="16"/>
          <w:szCs w:val="16"/>
          <w:color w:val="auto"/>
        </w:rPr>
        <w:t>aware of material nonpublic information. We believe that the Company's Insider Trading Policy is reasonably designed to promote compliance with insider trading laws, rules and regulations, and listing standards applicable to the Company.</w:t>
      </w:r>
    </w:p>
    <w:p>
      <w:pPr>
        <w:spacing w:after="0" w:line="76" w:lineRule="exact"/>
        <w:rPr>
          <w:sz w:val="20"/>
          <w:szCs w:val="20"/>
          <w:color w:val="auto"/>
        </w:rPr>
      </w:pPr>
    </w:p>
    <w:p>
      <w:pPr>
        <w:ind w:right="180"/>
        <w:spacing w:after="0" w:line="270" w:lineRule="auto"/>
        <w:rPr>
          <w:sz w:val="20"/>
          <w:szCs w:val="20"/>
          <w:color w:val="auto"/>
        </w:rPr>
      </w:pPr>
      <w:r>
        <w:rPr>
          <w:rFonts w:ascii="Verdana" w:cs="Verdana" w:eastAsia="Verdana" w:hAnsi="Verdana"/>
          <w:sz w:val="16"/>
          <w:szCs w:val="16"/>
          <w:color w:val="auto"/>
        </w:rPr>
        <w:t>Our Insider Trading Policy, which is available on our website at https://ir.lear.com/corporate-governance, also prohibits our officers and directors from:</w:t>
      </w:r>
    </w:p>
    <w:p>
      <w:pPr>
        <w:spacing w:after="0" w:line="62" w:lineRule="exact"/>
        <w:rPr>
          <w:sz w:val="20"/>
          <w:szCs w:val="20"/>
          <w:color w:val="auto"/>
        </w:rPr>
      </w:pPr>
    </w:p>
    <w:p>
      <w:pPr>
        <w:ind w:left="640" w:hanging="308"/>
        <w:spacing w:after="0"/>
        <w:tabs>
          <w:tab w:leader="none" w:pos="640" w:val="left"/>
        </w:tabs>
        <w:numPr>
          <w:ilvl w:val="0"/>
          <w:numId w:val="86"/>
        </w:numPr>
        <w:rPr>
          <w:rFonts w:ascii="Verdana" w:cs="Verdana" w:eastAsia="Verdana" w:hAnsi="Verdana"/>
          <w:sz w:val="16"/>
          <w:szCs w:val="16"/>
          <w:color w:val="auto"/>
        </w:rPr>
      </w:pPr>
      <w:r>
        <w:rPr>
          <w:rFonts w:ascii="Verdana" w:cs="Verdana" w:eastAsia="Verdana" w:hAnsi="Verdana"/>
          <w:sz w:val="16"/>
          <w:szCs w:val="16"/>
          <w:color w:val="auto"/>
        </w:rPr>
        <w:t>speculating in our stock (quick buy and sell or vice versa)</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6"/>
        </w:numPr>
        <w:rPr>
          <w:rFonts w:ascii="Verdana" w:cs="Verdana" w:eastAsia="Verdana" w:hAnsi="Verdana"/>
          <w:sz w:val="16"/>
          <w:szCs w:val="16"/>
          <w:color w:val="auto"/>
        </w:rPr>
      </w:pPr>
      <w:r>
        <w:rPr>
          <w:rFonts w:ascii="Verdana" w:cs="Verdana" w:eastAsia="Verdana" w:hAnsi="Verdana"/>
          <w:sz w:val="16"/>
          <w:szCs w:val="16"/>
          <w:color w:val="auto"/>
        </w:rPr>
        <w:t>selling our stock "short"</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6"/>
        </w:numPr>
        <w:rPr>
          <w:rFonts w:ascii="Verdana" w:cs="Verdana" w:eastAsia="Verdana" w:hAnsi="Verdana"/>
          <w:sz w:val="16"/>
          <w:szCs w:val="16"/>
          <w:color w:val="auto"/>
        </w:rPr>
      </w:pPr>
      <w:r>
        <w:rPr>
          <w:rFonts w:ascii="Verdana" w:cs="Verdana" w:eastAsia="Verdana" w:hAnsi="Verdana"/>
          <w:sz w:val="16"/>
          <w:szCs w:val="16"/>
          <w:color w:val="auto"/>
        </w:rPr>
        <w:t>using publicly traded options (e.g., puts, calls and other derivative securities)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6"/>
        </w:numPr>
        <w:rPr>
          <w:rFonts w:ascii="Verdana" w:cs="Verdana" w:eastAsia="Verdana" w:hAnsi="Verdana"/>
          <w:sz w:val="16"/>
          <w:szCs w:val="16"/>
          <w:color w:val="auto"/>
        </w:rPr>
      </w:pPr>
      <w:r>
        <w:rPr>
          <w:rFonts w:ascii="Verdana" w:cs="Verdana" w:eastAsia="Verdana" w:hAnsi="Verdana"/>
          <w:sz w:val="16"/>
          <w:szCs w:val="16"/>
          <w:color w:val="auto"/>
        </w:rPr>
        <w:t>using standing orders or margin accounts for our stock</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6"/>
        </w:numPr>
        <w:rPr>
          <w:rFonts w:ascii="Verdana" w:cs="Verdana" w:eastAsia="Verdana" w:hAnsi="Verdana"/>
          <w:sz w:val="16"/>
          <w:szCs w:val="16"/>
          <w:color w:val="auto"/>
        </w:rPr>
      </w:pPr>
      <w:r>
        <w:rPr>
          <w:rFonts w:ascii="Verdana" w:cs="Verdana" w:eastAsia="Verdana" w:hAnsi="Verdana"/>
          <w:sz w:val="16"/>
          <w:szCs w:val="16"/>
          <w:color w:val="auto"/>
        </w:rPr>
        <w:t>using pledges, hedges or other monetization transactions relating to our stock</w:t>
      </w:r>
    </w:p>
    <w:p>
      <w:pPr>
        <w:spacing w:after="0" w:line="103" w:lineRule="exact"/>
        <w:rPr>
          <w:sz w:val="20"/>
          <w:szCs w:val="20"/>
          <w:color w:val="auto"/>
        </w:rPr>
      </w:pPr>
    </w:p>
    <w:p>
      <w:pPr>
        <w:ind w:right="100"/>
        <w:spacing w:after="0" w:line="270" w:lineRule="auto"/>
        <w:rPr>
          <w:sz w:val="20"/>
          <w:szCs w:val="20"/>
          <w:color w:val="auto"/>
        </w:rPr>
      </w:pPr>
      <w:r>
        <w:rPr>
          <w:rFonts w:ascii="Verdana" w:cs="Verdana" w:eastAsia="Verdana" w:hAnsi="Verdana"/>
          <w:sz w:val="16"/>
          <w:szCs w:val="16"/>
          <w:color w:val="auto"/>
        </w:rPr>
        <w:t>These prohibitions, which apply whether or not the securities were granted to or held directly or indirectly by the officer or director, are, among other things, designed to not allow the officer or director to hedge or offset any decrease in the value of our common stock.</w:t>
      </w:r>
    </w:p>
    <w:p>
      <w:pPr>
        <w:spacing w:after="0" w:line="6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Clawback Policies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Lear maintains two compensation recovery policies:</w:t>
      </w:r>
    </w:p>
    <w:p>
      <w:pPr>
        <w:spacing w:after="0" w:line="116" w:lineRule="exact"/>
        <w:rPr>
          <w:sz w:val="20"/>
          <w:szCs w:val="20"/>
          <w:color w:val="auto"/>
        </w:rPr>
      </w:pPr>
    </w:p>
    <w:p>
      <w:pPr>
        <w:ind w:left="640" w:hanging="308"/>
        <w:spacing w:after="0"/>
        <w:tabs>
          <w:tab w:leader="none" w:pos="640" w:val="left"/>
        </w:tabs>
        <w:numPr>
          <w:ilvl w:val="0"/>
          <w:numId w:val="87"/>
        </w:numPr>
        <w:rPr>
          <w:rFonts w:ascii="Verdana" w:cs="Verdana" w:eastAsia="Verdana" w:hAnsi="Verdana"/>
          <w:sz w:val="16"/>
          <w:szCs w:val="16"/>
          <w:color w:val="auto"/>
        </w:rPr>
      </w:pPr>
      <w:r>
        <w:rPr>
          <w:rFonts w:ascii="Verdana" w:cs="Verdana" w:eastAsia="Verdana" w:hAnsi="Verdana"/>
          <w:sz w:val="16"/>
          <w:szCs w:val="16"/>
          <w:color w:val="auto"/>
        </w:rPr>
        <w:t>Incentive-Based Compensation Recoupment Policy (the "Recoupment Policy")</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7"/>
        </w:numPr>
        <w:rPr>
          <w:rFonts w:ascii="Verdana" w:cs="Verdana" w:eastAsia="Verdana" w:hAnsi="Verdana"/>
          <w:sz w:val="16"/>
          <w:szCs w:val="16"/>
          <w:color w:val="auto"/>
        </w:rPr>
      </w:pPr>
      <w:r>
        <w:rPr>
          <w:rFonts w:ascii="Verdana" w:cs="Verdana" w:eastAsia="Verdana" w:hAnsi="Verdana"/>
          <w:sz w:val="16"/>
          <w:szCs w:val="16"/>
          <w:color w:val="auto"/>
        </w:rPr>
        <w:t>Improper Conduct Compensation Recoupment Policy (the "Improper Conduct Policy")</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Recoupment Policy requires Lear, in the event of a financial restatement, to recover from our current and former executive officers</w:t>
      </w:r>
    </w:p>
    <w:p>
      <w:pPr>
        <w:spacing w:after="0" w:line="8"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the amount of incentive compensation received during the three completed fiscal years immediately preceding the required financial restatement date that exceeds the amount of incentive compensation that would have been received had the restated financial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statements been used to calculate the incentive compensation.</w:t>
      </w:r>
    </w:p>
    <w:p>
      <w:pPr>
        <w:spacing w:after="0" w:line="103" w:lineRule="exact"/>
        <w:rPr>
          <w:sz w:val="20"/>
          <w:szCs w:val="20"/>
          <w:color w:val="auto"/>
        </w:rPr>
      </w:pPr>
    </w:p>
    <w:p>
      <w:pPr>
        <w:ind w:right="260"/>
        <w:spacing w:after="0" w:line="253" w:lineRule="auto"/>
        <w:rPr>
          <w:sz w:val="20"/>
          <w:szCs w:val="20"/>
          <w:color w:val="auto"/>
        </w:rPr>
      </w:pPr>
      <w:r>
        <w:rPr>
          <w:rFonts w:ascii="Verdana" w:cs="Verdana" w:eastAsia="Verdana" w:hAnsi="Verdana"/>
          <w:sz w:val="16"/>
          <w:szCs w:val="16"/>
          <w:color w:val="auto"/>
        </w:rPr>
        <w:t>Our Improper Conduct Policy covers more Lear employees and applies in a broader range of circumstances. The material terms of our Improper Conduct Policy are summarized below.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88"/>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730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080" w:type="dxa"/>
            <w:vAlign w:val="bottom"/>
            <w:tcBorders>
              <w:left w:val="single" w:sz="8" w:color="1D428A"/>
              <w:bottom w:val="single" w:sz="8" w:color="696158"/>
              <w:right w:val="single" w:sz="8" w:color="1D428A"/>
            </w:tcBorders>
            <w:shd w:val="clear" w:color="auto" w:fill="1D428A"/>
          </w:tcPr>
          <w:p>
            <w:pPr>
              <w:spacing w:after="0"/>
              <w:rPr>
                <w:sz w:val="22"/>
                <w:szCs w:val="22"/>
                <w:color w:val="auto"/>
              </w:rPr>
            </w:pPr>
          </w:p>
        </w:tc>
        <w:tc>
          <w:tcPr>
            <w:tcW w:w="9160" w:type="dxa"/>
            <w:vAlign w:val="bottom"/>
            <w:tcBorders>
              <w:bottom w:val="single" w:sz="8" w:color="696158"/>
              <w:right w:val="single" w:sz="8" w:color="1D428A"/>
            </w:tcBorders>
            <w:shd w:val="clear" w:color="auto" w:fill="1D428A"/>
          </w:tcPr>
          <w:p>
            <w:pPr>
              <w:ind w:left="2400"/>
              <w:spacing w:after="0"/>
              <w:rPr>
                <w:sz w:val="20"/>
                <w:szCs w:val="20"/>
                <w:color w:val="auto"/>
              </w:rPr>
            </w:pPr>
            <w:r>
              <w:rPr>
                <w:rFonts w:ascii="Verdana" w:cs="Verdana" w:eastAsia="Verdana" w:hAnsi="Verdana"/>
                <w:sz w:val="16"/>
                <w:szCs w:val="16"/>
                <w:b w:val="1"/>
                <w:bCs w:val="1"/>
                <w:color w:val="FFFFFF"/>
              </w:rPr>
              <w:t>Improper Conduct Policy</w:t>
            </w:r>
          </w:p>
        </w:tc>
      </w:tr>
      <w:tr>
        <w:trPr>
          <w:trHeight w:val="204"/>
        </w:trPr>
        <w:tc>
          <w:tcPr>
            <w:tcW w:w="2080" w:type="dxa"/>
            <w:vAlign w:val="bottom"/>
            <w:tcBorders>
              <w:left w:val="single" w:sz="8" w:color="1D428A"/>
            </w:tcBorders>
          </w:tcPr>
          <w:p>
            <w:pPr>
              <w:ind w:left="660"/>
              <w:spacing w:after="0"/>
              <w:rPr>
                <w:sz w:val="20"/>
                <w:szCs w:val="20"/>
                <w:color w:val="auto"/>
              </w:rPr>
            </w:pPr>
            <w:r>
              <w:rPr>
                <w:rFonts w:ascii="Verdana" w:cs="Verdana" w:eastAsia="Verdana" w:hAnsi="Verdana"/>
                <w:sz w:val="14"/>
                <w:szCs w:val="14"/>
                <w:b w:val="1"/>
                <w:bCs w:val="1"/>
                <w:color w:val="307FE2"/>
              </w:rPr>
              <w:t>Provision</w:t>
            </w:r>
          </w:p>
        </w:tc>
        <w:tc>
          <w:tcPr>
            <w:tcW w:w="9160" w:type="dxa"/>
            <w:vAlign w:val="bottom"/>
            <w:tcBorders>
              <w:right w:val="single" w:sz="8" w:color="1D428A"/>
            </w:tcBorders>
          </w:tcPr>
          <w:p>
            <w:pPr>
              <w:ind w:left="4320"/>
              <w:spacing w:after="0"/>
              <w:rPr>
                <w:sz w:val="20"/>
                <w:szCs w:val="20"/>
                <w:color w:val="auto"/>
              </w:rPr>
            </w:pPr>
            <w:r>
              <w:rPr>
                <w:rFonts w:ascii="Verdana" w:cs="Verdana" w:eastAsia="Verdana" w:hAnsi="Verdana"/>
                <w:sz w:val="14"/>
                <w:szCs w:val="14"/>
                <w:b w:val="1"/>
                <w:bCs w:val="1"/>
                <w:color w:val="307FE2"/>
              </w:rPr>
              <w:t>Policy</w:t>
            </w:r>
          </w:p>
        </w:tc>
      </w:tr>
      <w:tr>
        <w:trPr>
          <w:trHeight w:val="26"/>
        </w:trPr>
        <w:tc>
          <w:tcPr>
            <w:tcW w:w="2080" w:type="dxa"/>
            <w:vAlign w:val="bottom"/>
            <w:tcBorders>
              <w:left w:val="single" w:sz="8" w:color="1D428A"/>
              <w:bottom w:val="single" w:sz="8" w:color="1D428A"/>
            </w:tcBorders>
          </w:tcPr>
          <w:p>
            <w:pPr>
              <w:spacing w:after="0"/>
              <w:rPr>
                <w:sz w:val="2"/>
                <w:szCs w:val="2"/>
                <w:color w:val="auto"/>
              </w:rPr>
            </w:pPr>
          </w:p>
        </w:tc>
        <w:tc>
          <w:tcPr>
            <w:tcW w:w="9160" w:type="dxa"/>
            <w:vAlign w:val="bottom"/>
            <w:tcBorders>
              <w:bottom w:val="single" w:sz="8" w:color="1D428A"/>
              <w:right w:val="single" w:sz="8" w:color="1D428A"/>
            </w:tcBorders>
          </w:tcPr>
          <w:p>
            <w:pPr>
              <w:spacing w:after="0"/>
              <w:rPr>
                <w:sz w:val="2"/>
                <w:szCs w:val="2"/>
                <w:color w:val="auto"/>
              </w:rPr>
            </w:pPr>
          </w:p>
        </w:tc>
      </w:tr>
      <w:tr>
        <w:trPr>
          <w:trHeight w:val="195"/>
        </w:trPr>
        <w:tc>
          <w:tcPr>
            <w:tcW w:w="2080" w:type="dxa"/>
            <w:vAlign w:val="bottom"/>
            <w:tcBorders>
              <w:left w:val="single" w:sz="8" w:color="1D428A"/>
              <w:right w:val="single" w:sz="8" w:color="B3B0AC"/>
            </w:tcBorders>
          </w:tcPr>
          <w:p>
            <w:pPr>
              <w:spacing w:after="0"/>
              <w:rPr>
                <w:sz w:val="16"/>
                <w:szCs w:val="16"/>
                <w:color w:val="auto"/>
              </w:rPr>
            </w:pP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6"/>
                <w:szCs w:val="16"/>
                <w:color w:val="auto"/>
              </w:rPr>
              <w:t>Any conduct, act or omission that causes (or has the potential to cause) material financial, operational or</w:t>
            </w:r>
          </w:p>
        </w:tc>
      </w:tr>
      <w:tr>
        <w:trPr>
          <w:trHeight w:val="203"/>
        </w:trPr>
        <w:tc>
          <w:tcPr>
            <w:tcW w:w="2080" w:type="dxa"/>
            <w:vAlign w:val="bottom"/>
            <w:tcBorders>
              <w:left w:val="single" w:sz="8" w:color="1D428A"/>
              <w:right w:val="single" w:sz="8" w:color="B3B0AC"/>
            </w:tcBorders>
          </w:tcPr>
          <w:p>
            <w:pPr>
              <w:spacing w:after="0"/>
              <w:rPr>
                <w:sz w:val="17"/>
                <w:szCs w:val="17"/>
                <w:color w:val="auto"/>
              </w:rPr>
            </w:pP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6"/>
                <w:szCs w:val="16"/>
                <w:color w:val="auto"/>
              </w:rPr>
              <w:t>reputational harm to Lear or material disruption, damage, impairment of or interference with, our business</w:t>
            </w:r>
          </w:p>
        </w:tc>
      </w:tr>
      <w:tr>
        <w:trPr>
          <w:trHeight w:val="189"/>
        </w:trPr>
        <w:tc>
          <w:tcPr>
            <w:tcW w:w="2080" w:type="dxa"/>
            <w:vAlign w:val="bottom"/>
            <w:tcBorders>
              <w:left w:val="single" w:sz="8" w:color="1D428A"/>
              <w:right w:val="single" w:sz="8" w:color="B3B0AC"/>
            </w:tcBorders>
          </w:tcPr>
          <w:p>
            <w:pPr>
              <w:spacing w:after="0"/>
              <w:rPr>
                <w:sz w:val="16"/>
                <w:szCs w:val="16"/>
                <w:color w:val="auto"/>
              </w:rPr>
            </w:pPr>
          </w:p>
        </w:tc>
        <w:tc>
          <w:tcPr>
            <w:tcW w:w="9160" w:type="dxa"/>
            <w:vAlign w:val="bottom"/>
            <w:tcBorders>
              <w:right w:val="single" w:sz="8" w:color="1D428A"/>
            </w:tcBorders>
          </w:tcPr>
          <w:p>
            <w:pPr>
              <w:ind w:left="20"/>
              <w:spacing w:after="0" w:line="189" w:lineRule="exact"/>
              <w:rPr>
                <w:sz w:val="20"/>
                <w:szCs w:val="20"/>
                <w:color w:val="auto"/>
              </w:rPr>
            </w:pPr>
            <w:r>
              <w:rPr>
                <w:rFonts w:ascii="Verdana" w:cs="Verdana" w:eastAsia="Verdana" w:hAnsi="Verdana"/>
                <w:sz w:val="16"/>
                <w:szCs w:val="16"/>
                <w:color w:val="auto"/>
              </w:rPr>
              <w:t>and that relates to acts of fraud, bribery or embezzlement; certain criminal acts (such as violation of the</w:t>
            </w:r>
          </w:p>
        </w:tc>
      </w:tr>
      <w:tr>
        <w:trPr>
          <w:trHeight w:val="203"/>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6"/>
                <w:szCs w:val="16"/>
                <w:b w:val="1"/>
                <w:bCs w:val="1"/>
                <w:color w:val="auto"/>
              </w:rPr>
              <w:t>Triggers</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6"/>
                <w:szCs w:val="16"/>
                <w:color w:val="auto"/>
              </w:rPr>
              <w:t>Foreign Corrupt Practices Act); breaches of obligations under our Code of Business Conduct &amp; Ethics relating to</w:t>
            </w:r>
          </w:p>
        </w:tc>
      </w:tr>
      <w:tr>
        <w:trPr>
          <w:trHeight w:val="189"/>
        </w:trPr>
        <w:tc>
          <w:tcPr>
            <w:tcW w:w="2080" w:type="dxa"/>
            <w:vAlign w:val="bottom"/>
            <w:tcBorders>
              <w:left w:val="single" w:sz="8" w:color="1D428A"/>
              <w:right w:val="single" w:sz="8" w:color="B3B0AC"/>
            </w:tcBorders>
          </w:tcPr>
          <w:p>
            <w:pPr>
              <w:spacing w:after="0"/>
              <w:rPr>
                <w:sz w:val="16"/>
                <w:szCs w:val="16"/>
                <w:color w:val="auto"/>
              </w:rPr>
            </w:pPr>
          </w:p>
        </w:tc>
        <w:tc>
          <w:tcPr>
            <w:tcW w:w="9160" w:type="dxa"/>
            <w:vAlign w:val="bottom"/>
            <w:tcBorders>
              <w:right w:val="single" w:sz="8" w:color="1D428A"/>
            </w:tcBorders>
          </w:tcPr>
          <w:p>
            <w:pPr>
              <w:ind w:left="20"/>
              <w:spacing w:after="0" w:line="189" w:lineRule="exact"/>
              <w:rPr>
                <w:sz w:val="20"/>
                <w:szCs w:val="20"/>
                <w:color w:val="auto"/>
              </w:rPr>
            </w:pPr>
            <w:r>
              <w:rPr>
                <w:rFonts w:ascii="Verdana" w:cs="Verdana" w:eastAsia="Verdana" w:hAnsi="Verdana"/>
                <w:sz w:val="16"/>
                <w:szCs w:val="16"/>
                <w:color w:val="auto"/>
              </w:rPr>
              <w:t>law or regulations; breaches of a restrictive covenant; violations of certain internal policies (e.g., the</w:t>
            </w:r>
          </w:p>
        </w:tc>
      </w:tr>
      <w:tr>
        <w:trPr>
          <w:trHeight w:val="189"/>
        </w:trPr>
        <w:tc>
          <w:tcPr>
            <w:tcW w:w="2080" w:type="dxa"/>
            <w:vAlign w:val="bottom"/>
            <w:tcBorders>
              <w:left w:val="single" w:sz="8" w:color="1D428A"/>
              <w:right w:val="single" w:sz="8" w:color="B3B0AC"/>
            </w:tcBorders>
          </w:tcPr>
          <w:p>
            <w:pPr>
              <w:spacing w:after="0"/>
              <w:rPr>
                <w:sz w:val="16"/>
                <w:szCs w:val="16"/>
                <w:color w:val="auto"/>
              </w:rPr>
            </w:pPr>
          </w:p>
        </w:tc>
        <w:tc>
          <w:tcPr>
            <w:tcW w:w="9160" w:type="dxa"/>
            <w:vAlign w:val="bottom"/>
            <w:tcBorders>
              <w:right w:val="single" w:sz="8" w:color="1D428A"/>
            </w:tcBorders>
          </w:tcPr>
          <w:p>
            <w:pPr>
              <w:ind w:left="20"/>
              <w:spacing w:after="0" w:line="189" w:lineRule="exact"/>
              <w:rPr>
                <w:sz w:val="20"/>
                <w:szCs w:val="20"/>
                <w:color w:val="auto"/>
              </w:rPr>
            </w:pPr>
            <w:r>
              <w:rPr>
                <w:rFonts w:ascii="Verdana" w:cs="Verdana" w:eastAsia="Verdana" w:hAnsi="Verdana"/>
                <w:sz w:val="16"/>
                <w:szCs w:val="16"/>
                <w:color w:val="auto"/>
              </w:rPr>
              <w:t>Harassment-Free Workplace Policy, the Romantic Relations Policy, the Equal Employment Opportunities Policy);</w:t>
            </w:r>
          </w:p>
        </w:tc>
      </w:tr>
      <w:tr>
        <w:trPr>
          <w:trHeight w:val="211"/>
        </w:trPr>
        <w:tc>
          <w:tcPr>
            <w:tcW w:w="2080" w:type="dxa"/>
            <w:vAlign w:val="bottom"/>
            <w:tcBorders>
              <w:left w:val="single" w:sz="8" w:color="1D428A"/>
              <w:right w:val="single" w:sz="8" w:color="B3B0AC"/>
            </w:tcBorders>
          </w:tcPr>
          <w:p>
            <w:pPr>
              <w:spacing w:after="0"/>
              <w:rPr>
                <w:sz w:val="18"/>
                <w:szCs w:val="18"/>
                <w:color w:val="auto"/>
              </w:rPr>
            </w:pP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6"/>
                <w:szCs w:val="16"/>
                <w:color w:val="auto"/>
              </w:rPr>
              <w:t>or the creation of a hostile work environment.</w:t>
            </w:r>
          </w:p>
        </w:tc>
      </w:tr>
      <w:tr>
        <w:trPr>
          <w:trHeight w:val="33"/>
        </w:trPr>
        <w:tc>
          <w:tcPr>
            <w:tcW w:w="2080" w:type="dxa"/>
            <w:vAlign w:val="bottom"/>
            <w:tcBorders>
              <w:left w:val="single" w:sz="8" w:color="1D428A"/>
              <w:bottom w:val="single" w:sz="8" w:color="B3B0AC"/>
              <w:right w:val="single" w:sz="8" w:color="B3B0AC"/>
            </w:tcBorders>
          </w:tcPr>
          <w:p>
            <w:pPr>
              <w:spacing w:after="0"/>
              <w:rPr>
                <w:sz w:val="2"/>
                <w:szCs w:val="2"/>
                <w:color w:val="auto"/>
              </w:rPr>
            </w:pPr>
          </w:p>
        </w:tc>
        <w:tc>
          <w:tcPr>
            <w:tcW w:w="9160" w:type="dxa"/>
            <w:vAlign w:val="bottom"/>
            <w:tcBorders>
              <w:bottom w:val="single" w:sz="8" w:color="B3B0AC"/>
              <w:right w:val="single" w:sz="8" w:color="1D428A"/>
            </w:tcBorders>
          </w:tcPr>
          <w:p>
            <w:pPr>
              <w:spacing w:after="0"/>
              <w:rPr>
                <w:sz w:val="2"/>
                <w:szCs w:val="2"/>
                <w:color w:val="auto"/>
              </w:rPr>
            </w:pPr>
          </w:p>
        </w:tc>
      </w:tr>
      <w:tr>
        <w:trPr>
          <w:trHeight w:val="230"/>
        </w:trPr>
        <w:tc>
          <w:tcPr>
            <w:tcW w:w="2080" w:type="dxa"/>
            <w:vAlign w:val="bottom"/>
            <w:tcBorders>
              <w:left w:val="single" w:sz="8" w:color="1D428A"/>
              <w:bottom w:val="single" w:sz="8" w:color="B3B0AC"/>
              <w:right w:val="single" w:sz="8" w:color="B3B0AC"/>
            </w:tcBorders>
          </w:tcPr>
          <w:p>
            <w:pPr>
              <w:ind w:left="40"/>
              <w:spacing w:after="0"/>
              <w:rPr>
                <w:sz w:val="20"/>
                <w:szCs w:val="20"/>
                <w:color w:val="auto"/>
              </w:rPr>
            </w:pPr>
            <w:r>
              <w:rPr>
                <w:rFonts w:ascii="Verdana" w:cs="Verdana" w:eastAsia="Verdana" w:hAnsi="Verdana"/>
                <w:sz w:val="16"/>
                <w:szCs w:val="16"/>
                <w:b w:val="1"/>
                <w:bCs w:val="1"/>
                <w:color w:val="auto"/>
              </w:rPr>
              <w:t>Who Is Covered</w:t>
            </w:r>
          </w:p>
        </w:tc>
        <w:tc>
          <w:tcPr>
            <w:tcW w:w="9160" w:type="dxa"/>
            <w:vAlign w:val="bottom"/>
            <w:tcBorders>
              <w:bottom w:val="single" w:sz="8" w:color="B3B0AC"/>
              <w:right w:val="single" w:sz="8" w:color="1D428A"/>
            </w:tcBorders>
          </w:tcPr>
          <w:p>
            <w:pPr>
              <w:ind w:left="20"/>
              <w:spacing w:after="0"/>
              <w:rPr>
                <w:sz w:val="20"/>
                <w:szCs w:val="20"/>
                <w:color w:val="auto"/>
              </w:rPr>
            </w:pPr>
            <w:r>
              <w:rPr>
                <w:rFonts w:ascii="Verdana" w:cs="Verdana" w:eastAsia="Verdana" w:hAnsi="Verdana"/>
                <w:sz w:val="16"/>
                <w:szCs w:val="16"/>
                <w:color w:val="auto"/>
              </w:rPr>
              <w:t>Current and former LTI participants (approximately 350 people)</w:t>
            </w:r>
          </w:p>
        </w:tc>
      </w:tr>
      <w:tr>
        <w:trPr>
          <w:trHeight w:val="202"/>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6"/>
                <w:szCs w:val="16"/>
                <w:b w:val="1"/>
                <w:bCs w:val="1"/>
                <w:color w:val="auto"/>
              </w:rPr>
              <w:t>Compensation</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6"/>
                <w:szCs w:val="16"/>
                <w:color w:val="auto"/>
              </w:rPr>
              <w:t>All incentive-based cash and LTI awards (both time and performance-based), proceeds following a sale of</w:t>
            </w:r>
          </w:p>
        </w:tc>
      </w:tr>
      <w:tr>
        <w:trPr>
          <w:trHeight w:val="211"/>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6"/>
                <w:szCs w:val="16"/>
                <w:b w:val="1"/>
                <w:bCs w:val="1"/>
                <w:color w:val="auto"/>
              </w:rPr>
              <w:t>Subject to Recovery</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6"/>
                <w:szCs w:val="16"/>
                <w:color w:val="auto"/>
              </w:rPr>
              <w:t>shares, severance and termination benefits and any compensation designated by the P&amp;C Committee</w:t>
            </w:r>
          </w:p>
        </w:tc>
      </w:tr>
      <w:tr>
        <w:trPr>
          <w:trHeight w:val="33"/>
        </w:trPr>
        <w:tc>
          <w:tcPr>
            <w:tcW w:w="2080" w:type="dxa"/>
            <w:vAlign w:val="bottom"/>
            <w:tcBorders>
              <w:left w:val="single" w:sz="8" w:color="1D428A"/>
              <w:bottom w:val="single" w:sz="8" w:color="B3B0AC"/>
              <w:right w:val="single" w:sz="8" w:color="B3B0AC"/>
            </w:tcBorders>
          </w:tcPr>
          <w:p>
            <w:pPr>
              <w:spacing w:after="0"/>
              <w:rPr>
                <w:sz w:val="2"/>
                <w:szCs w:val="2"/>
                <w:color w:val="auto"/>
              </w:rPr>
            </w:pPr>
          </w:p>
        </w:tc>
        <w:tc>
          <w:tcPr>
            <w:tcW w:w="9160" w:type="dxa"/>
            <w:vAlign w:val="bottom"/>
            <w:tcBorders>
              <w:bottom w:val="single" w:sz="8" w:color="B3B0AC"/>
              <w:right w:val="single" w:sz="8" w:color="1D428A"/>
            </w:tcBorders>
          </w:tcPr>
          <w:p>
            <w:pPr>
              <w:spacing w:after="0"/>
              <w:rPr>
                <w:sz w:val="2"/>
                <w:szCs w:val="2"/>
                <w:color w:val="auto"/>
              </w:rPr>
            </w:pPr>
          </w:p>
        </w:tc>
      </w:tr>
      <w:tr>
        <w:trPr>
          <w:trHeight w:val="230"/>
        </w:trPr>
        <w:tc>
          <w:tcPr>
            <w:tcW w:w="2080" w:type="dxa"/>
            <w:vAlign w:val="bottom"/>
            <w:tcBorders>
              <w:left w:val="single" w:sz="8" w:color="1D428A"/>
              <w:bottom w:val="single" w:sz="8" w:color="B3B0AC"/>
              <w:right w:val="single" w:sz="8" w:color="B3B0AC"/>
            </w:tcBorders>
          </w:tcPr>
          <w:p>
            <w:pPr>
              <w:ind w:left="40"/>
              <w:spacing w:after="0"/>
              <w:rPr>
                <w:sz w:val="20"/>
                <w:szCs w:val="20"/>
                <w:color w:val="auto"/>
              </w:rPr>
            </w:pPr>
            <w:r>
              <w:rPr>
                <w:rFonts w:ascii="Verdana" w:cs="Verdana" w:eastAsia="Verdana" w:hAnsi="Verdana"/>
                <w:sz w:val="16"/>
                <w:szCs w:val="16"/>
                <w:b w:val="1"/>
                <w:bCs w:val="1"/>
                <w:color w:val="auto"/>
              </w:rPr>
              <w:t>Look-back Period</w:t>
            </w:r>
          </w:p>
        </w:tc>
        <w:tc>
          <w:tcPr>
            <w:tcW w:w="9160" w:type="dxa"/>
            <w:vAlign w:val="bottom"/>
            <w:tcBorders>
              <w:bottom w:val="single" w:sz="8" w:color="B3B0AC"/>
              <w:right w:val="single" w:sz="8" w:color="1D428A"/>
            </w:tcBorders>
          </w:tcPr>
          <w:p>
            <w:pPr>
              <w:ind w:left="20"/>
              <w:spacing w:after="0"/>
              <w:rPr>
                <w:sz w:val="20"/>
                <w:szCs w:val="20"/>
                <w:color w:val="auto"/>
              </w:rPr>
            </w:pPr>
            <w:r>
              <w:rPr>
                <w:rFonts w:ascii="Verdana" w:cs="Verdana" w:eastAsia="Verdana" w:hAnsi="Verdana"/>
                <w:sz w:val="16"/>
                <w:szCs w:val="16"/>
                <w:color w:val="auto"/>
              </w:rPr>
              <w:t>3 years from date the P&amp;C Committee determines the policy was triggered</w:t>
            </w:r>
          </w:p>
        </w:tc>
      </w:tr>
      <w:tr>
        <w:trPr>
          <w:trHeight w:val="237"/>
        </w:trPr>
        <w:tc>
          <w:tcPr>
            <w:tcW w:w="2080" w:type="dxa"/>
            <w:vAlign w:val="bottom"/>
            <w:tcBorders>
              <w:left w:val="single" w:sz="8" w:color="1D428A"/>
              <w:bottom w:val="single" w:sz="8" w:color="B3B0AC"/>
              <w:right w:val="single" w:sz="8" w:color="B3B0AC"/>
            </w:tcBorders>
          </w:tcPr>
          <w:p>
            <w:pPr>
              <w:ind w:left="40"/>
              <w:spacing w:after="0"/>
              <w:rPr>
                <w:sz w:val="20"/>
                <w:szCs w:val="20"/>
                <w:color w:val="auto"/>
              </w:rPr>
            </w:pPr>
            <w:r>
              <w:rPr>
                <w:rFonts w:ascii="Verdana" w:cs="Verdana" w:eastAsia="Verdana" w:hAnsi="Verdana"/>
                <w:sz w:val="16"/>
                <w:szCs w:val="16"/>
                <w:b w:val="1"/>
                <w:bCs w:val="1"/>
                <w:color w:val="auto"/>
              </w:rPr>
              <w:t>Oversight</w:t>
            </w:r>
          </w:p>
        </w:tc>
        <w:tc>
          <w:tcPr>
            <w:tcW w:w="9160" w:type="dxa"/>
            <w:vAlign w:val="bottom"/>
            <w:tcBorders>
              <w:bottom w:val="single" w:sz="8" w:color="B3B0AC"/>
              <w:right w:val="single" w:sz="8" w:color="1D428A"/>
            </w:tcBorders>
          </w:tcPr>
          <w:p>
            <w:pPr>
              <w:ind w:left="20"/>
              <w:spacing w:after="0"/>
              <w:rPr>
                <w:sz w:val="20"/>
                <w:szCs w:val="20"/>
                <w:color w:val="auto"/>
              </w:rPr>
            </w:pPr>
            <w:r>
              <w:rPr>
                <w:rFonts w:ascii="Verdana" w:cs="Verdana" w:eastAsia="Verdana" w:hAnsi="Verdana"/>
                <w:sz w:val="16"/>
                <w:szCs w:val="16"/>
                <w:color w:val="auto"/>
              </w:rPr>
              <w:t>P&amp;C Committee</w:t>
            </w:r>
          </w:p>
        </w:tc>
      </w:tr>
      <w:tr>
        <w:trPr>
          <w:trHeight w:val="237"/>
        </w:trPr>
        <w:tc>
          <w:tcPr>
            <w:tcW w:w="2080" w:type="dxa"/>
            <w:vAlign w:val="bottom"/>
            <w:tcBorders>
              <w:left w:val="single" w:sz="8" w:color="1D428A"/>
              <w:bottom w:val="single" w:sz="8" w:color="1D428A"/>
              <w:right w:val="single" w:sz="8" w:color="B3B0AC"/>
            </w:tcBorders>
          </w:tcPr>
          <w:p>
            <w:pPr>
              <w:ind w:left="40"/>
              <w:spacing w:after="0"/>
              <w:rPr>
                <w:sz w:val="20"/>
                <w:szCs w:val="20"/>
                <w:color w:val="auto"/>
              </w:rPr>
            </w:pPr>
            <w:r>
              <w:rPr>
                <w:rFonts w:ascii="Verdana" w:cs="Verdana" w:eastAsia="Verdana" w:hAnsi="Verdana"/>
                <w:sz w:val="16"/>
                <w:szCs w:val="16"/>
                <w:b w:val="1"/>
                <w:bCs w:val="1"/>
                <w:color w:val="auto"/>
              </w:rPr>
              <w:t>Effective Date</w:t>
            </w:r>
          </w:p>
        </w:tc>
        <w:tc>
          <w:tcPr>
            <w:tcW w:w="9160" w:type="dxa"/>
            <w:vAlign w:val="bottom"/>
            <w:tcBorders>
              <w:bottom w:val="single" w:sz="8" w:color="1D428A"/>
              <w:right w:val="single" w:sz="8" w:color="1D428A"/>
            </w:tcBorders>
          </w:tcPr>
          <w:p>
            <w:pPr>
              <w:ind w:left="20"/>
              <w:spacing w:after="0"/>
              <w:rPr>
                <w:sz w:val="20"/>
                <w:szCs w:val="20"/>
                <w:color w:val="auto"/>
              </w:rPr>
            </w:pPr>
            <w:r>
              <w:rPr>
                <w:rFonts w:ascii="Verdana" w:cs="Verdana" w:eastAsia="Verdana" w:hAnsi="Verdana"/>
                <w:sz w:val="16"/>
                <w:szCs w:val="16"/>
                <w:color w:val="auto"/>
              </w:rPr>
              <w:t>10/2/2023</w:t>
            </w:r>
          </w:p>
        </w:tc>
      </w:tr>
    </w:tbl>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Tax Treatment of Executive Compensation</w:t>
      </w:r>
    </w:p>
    <w:p>
      <w:pPr>
        <w:spacing w:after="0" w:line="144"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While the P&amp;C Committee considers corporate tax deductibility as one of several relevant factors in determining compensation, it retains the flexibility to design and maintain executive compensation arrangements that it believes will attract and retain executive talent consistent with Lear's best interests and those of its shareholders, even if such compensation is not deductible by Lear for federal</w:t>
      </w:r>
    </w:p>
    <w:p>
      <w:pPr>
        <w:spacing w:after="0" w:line="2" w:lineRule="exact"/>
        <w:rPr>
          <w:sz w:val="20"/>
          <w:szCs w:val="20"/>
          <w:color w:val="auto"/>
        </w:rPr>
      </w:pPr>
    </w:p>
    <w:p>
      <w:pPr>
        <w:ind w:right="580"/>
        <w:spacing w:after="0" w:line="253" w:lineRule="auto"/>
        <w:rPr>
          <w:sz w:val="20"/>
          <w:szCs w:val="20"/>
          <w:color w:val="auto"/>
        </w:rPr>
      </w:pPr>
      <w:r>
        <w:rPr>
          <w:rFonts w:ascii="Verdana" w:cs="Verdana" w:eastAsia="Verdana" w:hAnsi="Verdana"/>
          <w:sz w:val="16"/>
          <w:szCs w:val="16"/>
          <w:color w:val="auto"/>
        </w:rPr>
        <w:t>income tax purposes. For 2024, Section 162(m) of the Internal Revenue Code limited Lear's deduction to $1 million for the annual compensation paid to each of our NEOs.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Accounting Treatment</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We have generally considered the accounting treatment of various forms of awards in determining the components of our overall</w:t>
      </w:r>
    </w:p>
    <w:p>
      <w:pPr>
        <w:spacing w:after="0" w:line="8"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compensation program. We have generally sought to grant stock-settled equity awards to executives, which receive fixed accounting treatment, as opposed to cash-settled equity awards, which receive variable accounting treatment. We intend to continue to evaluate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these factors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55</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E2724"/>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EXECUTIVE COMPENSATION TABLES</w:t>
      </w:r>
    </w:p>
    <w:p>
      <w:pPr>
        <w:spacing w:after="0" w:line="201"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The following table shows information concerning the annual compensation for services to the Company and its subsidiaries in all capacities of the CEO, CFO and the other NEOs during the last three completed fiscal years. The footnotes accompanying the Summary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Compensation Table generally explain amounts reported for 2024,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91440</wp:posOffset>
            </wp:positionV>
            <wp:extent cx="6866255"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66255" cy="163195"/>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b w:val="1"/>
          <w:bCs w:val="1"/>
          <w:color w:val="F0EFEE"/>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22860</wp:posOffset>
            </wp:positionV>
            <wp:extent cx="6866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5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Change in Pension</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Value and</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Nonqualified</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jc w:val="center"/>
              <w:ind w:right="93"/>
              <w:spacing w:after="0"/>
              <w:rPr>
                <w:sz w:val="20"/>
                <w:szCs w:val="20"/>
                <w:color w:val="auto"/>
              </w:rPr>
            </w:pPr>
            <w:r>
              <w:rPr>
                <w:rFonts w:ascii="Verdana" w:cs="Verdana" w:eastAsia="Verdana" w:hAnsi="Verdana"/>
                <w:sz w:val="13"/>
                <w:szCs w:val="13"/>
                <w:b w:val="1"/>
                <w:bCs w:val="1"/>
                <w:color w:val="307FE2"/>
              </w:rPr>
              <w:t>Non-Equity</w:t>
            </w: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Deferred</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vMerge w:val="restart"/>
          </w:tcPr>
          <w:p>
            <w:pPr>
              <w:ind w:left="160"/>
              <w:spacing w:after="0"/>
              <w:rPr>
                <w:sz w:val="20"/>
                <w:szCs w:val="20"/>
                <w:color w:val="auto"/>
              </w:rPr>
            </w:pPr>
            <w:r>
              <w:rPr>
                <w:rFonts w:ascii="Verdana" w:cs="Verdana" w:eastAsia="Verdana" w:hAnsi="Verdana"/>
                <w:sz w:val="13"/>
                <w:szCs w:val="13"/>
                <w:b w:val="1"/>
                <w:bCs w:val="1"/>
                <w:color w:val="307FE2"/>
              </w:rPr>
              <w:t>Year</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93"/>
              <w:spacing w:after="0"/>
              <w:rPr>
                <w:sz w:val="20"/>
                <w:szCs w:val="20"/>
                <w:color w:val="auto"/>
              </w:rPr>
            </w:pPr>
            <w:r>
              <w:rPr>
                <w:rFonts w:ascii="Verdana" w:cs="Verdana" w:eastAsia="Verdana" w:hAnsi="Verdana"/>
                <w:sz w:val="13"/>
                <w:szCs w:val="13"/>
                <w:b w:val="1"/>
                <w:bCs w:val="1"/>
                <w:color w:val="307FE2"/>
              </w:rPr>
              <w:t>Stock</w:t>
            </w:r>
          </w:p>
        </w:tc>
        <w:tc>
          <w:tcPr>
            <w:tcW w:w="920" w:type="dxa"/>
            <w:vAlign w:val="bottom"/>
          </w:tcPr>
          <w:p>
            <w:pPr>
              <w:jc w:val="center"/>
              <w:ind w:right="273"/>
              <w:spacing w:after="0"/>
              <w:rPr>
                <w:sz w:val="20"/>
                <w:szCs w:val="20"/>
                <w:color w:val="auto"/>
              </w:rPr>
            </w:pPr>
            <w:r>
              <w:rPr>
                <w:rFonts w:ascii="Verdana" w:cs="Verdana" w:eastAsia="Verdana" w:hAnsi="Verdana"/>
                <w:sz w:val="13"/>
                <w:szCs w:val="13"/>
                <w:b w:val="1"/>
                <w:bCs w:val="1"/>
                <w:color w:val="307FE2"/>
              </w:rPr>
              <w:t>Option</w:t>
            </w:r>
          </w:p>
        </w:tc>
        <w:tc>
          <w:tcPr>
            <w:tcW w:w="1440" w:type="dxa"/>
            <w:vAlign w:val="bottom"/>
          </w:tcPr>
          <w:p>
            <w:pPr>
              <w:jc w:val="center"/>
              <w:ind w:right="73"/>
              <w:spacing w:after="0"/>
              <w:rPr>
                <w:sz w:val="20"/>
                <w:szCs w:val="20"/>
                <w:color w:val="auto"/>
              </w:rPr>
            </w:pPr>
            <w:r>
              <w:rPr>
                <w:rFonts w:ascii="Verdana" w:cs="Verdana" w:eastAsia="Verdana" w:hAnsi="Verdana"/>
                <w:sz w:val="13"/>
                <w:szCs w:val="13"/>
                <w:b w:val="1"/>
                <w:bCs w:val="1"/>
                <w:color w:val="307FE2"/>
              </w:rPr>
              <w:t>Incentive Plan</w:t>
            </w: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Compensation</w:t>
            </w:r>
          </w:p>
        </w:tc>
        <w:tc>
          <w:tcPr>
            <w:tcW w:w="1580" w:type="dxa"/>
            <w:vAlign w:val="bottom"/>
          </w:tcPr>
          <w:p>
            <w:pPr>
              <w:jc w:val="center"/>
              <w:ind w:right="33"/>
              <w:spacing w:after="0"/>
              <w:rPr>
                <w:sz w:val="20"/>
                <w:szCs w:val="20"/>
                <w:color w:val="auto"/>
              </w:rPr>
            </w:pPr>
            <w:r>
              <w:rPr>
                <w:rFonts w:ascii="Verdana" w:cs="Verdana" w:eastAsia="Verdana" w:hAnsi="Verdana"/>
                <w:sz w:val="13"/>
                <w:szCs w:val="13"/>
                <w:b w:val="1"/>
                <w:bCs w:val="1"/>
                <w:color w:val="307FE2"/>
              </w:rPr>
              <w:t>All Other</w:t>
            </w:r>
          </w:p>
        </w:tc>
        <w:tc>
          <w:tcPr>
            <w:tcW w:w="1400" w:type="dxa"/>
            <w:vAlign w:val="bottom"/>
          </w:tcPr>
          <w:p>
            <w:pPr>
              <w:jc w:val="center"/>
              <w:spacing w:after="0"/>
              <w:rPr>
                <w:sz w:val="20"/>
                <w:szCs w:val="20"/>
                <w:color w:val="auto"/>
              </w:rPr>
            </w:pPr>
            <w:r>
              <w:rPr>
                <w:rFonts w:ascii="Verdana" w:cs="Verdana" w:eastAsia="Verdana" w:hAnsi="Verdana"/>
                <w:sz w:val="13"/>
                <w:szCs w:val="13"/>
                <w:b w:val="1"/>
                <w:bCs w:val="1"/>
                <w:color w:val="307FE2"/>
              </w:rPr>
              <w:t>Total</w:t>
            </w:r>
          </w:p>
        </w:tc>
        <w:tc>
          <w:tcPr>
            <w:tcW w:w="0" w:type="dxa"/>
            <w:vAlign w:val="bottom"/>
          </w:tcPr>
          <w:p>
            <w:pPr>
              <w:spacing w:after="0"/>
              <w:rPr>
                <w:sz w:val="1"/>
                <w:szCs w:val="1"/>
                <w:color w:val="auto"/>
              </w:rPr>
            </w:pPr>
          </w:p>
        </w:tc>
      </w:tr>
      <w:tr>
        <w:trPr>
          <w:trHeight w:val="95"/>
        </w:trPr>
        <w:tc>
          <w:tcPr>
            <w:tcW w:w="680" w:type="dxa"/>
            <w:vAlign w:val="bottom"/>
            <w:vMerge w:val="continue"/>
          </w:tcPr>
          <w:p>
            <w:pPr>
              <w:spacing w:after="0"/>
              <w:rPr>
                <w:sz w:val="8"/>
                <w:szCs w:val="8"/>
                <w:color w:val="auto"/>
              </w:rPr>
            </w:pPr>
          </w:p>
        </w:tc>
        <w:tc>
          <w:tcPr>
            <w:tcW w:w="1000" w:type="dxa"/>
            <w:vAlign w:val="bottom"/>
            <w:vMerge w:val="restart"/>
          </w:tcPr>
          <w:p>
            <w:pPr>
              <w:jc w:val="right"/>
              <w:ind w:right="233"/>
              <w:spacing w:after="0"/>
              <w:rPr>
                <w:sz w:val="20"/>
                <w:szCs w:val="20"/>
                <w:color w:val="auto"/>
              </w:rPr>
            </w:pPr>
            <w:r>
              <w:rPr>
                <w:rFonts w:ascii="Verdana" w:cs="Verdana" w:eastAsia="Verdana" w:hAnsi="Verdana"/>
                <w:sz w:val="13"/>
                <w:szCs w:val="13"/>
                <w:b w:val="1"/>
                <w:bCs w:val="1"/>
                <w:color w:val="307FE2"/>
              </w:rPr>
              <w:t>Salary</w:t>
            </w:r>
          </w:p>
        </w:tc>
        <w:tc>
          <w:tcPr>
            <w:tcW w:w="880" w:type="dxa"/>
            <w:vAlign w:val="bottom"/>
            <w:vMerge w:val="restart"/>
          </w:tcPr>
          <w:p>
            <w:pPr>
              <w:ind w:left="140"/>
              <w:spacing w:after="0"/>
              <w:rPr>
                <w:sz w:val="20"/>
                <w:szCs w:val="20"/>
                <w:color w:val="auto"/>
              </w:rPr>
            </w:pPr>
            <w:r>
              <w:rPr>
                <w:rFonts w:ascii="Verdana" w:cs="Verdana" w:eastAsia="Verdana" w:hAnsi="Verdana"/>
                <w:sz w:val="13"/>
                <w:szCs w:val="13"/>
                <w:b w:val="1"/>
                <w:bCs w:val="1"/>
                <w:color w:val="307FE2"/>
              </w:rPr>
              <w:t>Bonus</w:t>
            </w:r>
          </w:p>
        </w:tc>
        <w:tc>
          <w:tcPr>
            <w:tcW w:w="1280" w:type="dxa"/>
            <w:vAlign w:val="bottom"/>
            <w:vMerge w:val="restart"/>
          </w:tcPr>
          <w:p>
            <w:pPr>
              <w:jc w:val="center"/>
              <w:ind w:right="173"/>
              <w:spacing w:after="0"/>
              <w:rPr>
                <w:sz w:val="20"/>
                <w:szCs w:val="20"/>
                <w:color w:val="auto"/>
              </w:rPr>
            </w:pPr>
            <w:r>
              <w:rPr>
                <w:rFonts w:ascii="Verdana" w:cs="Verdana" w:eastAsia="Verdana" w:hAnsi="Verdana"/>
                <w:sz w:val="13"/>
                <w:szCs w:val="13"/>
                <w:b w:val="1"/>
                <w:bCs w:val="1"/>
                <w:color w:val="307FE2"/>
              </w:rPr>
              <w:t>Awards</w:t>
            </w:r>
            <w:r>
              <w:rPr>
                <w:rFonts w:ascii="Verdana" w:cs="Verdana" w:eastAsia="Verdana" w:hAnsi="Verdana"/>
                <w:sz w:val="8"/>
                <w:szCs w:val="8"/>
                <w:b w:val="1"/>
                <w:bCs w:val="1"/>
                <w:color w:val="307FE2"/>
              </w:rPr>
              <w:t>(2)</w:t>
            </w:r>
          </w:p>
        </w:tc>
        <w:tc>
          <w:tcPr>
            <w:tcW w:w="920" w:type="dxa"/>
            <w:vAlign w:val="bottom"/>
            <w:vMerge w:val="restart"/>
          </w:tcPr>
          <w:p>
            <w:pPr>
              <w:jc w:val="center"/>
              <w:ind w:right="253"/>
              <w:spacing w:after="0"/>
              <w:rPr>
                <w:sz w:val="20"/>
                <w:szCs w:val="20"/>
                <w:color w:val="auto"/>
              </w:rPr>
            </w:pPr>
            <w:r>
              <w:rPr>
                <w:rFonts w:ascii="Verdana" w:cs="Verdana" w:eastAsia="Verdana" w:hAnsi="Verdana"/>
                <w:sz w:val="13"/>
                <w:szCs w:val="13"/>
                <w:b w:val="1"/>
                <w:bCs w:val="1"/>
                <w:color w:val="307FE2"/>
              </w:rPr>
              <w:t>Awards</w:t>
            </w:r>
          </w:p>
        </w:tc>
        <w:tc>
          <w:tcPr>
            <w:tcW w:w="1440" w:type="dxa"/>
            <w:vAlign w:val="bottom"/>
            <w:vMerge w:val="restart"/>
          </w:tcPr>
          <w:p>
            <w:pPr>
              <w:jc w:val="center"/>
              <w:ind w:right="93"/>
              <w:spacing w:after="0"/>
              <w:rPr>
                <w:sz w:val="20"/>
                <w:szCs w:val="20"/>
                <w:color w:val="auto"/>
              </w:rPr>
            </w:pPr>
            <w:r>
              <w:rPr>
                <w:rFonts w:ascii="Verdana" w:cs="Verdana" w:eastAsia="Verdana" w:hAnsi="Verdana"/>
                <w:sz w:val="13"/>
                <w:szCs w:val="13"/>
                <w:b w:val="1"/>
                <w:bCs w:val="1"/>
                <w:color w:val="307FE2"/>
              </w:rPr>
              <w:t>Compensation</w:t>
            </w:r>
            <w:r>
              <w:rPr>
                <w:rFonts w:ascii="Verdana" w:cs="Verdana" w:eastAsia="Verdana" w:hAnsi="Verdana"/>
                <w:sz w:val="8"/>
                <w:szCs w:val="8"/>
                <w:b w:val="1"/>
                <w:bCs w:val="1"/>
                <w:color w:val="307FE2"/>
              </w:rPr>
              <w:t>(3)</w:t>
            </w:r>
          </w:p>
        </w:tc>
        <w:tc>
          <w:tcPr>
            <w:tcW w:w="1640" w:type="dxa"/>
            <w:vAlign w:val="bottom"/>
            <w:vMerge w:val="restart"/>
          </w:tcPr>
          <w:p>
            <w:pPr>
              <w:jc w:val="center"/>
              <w:spacing w:after="0"/>
              <w:rPr>
                <w:sz w:val="20"/>
                <w:szCs w:val="20"/>
                <w:color w:val="auto"/>
              </w:rPr>
            </w:pPr>
            <w:r>
              <w:rPr>
                <w:rFonts w:ascii="Verdana" w:cs="Verdana" w:eastAsia="Verdana" w:hAnsi="Verdana"/>
                <w:sz w:val="13"/>
                <w:szCs w:val="13"/>
                <w:b w:val="1"/>
                <w:bCs w:val="1"/>
                <w:color w:val="307FE2"/>
              </w:rPr>
              <w:t>Earnings</w:t>
            </w:r>
            <w:r>
              <w:rPr>
                <w:rFonts w:ascii="Verdana" w:cs="Verdana" w:eastAsia="Verdana" w:hAnsi="Verdana"/>
                <w:sz w:val="8"/>
                <w:szCs w:val="8"/>
                <w:b w:val="1"/>
                <w:bCs w:val="1"/>
                <w:color w:val="307FE2"/>
              </w:rPr>
              <w:t>(4)</w:t>
            </w:r>
          </w:p>
        </w:tc>
        <w:tc>
          <w:tcPr>
            <w:tcW w:w="1580" w:type="dxa"/>
            <w:vAlign w:val="bottom"/>
            <w:vMerge w:val="restart"/>
          </w:tcPr>
          <w:p>
            <w:pPr>
              <w:jc w:val="center"/>
              <w:ind w:right="33"/>
              <w:spacing w:after="0"/>
              <w:rPr>
                <w:sz w:val="20"/>
                <w:szCs w:val="20"/>
                <w:color w:val="auto"/>
              </w:rPr>
            </w:pPr>
            <w:r>
              <w:rPr>
                <w:rFonts w:ascii="Verdana" w:cs="Verdana" w:eastAsia="Verdana" w:hAnsi="Verdana"/>
                <w:sz w:val="13"/>
                <w:szCs w:val="13"/>
                <w:b w:val="1"/>
                <w:bCs w:val="1"/>
                <w:color w:val="307FE2"/>
              </w:rPr>
              <w:t>Compensation</w:t>
            </w:r>
            <w:r>
              <w:rPr>
                <w:rFonts w:ascii="Verdana" w:cs="Verdana" w:eastAsia="Verdana" w:hAnsi="Verdana"/>
                <w:sz w:val="8"/>
                <w:szCs w:val="8"/>
                <w:b w:val="1"/>
                <w:bCs w:val="1"/>
                <w:color w:val="307FE2"/>
              </w:rPr>
              <w:t>(5)</w:t>
            </w:r>
          </w:p>
        </w:tc>
        <w:tc>
          <w:tcPr>
            <w:tcW w:w="1400" w:type="dxa"/>
            <w:vAlign w:val="bottom"/>
            <w:vMerge w:val="restart"/>
          </w:tcPr>
          <w:p>
            <w:pPr>
              <w:jc w:val="center"/>
              <w:ind w:right="13"/>
              <w:spacing w:after="0"/>
              <w:rPr>
                <w:sz w:val="20"/>
                <w:szCs w:val="20"/>
                <w:color w:val="auto"/>
              </w:rPr>
            </w:pPr>
            <w:r>
              <w:rPr>
                <w:rFonts w:ascii="Verdana" w:cs="Verdana" w:eastAsia="Verdana" w:hAnsi="Verdana"/>
                <w:sz w:val="13"/>
                <w:szCs w:val="13"/>
                <w:b w:val="1"/>
                <w:bCs w:val="1"/>
                <w:color w:val="307FE2"/>
              </w:rPr>
              <w:t>Compensation</w:t>
            </w:r>
          </w:p>
        </w:tc>
        <w:tc>
          <w:tcPr>
            <w:tcW w:w="0" w:type="dxa"/>
            <w:vAlign w:val="bottom"/>
          </w:tcPr>
          <w:p>
            <w:pPr>
              <w:spacing w:after="0"/>
              <w:rPr>
                <w:sz w:val="1"/>
                <w:szCs w:val="1"/>
                <w:color w:val="auto"/>
              </w:rPr>
            </w:pPr>
          </w:p>
        </w:tc>
      </w:tr>
      <w:tr>
        <w:trPr>
          <w:trHeight w:val="67"/>
        </w:trPr>
        <w:tc>
          <w:tcPr>
            <w:tcW w:w="6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80" w:type="dxa"/>
            <w:vAlign w:val="bottom"/>
            <w:tcBorders>
              <w:bottom w:val="single" w:sz="8" w:color="1D428A"/>
            </w:tcBorders>
          </w:tcPr>
          <w:p>
            <w:pPr>
              <w:spacing w:after="0"/>
              <w:rPr>
                <w:sz w:val="15"/>
                <w:szCs w:val="15"/>
                <w:color w:val="auto"/>
              </w:rPr>
            </w:pPr>
          </w:p>
        </w:tc>
        <w:tc>
          <w:tcPr>
            <w:tcW w:w="1000" w:type="dxa"/>
            <w:vAlign w:val="bottom"/>
            <w:tcBorders>
              <w:bottom w:val="single" w:sz="8" w:color="1D428A"/>
            </w:tcBorders>
          </w:tcPr>
          <w:p>
            <w:pPr>
              <w:jc w:val="right"/>
              <w:ind w:right="353"/>
              <w:spacing w:after="0"/>
              <w:rPr>
                <w:sz w:val="20"/>
                <w:szCs w:val="20"/>
                <w:color w:val="auto"/>
              </w:rPr>
            </w:pPr>
            <w:r>
              <w:rPr>
                <w:rFonts w:ascii="Verdana" w:cs="Verdana" w:eastAsia="Verdana" w:hAnsi="Verdana"/>
                <w:sz w:val="13"/>
                <w:szCs w:val="13"/>
                <w:b w:val="1"/>
                <w:bCs w:val="1"/>
                <w:color w:val="307FE2"/>
              </w:rPr>
              <w:t>($)</w:t>
            </w:r>
          </w:p>
        </w:tc>
        <w:tc>
          <w:tcPr>
            <w:tcW w:w="880" w:type="dxa"/>
            <w:vAlign w:val="bottom"/>
            <w:tcBorders>
              <w:bottom w:val="single" w:sz="8" w:color="1D428A"/>
            </w:tcBorders>
          </w:tcPr>
          <w:p>
            <w:pPr>
              <w:ind w:left="260"/>
              <w:spacing w:after="0"/>
              <w:rPr>
                <w:sz w:val="20"/>
                <w:szCs w:val="20"/>
                <w:color w:val="auto"/>
              </w:rPr>
            </w:pPr>
            <w:r>
              <w:rPr>
                <w:rFonts w:ascii="Verdana" w:cs="Verdana" w:eastAsia="Verdana" w:hAnsi="Verdana"/>
                <w:sz w:val="13"/>
                <w:szCs w:val="13"/>
                <w:b w:val="1"/>
                <w:bCs w:val="1"/>
                <w:color w:val="307FE2"/>
              </w:rPr>
              <w:t>($)</w:t>
            </w:r>
          </w:p>
        </w:tc>
        <w:tc>
          <w:tcPr>
            <w:tcW w:w="1280" w:type="dxa"/>
            <w:vAlign w:val="bottom"/>
            <w:tcBorders>
              <w:bottom w:val="single" w:sz="8" w:color="1D428A"/>
            </w:tcBorders>
          </w:tcPr>
          <w:p>
            <w:pPr>
              <w:jc w:val="center"/>
              <w:ind w:right="173"/>
              <w:spacing w:after="0"/>
              <w:rPr>
                <w:sz w:val="20"/>
                <w:szCs w:val="20"/>
                <w:color w:val="auto"/>
              </w:rPr>
            </w:pPr>
            <w:r>
              <w:rPr>
                <w:rFonts w:ascii="Verdana" w:cs="Verdana" w:eastAsia="Verdana" w:hAnsi="Verdana"/>
                <w:sz w:val="13"/>
                <w:szCs w:val="13"/>
                <w:b w:val="1"/>
                <w:bCs w:val="1"/>
                <w:color w:val="307FE2"/>
              </w:rPr>
              <w:t>($)</w:t>
            </w:r>
          </w:p>
        </w:tc>
        <w:tc>
          <w:tcPr>
            <w:tcW w:w="920" w:type="dxa"/>
            <w:vAlign w:val="bottom"/>
            <w:tcBorders>
              <w:bottom w:val="single" w:sz="8" w:color="1D428A"/>
            </w:tcBorders>
          </w:tcPr>
          <w:p>
            <w:pPr>
              <w:jc w:val="center"/>
              <w:ind w:right="253"/>
              <w:spacing w:after="0"/>
              <w:rPr>
                <w:sz w:val="20"/>
                <w:szCs w:val="20"/>
                <w:color w:val="auto"/>
              </w:rPr>
            </w:pPr>
            <w:r>
              <w:rPr>
                <w:rFonts w:ascii="Verdana" w:cs="Verdana" w:eastAsia="Verdana" w:hAnsi="Verdana"/>
                <w:sz w:val="13"/>
                <w:szCs w:val="13"/>
                <w:b w:val="1"/>
                <w:bCs w:val="1"/>
                <w:color w:val="307FE2"/>
              </w:rPr>
              <w:t>($)</w:t>
            </w:r>
          </w:p>
        </w:tc>
        <w:tc>
          <w:tcPr>
            <w:tcW w:w="1440" w:type="dxa"/>
            <w:vAlign w:val="bottom"/>
            <w:tcBorders>
              <w:bottom w:val="single" w:sz="8" w:color="1D428A"/>
            </w:tcBorders>
          </w:tcPr>
          <w:p>
            <w:pPr>
              <w:jc w:val="center"/>
              <w:ind w:right="93"/>
              <w:spacing w:after="0"/>
              <w:rPr>
                <w:sz w:val="20"/>
                <w:szCs w:val="20"/>
                <w:color w:val="auto"/>
              </w:rPr>
            </w:pPr>
            <w:r>
              <w:rPr>
                <w:rFonts w:ascii="Verdana" w:cs="Verdana" w:eastAsia="Verdana" w:hAnsi="Verdana"/>
                <w:sz w:val="13"/>
                <w:szCs w:val="13"/>
                <w:b w:val="1"/>
                <w:bCs w:val="1"/>
                <w:color w:val="307FE2"/>
              </w:rPr>
              <w:t>($)</w:t>
            </w:r>
          </w:p>
        </w:tc>
        <w:tc>
          <w:tcPr>
            <w:tcW w:w="164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rPr>
              <w:t>($)</w:t>
            </w:r>
          </w:p>
        </w:tc>
        <w:tc>
          <w:tcPr>
            <w:tcW w:w="1580" w:type="dxa"/>
            <w:vAlign w:val="bottom"/>
            <w:tcBorders>
              <w:bottom w:val="single" w:sz="8" w:color="1D428A"/>
            </w:tcBorders>
          </w:tcPr>
          <w:p>
            <w:pPr>
              <w:jc w:val="center"/>
              <w:ind w:right="33"/>
              <w:spacing w:after="0"/>
              <w:rPr>
                <w:sz w:val="20"/>
                <w:szCs w:val="20"/>
                <w:color w:val="auto"/>
              </w:rPr>
            </w:pPr>
            <w:r>
              <w:rPr>
                <w:rFonts w:ascii="Verdana" w:cs="Verdana" w:eastAsia="Verdana" w:hAnsi="Verdana"/>
                <w:sz w:val="13"/>
                <w:szCs w:val="13"/>
                <w:b w:val="1"/>
                <w:bCs w:val="1"/>
                <w:color w:val="307FE2"/>
              </w:rPr>
              <w:t>($)</w:t>
            </w:r>
          </w:p>
        </w:tc>
        <w:tc>
          <w:tcPr>
            <w:tcW w:w="1400" w:type="dxa"/>
            <w:vAlign w:val="bottom"/>
            <w:tcBorders>
              <w:bottom w:val="single" w:sz="8" w:color="1D428A"/>
            </w:tcBorders>
          </w:tcPr>
          <w:p>
            <w:pPr>
              <w:jc w:val="center"/>
              <w:ind w:right="13"/>
              <w:spacing w:after="0"/>
              <w:rPr>
                <w:sz w:val="20"/>
                <w:szCs w:val="20"/>
                <w:color w:val="auto"/>
              </w:rPr>
            </w:pPr>
            <w:r>
              <w:rPr>
                <w:rFonts w:ascii="Verdana" w:cs="Verdana" w:eastAsia="Verdana" w:hAnsi="Verdana"/>
                <w:sz w:val="13"/>
                <w:szCs w:val="13"/>
                <w:b w:val="1"/>
                <w:bCs w:val="1"/>
                <w:color w:val="307FE2"/>
              </w:rPr>
              <w:t>($)</w:t>
            </w:r>
          </w:p>
        </w:tc>
        <w:tc>
          <w:tcPr>
            <w:tcW w:w="0" w:type="dxa"/>
            <w:vAlign w:val="bottom"/>
          </w:tcPr>
          <w:p>
            <w:pPr>
              <w:spacing w:after="0"/>
              <w:rPr>
                <w:sz w:val="1"/>
                <w:szCs w:val="1"/>
                <w:color w:val="auto"/>
              </w:rPr>
            </w:pPr>
          </w:p>
        </w:tc>
      </w:tr>
      <w:tr>
        <w:trPr>
          <w:trHeight w:val="216"/>
        </w:trPr>
        <w:tc>
          <w:tcPr>
            <w:tcW w:w="3840" w:type="dxa"/>
            <w:vAlign w:val="bottom"/>
            <w:gridSpan w:val="4"/>
            <w:shd w:val="clear" w:color="auto" w:fill="D6E5F9"/>
          </w:tcPr>
          <w:p>
            <w:pPr>
              <w:ind w:left="20"/>
              <w:spacing w:after="0"/>
              <w:rPr>
                <w:sz w:val="20"/>
                <w:szCs w:val="20"/>
                <w:color w:val="auto"/>
              </w:rPr>
            </w:pPr>
            <w:r>
              <w:rPr>
                <w:rFonts w:ascii="Verdana" w:cs="Verdana" w:eastAsia="Verdana" w:hAnsi="Verdana"/>
                <w:sz w:val="13"/>
                <w:szCs w:val="13"/>
                <w:b w:val="1"/>
                <w:bCs w:val="1"/>
                <w:color w:val="auto"/>
              </w:rPr>
              <w:t>Raymond E. Scott</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President and CEO</w:t>
            </w:r>
          </w:p>
        </w:tc>
        <w:tc>
          <w:tcPr>
            <w:tcW w:w="920" w:type="dxa"/>
            <w:vAlign w:val="bottom"/>
            <w:shd w:val="clear" w:color="auto" w:fill="D6E5F9"/>
          </w:tcPr>
          <w:p>
            <w:pPr>
              <w:spacing w:after="0"/>
              <w:rPr>
                <w:sz w:val="18"/>
                <w:szCs w:val="18"/>
                <w:color w:val="auto"/>
              </w:rPr>
            </w:pP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1,323,333</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13,263,959</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1,950,880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44,310</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859,053</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17,441,535</w:t>
            </w:r>
          </w:p>
        </w:tc>
        <w:tc>
          <w:tcPr>
            <w:tcW w:w="0" w:type="dxa"/>
            <w:vAlign w:val="bottom"/>
          </w:tcPr>
          <w:p>
            <w:pPr>
              <w:spacing w:after="0"/>
              <w:rPr>
                <w:sz w:val="1"/>
                <w:szCs w:val="1"/>
                <w:color w:val="auto"/>
              </w:rPr>
            </w:pP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1,300,000</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13,349,215</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3,536,000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41,649</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664,508</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18,891,372</w:t>
            </w:r>
          </w:p>
        </w:tc>
        <w:tc>
          <w:tcPr>
            <w:tcW w:w="0" w:type="dxa"/>
            <w:vAlign w:val="bottom"/>
          </w:tcPr>
          <w:p>
            <w:pPr>
              <w:spacing w:after="0"/>
              <w:rPr>
                <w:sz w:val="1"/>
                <w:szCs w:val="1"/>
                <w:color w:val="auto"/>
              </w:rPr>
            </w:pPr>
          </w:p>
        </w:tc>
      </w:tr>
      <w:tr>
        <w:trPr>
          <w:trHeight w:val="223"/>
        </w:trPr>
        <w:tc>
          <w:tcPr>
            <w:tcW w:w="680" w:type="dxa"/>
            <w:vAlign w:val="bottom"/>
            <w:tcBorders>
              <w:bottom w:val="single" w:sz="8" w:color="696158"/>
            </w:tcBorders>
          </w:tcPr>
          <w:p>
            <w:pPr>
              <w:ind w:left="20"/>
              <w:spacing w:after="0"/>
              <w:rPr>
                <w:sz w:val="20"/>
                <w:szCs w:val="20"/>
                <w:color w:val="auto"/>
              </w:rPr>
            </w:pPr>
            <w:r>
              <w:rPr>
                <w:rFonts w:ascii="Verdana" w:cs="Verdana" w:eastAsia="Verdana" w:hAnsi="Verdana"/>
                <w:sz w:val="13"/>
                <w:szCs w:val="13"/>
                <w:color w:val="auto"/>
              </w:rPr>
              <w:t>2022</w:t>
            </w:r>
          </w:p>
        </w:tc>
        <w:tc>
          <w:tcPr>
            <w:tcW w:w="100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1,272,500</w:t>
            </w:r>
          </w:p>
        </w:tc>
        <w:tc>
          <w:tcPr>
            <w:tcW w:w="880" w:type="dxa"/>
            <w:vAlign w:val="bottom"/>
            <w:tcBorders>
              <w:bottom w:val="single" w:sz="8" w:color="696158"/>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696158"/>
            </w:tcBorders>
          </w:tcPr>
          <w:p>
            <w:pPr>
              <w:jc w:val="right"/>
              <w:ind w:right="193"/>
              <w:spacing w:after="0"/>
              <w:rPr>
                <w:sz w:val="20"/>
                <w:szCs w:val="20"/>
                <w:color w:val="auto"/>
              </w:rPr>
            </w:pPr>
            <w:r>
              <w:rPr>
                <w:rFonts w:ascii="Verdana" w:cs="Verdana" w:eastAsia="Verdana" w:hAnsi="Verdana"/>
                <w:sz w:val="13"/>
                <w:szCs w:val="13"/>
                <w:color w:val="auto"/>
              </w:rPr>
              <w:t>11,118,747</w:t>
            </w:r>
          </w:p>
        </w:tc>
        <w:tc>
          <w:tcPr>
            <w:tcW w:w="920" w:type="dxa"/>
            <w:vAlign w:val="bottom"/>
            <w:tcBorders>
              <w:bottom w:val="single" w:sz="8" w:color="696158"/>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2,418,000</w:t>
            </w:r>
          </w:p>
        </w:tc>
        <w:tc>
          <w:tcPr>
            <w:tcW w:w="1640" w:type="dxa"/>
            <w:vAlign w:val="bottom"/>
            <w:tcBorders>
              <w:bottom w:val="single" w:sz="8" w:color="696158"/>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567,097</w:t>
            </w:r>
          </w:p>
        </w:tc>
        <w:tc>
          <w:tcPr>
            <w:tcW w:w="140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15,376,344</w:t>
            </w:r>
          </w:p>
        </w:tc>
        <w:tc>
          <w:tcPr>
            <w:tcW w:w="0" w:type="dxa"/>
            <w:vAlign w:val="bottom"/>
          </w:tcPr>
          <w:p>
            <w:pPr>
              <w:spacing w:after="0"/>
              <w:rPr>
                <w:sz w:val="1"/>
                <w:szCs w:val="1"/>
                <w:color w:val="auto"/>
              </w:rPr>
            </w:pPr>
          </w:p>
        </w:tc>
      </w:tr>
      <w:tr>
        <w:trPr>
          <w:trHeight w:val="216"/>
        </w:trPr>
        <w:tc>
          <w:tcPr>
            <w:tcW w:w="4760" w:type="dxa"/>
            <w:vAlign w:val="bottom"/>
            <w:gridSpan w:val="5"/>
            <w:shd w:val="clear" w:color="auto" w:fill="D6E5F9"/>
          </w:tcPr>
          <w:p>
            <w:pPr>
              <w:ind w:left="20"/>
              <w:spacing w:after="0"/>
              <w:rPr>
                <w:sz w:val="20"/>
                <w:szCs w:val="20"/>
                <w:color w:val="auto"/>
              </w:rPr>
            </w:pPr>
            <w:r>
              <w:rPr>
                <w:rFonts w:ascii="Verdana" w:cs="Verdana" w:eastAsia="Verdana" w:hAnsi="Verdana"/>
                <w:sz w:val="13"/>
                <w:szCs w:val="13"/>
                <w:b w:val="1"/>
                <w:bCs w:val="1"/>
                <w:color w:val="auto"/>
              </w:rPr>
              <w:t>Jason M. Cardew</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Senior Vice President and Chief Financial Officer</w:t>
            </w: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860,000</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4,891,937</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783,200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393,719</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6,928,856</w:t>
            </w:r>
          </w:p>
        </w:tc>
        <w:tc>
          <w:tcPr>
            <w:tcW w:w="0" w:type="dxa"/>
            <w:vAlign w:val="bottom"/>
          </w:tcPr>
          <w:p>
            <w:pPr>
              <w:spacing w:after="0"/>
              <w:rPr>
                <w:sz w:val="1"/>
                <w:szCs w:val="1"/>
                <w:color w:val="auto"/>
              </w:rPr>
            </w:pP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850,000</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3,914,999</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1,445,000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35,123</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310,215</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6,555,337</w:t>
            </w:r>
          </w:p>
        </w:tc>
        <w:tc>
          <w:tcPr>
            <w:tcW w:w="0" w:type="dxa"/>
            <w:vAlign w:val="bottom"/>
          </w:tcPr>
          <w:p>
            <w:pPr>
              <w:spacing w:after="0"/>
              <w:rPr>
                <w:sz w:val="1"/>
                <w:szCs w:val="1"/>
                <w:color w:val="auto"/>
              </w:rPr>
            </w:pPr>
          </w:p>
        </w:tc>
      </w:tr>
      <w:tr>
        <w:trPr>
          <w:trHeight w:val="223"/>
        </w:trPr>
        <w:tc>
          <w:tcPr>
            <w:tcW w:w="680" w:type="dxa"/>
            <w:vAlign w:val="bottom"/>
            <w:tcBorders>
              <w:bottom w:val="single" w:sz="8" w:color="696158"/>
            </w:tcBorders>
          </w:tcPr>
          <w:p>
            <w:pPr>
              <w:ind w:left="20"/>
              <w:spacing w:after="0"/>
              <w:rPr>
                <w:sz w:val="20"/>
                <w:szCs w:val="20"/>
                <w:color w:val="auto"/>
              </w:rPr>
            </w:pPr>
            <w:r>
              <w:rPr>
                <w:rFonts w:ascii="Verdana" w:cs="Verdana" w:eastAsia="Verdana" w:hAnsi="Verdana"/>
                <w:sz w:val="13"/>
                <w:szCs w:val="13"/>
                <w:color w:val="auto"/>
              </w:rPr>
              <w:t>2022</w:t>
            </w:r>
          </w:p>
        </w:tc>
        <w:tc>
          <w:tcPr>
            <w:tcW w:w="100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826,167</w:t>
            </w:r>
          </w:p>
        </w:tc>
        <w:tc>
          <w:tcPr>
            <w:tcW w:w="880" w:type="dxa"/>
            <w:vAlign w:val="bottom"/>
            <w:tcBorders>
              <w:bottom w:val="single" w:sz="8" w:color="696158"/>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696158"/>
            </w:tcBorders>
          </w:tcPr>
          <w:p>
            <w:pPr>
              <w:jc w:val="right"/>
              <w:ind w:right="193"/>
              <w:spacing w:after="0"/>
              <w:rPr>
                <w:sz w:val="20"/>
                <w:szCs w:val="20"/>
                <w:color w:val="auto"/>
              </w:rPr>
            </w:pPr>
            <w:r>
              <w:rPr>
                <w:rFonts w:ascii="Verdana" w:cs="Verdana" w:eastAsia="Verdana" w:hAnsi="Verdana"/>
                <w:sz w:val="13"/>
                <w:szCs w:val="13"/>
                <w:color w:val="auto"/>
              </w:rPr>
              <w:t>2,990,707</w:t>
            </w:r>
          </w:p>
        </w:tc>
        <w:tc>
          <w:tcPr>
            <w:tcW w:w="920" w:type="dxa"/>
            <w:vAlign w:val="bottom"/>
            <w:tcBorders>
              <w:bottom w:val="single" w:sz="8" w:color="696158"/>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1,054,000</w:t>
            </w:r>
          </w:p>
        </w:tc>
        <w:tc>
          <w:tcPr>
            <w:tcW w:w="1640" w:type="dxa"/>
            <w:vAlign w:val="bottom"/>
            <w:tcBorders>
              <w:bottom w:val="single" w:sz="8" w:color="696158"/>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268,735</w:t>
            </w:r>
          </w:p>
        </w:tc>
        <w:tc>
          <w:tcPr>
            <w:tcW w:w="140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5,139,609</w:t>
            </w:r>
          </w:p>
        </w:tc>
        <w:tc>
          <w:tcPr>
            <w:tcW w:w="0" w:type="dxa"/>
            <w:vAlign w:val="bottom"/>
          </w:tcPr>
          <w:p>
            <w:pPr>
              <w:spacing w:after="0"/>
              <w:rPr>
                <w:sz w:val="1"/>
                <w:szCs w:val="1"/>
                <w:color w:val="auto"/>
              </w:rPr>
            </w:pPr>
          </w:p>
        </w:tc>
      </w:tr>
      <w:tr>
        <w:trPr>
          <w:trHeight w:val="216"/>
        </w:trPr>
        <w:tc>
          <w:tcPr>
            <w:tcW w:w="4760" w:type="dxa"/>
            <w:vAlign w:val="bottom"/>
            <w:gridSpan w:val="5"/>
            <w:shd w:val="clear" w:color="auto" w:fill="D6E5F9"/>
          </w:tcPr>
          <w:p>
            <w:pPr>
              <w:ind w:left="20"/>
              <w:spacing w:after="0"/>
              <w:rPr>
                <w:sz w:val="20"/>
                <w:szCs w:val="20"/>
                <w:color w:val="auto"/>
              </w:rPr>
            </w:pPr>
            <w:r>
              <w:rPr>
                <w:rFonts w:ascii="Verdana" w:cs="Verdana" w:eastAsia="Verdana" w:hAnsi="Verdana"/>
                <w:sz w:val="13"/>
                <w:szCs w:val="13"/>
                <w:b w:val="1"/>
                <w:bCs w:val="1"/>
                <w:color w:val="auto"/>
              </w:rPr>
              <w:t>Frank C. Orsini</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Executive Vice President and President, Seating</w:t>
            </w: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866,667</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5,891,903</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801,000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403,840</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7,963,410</w:t>
            </w:r>
          </w:p>
        </w:tc>
        <w:tc>
          <w:tcPr>
            <w:tcW w:w="0" w:type="dxa"/>
            <w:vAlign w:val="bottom"/>
          </w:tcPr>
          <w:p>
            <w:pPr>
              <w:spacing w:after="0"/>
              <w:rPr>
                <w:sz w:val="1"/>
                <w:szCs w:val="1"/>
                <w:color w:val="auto"/>
              </w:rPr>
            </w:pP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850,000</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3,914,999</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1,445,000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32,755</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282,456</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6,525,210</w:t>
            </w:r>
          </w:p>
        </w:tc>
        <w:tc>
          <w:tcPr>
            <w:tcW w:w="0" w:type="dxa"/>
            <w:vAlign w:val="bottom"/>
          </w:tcPr>
          <w:p>
            <w:pPr>
              <w:spacing w:after="0"/>
              <w:rPr>
                <w:sz w:val="1"/>
                <w:szCs w:val="1"/>
                <w:color w:val="auto"/>
              </w:rPr>
            </w:pPr>
          </w:p>
        </w:tc>
      </w:tr>
      <w:tr>
        <w:trPr>
          <w:trHeight w:val="223"/>
        </w:trPr>
        <w:tc>
          <w:tcPr>
            <w:tcW w:w="680" w:type="dxa"/>
            <w:vAlign w:val="bottom"/>
            <w:tcBorders>
              <w:bottom w:val="single" w:sz="8" w:color="696158"/>
            </w:tcBorders>
          </w:tcPr>
          <w:p>
            <w:pPr>
              <w:ind w:left="20"/>
              <w:spacing w:after="0"/>
              <w:rPr>
                <w:sz w:val="20"/>
                <w:szCs w:val="20"/>
                <w:color w:val="auto"/>
              </w:rPr>
            </w:pPr>
            <w:r>
              <w:rPr>
                <w:rFonts w:ascii="Verdana" w:cs="Verdana" w:eastAsia="Verdana" w:hAnsi="Verdana"/>
                <w:sz w:val="13"/>
                <w:szCs w:val="13"/>
                <w:color w:val="auto"/>
              </w:rPr>
              <w:t>2022</w:t>
            </w:r>
          </w:p>
        </w:tc>
        <w:tc>
          <w:tcPr>
            <w:tcW w:w="100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826,167</w:t>
            </w:r>
          </w:p>
        </w:tc>
        <w:tc>
          <w:tcPr>
            <w:tcW w:w="880" w:type="dxa"/>
            <w:vAlign w:val="bottom"/>
            <w:tcBorders>
              <w:bottom w:val="single" w:sz="8" w:color="696158"/>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696158"/>
            </w:tcBorders>
          </w:tcPr>
          <w:p>
            <w:pPr>
              <w:jc w:val="right"/>
              <w:ind w:right="193"/>
              <w:spacing w:after="0"/>
              <w:rPr>
                <w:sz w:val="20"/>
                <w:szCs w:val="20"/>
                <w:color w:val="auto"/>
              </w:rPr>
            </w:pPr>
            <w:r>
              <w:rPr>
                <w:rFonts w:ascii="Verdana" w:cs="Verdana" w:eastAsia="Verdana" w:hAnsi="Verdana"/>
                <w:sz w:val="13"/>
                <w:szCs w:val="13"/>
                <w:color w:val="auto"/>
              </w:rPr>
              <w:t>2,990,707</w:t>
            </w:r>
          </w:p>
        </w:tc>
        <w:tc>
          <w:tcPr>
            <w:tcW w:w="920" w:type="dxa"/>
            <w:vAlign w:val="bottom"/>
            <w:tcBorders>
              <w:bottom w:val="single" w:sz="8" w:color="696158"/>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1,054,000</w:t>
            </w:r>
          </w:p>
        </w:tc>
        <w:tc>
          <w:tcPr>
            <w:tcW w:w="1640" w:type="dxa"/>
            <w:vAlign w:val="bottom"/>
            <w:tcBorders>
              <w:bottom w:val="single" w:sz="8" w:color="696158"/>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244,717</w:t>
            </w:r>
          </w:p>
        </w:tc>
        <w:tc>
          <w:tcPr>
            <w:tcW w:w="140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5,115,591</w:t>
            </w:r>
          </w:p>
        </w:tc>
        <w:tc>
          <w:tcPr>
            <w:tcW w:w="0" w:type="dxa"/>
            <w:vAlign w:val="bottom"/>
          </w:tcPr>
          <w:p>
            <w:pPr>
              <w:spacing w:after="0"/>
              <w:rPr>
                <w:sz w:val="1"/>
                <w:szCs w:val="1"/>
                <w:color w:val="auto"/>
              </w:rPr>
            </w:pPr>
          </w:p>
        </w:tc>
      </w:tr>
      <w:tr>
        <w:trPr>
          <w:trHeight w:val="216"/>
        </w:trPr>
        <w:tc>
          <w:tcPr>
            <w:tcW w:w="3840" w:type="dxa"/>
            <w:vAlign w:val="bottom"/>
            <w:gridSpan w:val="4"/>
            <w:shd w:val="clear" w:color="auto" w:fill="D6E5F9"/>
          </w:tcPr>
          <w:p>
            <w:pPr>
              <w:ind w:left="20"/>
              <w:spacing w:after="0"/>
              <w:rPr>
                <w:sz w:val="20"/>
                <w:szCs w:val="20"/>
                <w:color w:val="auto"/>
              </w:rPr>
            </w:pPr>
            <w:r>
              <w:rPr>
                <w:rFonts w:ascii="Verdana" w:cs="Verdana" w:eastAsia="Verdana" w:hAnsi="Verdana"/>
                <w:sz w:val="13"/>
                <w:szCs w:val="13"/>
                <w:b w:val="1"/>
                <w:bCs w:val="1"/>
                <w:color w:val="auto"/>
              </w:rPr>
              <w:t>Carl A. Esposito</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Senior Vice President, IDEA by Lear</w:t>
            </w:r>
          </w:p>
        </w:tc>
        <w:tc>
          <w:tcPr>
            <w:tcW w:w="920" w:type="dxa"/>
            <w:vAlign w:val="bottom"/>
            <w:shd w:val="clear" w:color="auto" w:fill="D6E5F9"/>
          </w:tcPr>
          <w:p>
            <w:pPr>
              <w:spacing w:after="0"/>
              <w:rPr>
                <w:sz w:val="18"/>
                <w:szCs w:val="18"/>
                <w:color w:val="auto"/>
              </w:rPr>
            </w:pP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733,458</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2,547,694</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601,050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240,310</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4,122,512</w:t>
            </w:r>
          </w:p>
        </w:tc>
        <w:tc>
          <w:tcPr>
            <w:tcW w:w="0" w:type="dxa"/>
            <w:vAlign w:val="bottom"/>
          </w:tcPr>
          <w:p>
            <w:pPr>
              <w:spacing w:after="0"/>
              <w:rPr>
                <w:sz w:val="1"/>
                <w:szCs w:val="1"/>
                <w:color w:val="auto"/>
              </w:rPr>
            </w:pPr>
          </w:p>
        </w:tc>
      </w:tr>
      <w:tr>
        <w:trPr>
          <w:trHeight w:val="204"/>
        </w:trPr>
        <w:tc>
          <w:tcPr>
            <w:tcW w:w="680" w:type="dxa"/>
            <w:vAlign w:val="bottom"/>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Pr>
          <w:p>
            <w:pPr>
              <w:jc w:val="right"/>
              <w:ind w:right="73"/>
              <w:spacing w:after="0"/>
              <w:rPr>
                <w:sz w:val="20"/>
                <w:szCs w:val="20"/>
                <w:color w:val="auto"/>
              </w:rPr>
            </w:pPr>
            <w:r>
              <w:rPr>
                <w:rFonts w:ascii="Verdana" w:cs="Verdana" w:eastAsia="Verdana" w:hAnsi="Verdana"/>
                <w:sz w:val="13"/>
                <w:szCs w:val="13"/>
                <w:color w:val="auto"/>
              </w:rPr>
              <w:t>725,000</w:t>
            </w:r>
          </w:p>
        </w:tc>
        <w:tc>
          <w:tcPr>
            <w:tcW w:w="880" w:type="dxa"/>
            <w:vAlign w:val="bottom"/>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Pr>
          <w:p>
            <w:pPr>
              <w:jc w:val="right"/>
              <w:ind w:right="193"/>
              <w:spacing w:after="0"/>
              <w:rPr>
                <w:sz w:val="20"/>
                <w:szCs w:val="20"/>
                <w:color w:val="auto"/>
              </w:rPr>
            </w:pPr>
            <w:r>
              <w:rPr>
                <w:rFonts w:ascii="Verdana" w:cs="Verdana" w:eastAsia="Verdana" w:hAnsi="Verdana"/>
                <w:sz w:val="13"/>
                <w:szCs w:val="13"/>
                <w:color w:val="auto"/>
              </w:rPr>
              <w:t>2,408,258</w:t>
            </w:r>
          </w:p>
        </w:tc>
        <w:tc>
          <w:tcPr>
            <w:tcW w:w="920" w:type="dxa"/>
            <w:vAlign w:val="bottom"/>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Pr>
          <w:p>
            <w:pPr>
              <w:jc w:val="right"/>
              <w:ind w:right="13"/>
              <w:spacing w:after="0"/>
              <w:rPr>
                <w:sz w:val="20"/>
                <w:szCs w:val="20"/>
                <w:color w:val="auto"/>
              </w:rPr>
            </w:pPr>
            <w:r>
              <w:rPr>
                <w:rFonts w:ascii="Verdana" w:cs="Verdana" w:eastAsia="Verdana" w:hAnsi="Verdana"/>
                <w:sz w:val="13"/>
                <w:szCs w:val="13"/>
                <w:color w:val="auto"/>
              </w:rPr>
              <w:t>986,000</w:t>
            </w:r>
          </w:p>
        </w:tc>
        <w:tc>
          <w:tcPr>
            <w:tcW w:w="164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1580" w:type="dxa"/>
            <w:vAlign w:val="bottom"/>
          </w:tcPr>
          <w:p>
            <w:pPr>
              <w:jc w:val="right"/>
              <w:ind w:right="73"/>
              <w:spacing w:after="0"/>
              <w:rPr>
                <w:sz w:val="20"/>
                <w:szCs w:val="20"/>
                <w:color w:val="auto"/>
              </w:rPr>
            </w:pPr>
            <w:r>
              <w:rPr>
                <w:rFonts w:ascii="Verdana" w:cs="Verdana" w:eastAsia="Verdana" w:hAnsi="Verdana"/>
                <w:sz w:val="13"/>
                <w:szCs w:val="13"/>
                <w:color w:val="auto"/>
              </w:rPr>
              <w:t>173,442</w:t>
            </w:r>
          </w:p>
        </w:tc>
        <w:tc>
          <w:tcPr>
            <w:tcW w:w="1400" w:type="dxa"/>
            <w:vAlign w:val="bottom"/>
          </w:tcPr>
          <w:p>
            <w:pPr>
              <w:jc w:val="right"/>
              <w:ind w:right="13"/>
              <w:spacing w:after="0"/>
              <w:rPr>
                <w:sz w:val="20"/>
                <w:szCs w:val="20"/>
                <w:color w:val="auto"/>
              </w:rPr>
            </w:pPr>
            <w:r>
              <w:rPr>
                <w:rFonts w:ascii="Verdana" w:cs="Verdana" w:eastAsia="Verdana" w:hAnsi="Verdana"/>
                <w:sz w:val="13"/>
                <w:szCs w:val="13"/>
                <w:color w:val="auto"/>
              </w:rPr>
              <w:t>4,292,700</w:t>
            </w:r>
          </w:p>
        </w:tc>
        <w:tc>
          <w:tcPr>
            <w:tcW w:w="0" w:type="dxa"/>
            <w:vAlign w:val="bottom"/>
          </w:tcPr>
          <w:p>
            <w:pPr>
              <w:spacing w:after="0"/>
              <w:rPr>
                <w:sz w:val="1"/>
                <w:szCs w:val="1"/>
                <w:color w:val="auto"/>
              </w:rPr>
            </w:pPr>
          </w:p>
        </w:tc>
      </w:tr>
      <w:tr>
        <w:trPr>
          <w:trHeight w:val="25"/>
        </w:trPr>
        <w:tc>
          <w:tcPr>
            <w:tcW w:w="680" w:type="dxa"/>
            <w:vAlign w:val="bottom"/>
            <w:tcBorders>
              <w:bottom w:val="single" w:sz="8" w:color="B3B0AC"/>
            </w:tcBorders>
          </w:tcPr>
          <w:p>
            <w:pPr>
              <w:spacing w:after="0"/>
              <w:rPr>
                <w:sz w:val="2"/>
                <w:szCs w:val="2"/>
                <w:color w:val="auto"/>
              </w:rPr>
            </w:pPr>
          </w:p>
        </w:tc>
        <w:tc>
          <w:tcPr>
            <w:tcW w:w="1000" w:type="dxa"/>
            <w:vAlign w:val="bottom"/>
            <w:tcBorders>
              <w:bottom w:val="single" w:sz="8" w:color="B3B0AC"/>
            </w:tcBorders>
          </w:tcPr>
          <w:p>
            <w:pPr>
              <w:spacing w:after="0"/>
              <w:rPr>
                <w:sz w:val="2"/>
                <w:szCs w:val="2"/>
                <w:color w:val="auto"/>
              </w:rPr>
            </w:pPr>
          </w:p>
        </w:tc>
        <w:tc>
          <w:tcPr>
            <w:tcW w:w="880" w:type="dxa"/>
            <w:vAlign w:val="bottom"/>
            <w:tcBorders>
              <w:bottom w:val="single" w:sz="8" w:color="B3B0AC"/>
            </w:tcBorders>
          </w:tcPr>
          <w:p>
            <w:pPr>
              <w:spacing w:after="0"/>
              <w:rPr>
                <w:sz w:val="2"/>
                <w:szCs w:val="2"/>
                <w:color w:val="auto"/>
              </w:rPr>
            </w:pPr>
          </w:p>
        </w:tc>
        <w:tc>
          <w:tcPr>
            <w:tcW w:w="1280" w:type="dxa"/>
            <w:vAlign w:val="bottom"/>
            <w:tcBorders>
              <w:bottom w:val="single" w:sz="8" w:color="B3B0AC"/>
            </w:tcBorders>
          </w:tcPr>
          <w:p>
            <w:pPr>
              <w:spacing w:after="0"/>
              <w:rPr>
                <w:sz w:val="2"/>
                <w:szCs w:val="2"/>
                <w:color w:val="auto"/>
              </w:rPr>
            </w:pPr>
          </w:p>
        </w:tc>
        <w:tc>
          <w:tcPr>
            <w:tcW w:w="92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c>
          <w:tcPr>
            <w:tcW w:w="164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0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80" w:type="dxa"/>
            <w:vAlign w:val="bottom"/>
          </w:tcPr>
          <w:p>
            <w:pPr>
              <w:ind w:left="20"/>
              <w:spacing w:after="0"/>
              <w:rPr>
                <w:sz w:val="20"/>
                <w:szCs w:val="20"/>
                <w:color w:val="auto"/>
              </w:rPr>
            </w:pPr>
            <w:r>
              <w:rPr>
                <w:rFonts w:ascii="Verdana" w:cs="Verdana" w:eastAsia="Verdana" w:hAnsi="Verdana"/>
                <w:sz w:val="13"/>
                <w:szCs w:val="13"/>
                <w:color w:val="auto"/>
              </w:rPr>
              <w:t>2022</w:t>
            </w:r>
          </w:p>
        </w:tc>
        <w:tc>
          <w:tcPr>
            <w:tcW w:w="1000" w:type="dxa"/>
            <w:vAlign w:val="bottom"/>
          </w:tcPr>
          <w:p>
            <w:pPr>
              <w:jc w:val="right"/>
              <w:ind w:right="73"/>
              <w:spacing w:after="0"/>
              <w:rPr>
                <w:sz w:val="20"/>
                <w:szCs w:val="20"/>
                <w:color w:val="auto"/>
              </w:rPr>
            </w:pPr>
            <w:r>
              <w:rPr>
                <w:rFonts w:ascii="Verdana" w:cs="Verdana" w:eastAsia="Verdana" w:hAnsi="Verdana"/>
                <w:sz w:val="13"/>
                <w:szCs w:val="13"/>
                <w:color w:val="auto"/>
              </w:rPr>
              <w:t>702,083</w:t>
            </w:r>
          </w:p>
        </w:tc>
        <w:tc>
          <w:tcPr>
            <w:tcW w:w="880" w:type="dxa"/>
            <w:vAlign w:val="bottom"/>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Pr>
          <w:p>
            <w:pPr>
              <w:jc w:val="right"/>
              <w:ind w:right="193"/>
              <w:spacing w:after="0"/>
              <w:rPr>
                <w:sz w:val="20"/>
                <w:szCs w:val="20"/>
                <w:color w:val="auto"/>
              </w:rPr>
            </w:pPr>
            <w:r>
              <w:rPr>
                <w:rFonts w:ascii="Verdana" w:cs="Verdana" w:eastAsia="Verdana" w:hAnsi="Verdana"/>
                <w:sz w:val="13"/>
                <w:szCs w:val="13"/>
                <w:color w:val="auto"/>
              </w:rPr>
              <w:t>2,307,087</w:t>
            </w:r>
          </w:p>
        </w:tc>
        <w:tc>
          <w:tcPr>
            <w:tcW w:w="920" w:type="dxa"/>
            <w:vAlign w:val="bottom"/>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Pr>
          <w:p>
            <w:pPr>
              <w:jc w:val="right"/>
              <w:ind w:right="13"/>
              <w:spacing w:after="0"/>
              <w:rPr>
                <w:sz w:val="20"/>
                <w:szCs w:val="20"/>
                <w:color w:val="auto"/>
              </w:rPr>
            </w:pPr>
            <w:r>
              <w:rPr>
                <w:rFonts w:ascii="Verdana" w:cs="Verdana" w:eastAsia="Verdana" w:hAnsi="Verdana"/>
                <w:sz w:val="13"/>
                <w:szCs w:val="13"/>
                <w:color w:val="auto"/>
              </w:rPr>
              <w:t>719,200</w:t>
            </w:r>
          </w:p>
        </w:tc>
        <w:tc>
          <w:tcPr>
            <w:tcW w:w="164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1580" w:type="dxa"/>
            <w:vAlign w:val="bottom"/>
          </w:tcPr>
          <w:p>
            <w:pPr>
              <w:jc w:val="right"/>
              <w:ind w:right="73"/>
              <w:spacing w:after="0"/>
              <w:rPr>
                <w:sz w:val="20"/>
                <w:szCs w:val="20"/>
                <w:color w:val="auto"/>
              </w:rPr>
            </w:pPr>
            <w:r>
              <w:rPr>
                <w:rFonts w:ascii="Verdana" w:cs="Verdana" w:eastAsia="Verdana" w:hAnsi="Verdana"/>
                <w:sz w:val="13"/>
                <w:szCs w:val="13"/>
                <w:color w:val="auto"/>
              </w:rPr>
              <w:t>150,111</w:t>
            </w:r>
          </w:p>
        </w:tc>
        <w:tc>
          <w:tcPr>
            <w:tcW w:w="1400" w:type="dxa"/>
            <w:vAlign w:val="bottom"/>
          </w:tcPr>
          <w:p>
            <w:pPr>
              <w:jc w:val="right"/>
              <w:ind w:right="13"/>
              <w:spacing w:after="0"/>
              <w:rPr>
                <w:sz w:val="20"/>
                <w:szCs w:val="20"/>
                <w:color w:val="auto"/>
              </w:rPr>
            </w:pPr>
            <w:r>
              <w:rPr>
                <w:rFonts w:ascii="Verdana" w:cs="Verdana" w:eastAsia="Verdana" w:hAnsi="Verdana"/>
                <w:sz w:val="13"/>
                <w:szCs w:val="13"/>
                <w:color w:val="auto"/>
              </w:rPr>
              <w:t>3,878,481</w:t>
            </w:r>
          </w:p>
        </w:tc>
        <w:tc>
          <w:tcPr>
            <w:tcW w:w="0" w:type="dxa"/>
            <w:vAlign w:val="bottom"/>
          </w:tcPr>
          <w:p>
            <w:pPr>
              <w:spacing w:after="0"/>
              <w:rPr>
                <w:sz w:val="1"/>
                <w:szCs w:val="1"/>
                <w:color w:val="auto"/>
              </w:rPr>
            </w:pPr>
          </w:p>
        </w:tc>
      </w:tr>
      <w:tr>
        <w:trPr>
          <w:trHeight w:val="33"/>
        </w:trPr>
        <w:tc>
          <w:tcPr>
            <w:tcW w:w="6200" w:type="dxa"/>
            <w:vAlign w:val="bottom"/>
            <w:tcBorders>
              <w:bottom w:val="single" w:sz="8" w:color="696158"/>
            </w:tcBorders>
            <w:gridSpan w:val="6"/>
          </w:tcPr>
          <w:p>
            <w:pPr>
              <w:spacing w:after="0"/>
              <w:rPr>
                <w:sz w:val="2"/>
                <w:szCs w:val="2"/>
                <w:color w:val="auto"/>
              </w:rPr>
            </w:pPr>
          </w:p>
        </w:tc>
        <w:tc>
          <w:tcPr>
            <w:tcW w:w="1640" w:type="dxa"/>
            <w:vAlign w:val="bottom"/>
            <w:tcBorders>
              <w:bottom w:val="single" w:sz="8" w:color="696158"/>
            </w:tcBorders>
          </w:tcPr>
          <w:p>
            <w:pPr>
              <w:spacing w:after="0"/>
              <w:rPr>
                <w:sz w:val="2"/>
                <w:szCs w:val="2"/>
                <w:color w:val="auto"/>
              </w:rPr>
            </w:pPr>
          </w:p>
        </w:tc>
        <w:tc>
          <w:tcPr>
            <w:tcW w:w="1580" w:type="dxa"/>
            <w:vAlign w:val="bottom"/>
            <w:tcBorders>
              <w:bottom w:val="single" w:sz="8" w:color="696158"/>
            </w:tcBorders>
          </w:tcPr>
          <w:p>
            <w:pPr>
              <w:spacing w:after="0"/>
              <w:rPr>
                <w:sz w:val="2"/>
                <w:szCs w:val="2"/>
                <w:color w:val="auto"/>
              </w:rPr>
            </w:pPr>
          </w:p>
        </w:tc>
        <w:tc>
          <w:tcPr>
            <w:tcW w:w="140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00" w:type="dxa"/>
            <w:vAlign w:val="bottom"/>
            <w:gridSpan w:val="6"/>
            <w:shd w:val="clear" w:color="auto" w:fill="D6E5F9"/>
          </w:tcPr>
          <w:p>
            <w:pPr>
              <w:ind w:left="20"/>
              <w:spacing w:after="0"/>
              <w:rPr>
                <w:sz w:val="20"/>
                <w:szCs w:val="20"/>
                <w:color w:val="auto"/>
              </w:rPr>
            </w:pPr>
            <w:r>
              <w:rPr>
                <w:rFonts w:ascii="Verdana" w:cs="Verdana" w:eastAsia="Verdana" w:hAnsi="Verdana"/>
                <w:sz w:val="13"/>
                <w:szCs w:val="13"/>
                <w:b w:val="1"/>
                <w:bCs w:val="1"/>
                <w:color w:val="auto"/>
              </w:rPr>
              <w:t>Harry A. Kemp</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Senior Vice President and Chief Administrative Officer</w:t>
            </w: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716,667</w:t>
            </w:r>
          </w:p>
        </w:tc>
        <w:tc>
          <w:tcPr>
            <w:tcW w:w="88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B3B0AC"/>
            </w:tcBorders>
          </w:tcPr>
          <w:p>
            <w:pPr>
              <w:jc w:val="right"/>
              <w:ind w:right="193"/>
              <w:spacing w:after="0"/>
              <w:rPr>
                <w:sz w:val="20"/>
                <w:szCs w:val="20"/>
                <w:color w:val="auto"/>
              </w:rPr>
            </w:pPr>
            <w:r>
              <w:rPr>
                <w:rFonts w:ascii="Verdana" w:cs="Verdana" w:eastAsia="Verdana" w:hAnsi="Verdana"/>
                <w:sz w:val="13"/>
                <w:szCs w:val="13"/>
                <w:color w:val="auto"/>
              </w:rPr>
              <w:t>2,135,742</w:t>
            </w:r>
          </w:p>
        </w:tc>
        <w:tc>
          <w:tcPr>
            <w:tcW w:w="920" w:type="dxa"/>
            <w:vAlign w:val="bottom"/>
            <w:tcBorders>
              <w:bottom w:val="single" w:sz="8" w:color="B3B0AC"/>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600,750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213,263</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3,666,422</w:t>
            </w:r>
          </w:p>
        </w:tc>
        <w:tc>
          <w:tcPr>
            <w:tcW w:w="0" w:type="dxa"/>
            <w:vAlign w:val="bottom"/>
          </w:tcPr>
          <w:p>
            <w:pPr>
              <w:spacing w:after="0"/>
              <w:rPr>
                <w:sz w:val="1"/>
                <w:szCs w:val="1"/>
                <w:color w:val="auto"/>
              </w:rPr>
            </w:pPr>
          </w:p>
        </w:tc>
      </w:tr>
      <w:tr>
        <w:trPr>
          <w:trHeight w:val="223"/>
        </w:trPr>
        <w:tc>
          <w:tcPr>
            <w:tcW w:w="680" w:type="dxa"/>
            <w:vAlign w:val="bottom"/>
            <w:tcBorders>
              <w:bottom w:val="single" w:sz="8" w:color="696158"/>
            </w:tcBorders>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700,000</w:t>
            </w:r>
          </w:p>
        </w:tc>
        <w:tc>
          <w:tcPr>
            <w:tcW w:w="880" w:type="dxa"/>
            <w:vAlign w:val="bottom"/>
            <w:tcBorders>
              <w:bottom w:val="single" w:sz="8" w:color="696158"/>
            </w:tcBorders>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Borders>
              <w:bottom w:val="single" w:sz="8" w:color="696158"/>
            </w:tcBorders>
          </w:tcPr>
          <w:p>
            <w:pPr>
              <w:jc w:val="right"/>
              <w:ind w:right="193"/>
              <w:spacing w:after="0"/>
              <w:rPr>
                <w:sz w:val="20"/>
                <w:szCs w:val="20"/>
                <w:color w:val="auto"/>
              </w:rPr>
            </w:pPr>
            <w:r>
              <w:rPr>
                <w:rFonts w:ascii="Verdana" w:cs="Verdana" w:eastAsia="Verdana" w:hAnsi="Verdana"/>
                <w:sz w:val="13"/>
                <w:szCs w:val="13"/>
                <w:color w:val="auto"/>
              </w:rPr>
              <w:t>2,147,667</w:t>
            </w:r>
          </w:p>
        </w:tc>
        <w:tc>
          <w:tcPr>
            <w:tcW w:w="920" w:type="dxa"/>
            <w:vAlign w:val="bottom"/>
            <w:tcBorders>
              <w:bottom w:val="single" w:sz="8" w:color="696158"/>
            </w:tcBorders>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1,071,000</w:t>
            </w:r>
          </w:p>
        </w:tc>
        <w:tc>
          <w:tcPr>
            <w:tcW w:w="1640" w:type="dxa"/>
            <w:vAlign w:val="bottom"/>
            <w:tcBorders>
              <w:bottom w:val="single" w:sz="8" w:color="696158"/>
            </w:tcBorders>
          </w:tcPr>
          <w:p>
            <w:pPr>
              <w:jc w:val="right"/>
              <w:ind w:right="52"/>
              <w:spacing w:after="0"/>
              <w:rPr>
                <w:sz w:val="20"/>
                <w:szCs w:val="20"/>
                <w:color w:val="auto"/>
              </w:rPr>
            </w:pPr>
            <w:r>
              <w:rPr>
                <w:rFonts w:ascii="Verdana" w:cs="Verdana" w:eastAsia="Verdana" w:hAnsi="Verdana"/>
                <w:sz w:val="14"/>
                <w:szCs w:val="14"/>
                <w:color w:val="auto"/>
              </w:rPr>
              <w:t>—</w:t>
            </w:r>
          </w:p>
        </w:tc>
        <w:tc>
          <w:tcPr>
            <w:tcW w:w="158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181,464</w:t>
            </w:r>
          </w:p>
        </w:tc>
        <w:tc>
          <w:tcPr>
            <w:tcW w:w="140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4,100,131</w:t>
            </w:r>
          </w:p>
        </w:tc>
        <w:tc>
          <w:tcPr>
            <w:tcW w:w="0" w:type="dxa"/>
            <w:vAlign w:val="bottom"/>
          </w:tcPr>
          <w:p>
            <w:pPr>
              <w:spacing w:after="0"/>
              <w:rPr>
                <w:sz w:val="1"/>
                <w:szCs w:val="1"/>
                <w:color w:val="auto"/>
              </w:rPr>
            </w:pPr>
          </w:p>
        </w:tc>
      </w:tr>
      <w:tr>
        <w:trPr>
          <w:trHeight w:val="216"/>
        </w:trPr>
        <w:tc>
          <w:tcPr>
            <w:tcW w:w="4760" w:type="dxa"/>
            <w:vAlign w:val="bottom"/>
            <w:gridSpan w:val="5"/>
            <w:shd w:val="clear" w:color="auto" w:fill="D6E5F9"/>
          </w:tcPr>
          <w:p>
            <w:pPr>
              <w:ind w:left="20"/>
              <w:spacing w:after="0"/>
              <w:rPr>
                <w:sz w:val="20"/>
                <w:szCs w:val="20"/>
                <w:color w:val="auto"/>
              </w:rPr>
            </w:pPr>
            <w:r>
              <w:rPr>
                <w:rFonts w:ascii="Verdana" w:cs="Verdana" w:eastAsia="Verdana" w:hAnsi="Verdana"/>
                <w:sz w:val="13"/>
                <w:szCs w:val="13"/>
                <w:b w:val="1"/>
                <w:bCs w:val="1"/>
                <w:color w:val="auto"/>
              </w:rPr>
              <w:t>Alicia J. Davis</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Senior Vice President and Chief Strategy Officer</w:t>
            </w: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Pr>
          <w:p>
            <w:pPr>
              <w:jc w:val="right"/>
              <w:ind w:right="73"/>
              <w:spacing w:after="0"/>
              <w:rPr>
                <w:sz w:val="20"/>
                <w:szCs w:val="20"/>
                <w:color w:val="auto"/>
              </w:rPr>
            </w:pPr>
            <w:r>
              <w:rPr>
                <w:rFonts w:ascii="Verdana" w:cs="Verdana" w:eastAsia="Verdana" w:hAnsi="Verdana"/>
                <w:sz w:val="13"/>
                <w:szCs w:val="13"/>
                <w:color w:val="auto"/>
              </w:rPr>
              <w:t>560,000</w:t>
            </w:r>
          </w:p>
        </w:tc>
        <w:tc>
          <w:tcPr>
            <w:tcW w:w="880" w:type="dxa"/>
            <w:vAlign w:val="bottom"/>
          </w:tcPr>
          <w:p>
            <w:pPr>
              <w:ind w:left="600"/>
              <w:spacing w:after="0"/>
              <w:rPr>
                <w:sz w:val="20"/>
                <w:szCs w:val="20"/>
                <w:color w:val="auto"/>
              </w:rPr>
            </w:pPr>
            <w:r>
              <w:rPr>
                <w:rFonts w:ascii="Verdana" w:cs="Verdana" w:eastAsia="Verdana" w:hAnsi="Verdana"/>
                <w:sz w:val="13"/>
                <w:szCs w:val="13"/>
                <w:color w:val="auto"/>
              </w:rPr>
              <w:t>—</w:t>
            </w:r>
          </w:p>
        </w:tc>
        <w:tc>
          <w:tcPr>
            <w:tcW w:w="1280" w:type="dxa"/>
            <w:vAlign w:val="bottom"/>
          </w:tcPr>
          <w:p>
            <w:pPr>
              <w:jc w:val="right"/>
              <w:ind w:right="193"/>
              <w:spacing w:after="0"/>
              <w:rPr>
                <w:sz w:val="20"/>
                <w:szCs w:val="20"/>
                <w:color w:val="auto"/>
              </w:rPr>
            </w:pPr>
            <w:r>
              <w:rPr>
                <w:rFonts w:ascii="Verdana" w:cs="Verdana" w:eastAsia="Verdana" w:hAnsi="Verdana"/>
                <w:sz w:val="13"/>
                <w:szCs w:val="13"/>
                <w:color w:val="auto"/>
              </w:rPr>
              <w:t>1,652,598</w:t>
            </w:r>
          </w:p>
        </w:tc>
        <w:tc>
          <w:tcPr>
            <w:tcW w:w="920" w:type="dxa"/>
            <w:vAlign w:val="bottom"/>
          </w:tcPr>
          <w:p>
            <w:pPr>
              <w:ind w:left="560"/>
              <w:spacing w:after="0"/>
              <w:rPr>
                <w:sz w:val="20"/>
                <w:szCs w:val="20"/>
                <w:color w:val="auto"/>
              </w:rPr>
            </w:pPr>
            <w:r>
              <w:rPr>
                <w:rFonts w:ascii="Verdana" w:cs="Verdana" w:eastAsia="Verdana" w:hAnsi="Verdana"/>
                <w:sz w:val="13"/>
                <w:szCs w:val="13"/>
                <w:color w:val="auto"/>
              </w:rPr>
              <w:t>—</w:t>
            </w:r>
          </w:p>
        </w:tc>
        <w:tc>
          <w:tcPr>
            <w:tcW w:w="1440" w:type="dxa"/>
            <w:vAlign w:val="bottom"/>
          </w:tcPr>
          <w:p>
            <w:pPr>
              <w:jc w:val="right"/>
              <w:ind w:right="13"/>
              <w:spacing w:after="0"/>
              <w:rPr>
                <w:sz w:val="20"/>
                <w:szCs w:val="20"/>
                <w:color w:val="auto"/>
              </w:rPr>
            </w:pPr>
            <w:r>
              <w:rPr>
                <w:rFonts w:ascii="Verdana" w:cs="Verdana" w:eastAsia="Verdana" w:hAnsi="Verdana"/>
                <w:sz w:val="13"/>
                <w:szCs w:val="13"/>
                <w:color w:val="auto"/>
              </w:rPr>
              <w:t>412,960</w:t>
            </w:r>
          </w:p>
        </w:tc>
        <w:tc>
          <w:tcPr>
            <w:tcW w:w="164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1580" w:type="dxa"/>
            <w:vAlign w:val="bottom"/>
          </w:tcPr>
          <w:p>
            <w:pPr>
              <w:jc w:val="right"/>
              <w:ind w:right="73"/>
              <w:spacing w:after="0"/>
              <w:rPr>
                <w:sz w:val="20"/>
                <w:szCs w:val="20"/>
                <w:color w:val="auto"/>
              </w:rPr>
            </w:pPr>
            <w:r>
              <w:rPr>
                <w:rFonts w:ascii="Verdana" w:cs="Verdana" w:eastAsia="Verdana" w:hAnsi="Verdana"/>
                <w:sz w:val="13"/>
                <w:szCs w:val="13"/>
                <w:color w:val="auto"/>
              </w:rPr>
              <w:t>192,704</w:t>
            </w:r>
          </w:p>
        </w:tc>
        <w:tc>
          <w:tcPr>
            <w:tcW w:w="1400" w:type="dxa"/>
            <w:vAlign w:val="bottom"/>
          </w:tcPr>
          <w:p>
            <w:pPr>
              <w:jc w:val="right"/>
              <w:ind w:right="13"/>
              <w:spacing w:after="0"/>
              <w:rPr>
                <w:sz w:val="20"/>
                <w:szCs w:val="20"/>
                <w:color w:val="auto"/>
              </w:rPr>
            </w:pPr>
            <w:r>
              <w:rPr>
                <w:rFonts w:ascii="Verdana" w:cs="Verdana" w:eastAsia="Verdana" w:hAnsi="Verdana"/>
                <w:sz w:val="13"/>
                <w:szCs w:val="13"/>
                <w:color w:val="auto"/>
              </w:rPr>
              <w:t>2,818,262</w:t>
            </w:r>
          </w:p>
        </w:tc>
        <w:tc>
          <w:tcPr>
            <w:tcW w:w="0" w:type="dxa"/>
            <w:vAlign w:val="bottom"/>
          </w:tcPr>
          <w:p>
            <w:pPr>
              <w:spacing w:after="0"/>
              <w:rPr>
                <w:sz w:val="1"/>
                <w:szCs w:val="1"/>
                <w:color w:val="auto"/>
              </w:rPr>
            </w:pPr>
          </w:p>
        </w:tc>
      </w:tr>
      <w:tr>
        <w:trPr>
          <w:trHeight w:val="33"/>
        </w:trPr>
        <w:tc>
          <w:tcPr>
            <w:tcW w:w="680" w:type="dxa"/>
            <w:vAlign w:val="bottom"/>
            <w:tcBorders>
              <w:bottom w:val="single" w:sz="8" w:color="696158"/>
            </w:tcBorders>
          </w:tcPr>
          <w:p>
            <w:pPr>
              <w:spacing w:after="0"/>
              <w:rPr>
                <w:sz w:val="2"/>
                <w:szCs w:val="2"/>
                <w:color w:val="auto"/>
              </w:rPr>
            </w:pPr>
          </w:p>
        </w:tc>
        <w:tc>
          <w:tcPr>
            <w:tcW w:w="10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1280" w:type="dxa"/>
            <w:vAlign w:val="bottom"/>
            <w:tcBorders>
              <w:bottom w:val="single" w:sz="8" w:color="696158"/>
            </w:tcBorders>
          </w:tcPr>
          <w:p>
            <w:pPr>
              <w:spacing w:after="0"/>
              <w:rPr>
                <w:sz w:val="2"/>
                <w:szCs w:val="2"/>
                <w:color w:val="auto"/>
              </w:rPr>
            </w:pPr>
          </w:p>
        </w:tc>
        <w:tc>
          <w:tcPr>
            <w:tcW w:w="92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c>
          <w:tcPr>
            <w:tcW w:w="1640" w:type="dxa"/>
            <w:vAlign w:val="bottom"/>
            <w:tcBorders>
              <w:bottom w:val="single" w:sz="8" w:color="696158"/>
            </w:tcBorders>
          </w:tcPr>
          <w:p>
            <w:pPr>
              <w:spacing w:after="0"/>
              <w:rPr>
                <w:sz w:val="2"/>
                <w:szCs w:val="2"/>
                <w:color w:val="auto"/>
              </w:rPr>
            </w:pPr>
          </w:p>
        </w:tc>
        <w:tc>
          <w:tcPr>
            <w:tcW w:w="1580" w:type="dxa"/>
            <w:vAlign w:val="bottom"/>
            <w:tcBorders>
              <w:bottom w:val="single" w:sz="8" w:color="696158"/>
            </w:tcBorders>
          </w:tcPr>
          <w:p>
            <w:pPr>
              <w:spacing w:after="0"/>
              <w:rPr>
                <w:sz w:val="2"/>
                <w:szCs w:val="2"/>
                <w:color w:val="auto"/>
              </w:rPr>
            </w:pPr>
          </w:p>
        </w:tc>
        <w:tc>
          <w:tcPr>
            <w:tcW w:w="140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100" w:hanging="332"/>
        <w:spacing w:after="0" w:line="242" w:lineRule="auto"/>
        <w:tabs>
          <w:tab w:leader="none" w:pos="332" w:val="left"/>
        </w:tabs>
        <w:numPr>
          <w:ilvl w:val="0"/>
          <w:numId w:val="89"/>
        </w:numPr>
        <w:rPr>
          <w:rFonts w:ascii="Verdana" w:cs="Verdana" w:eastAsia="Verdana" w:hAnsi="Verdana"/>
          <w:sz w:val="13"/>
          <w:szCs w:val="13"/>
          <w:color w:val="auto"/>
        </w:rPr>
      </w:pPr>
      <w:r>
        <w:rPr>
          <w:rFonts w:ascii="Verdana" w:cs="Verdana" w:eastAsia="Verdana" w:hAnsi="Verdana"/>
          <w:sz w:val="14"/>
          <w:szCs w:val="14"/>
          <w:color w:val="auto"/>
        </w:rPr>
        <w:t>For each NEO, information is included for the year(s) they were an NEO. Mr. Esposito, who previously served as our Senior Vice President and President of our E-Systems business, ceased serving as an executive officer on May 16, 2024, when he became our Senior Vice President, IDEA by Lear. The 2024 amounts reported for him include the total compensation he received both as an executive officer and as a non-executive officer. The 2024 amounts reported in the "Salary" column include the base salary increases effective September 1, 2024.</w:t>
      </w:r>
    </w:p>
    <w:p>
      <w:pPr>
        <w:spacing w:after="0" w:line="2" w:lineRule="exact"/>
        <w:rPr>
          <w:rFonts w:ascii="Verdana" w:cs="Verdana" w:eastAsia="Verdana" w:hAnsi="Verdana"/>
          <w:sz w:val="13"/>
          <w:szCs w:val="13"/>
          <w:color w:val="auto"/>
        </w:rPr>
      </w:pPr>
    </w:p>
    <w:p>
      <w:pPr>
        <w:ind w:left="340" w:hanging="332"/>
        <w:spacing w:after="0" w:line="245" w:lineRule="auto"/>
        <w:tabs>
          <w:tab w:leader="none" w:pos="332" w:val="left"/>
        </w:tabs>
        <w:numPr>
          <w:ilvl w:val="0"/>
          <w:numId w:val="89"/>
        </w:numPr>
        <w:rPr>
          <w:rFonts w:ascii="Verdana" w:cs="Verdana" w:eastAsia="Verdana" w:hAnsi="Verdana"/>
          <w:sz w:val="13"/>
          <w:szCs w:val="13"/>
          <w:color w:val="auto"/>
        </w:rPr>
      </w:pPr>
      <w:r>
        <w:rPr>
          <w:rFonts w:ascii="Verdana" w:cs="Verdana" w:eastAsia="Verdana" w:hAnsi="Verdana"/>
          <w:sz w:val="14"/>
          <w:szCs w:val="14"/>
          <w:color w:val="auto"/>
        </w:rPr>
        <w:t>The amounts reported for 2024 reflect the aggregate value of Career Shares, RSUs and Performance Shares under the LTI awarded in the year. The 2024 values by award type are shown below. The grant date fair value of the Career Shares and RSUs has been determined in accordance with ASC 718, "Compensation - Stock Compensation." The award date value of Performance Shares is based on the probable outcome of the performance conditions and is consistent with the estimate of aggregate compensation cost to be recognized over the service period determined as of the award date, excluding the effect of estimated forfeitures. For purposes of the Summary Compensation Table, we have assumed that the probable outcome of the performance conditions would result in the award vesting at target and the best estimate available for the aggregate compensation cost to be recognized over the service period as of the award date would reflect the value of each performance share at the Company's stock price on the award date. There can be no assurance that these values will ever be realized. See Note 12, "Stock-Based Compensation," to the Company's consolidated financial statements in our 2024 Annual Report on Form 10-K for more information related to determining these values.</w:t>
      </w:r>
    </w:p>
    <w:p>
      <w:pPr>
        <w:spacing w:after="0" w:line="200" w:lineRule="exact"/>
        <w:rPr>
          <w:sz w:val="20"/>
          <w:szCs w:val="20"/>
          <w:color w:val="auto"/>
        </w:rPr>
      </w:pPr>
    </w:p>
    <w:p>
      <w:pPr>
        <w:spacing w:after="0" w:line="334" w:lineRule="exact"/>
        <w:rPr>
          <w:sz w:val="20"/>
          <w:szCs w:val="20"/>
          <w:color w:val="auto"/>
        </w:rPr>
      </w:pPr>
    </w:p>
    <w:p>
      <w:pPr>
        <w:ind w:left="560" w:hanging="534"/>
        <w:spacing w:after="0"/>
        <w:tabs>
          <w:tab w:leader="none" w:pos="560" w:val="left"/>
        </w:tabs>
        <w:numPr>
          <w:ilvl w:val="0"/>
          <w:numId w:val="90"/>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8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288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00" w:type="dxa"/>
            <w:vAlign w:val="bottom"/>
            <w:tcBorders>
              <w:top w:val="single" w:sz="8" w:color="696158"/>
            </w:tcBorders>
          </w:tcPr>
          <w:p>
            <w:pPr>
              <w:spacing w:after="0"/>
              <w:rPr>
                <w:sz w:val="14"/>
                <w:szCs w:val="14"/>
                <w:color w:val="auto"/>
              </w:rPr>
            </w:pPr>
          </w:p>
        </w:tc>
        <w:tc>
          <w:tcPr>
            <w:tcW w:w="1140" w:type="dxa"/>
            <w:vAlign w:val="bottom"/>
            <w:tcBorders>
              <w:top w:val="single" w:sz="8" w:color="696158"/>
            </w:tcBorders>
          </w:tcPr>
          <w:p>
            <w:pPr>
              <w:spacing w:after="0"/>
              <w:rPr>
                <w:sz w:val="14"/>
                <w:szCs w:val="14"/>
                <w:color w:val="auto"/>
              </w:rPr>
            </w:pPr>
          </w:p>
        </w:tc>
        <w:tc>
          <w:tcPr>
            <w:tcW w:w="1000" w:type="dxa"/>
            <w:vAlign w:val="bottom"/>
            <w:tcBorders>
              <w:top w:val="single" w:sz="8" w:color="696158"/>
            </w:tcBorders>
          </w:tcPr>
          <w:p>
            <w:pPr>
              <w:spacing w:after="0"/>
              <w:rPr>
                <w:sz w:val="14"/>
                <w:szCs w:val="14"/>
                <w:color w:val="auto"/>
              </w:rPr>
            </w:pPr>
          </w:p>
        </w:tc>
        <w:tc>
          <w:tcPr>
            <w:tcW w:w="1020" w:type="dxa"/>
            <w:vAlign w:val="bottom"/>
            <w:tcBorders>
              <w:top w:val="single" w:sz="8" w:color="696158"/>
            </w:tcBorders>
          </w:tcPr>
          <w:p>
            <w:pPr>
              <w:spacing w:after="0"/>
              <w:rPr>
                <w:sz w:val="14"/>
                <w:szCs w:val="14"/>
                <w:color w:val="auto"/>
              </w:rPr>
            </w:pPr>
          </w:p>
        </w:tc>
        <w:tc>
          <w:tcPr>
            <w:tcW w:w="1080" w:type="dxa"/>
            <w:vAlign w:val="bottom"/>
            <w:tcBorders>
              <w:top w:val="single" w:sz="8" w:color="696158"/>
            </w:tcBorders>
          </w:tcPr>
          <w:p>
            <w:pPr>
              <w:jc w:val="right"/>
              <w:ind w:right="366"/>
              <w:spacing w:after="0"/>
              <w:rPr>
                <w:sz w:val="20"/>
                <w:szCs w:val="20"/>
                <w:color w:val="auto"/>
              </w:rPr>
            </w:pPr>
            <w:r>
              <w:rPr>
                <w:rFonts w:ascii="Verdana" w:cs="Verdana" w:eastAsia="Verdana" w:hAnsi="Verdana"/>
                <w:sz w:val="11"/>
                <w:szCs w:val="11"/>
                <w:b w:val="1"/>
                <w:bCs w:val="1"/>
                <w:color w:val="307FE2"/>
              </w:rPr>
              <w:t>2024</w:t>
            </w:r>
          </w:p>
        </w:tc>
        <w:tc>
          <w:tcPr>
            <w:tcW w:w="960" w:type="dxa"/>
            <w:vAlign w:val="bottom"/>
            <w:tcBorders>
              <w:top w:val="single" w:sz="8" w:color="696158"/>
            </w:tcBorders>
          </w:tcPr>
          <w:p>
            <w:pPr>
              <w:spacing w:after="0"/>
              <w:rPr>
                <w:sz w:val="14"/>
                <w:szCs w:val="14"/>
                <w:color w:val="auto"/>
              </w:rPr>
            </w:pPr>
          </w:p>
        </w:tc>
        <w:tc>
          <w:tcPr>
            <w:tcW w:w="1060" w:type="dxa"/>
            <w:vAlign w:val="bottom"/>
            <w:tcBorders>
              <w:top w:val="single" w:sz="8" w:color="696158"/>
            </w:tcBorders>
          </w:tcPr>
          <w:p>
            <w:pPr>
              <w:spacing w:after="0"/>
              <w:rPr>
                <w:sz w:val="14"/>
                <w:szCs w:val="14"/>
                <w:color w:val="auto"/>
              </w:rPr>
            </w:pPr>
          </w:p>
        </w:tc>
      </w:tr>
      <w:tr>
        <w:trPr>
          <w:trHeight w:val="122"/>
        </w:trPr>
        <w:tc>
          <w:tcPr>
            <w:tcW w:w="120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7"/>
              </w:rPr>
              <w:t>Career</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jc w:val="center"/>
              <w:ind w:right="26"/>
              <w:spacing w:after="0" w:line="122" w:lineRule="exact"/>
              <w:rPr>
                <w:sz w:val="20"/>
                <w:szCs w:val="20"/>
                <w:color w:val="auto"/>
              </w:rPr>
            </w:pPr>
            <w:r>
              <w:rPr>
                <w:rFonts w:ascii="Verdana" w:cs="Verdana" w:eastAsia="Verdana" w:hAnsi="Verdana"/>
                <w:sz w:val="11"/>
                <w:szCs w:val="11"/>
                <w:b w:val="1"/>
                <w:bCs w:val="1"/>
                <w:color w:val="307FE2"/>
                <w:w w:val="95"/>
              </w:rPr>
              <w:t>Performance</w:t>
            </w:r>
          </w:p>
        </w:tc>
        <w:tc>
          <w:tcPr>
            <w:tcW w:w="960" w:type="dxa"/>
            <w:vAlign w:val="bottom"/>
          </w:tcPr>
          <w:p>
            <w:pPr>
              <w:spacing w:after="0"/>
              <w:rPr>
                <w:sz w:val="10"/>
                <w:szCs w:val="10"/>
                <w:color w:val="auto"/>
              </w:rPr>
            </w:pPr>
          </w:p>
        </w:tc>
        <w:tc>
          <w:tcPr>
            <w:tcW w:w="1060" w:type="dxa"/>
            <w:vAlign w:val="bottom"/>
          </w:tcPr>
          <w:p>
            <w:pPr>
              <w:jc w:val="right"/>
              <w:ind w:right="306"/>
              <w:spacing w:after="0" w:line="122" w:lineRule="exact"/>
              <w:rPr>
                <w:sz w:val="20"/>
                <w:szCs w:val="20"/>
                <w:color w:val="auto"/>
              </w:rPr>
            </w:pPr>
            <w:r>
              <w:rPr>
                <w:rFonts w:ascii="Verdana" w:cs="Verdana" w:eastAsia="Verdana" w:hAnsi="Verdana"/>
                <w:sz w:val="11"/>
                <w:szCs w:val="11"/>
                <w:b w:val="1"/>
                <w:bCs w:val="1"/>
                <w:color w:val="307FE2"/>
              </w:rPr>
              <w:t>2024</w:t>
            </w:r>
          </w:p>
        </w:tc>
      </w:tr>
      <w:tr>
        <w:trPr>
          <w:trHeight w:val="135"/>
        </w:trPr>
        <w:tc>
          <w:tcPr>
            <w:tcW w:w="120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Verdana" w:cs="Verdana" w:eastAsia="Verdana" w:hAnsi="Verdana"/>
                <w:sz w:val="11"/>
                <w:szCs w:val="11"/>
                <w:b w:val="1"/>
                <w:bCs w:val="1"/>
                <w:color w:val="307FE2"/>
              </w:rPr>
              <w:t>Share</w:t>
            </w:r>
          </w:p>
        </w:tc>
        <w:tc>
          <w:tcPr>
            <w:tcW w:w="1000" w:type="dxa"/>
            <w:vAlign w:val="bottom"/>
          </w:tcPr>
          <w:p>
            <w:pPr>
              <w:spacing w:after="0"/>
              <w:rPr>
                <w:sz w:val="11"/>
                <w:szCs w:val="11"/>
                <w:color w:val="auto"/>
              </w:rPr>
            </w:pPr>
          </w:p>
        </w:tc>
        <w:tc>
          <w:tcPr>
            <w:tcW w:w="1020" w:type="dxa"/>
            <w:vAlign w:val="bottom"/>
          </w:tcPr>
          <w:p>
            <w:pPr>
              <w:jc w:val="center"/>
              <w:ind w:right="6"/>
              <w:spacing w:after="0"/>
              <w:rPr>
                <w:sz w:val="20"/>
                <w:szCs w:val="20"/>
                <w:color w:val="auto"/>
              </w:rPr>
            </w:pPr>
            <w:r>
              <w:rPr>
                <w:rFonts w:ascii="Verdana" w:cs="Verdana" w:eastAsia="Verdana" w:hAnsi="Verdana"/>
                <w:sz w:val="11"/>
                <w:szCs w:val="11"/>
                <w:b w:val="1"/>
                <w:bCs w:val="1"/>
                <w:color w:val="307FE2"/>
                <w:w w:val="98"/>
              </w:rPr>
              <w:t>Special RSU</w:t>
            </w:r>
          </w:p>
        </w:tc>
        <w:tc>
          <w:tcPr>
            <w:tcW w:w="1080" w:type="dxa"/>
            <w:vAlign w:val="bottom"/>
          </w:tcPr>
          <w:p>
            <w:pPr>
              <w:jc w:val="center"/>
              <w:ind w:right="26"/>
              <w:spacing w:after="0"/>
              <w:rPr>
                <w:sz w:val="20"/>
                <w:szCs w:val="20"/>
                <w:color w:val="auto"/>
              </w:rPr>
            </w:pPr>
            <w:r>
              <w:rPr>
                <w:rFonts w:ascii="Verdana" w:cs="Verdana" w:eastAsia="Verdana" w:hAnsi="Verdana"/>
                <w:sz w:val="11"/>
                <w:szCs w:val="11"/>
                <w:b w:val="1"/>
                <w:bCs w:val="1"/>
                <w:color w:val="307FE2"/>
                <w:w w:val="97"/>
              </w:rPr>
              <w:t>Shares Award</w:t>
            </w:r>
          </w:p>
        </w:tc>
        <w:tc>
          <w:tcPr>
            <w:tcW w:w="96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Performance</w:t>
            </w:r>
          </w:p>
        </w:tc>
      </w:tr>
      <w:tr>
        <w:trPr>
          <w:trHeight w:val="122"/>
        </w:trPr>
        <w:tc>
          <w:tcPr>
            <w:tcW w:w="120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rPr>
              <w:t>RSU Grant</w:t>
            </w:r>
          </w:p>
        </w:tc>
        <w:tc>
          <w:tcPr>
            <w:tcW w:w="1000" w:type="dxa"/>
            <w:vAlign w:val="bottom"/>
          </w:tcPr>
          <w:p>
            <w:pPr>
              <w:jc w:val="center"/>
              <w:ind w:right="46"/>
              <w:spacing w:after="0" w:line="122" w:lineRule="exact"/>
              <w:rPr>
                <w:sz w:val="20"/>
                <w:szCs w:val="20"/>
                <w:color w:val="auto"/>
              </w:rPr>
            </w:pPr>
            <w:r>
              <w:rPr>
                <w:rFonts w:ascii="Verdana" w:cs="Verdana" w:eastAsia="Verdana" w:hAnsi="Verdana"/>
                <w:sz w:val="11"/>
                <w:szCs w:val="11"/>
                <w:b w:val="1"/>
                <w:bCs w:val="1"/>
                <w:color w:val="307FE2"/>
                <w:w w:val="97"/>
              </w:rPr>
              <w:t>RSU Grant</w:t>
            </w:r>
          </w:p>
        </w:tc>
        <w:tc>
          <w:tcPr>
            <w:tcW w:w="1020" w:type="dxa"/>
            <w:vAlign w:val="bottom"/>
          </w:tcPr>
          <w:p>
            <w:pPr>
              <w:jc w:val="center"/>
              <w:ind w:right="26"/>
              <w:spacing w:after="0" w:line="122" w:lineRule="exact"/>
              <w:rPr>
                <w:sz w:val="20"/>
                <w:szCs w:val="20"/>
                <w:color w:val="auto"/>
              </w:rPr>
            </w:pPr>
            <w:r>
              <w:rPr>
                <w:rFonts w:ascii="Verdana" w:cs="Verdana" w:eastAsia="Verdana" w:hAnsi="Verdana"/>
                <w:sz w:val="11"/>
                <w:szCs w:val="11"/>
                <w:b w:val="1"/>
                <w:bCs w:val="1"/>
                <w:color w:val="307FE2"/>
                <w:w w:val="97"/>
              </w:rPr>
              <w:t>Grant</w:t>
            </w:r>
          </w:p>
        </w:tc>
        <w:tc>
          <w:tcPr>
            <w:tcW w:w="1080" w:type="dxa"/>
            <w:vAlign w:val="bottom"/>
          </w:tcPr>
          <w:p>
            <w:pPr>
              <w:jc w:val="center"/>
              <w:ind w:right="46"/>
              <w:spacing w:after="0" w:line="122" w:lineRule="exact"/>
              <w:rPr>
                <w:sz w:val="20"/>
                <w:szCs w:val="20"/>
                <w:color w:val="auto"/>
              </w:rPr>
            </w:pPr>
            <w:r>
              <w:rPr>
                <w:rFonts w:ascii="Verdana" w:cs="Verdana" w:eastAsia="Verdana" w:hAnsi="Verdana"/>
                <w:sz w:val="11"/>
                <w:szCs w:val="11"/>
                <w:b w:val="1"/>
                <w:bCs w:val="1"/>
                <w:color w:val="307FE2"/>
                <w:w w:val="97"/>
              </w:rPr>
              <w:t>Grant</w:t>
            </w:r>
          </w:p>
        </w:tc>
        <w:tc>
          <w:tcPr>
            <w:tcW w:w="96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7"/>
              </w:rPr>
              <w:t>Total Grant</w:t>
            </w:r>
          </w:p>
        </w:tc>
        <w:tc>
          <w:tcPr>
            <w:tcW w:w="106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5"/>
              </w:rPr>
              <w:t>Shares at</w:t>
            </w:r>
          </w:p>
        </w:tc>
      </w:tr>
      <w:tr>
        <w:trPr>
          <w:trHeight w:val="134"/>
        </w:trPr>
        <w:tc>
          <w:tcPr>
            <w:tcW w:w="120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Date Value</w:t>
            </w:r>
          </w:p>
        </w:tc>
        <w:tc>
          <w:tcPr>
            <w:tcW w:w="1000" w:type="dxa"/>
            <w:vAlign w:val="bottom"/>
          </w:tcPr>
          <w:p>
            <w:pPr>
              <w:jc w:val="center"/>
              <w:ind w:right="46"/>
              <w:spacing w:after="0"/>
              <w:rPr>
                <w:sz w:val="20"/>
                <w:szCs w:val="20"/>
                <w:color w:val="auto"/>
              </w:rPr>
            </w:pPr>
            <w:r>
              <w:rPr>
                <w:rFonts w:ascii="Verdana" w:cs="Verdana" w:eastAsia="Verdana" w:hAnsi="Verdana"/>
                <w:sz w:val="11"/>
                <w:szCs w:val="11"/>
                <w:b w:val="1"/>
                <w:bCs w:val="1"/>
                <w:color w:val="307FE2"/>
                <w:w w:val="98"/>
              </w:rPr>
              <w:t>Date Value</w:t>
            </w:r>
          </w:p>
        </w:tc>
        <w:tc>
          <w:tcPr>
            <w:tcW w:w="1020" w:type="dxa"/>
            <w:vAlign w:val="bottom"/>
          </w:tcPr>
          <w:p>
            <w:pPr>
              <w:jc w:val="center"/>
              <w:ind w:right="26"/>
              <w:spacing w:after="0"/>
              <w:rPr>
                <w:sz w:val="20"/>
                <w:szCs w:val="20"/>
                <w:color w:val="auto"/>
              </w:rPr>
            </w:pPr>
            <w:r>
              <w:rPr>
                <w:rFonts w:ascii="Verdana" w:cs="Verdana" w:eastAsia="Verdana" w:hAnsi="Verdana"/>
                <w:sz w:val="11"/>
                <w:szCs w:val="11"/>
                <w:b w:val="1"/>
                <w:bCs w:val="1"/>
                <w:color w:val="307FE2"/>
                <w:w w:val="98"/>
              </w:rPr>
              <w:t>Date Value</w:t>
            </w:r>
          </w:p>
        </w:tc>
        <w:tc>
          <w:tcPr>
            <w:tcW w:w="1080" w:type="dxa"/>
            <w:vAlign w:val="bottom"/>
          </w:tcPr>
          <w:p>
            <w:pPr>
              <w:jc w:val="center"/>
              <w:ind w:right="46"/>
              <w:spacing w:after="0"/>
              <w:rPr>
                <w:sz w:val="20"/>
                <w:szCs w:val="20"/>
                <w:color w:val="auto"/>
              </w:rPr>
            </w:pPr>
            <w:r>
              <w:rPr>
                <w:rFonts w:ascii="Verdana" w:cs="Verdana" w:eastAsia="Verdana" w:hAnsi="Verdana"/>
                <w:sz w:val="11"/>
                <w:szCs w:val="11"/>
                <w:b w:val="1"/>
                <w:bCs w:val="1"/>
                <w:color w:val="307FE2"/>
                <w:w w:val="98"/>
              </w:rPr>
              <w:t>Date Value</w:t>
            </w:r>
          </w:p>
        </w:tc>
        <w:tc>
          <w:tcPr>
            <w:tcW w:w="960" w:type="dxa"/>
            <w:vAlign w:val="bottom"/>
          </w:tcPr>
          <w:p>
            <w:pPr>
              <w:jc w:val="center"/>
              <w:ind w:right="6"/>
              <w:spacing w:after="0"/>
              <w:rPr>
                <w:sz w:val="20"/>
                <w:szCs w:val="20"/>
                <w:color w:val="auto"/>
              </w:rPr>
            </w:pPr>
            <w:r>
              <w:rPr>
                <w:rFonts w:ascii="Verdana" w:cs="Verdana" w:eastAsia="Verdana" w:hAnsi="Verdana"/>
                <w:sz w:val="11"/>
                <w:szCs w:val="11"/>
                <w:b w:val="1"/>
                <w:bCs w:val="1"/>
                <w:color w:val="307FE2"/>
                <w:w w:val="98"/>
              </w:rPr>
              <w:t>Date Value</w:t>
            </w:r>
          </w:p>
        </w:tc>
        <w:tc>
          <w:tcPr>
            <w:tcW w:w="1060" w:type="dxa"/>
            <w:vAlign w:val="bottom"/>
          </w:tcPr>
          <w:p>
            <w:pPr>
              <w:jc w:val="center"/>
              <w:spacing w:after="0"/>
              <w:rPr>
                <w:sz w:val="20"/>
                <w:szCs w:val="20"/>
                <w:color w:val="auto"/>
              </w:rPr>
            </w:pPr>
            <w:r>
              <w:rPr>
                <w:rFonts w:ascii="Verdana" w:cs="Verdana" w:eastAsia="Verdana" w:hAnsi="Verdana"/>
                <w:sz w:val="11"/>
                <w:szCs w:val="11"/>
                <w:b w:val="1"/>
                <w:bCs w:val="1"/>
                <w:color w:val="307FE2"/>
                <w:w w:val="97"/>
              </w:rPr>
              <w:t>Maximum Value</w:t>
            </w:r>
          </w:p>
        </w:tc>
      </w:tr>
      <w:tr>
        <w:trPr>
          <w:trHeight w:val="154"/>
        </w:trPr>
        <w:tc>
          <w:tcPr>
            <w:tcW w:w="1200" w:type="dxa"/>
            <w:vAlign w:val="bottom"/>
          </w:tcPr>
          <w:p>
            <w:pPr>
              <w:ind w:left="20"/>
              <w:spacing w:after="0"/>
              <w:rPr>
                <w:sz w:val="20"/>
                <w:szCs w:val="20"/>
                <w:color w:val="auto"/>
              </w:rPr>
            </w:pPr>
            <w:r>
              <w:rPr>
                <w:rFonts w:ascii="Verdana" w:cs="Verdana" w:eastAsia="Verdana" w:hAnsi="Verdana"/>
                <w:sz w:val="11"/>
                <w:szCs w:val="11"/>
                <w:b w:val="1"/>
                <w:bCs w:val="1"/>
                <w:color w:val="307FE2"/>
              </w:rPr>
              <w:t>Name</w:t>
            </w:r>
          </w:p>
        </w:tc>
        <w:tc>
          <w:tcPr>
            <w:tcW w:w="114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000" w:type="dxa"/>
            <w:vAlign w:val="bottom"/>
          </w:tcPr>
          <w:p>
            <w:pPr>
              <w:jc w:val="center"/>
              <w:ind w:right="66"/>
              <w:spacing w:after="0"/>
              <w:rPr>
                <w:sz w:val="20"/>
                <w:szCs w:val="20"/>
                <w:color w:val="auto"/>
              </w:rPr>
            </w:pPr>
            <w:r>
              <w:rPr>
                <w:rFonts w:ascii="Verdana" w:cs="Verdana" w:eastAsia="Verdana" w:hAnsi="Verdana"/>
                <w:sz w:val="11"/>
                <w:szCs w:val="11"/>
                <w:b w:val="1"/>
                <w:bCs w:val="1"/>
                <w:color w:val="307FE2"/>
              </w:rPr>
              <w:t>($)</w:t>
            </w:r>
          </w:p>
        </w:tc>
        <w:tc>
          <w:tcPr>
            <w:tcW w:w="1020" w:type="dxa"/>
            <w:vAlign w:val="bottom"/>
          </w:tcPr>
          <w:p>
            <w:pPr>
              <w:jc w:val="center"/>
              <w:ind w:right="6"/>
              <w:spacing w:after="0"/>
              <w:rPr>
                <w:sz w:val="20"/>
                <w:szCs w:val="20"/>
                <w:color w:val="auto"/>
              </w:rPr>
            </w:pPr>
            <w:r>
              <w:rPr>
                <w:rFonts w:ascii="Verdana" w:cs="Verdana" w:eastAsia="Verdana" w:hAnsi="Verdana"/>
                <w:sz w:val="11"/>
                <w:szCs w:val="11"/>
                <w:b w:val="1"/>
                <w:bCs w:val="1"/>
                <w:color w:val="307FE2"/>
              </w:rPr>
              <w:t>($)</w:t>
            </w:r>
          </w:p>
        </w:tc>
        <w:tc>
          <w:tcPr>
            <w:tcW w:w="1080" w:type="dxa"/>
            <w:vAlign w:val="bottom"/>
          </w:tcPr>
          <w:p>
            <w:pPr>
              <w:jc w:val="right"/>
              <w:ind w:right="426"/>
              <w:spacing w:after="0"/>
              <w:rPr>
                <w:sz w:val="20"/>
                <w:szCs w:val="20"/>
                <w:color w:val="auto"/>
              </w:rPr>
            </w:pPr>
            <w:r>
              <w:rPr>
                <w:rFonts w:ascii="Verdana" w:cs="Verdana" w:eastAsia="Verdana" w:hAnsi="Verdana"/>
                <w:sz w:val="11"/>
                <w:szCs w:val="11"/>
                <w:b w:val="1"/>
                <w:bCs w:val="1"/>
                <w:color w:val="307FE2"/>
              </w:rPr>
              <w:t>($)</w:t>
            </w:r>
          </w:p>
        </w:tc>
        <w:tc>
          <w:tcPr>
            <w:tcW w:w="96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060" w:type="dxa"/>
            <w:vAlign w:val="bottom"/>
          </w:tcPr>
          <w:p>
            <w:pPr>
              <w:jc w:val="right"/>
              <w:ind w:right="366"/>
              <w:spacing w:after="0"/>
              <w:rPr>
                <w:sz w:val="20"/>
                <w:szCs w:val="20"/>
                <w:color w:val="auto"/>
              </w:rPr>
            </w:pPr>
            <w:r>
              <w:rPr>
                <w:rFonts w:ascii="Verdana" w:cs="Verdana" w:eastAsia="Verdana" w:hAnsi="Verdana"/>
                <w:sz w:val="11"/>
                <w:szCs w:val="11"/>
                <w:b w:val="1"/>
                <w:bCs w:val="1"/>
                <w:color w:val="307FE2"/>
              </w:rPr>
              <w:t>($)</w:t>
            </w:r>
          </w:p>
        </w:tc>
      </w:tr>
      <w:tr>
        <w:trPr>
          <w:trHeight w:val="22"/>
        </w:trPr>
        <w:tc>
          <w:tcPr>
            <w:tcW w:w="1200" w:type="dxa"/>
            <w:vAlign w:val="bottom"/>
            <w:tcBorders>
              <w:bottom w:val="single" w:sz="8" w:color="1D428A"/>
            </w:tcBorders>
          </w:tcPr>
          <w:p>
            <w:pPr>
              <w:spacing w:after="0" w:line="20" w:lineRule="exact"/>
              <w:rPr>
                <w:sz w:val="1"/>
                <w:szCs w:val="1"/>
                <w:color w:val="auto"/>
              </w:rPr>
            </w:pPr>
          </w:p>
        </w:tc>
        <w:tc>
          <w:tcPr>
            <w:tcW w:w="1140" w:type="dxa"/>
            <w:vAlign w:val="bottom"/>
            <w:tcBorders>
              <w:bottom w:val="single" w:sz="8" w:color="1D428A"/>
            </w:tcBorders>
          </w:tcPr>
          <w:p>
            <w:pPr>
              <w:spacing w:after="0" w:line="20" w:lineRule="exact"/>
              <w:rPr>
                <w:sz w:val="1"/>
                <w:szCs w:val="1"/>
                <w:color w:val="auto"/>
              </w:rPr>
            </w:pPr>
          </w:p>
        </w:tc>
        <w:tc>
          <w:tcPr>
            <w:tcW w:w="1000" w:type="dxa"/>
            <w:vAlign w:val="bottom"/>
            <w:tcBorders>
              <w:bottom w:val="single" w:sz="8" w:color="1D428A"/>
            </w:tcBorders>
          </w:tcPr>
          <w:p>
            <w:pPr>
              <w:spacing w:after="0" w:line="20" w:lineRule="exact"/>
              <w:rPr>
                <w:sz w:val="1"/>
                <w:szCs w:val="1"/>
                <w:color w:val="auto"/>
              </w:rPr>
            </w:pPr>
          </w:p>
        </w:tc>
        <w:tc>
          <w:tcPr>
            <w:tcW w:w="1020" w:type="dxa"/>
            <w:vAlign w:val="bottom"/>
            <w:tcBorders>
              <w:bottom w:val="single" w:sz="8" w:color="1D428A"/>
            </w:tcBorders>
          </w:tcPr>
          <w:p>
            <w:pPr>
              <w:spacing w:after="0" w:line="20" w:lineRule="exact"/>
              <w:rPr>
                <w:sz w:val="1"/>
                <w:szCs w:val="1"/>
                <w:color w:val="auto"/>
              </w:rPr>
            </w:pPr>
          </w:p>
        </w:tc>
        <w:tc>
          <w:tcPr>
            <w:tcW w:w="1080" w:type="dxa"/>
            <w:vAlign w:val="bottom"/>
            <w:tcBorders>
              <w:bottom w:val="single" w:sz="8" w:color="1D428A"/>
            </w:tcBorders>
          </w:tcPr>
          <w:p>
            <w:pPr>
              <w:spacing w:after="0" w:line="20" w:lineRule="exact"/>
              <w:rPr>
                <w:sz w:val="1"/>
                <w:szCs w:val="1"/>
                <w:color w:val="auto"/>
              </w:rPr>
            </w:pPr>
          </w:p>
        </w:tc>
        <w:tc>
          <w:tcPr>
            <w:tcW w:w="960" w:type="dxa"/>
            <w:vAlign w:val="bottom"/>
            <w:tcBorders>
              <w:bottom w:val="single" w:sz="8" w:color="1D428A"/>
            </w:tcBorders>
          </w:tcPr>
          <w:p>
            <w:pPr>
              <w:spacing w:after="0" w:line="20" w:lineRule="exact"/>
              <w:rPr>
                <w:sz w:val="1"/>
                <w:szCs w:val="1"/>
                <w:color w:val="auto"/>
              </w:rPr>
            </w:pPr>
          </w:p>
        </w:tc>
        <w:tc>
          <w:tcPr>
            <w:tcW w:w="1060" w:type="dxa"/>
            <w:vAlign w:val="bottom"/>
            <w:tcBorders>
              <w:bottom w:val="single" w:sz="8" w:color="1D428A"/>
            </w:tcBorders>
          </w:tcPr>
          <w:p>
            <w:pPr>
              <w:spacing w:after="0" w:line="20" w:lineRule="exact"/>
              <w:rPr>
                <w:sz w:val="1"/>
                <w:szCs w:val="1"/>
                <w:color w:val="auto"/>
              </w:rPr>
            </w:pPr>
          </w:p>
        </w:tc>
      </w:tr>
      <w:tr>
        <w:trPr>
          <w:trHeight w:val="147"/>
        </w:trPr>
        <w:tc>
          <w:tcPr>
            <w:tcW w:w="1200" w:type="dxa"/>
            <w:vAlign w:val="bottom"/>
          </w:tcPr>
          <w:p>
            <w:pPr>
              <w:ind w:left="20"/>
              <w:spacing w:after="0"/>
              <w:rPr>
                <w:sz w:val="20"/>
                <w:szCs w:val="20"/>
                <w:color w:val="auto"/>
              </w:rPr>
            </w:pPr>
            <w:r>
              <w:rPr>
                <w:rFonts w:ascii="Verdana" w:cs="Verdana" w:eastAsia="Verdana" w:hAnsi="Verdana"/>
                <w:sz w:val="11"/>
                <w:szCs w:val="11"/>
                <w:color w:val="auto"/>
              </w:rPr>
              <w:t>Raymond E. Scott</w:t>
            </w:r>
          </w:p>
        </w:tc>
        <w:tc>
          <w:tcPr>
            <w:tcW w:w="1140" w:type="dxa"/>
            <w:vAlign w:val="bottom"/>
          </w:tcPr>
          <w:p>
            <w:pPr>
              <w:jc w:val="right"/>
              <w:ind w:right="86"/>
              <w:spacing w:after="0"/>
              <w:rPr>
                <w:sz w:val="20"/>
                <w:szCs w:val="20"/>
                <w:color w:val="auto"/>
              </w:rPr>
            </w:pPr>
            <w:r>
              <w:rPr>
                <w:rFonts w:ascii="Verdana" w:cs="Verdana" w:eastAsia="Verdana" w:hAnsi="Verdana"/>
                <w:sz w:val="11"/>
                <w:szCs w:val="11"/>
                <w:color w:val="auto"/>
              </w:rPr>
              <w:t>849,993</w:t>
            </w:r>
          </w:p>
        </w:tc>
        <w:tc>
          <w:tcPr>
            <w:tcW w:w="1000" w:type="dxa"/>
            <w:vAlign w:val="bottom"/>
          </w:tcPr>
          <w:p>
            <w:pPr>
              <w:jc w:val="right"/>
              <w:ind w:right="46"/>
              <w:spacing w:after="0"/>
              <w:rPr>
                <w:sz w:val="20"/>
                <w:szCs w:val="20"/>
                <w:color w:val="auto"/>
              </w:rPr>
            </w:pPr>
            <w:r>
              <w:rPr>
                <w:rFonts w:ascii="Verdana" w:cs="Verdana" w:eastAsia="Verdana" w:hAnsi="Verdana"/>
                <w:sz w:val="11"/>
                <w:szCs w:val="11"/>
                <w:color w:val="auto"/>
              </w:rPr>
              <w:t>2,857,494</w:t>
            </w:r>
          </w:p>
        </w:tc>
        <w:tc>
          <w:tcPr>
            <w:tcW w:w="1020" w:type="dxa"/>
            <w:vAlign w:val="bottom"/>
          </w:tcPr>
          <w:p>
            <w:pPr>
              <w:jc w:val="right"/>
              <w:ind w:right="86"/>
              <w:spacing w:after="0"/>
              <w:rPr>
                <w:sz w:val="20"/>
                <w:szCs w:val="20"/>
                <w:color w:val="auto"/>
              </w:rPr>
            </w:pPr>
            <w:r>
              <w:rPr>
                <w:rFonts w:ascii="Verdana" w:cs="Verdana" w:eastAsia="Verdana" w:hAnsi="Verdana"/>
                <w:sz w:val="11"/>
                <w:szCs w:val="11"/>
                <w:color w:val="auto"/>
              </w:rPr>
              <w:t>—</w:t>
            </w:r>
          </w:p>
        </w:tc>
        <w:tc>
          <w:tcPr>
            <w:tcW w:w="1080" w:type="dxa"/>
            <w:vAlign w:val="bottom"/>
          </w:tcPr>
          <w:p>
            <w:pPr>
              <w:jc w:val="right"/>
              <w:ind w:right="66"/>
              <w:spacing w:after="0"/>
              <w:rPr>
                <w:sz w:val="20"/>
                <w:szCs w:val="20"/>
                <w:color w:val="auto"/>
              </w:rPr>
            </w:pPr>
            <w:r>
              <w:rPr>
                <w:rFonts w:ascii="Verdana" w:cs="Verdana" w:eastAsia="Verdana" w:hAnsi="Verdana"/>
                <w:sz w:val="11"/>
                <w:szCs w:val="11"/>
                <w:color w:val="auto"/>
              </w:rPr>
              <w:t>9,556,472</w:t>
            </w:r>
          </w:p>
        </w:tc>
        <w:tc>
          <w:tcPr>
            <w:tcW w:w="960" w:type="dxa"/>
            <w:vAlign w:val="bottom"/>
          </w:tcPr>
          <w:p>
            <w:pPr>
              <w:jc w:val="right"/>
              <w:spacing w:after="0"/>
              <w:rPr>
                <w:sz w:val="20"/>
                <w:szCs w:val="20"/>
                <w:color w:val="auto"/>
              </w:rPr>
            </w:pPr>
            <w:r>
              <w:rPr>
                <w:rFonts w:ascii="Verdana" w:cs="Verdana" w:eastAsia="Verdana" w:hAnsi="Verdana"/>
                <w:sz w:val="11"/>
                <w:szCs w:val="11"/>
                <w:color w:val="auto"/>
              </w:rPr>
              <w:t>13,263,959</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17,684,900</w:t>
            </w:r>
          </w:p>
        </w:tc>
      </w:tr>
      <w:tr>
        <w:trPr>
          <w:trHeight w:val="36"/>
        </w:trPr>
        <w:tc>
          <w:tcPr>
            <w:tcW w:w="120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000" w:type="dxa"/>
            <w:vAlign w:val="bottom"/>
            <w:tcBorders>
              <w:bottom w:val="single" w:sz="8" w:color="B3B0AC"/>
            </w:tcBorders>
          </w:tcPr>
          <w:p>
            <w:pPr>
              <w:spacing w:after="0"/>
              <w:rPr>
                <w:sz w:val="3"/>
                <w:szCs w:val="3"/>
                <w:color w:val="auto"/>
              </w:rPr>
            </w:pPr>
          </w:p>
        </w:tc>
        <w:tc>
          <w:tcPr>
            <w:tcW w:w="10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96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r>
      <w:tr>
        <w:trPr>
          <w:trHeight w:val="147"/>
        </w:trPr>
        <w:tc>
          <w:tcPr>
            <w:tcW w:w="1200" w:type="dxa"/>
            <w:vAlign w:val="bottom"/>
          </w:tcPr>
          <w:p>
            <w:pPr>
              <w:ind w:left="20"/>
              <w:spacing w:after="0"/>
              <w:rPr>
                <w:sz w:val="20"/>
                <w:szCs w:val="20"/>
                <w:color w:val="auto"/>
              </w:rPr>
            </w:pPr>
            <w:r>
              <w:rPr>
                <w:rFonts w:ascii="Verdana" w:cs="Verdana" w:eastAsia="Verdana" w:hAnsi="Verdana"/>
                <w:sz w:val="11"/>
                <w:szCs w:val="11"/>
                <w:color w:val="auto"/>
              </w:rPr>
              <w:t>Jason M. Cardew</w:t>
            </w:r>
          </w:p>
        </w:tc>
        <w:tc>
          <w:tcPr>
            <w:tcW w:w="1140" w:type="dxa"/>
            <w:vAlign w:val="bottom"/>
          </w:tcPr>
          <w:p>
            <w:pPr>
              <w:jc w:val="right"/>
              <w:ind w:right="86"/>
              <w:spacing w:after="0"/>
              <w:rPr>
                <w:sz w:val="20"/>
                <w:szCs w:val="20"/>
                <w:color w:val="auto"/>
              </w:rPr>
            </w:pPr>
            <w:r>
              <w:rPr>
                <w:rFonts w:ascii="Verdana" w:cs="Verdana" w:eastAsia="Verdana" w:hAnsi="Verdana"/>
                <w:sz w:val="11"/>
                <w:szCs w:val="11"/>
                <w:color w:val="auto"/>
              </w:rPr>
              <w:t>299,953</w:t>
            </w:r>
          </w:p>
        </w:tc>
        <w:tc>
          <w:tcPr>
            <w:tcW w:w="1000" w:type="dxa"/>
            <w:vAlign w:val="bottom"/>
          </w:tcPr>
          <w:p>
            <w:pPr>
              <w:jc w:val="right"/>
              <w:ind w:right="46"/>
              <w:spacing w:after="0"/>
              <w:rPr>
                <w:sz w:val="20"/>
                <w:szCs w:val="20"/>
                <w:color w:val="auto"/>
              </w:rPr>
            </w:pPr>
            <w:r>
              <w:rPr>
                <w:rFonts w:ascii="Verdana" w:cs="Verdana" w:eastAsia="Verdana" w:hAnsi="Verdana"/>
                <w:sz w:val="11"/>
                <w:szCs w:val="11"/>
                <w:color w:val="auto"/>
              </w:rPr>
              <w:t>1,019,895</w:t>
            </w:r>
          </w:p>
        </w:tc>
        <w:tc>
          <w:tcPr>
            <w:tcW w:w="1020" w:type="dxa"/>
            <w:vAlign w:val="bottom"/>
          </w:tcPr>
          <w:p>
            <w:pPr>
              <w:jc w:val="right"/>
              <w:ind w:right="26"/>
              <w:spacing w:after="0"/>
              <w:rPr>
                <w:sz w:val="20"/>
                <w:szCs w:val="20"/>
                <w:color w:val="auto"/>
              </w:rPr>
            </w:pPr>
            <w:r>
              <w:rPr>
                <w:rFonts w:ascii="Verdana" w:cs="Verdana" w:eastAsia="Verdana" w:hAnsi="Verdana"/>
                <w:sz w:val="11"/>
                <w:szCs w:val="11"/>
                <w:color w:val="auto"/>
              </w:rPr>
              <w:t>999,967</w:t>
            </w:r>
          </w:p>
        </w:tc>
        <w:tc>
          <w:tcPr>
            <w:tcW w:w="1080" w:type="dxa"/>
            <w:vAlign w:val="bottom"/>
          </w:tcPr>
          <w:p>
            <w:pPr>
              <w:jc w:val="right"/>
              <w:ind w:right="66"/>
              <w:spacing w:after="0"/>
              <w:rPr>
                <w:sz w:val="20"/>
                <w:szCs w:val="20"/>
                <w:color w:val="auto"/>
              </w:rPr>
            </w:pPr>
            <w:r>
              <w:rPr>
                <w:rFonts w:ascii="Verdana" w:cs="Verdana" w:eastAsia="Verdana" w:hAnsi="Verdana"/>
                <w:sz w:val="11"/>
                <w:szCs w:val="11"/>
                <w:color w:val="auto"/>
              </w:rPr>
              <w:t>2,572,122</w:t>
            </w:r>
          </w:p>
        </w:tc>
        <w:tc>
          <w:tcPr>
            <w:tcW w:w="960" w:type="dxa"/>
            <w:vAlign w:val="bottom"/>
          </w:tcPr>
          <w:p>
            <w:pPr>
              <w:jc w:val="right"/>
              <w:spacing w:after="0"/>
              <w:rPr>
                <w:sz w:val="20"/>
                <w:szCs w:val="20"/>
                <w:color w:val="auto"/>
              </w:rPr>
            </w:pPr>
            <w:r>
              <w:rPr>
                <w:rFonts w:ascii="Verdana" w:cs="Verdana" w:eastAsia="Verdana" w:hAnsi="Verdana"/>
                <w:sz w:val="11"/>
                <w:szCs w:val="11"/>
                <w:color w:val="auto"/>
              </w:rPr>
              <w:t>4,891,937</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4,759,890</w:t>
            </w:r>
          </w:p>
        </w:tc>
      </w:tr>
      <w:tr>
        <w:trPr>
          <w:trHeight w:val="36"/>
        </w:trPr>
        <w:tc>
          <w:tcPr>
            <w:tcW w:w="120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000" w:type="dxa"/>
            <w:vAlign w:val="bottom"/>
            <w:tcBorders>
              <w:bottom w:val="single" w:sz="8" w:color="B3B0AC"/>
            </w:tcBorders>
          </w:tcPr>
          <w:p>
            <w:pPr>
              <w:spacing w:after="0"/>
              <w:rPr>
                <w:sz w:val="3"/>
                <w:szCs w:val="3"/>
                <w:color w:val="auto"/>
              </w:rPr>
            </w:pPr>
          </w:p>
        </w:tc>
        <w:tc>
          <w:tcPr>
            <w:tcW w:w="10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96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r>
      <w:tr>
        <w:trPr>
          <w:trHeight w:val="147"/>
        </w:trPr>
        <w:tc>
          <w:tcPr>
            <w:tcW w:w="1200" w:type="dxa"/>
            <w:vAlign w:val="bottom"/>
          </w:tcPr>
          <w:p>
            <w:pPr>
              <w:ind w:left="20"/>
              <w:spacing w:after="0"/>
              <w:rPr>
                <w:sz w:val="20"/>
                <w:szCs w:val="20"/>
                <w:color w:val="auto"/>
              </w:rPr>
            </w:pPr>
            <w:r>
              <w:rPr>
                <w:rFonts w:ascii="Verdana" w:cs="Verdana" w:eastAsia="Verdana" w:hAnsi="Verdana"/>
                <w:sz w:val="11"/>
                <w:szCs w:val="11"/>
                <w:color w:val="auto"/>
              </w:rPr>
              <w:t>Frank C. Orsini</w:t>
            </w:r>
          </w:p>
        </w:tc>
        <w:tc>
          <w:tcPr>
            <w:tcW w:w="1140" w:type="dxa"/>
            <w:vAlign w:val="bottom"/>
          </w:tcPr>
          <w:p>
            <w:pPr>
              <w:jc w:val="right"/>
              <w:ind w:right="86"/>
              <w:spacing w:after="0"/>
              <w:rPr>
                <w:sz w:val="20"/>
                <w:szCs w:val="20"/>
                <w:color w:val="auto"/>
              </w:rPr>
            </w:pPr>
            <w:r>
              <w:rPr>
                <w:rFonts w:ascii="Verdana" w:cs="Verdana" w:eastAsia="Verdana" w:hAnsi="Verdana"/>
                <w:sz w:val="11"/>
                <w:szCs w:val="11"/>
                <w:color w:val="auto"/>
              </w:rPr>
              <w:t>299,953</w:t>
            </w:r>
          </w:p>
        </w:tc>
        <w:tc>
          <w:tcPr>
            <w:tcW w:w="1000" w:type="dxa"/>
            <w:vAlign w:val="bottom"/>
          </w:tcPr>
          <w:p>
            <w:pPr>
              <w:jc w:val="right"/>
              <w:ind w:right="46"/>
              <w:spacing w:after="0"/>
              <w:rPr>
                <w:sz w:val="20"/>
                <w:szCs w:val="20"/>
                <w:color w:val="auto"/>
              </w:rPr>
            </w:pPr>
            <w:r>
              <w:rPr>
                <w:rFonts w:ascii="Verdana" w:cs="Verdana" w:eastAsia="Verdana" w:hAnsi="Verdana"/>
                <w:sz w:val="11"/>
                <w:szCs w:val="11"/>
                <w:color w:val="auto"/>
              </w:rPr>
              <w:t>1,019,895</w:t>
            </w:r>
          </w:p>
        </w:tc>
        <w:tc>
          <w:tcPr>
            <w:tcW w:w="1020" w:type="dxa"/>
            <w:vAlign w:val="bottom"/>
          </w:tcPr>
          <w:p>
            <w:pPr>
              <w:jc w:val="right"/>
              <w:ind w:right="26"/>
              <w:spacing w:after="0"/>
              <w:rPr>
                <w:sz w:val="20"/>
                <w:szCs w:val="20"/>
                <w:color w:val="auto"/>
              </w:rPr>
            </w:pPr>
            <w:r>
              <w:rPr>
                <w:rFonts w:ascii="Verdana" w:cs="Verdana" w:eastAsia="Verdana" w:hAnsi="Verdana"/>
                <w:sz w:val="11"/>
                <w:szCs w:val="11"/>
                <w:color w:val="auto"/>
              </w:rPr>
              <w:t>1,999,933</w:t>
            </w:r>
          </w:p>
        </w:tc>
        <w:tc>
          <w:tcPr>
            <w:tcW w:w="1080" w:type="dxa"/>
            <w:vAlign w:val="bottom"/>
          </w:tcPr>
          <w:p>
            <w:pPr>
              <w:jc w:val="right"/>
              <w:ind w:right="66"/>
              <w:spacing w:after="0"/>
              <w:rPr>
                <w:sz w:val="20"/>
                <w:szCs w:val="20"/>
                <w:color w:val="auto"/>
              </w:rPr>
            </w:pPr>
            <w:r>
              <w:rPr>
                <w:rFonts w:ascii="Verdana" w:cs="Verdana" w:eastAsia="Verdana" w:hAnsi="Verdana"/>
                <w:sz w:val="11"/>
                <w:szCs w:val="11"/>
                <w:color w:val="auto"/>
              </w:rPr>
              <w:t>2,572,122</w:t>
            </w:r>
          </w:p>
        </w:tc>
        <w:tc>
          <w:tcPr>
            <w:tcW w:w="960" w:type="dxa"/>
            <w:vAlign w:val="bottom"/>
          </w:tcPr>
          <w:p>
            <w:pPr>
              <w:jc w:val="right"/>
              <w:spacing w:after="0"/>
              <w:rPr>
                <w:sz w:val="20"/>
                <w:szCs w:val="20"/>
                <w:color w:val="auto"/>
              </w:rPr>
            </w:pPr>
            <w:r>
              <w:rPr>
                <w:rFonts w:ascii="Verdana" w:cs="Verdana" w:eastAsia="Verdana" w:hAnsi="Verdana"/>
                <w:sz w:val="11"/>
                <w:szCs w:val="11"/>
                <w:color w:val="auto"/>
              </w:rPr>
              <w:t>5,891,903</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4,759,890</w:t>
            </w:r>
          </w:p>
        </w:tc>
      </w:tr>
      <w:tr>
        <w:trPr>
          <w:trHeight w:val="36"/>
        </w:trPr>
        <w:tc>
          <w:tcPr>
            <w:tcW w:w="120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000" w:type="dxa"/>
            <w:vAlign w:val="bottom"/>
            <w:tcBorders>
              <w:bottom w:val="single" w:sz="8" w:color="B3B0AC"/>
            </w:tcBorders>
          </w:tcPr>
          <w:p>
            <w:pPr>
              <w:spacing w:after="0"/>
              <w:rPr>
                <w:sz w:val="3"/>
                <w:szCs w:val="3"/>
                <w:color w:val="auto"/>
              </w:rPr>
            </w:pPr>
          </w:p>
        </w:tc>
        <w:tc>
          <w:tcPr>
            <w:tcW w:w="10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96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r>
      <w:tr>
        <w:trPr>
          <w:trHeight w:val="147"/>
        </w:trPr>
        <w:tc>
          <w:tcPr>
            <w:tcW w:w="1200" w:type="dxa"/>
            <w:vAlign w:val="bottom"/>
          </w:tcPr>
          <w:p>
            <w:pPr>
              <w:ind w:left="20"/>
              <w:spacing w:after="0"/>
              <w:rPr>
                <w:sz w:val="20"/>
                <w:szCs w:val="20"/>
                <w:color w:val="auto"/>
              </w:rPr>
            </w:pPr>
            <w:r>
              <w:rPr>
                <w:rFonts w:ascii="Verdana" w:cs="Verdana" w:eastAsia="Verdana" w:hAnsi="Verdana"/>
                <w:sz w:val="11"/>
                <w:szCs w:val="11"/>
                <w:color w:val="auto"/>
              </w:rPr>
              <w:t>Carl A. Esposito</w:t>
            </w:r>
          </w:p>
        </w:tc>
        <w:tc>
          <w:tcPr>
            <w:tcW w:w="1140" w:type="dxa"/>
            <w:vAlign w:val="bottom"/>
          </w:tcPr>
          <w:p>
            <w:pPr>
              <w:jc w:val="right"/>
              <w:ind w:right="86"/>
              <w:spacing w:after="0"/>
              <w:rPr>
                <w:sz w:val="20"/>
                <w:szCs w:val="20"/>
                <w:color w:val="auto"/>
              </w:rPr>
            </w:pPr>
            <w:r>
              <w:rPr>
                <w:rFonts w:ascii="Verdana" w:cs="Verdana" w:eastAsia="Verdana" w:hAnsi="Verdana"/>
                <w:sz w:val="11"/>
                <w:szCs w:val="11"/>
                <w:color w:val="auto"/>
              </w:rPr>
              <w:t>249,992</w:t>
            </w:r>
          </w:p>
        </w:tc>
        <w:tc>
          <w:tcPr>
            <w:tcW w:w="1000" w:type="dxa"/>
            <w:vAlign w:val="bottom"/>
          </w:tcPr>
          <w:p>
            <w:pPr>
              <w:jc w:val="right"/>
              <w:ind w:right="46"/>
              <w:spacing w:after="0"/>
              <w:rPr>
                <w:sz w:val="20"/>
                <w:szCs w:val="20"/>
                <w:color w:val="auto"/>
              </w:rPr>
            </w:pPr>
            <w:r>
              <w:rPr>
                <w:rFonts w:ascii="Verdana" w:cs="Verdana" w:eastAsia="Verdana" w:hAnsi="Verdana"/>
                <w:sz w:val="11"/>
                <w:szCs w:val="11"/>
                <w:color w:val="auto"/>
              </w:rPr>
              <w:t>652,376</w:t>
            </w:r>
          </w:p>
        </w:tc>
        <w:tc>
          <w:tcPr>
            <w:tcW w:w="1020" w:type="dxa"/>
            <w:vAlign w:val="bottom"/>
          </w:tcPr>
          <w:p>
            <w:pPr>
              <w:jc w:val="right"/>
              <w:ind w:right="26"/>
              <w:spacing w:after="0"/>
              <w:rPr>
                <w:sz w:val="20"/>
                <w:szCs w:val="20"/>
                <w:color w:val="auto"/>
              </w:rPr>
            </w:pPr>
            <w:r>
              <w:rPr>
                <w:rFonts w:ascii="Verdana" w:cs="Verdana" w:eastAsia="Verdana" w:hAnsi="Verdana"/>
                <w:sz w:val="11"/>
                <w:szCs w:val="11"/>
                <w:color w:val="auto"/>
              </w:rPr>
              <w:t>—</w:t>
            </w:r>
          </w:p>
        </w:tc>
        <w:tc>
          <w:tcPr>
            <w:tcW w:w="1080" w:type="dxa"/>
            <w:vAlign w:val="bottom"/>
          </w:tcPr>
          <w:p>
            <w:pPr>
              <w:jc w:val="right"/>
              <w:ind w:right="66"/>
              <w:spacing w:after="0"/>
              <w:rPr>
                <w:sz w:val="20"/>
                <w:szCs w:val="20"/>
                <w:color w:val="auto"/>
              </w:rPr>
            </w:pPr>
            <w:r>
              <w:rPr>
                <w:rFonts w:ascii="Verdana" w:cs="Verdana" w:eastAsia="Verdana" w:hAnsi="Verdana"/>
                <w:sz w:val="11"/>
                <w:szCs w:val="11"/>
                <w:color w:val="auto"/>
              </w:rPr>
              <w:t>1,645,326</w:t>
            </w:r>
          </w:p>
        </w:tc>
        <w:tc>
          <w:tcPr>
            <w:tcW w:w="960" w:type="dxa"/>
            <w:vAlign w:val="bottom"/>
          </w:tcPr>
          <w:p>
            <w:pPr>
              <w:jc w:val="right"/>
              <w:spacing w:after="0"/>
              <w:rPr>
                <w:sz w:val="20"/>
                <w:szCs w:val="20"/>
                <w:color w:val="auto"/>
              </w:rPr>
            </w:pPr>
            <w:r>
              <w:rPr>
                <w:rFonts w:ascii="Verdana" w:cs="Verdana" w:eastAsia="Verdana" w:hAnsi="Verdana"/>
                <w:sz w:val="11"/>
                <w:szCs w:val="11"/>
                <w:color w:val="auto"/>
              </w:rPr>
              <w:t>2,547,694</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3,044,798</w:t>
            </w:r>
          </w:p>
        </w:tc>
      </w:tr>
      <w:tr>
        <w:trPr>
          <w:trHeight w:val="36"/>
        </w:trPr>
        <w:tc>
          <w:tcPr>
            <w:tcW w:w="120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000" w:type="dxa"/>
            <w:vAlign w:val="bottom"/>
            <w:tcBorders>
              <w:bottom w:val="single" w:sz="8" w:color="B3B0AC"/>
            </w:tcBorders>
          </w:tcPr>
          <w:p>
            <w:pPr>
              <w:spacing w:after="0"/>
              <w:rPr>
                <w:sz w:val="3"/>
                <w:szCs w:val="3"/>
                <w:color w:val="auto"/>
              </w:rPr>
            </w:pPr>
          </w:p>
        </w:tc>
        <w:tc>
          <w:tcPr>
            <w:tcW w:w="10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96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r>
      <w:tr>
        <w:trPr>
          <w:trHeight w:val="147"/>
        </w:trPr>
        <w:tc>
          <w:tcPr>
            <w:tcW w:w="1200" w:type="dxa"/>
            <w:vAlign w:val="bottom"/>
          </w:tcPr>
          <w:p>
            <w:pPr>
              <w:ind w:left="20"/>
              <w:spacing w:after="0"/>
              <w:rPr>
                <w:sz w:val="20"/>
                <w:szCs w:val="20"/>
                <w:color w:val="auto"/>
              </w:rPr>
            </w:pPr>
            <w:r>
              <w:rPr>
                <w:rFonts w:ascii="Verdana" w:cs="Verdana" w:eastAsia="Verdana" w:hAnsi="Verdana"/>
                <w:sz w:val="11"/>
                <w:szCs w:val="11"/>
                <w:color w:val="auto"/>
              </w:rPr>
              <w:t>Harry A. Kemp</w:t>
            </w:r>
          </w:p>
        </w:tc>
        <w:tc>
          <w:tcPr>
            <w:tcW w:w="1140" w:type="dxa"/>
            <w:vAlign w:val="bottom"/>
          </w:tcPr>
          <w:p>
            <w:pPr>
              <w:jc w:val="right"/>
              <w:ind w:right="86"/>
              <w:spacing w:after="0"/>
              <w:rPr>
                <w:sz w:val="20"/>
                <w:szCs w:val="20"/>
                <w:color w:val="auto"/>
              </w:rPr>
            </w:pPr>
            <w:r>
              <w:rPr>
                <w:rFonts w:ascii="Verdana" w:cs="Verdana" w:eastAsia="Verdana" w:hAnsi="Verdana"/>
                <w:sz w:val="11"/>
                <w:szCs w:val="11"/>
                <w:color w:val="auto"/>
              </w:rPr>
              <w:t>249,992</w:t>
            </w:r>
          </w:p>
        </w:tc>
        <w:tc>
          <w:tcPr>
            <w:tcW w:w="1000" w:type="dxa"/>
            <w:vAlign w:val="bottom"/>
          </w:tcPr>
          <w:p>
            <w:pPr>
              <w:jc w:val="right"/>
              <w:ind w:right="46"/>
              <w:spacing w:after="0"/>
              <w:rPr>
                <w:sz w:val="20"/>
                <w:szCs w:val="20"/>
                <w:color w:val="auto"/>
              </w:rPr>
            </w:pPr>
            <w:r>
              <w:rPr>
                <w:rFonts w:ascii="Verdana" w:cs="Verdana" w:eastAsia="Verdana" w:hAnsi="Verdana"/>
                <w:sz w:val="11"/>
                <w:szCs w:val="11"/>
                <w:color w:val="auto"/>
              </w:rPr>
              <w:t>535,399</w:t>
            </w:r>
          </w:p>
        </w:tc>
        <w:tc>
          <w:tcPr>
            <w:tcW w:w="1020" w:type="dxa"/>
            <w:vAlign w:val="bottom"/>
          </w:tcPr>
          <w:p>
            <w:pPr>
              <w:jc w:val="right"/>
              <w:ind w:right="26"/>
              <w:spacing w:after="0"/>
              <w:rPr>
                <w:sz w:val="20"/>
                <w:szCs w:val="20"/>
                <w:color w:val="auto"/>
              </w:rPr>
            </w:pPr>
            <w:r>
              <w:rPr>
                <w:rFonts w:ascii="Verdana" w:cs="Verdana" w:eastAsia="Verdana" w:hAnsi="Verdana"/>
                <w:sz w:val="11"/>
                <w:szCs w:val="11"/>
                <w:color w:val="auto"/>
              </w:rPr>
              <w:t>—</w:t>
            </w:r>
          </w:p>
        </w:tc>
        <w:tc>
          <w:tcPr>
            <w:tcW w:w="1080" w:type="dxa"/>
            <w:vAlign w:val="bottom"/>
          </w:tcPr>
          <w:p>
            <w:pPr>
              <w:jc w:val="right"/>
              <w:ind w:right="66"/>
              <w:spacing w:after="0"/>
              <w:rPr>
                <w:sz w:val="20"/>
                <w:szCs w:val="20"/>
                <w:color w:val="auto"/>
              </w:rPr>
            </w:pPr>
            <w:r>
              <w:rPr>
                <w:rFonts w:ascii="Verdana" w:cs="Verdana" w:eastAsia="Verdana" w:hAnsi="Verdana"/>
                <w:sz w:val="11"/>
                <w:szCs w:val="11"/>
                <w:color w:val="auto"/>
              </w:rPr>
              <w:t>1,350,351</w:t>
            </w:r>
          </w:p>
        </w:tc>
        <w:tc>
          <w:tcPr>
            <w:tcW w:w="960" w:type="dxa"/>
            <w:vAlign w:val="bottom"/>
          </w:tcPr>
          <w:p>
            <w:pPr>
              <w:jc w:val="right"/>
              <w:spacing w:after="0"/>
              <w:rPr>
                <w:sz w:val="20"/>
                <w:szCs w:val="20"/>
                <w:color w:val="auto"/>
              </w:rPr>
            </w:pPr>
            <w:r>
              <w:rPr>
                <w:rFonts w:ascii="Verdana" w:cs="Verdana" w:eastAsia="Verdana" w:hAnsi="Verdana"/>
                <w:sz w:val="11"/>
                <w:szCs w:val="11"/>
                <w:color w:val="auto"/>
              </w:rPr>
              <w:t>2,135,742</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2,498,907</w:t>
            </w:r>
          </w:p>
        </w:tc>
      </w:tr>
      <w:tr>
        <w:trPr>
          <w:trHeight w:val="36"/>
        </w:trPr>
        <w:tc>
          <w:tcPr>
            <w:tcW w:w="120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000" w:type="dxa"/>
            <w:vAlign w:val="bottom"/>
            <w:tcBorders>
              <w:bottom w:val="single" w:sz="8" w:color="B3B0AC"/>
            </w:tcBorders>
          </w:tcPr>
          <w:p>
            <w:pPr>
              <w:spacing w:after="0"/>
              <w:rPr>
                <w:sz w:val="3"/>
                <w:szCs w:val="3"/>
                <w:color w:val="auto"/>
              </w:rPr>
            </w:pPr>
          </w:p>
        </w:tc>
        <w:tc>
          <w:tcPr>
            <w:tcW w:w="10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96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r>
      <w:tr>
        <w:trPr>
          <w:trHeight w:val="147"/>
        </w:trPr>
        <w:tc>
          <w:tcPr>
            <w:tcW w:w="1200" w:type="dxa"/>
            <w:vAlign w:val="bottom"/>
          </w:tcPr>
          <w:p>
            <w:pPr>
              <w:ind w:left="20"/>
              <w:spacing w:after="0"/>
              <w:rPr>
                <w:sz w:val="20"/>
                <w:szCs w:val="20"/>
                <w:color w:val="auto"/>
              </w:rPr>
            </w:pPr>
            <w:r>
              <w:rPr>
                <w:rFonts w:ascii="Verdana" w:cs="Verdana" w:eastAsia="Verdana" w:hAnsi="Verdana"/>
                <w:sz w:val="11"/>
                <w:szCs w:val="11"/>
                <w:color w:val="auto"/>
              </w:rPr>
              <w:t>Alicia J. Davis</w:t>
            </w:r>
          </w:p>
        </w:tc>
        <w:tc>
          <w:tcPr>
            <w:tcW w:w="1140" w:type="dxa"/>
            <w:vAlign w:val="bottom"/>
          </w:tcPr>
          <w:p>
            <w:pPr>
              <w:jc w:val="right"/>
              <w:ind w:right="86"/>
              <w:spacing w:after="0"/>
              <w:rPr>
                <w:sz w:val="20"/>
                <w:szCs w:val="20"/>
                <w:color w:val="auto"/>
              </w:rPr>
            </w:pPr>
            <w:r>
              <w:rPr>
                <w:rFonts w:ascii="Verdana" w:cs="Verdana" w:eastAsia="Verdana" w:hAnsi="Verdana"/>
                <w:sz w:val="11"/>
                <w:szCs w:val="11"/>
                <w:color w:val="auto"/>
              </w:rPr>
              <w:t>199,938</w:t>
            </w:r>
          </w:p>
        </w:tc>
        <w:tc>
          <w:tcPr>
            <w:tcW w:w="1000" w:type="dxa"/>
            <w:vAlign w:val="bottom"/>
          </w:tcPr>
          <w:p>
            <w:pPr>
              <w:jc w:val="right"/>
              <w:ind w:right="46"/>
              <w:spacing w:after="0"/>
              <w:rPr>
                <w:sz w:val="20"/>
                <w:szCs w:val="20"/>
                <w:color w:val="auto"/>
              </w:rPr>
            </w:pPr>
            <w:r>
              <w:rPr>
                <w:rFonts w:ascii="Verdana" w:cs="Verdana" w:eastAsia="Verdana" w:hAnsi="Verdana"/>
                <w:sz w:val="11"/>
                <w:szCs w:val="11"/>
                <w:color w:val="auto"/>
              </w:rPr>
              <w:t>412,467</w:t>
            </w:r>
          </w:p>
        </w:tc>
        <w:tc>
          <w:tcPr>
            <w:tcW w:w="1020" w:type="dxa"/>
            <w:vAlign w:val="bottom"/>
          </w:tcPr>
          <w:p>
            <w:pPr>
              <w:jc w:val="right"/>
              <w:ind w:right="26"/>
              <w:spacing w:after="0"/>
              <w:rPr>
                <w:sz w:val="20"/>
                <w:szCs w:val="20"/>
                <w:color w:val="auto"/>
              </w:rPr>
            </w:pPr>
            <w:r>
              <w:rPr>
                <w:rFonts w:ascii="Verdana" w:cs="Verdana" w:eastAsia="Verdana" w:hAnsi="Verdana"/>
                <w:sz w:val="11"/>
                <w:szCs w:val="11"/>
                <w:color w:val="auto"/>
              </w:rPr>
              <w:t>—</w:t>
            </w:r>
          </w:p>
        </w:tc>
        <w:tc>
          <w:tcPr>
            <w:tcW w:w="1080" w:type="dxa"/>
            <w:vAlign w:val="bottom"/>
          </w:tcPr>
          <w:p>
            <w:pPr>
              <w:jc w:val="right"/>
              <w:ind w:right="66"/>
              <w:spacing w:after="0"/>
              <w:rPr>
                <w:sz w:val="20"/>
                <w:szCs w:val="20"/>
                <w:color w:val="auto"/>
              </w:rPr>
            </w:pPr>
            <w:r>
              <w:rPr>
                <w:rFonts w:ascii="Verdana" w:cs="Verdana" w:eastAsia="Verdana" w:hAnsi="Verdana"/>
                <w:sz w:val="11"/>
                <w:szCs w:val="11"/>
                <w:color w:val="auto"/>
              </w:rPr>
              <w:t>1,040,193</w:t>
            </w:r>
          </w:p>
        </w:tc>
        <w:tc>
          <w:tcPr>
            <w:tcW w:w="960" w:type="dxa"/>
            <w:vAlign w:val="bottom"/>
          </w:tcPr>
          <w:p>
            <w:pPr>
              <w:jc w:val="right"/>
              <w:spacing w:after="0"/>
              <w:rPr>
                <w:sz w:val="20"/>
                <w:szCs w:val="20"/>
                <w:color w:val="auto"/>
              </w:rPr>
            </w:pPr>
            <w:r>
              <w:rPr>
                <w:rFonts w:ascii="Verdana" w:cs="Verdana" w:eastAsia="Verdana" w:hAnsi="Verdana"/>
                <w:sz w:val="11"/>
                <w:szCs w:val="11"/>
                <w:color w:val="auto"/>
              </w:rPr>
              <w:t>1,652,598</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1,924,941</w:t>
            </w:r>
          </w:p>
        </w:tc>
      </w:tr>
      <w:tr>
        <w:trPr>
          <w:trHeight w:val="36"/>
        </w:trPr>
        <w:tc>
          <w:tcPr>
            <w:tcW w:w="120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000" w:type="dxa"/>
            <w:vAlign w:val="bottom"/>
            <w:tcBorders>
              <w:bottom w:val="single" w:sz="8" w:color="B3B0AC"/>
            </w:tcBorders>
          </w:tcPr>
          <w:p>
            <w:pPr>
              <w:spacing w:after="0"/>
              <w:rPr>
                <w:sz w:val="3"/>
                <w:szCs w:val="3"/>
                <w:color w:val="auto"/>
              </w:rPr>
            </w:pPr>
          </w:p>
        </w:tc>
        <w:tc>
          <w:tcPr>
            <w:tcW w:w="10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96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r>
    </w:tbl>
    <w:p>
      <w:pPr>
        <w:spacing w:after="0" w:line="85" w:lineRule="exact"/>
        <w:rPr>
          <w:sz w:val="20"/>
          <w:szCs w:val="20"/>
          <w:color w:val="auto"/>
        </w:rPr>
      </w:pPr>
    </w:p>
    <w:p>
      <w:pPr>
        <w:ind w:left="340" w:right="740" w:hanging="332"/>
        <w:spacing w:after="0" w:line="238" w:lineRule="auto"/>
        <w:tabs>
          <w:tab w:leader="none" w:pos="289" w:val="left"/>
        </w:tabs>
        <w:numPr>
          <w:ilvl w:val="0"/>
          <w:numId w:val="91"/>
        </w:numPr>
        <w:rPr>
          <w:rFonts w:ascii="Verdana" w:cs="Verdana" w:eastAsia="Verdana" w:hAnsi="Verdana"/>
          <w:sz w:val="14"/>
          <w:szCs w:val="14"/>
          <w:color w:val="auto"/>
        </w:rPr>
      </w:pPr>
      <w:r>
        <w:rPr>
          <w:rFonts w:ascii="Verdana" w:cs="Verdana" w:eastAsia="Verdana" w:hAnsi="Verdana"/>
          <w:sz w:val="14"/>
          <w:szCs w:val="14"/>
          <w:color w:val="auto"/>
        </w:rPr>
        <w:t>The amounts reported for 2024 represent the amounts earned under the AIP, based on achievement of the 2024 AIP targets, as described in "Compensation Discussion and Analysis - Annual Incentive Plan (AIP)" above.</w:t>
      </w:r>
    </w:p>
    <w:p>
      <w:pPr>
        <w:ind w:left="340" w:right="20" w:hanging="332"/>
        <w:spacing w:after="0" w:line="244" w:lineRule="auto"/>
        <w:tabs>
          <w:tab w:leader="none" w:pos="289" w:val="left"/>
        </w:tabs>
        <w:numPr>
          <w:ilvl w:val="0"/>
          <w:numId w:val="91"/>
        </w:numPr>
        <w:rPr>
          <w:rFonts w:ascii="Verdana" w:cs="Verdana" w:eastAsia="Verdana" w:hAnsi="Verdana"/>
          <w:sz w:val="14"/>
          <w:szCs w:val="14"/>
          <w:color w:val="auto"/>
        </w:rPr>
      </w:pPr>
      <w:r>
        <w:rPr>
          <w:rFonts w:ascii="Verdana" w:cs="Verdana" w:eastAsia="Verdana" w:hAnsi="Verdana"/>
          <w:sz w:val="14"/>
          <w:szCs w:val="14"/>
          <w:color w:val="auto"/>
        </w:rPr>
        <w:t>Represents the net aggregate annualized change in the actuarial present value of each applicable NEO's accumulated benefit under all defined benefit pension plans (including supplemental plans), all of which have been frozen since December 31, 2006. Present values were determined using a December 31, 2024 measurement date and reflect benefits accrued based on service and pay earned through such date. Messrs. Scott, Cardew and Orsini each had a decrease in the present value of their benefit under the Pension Plan. These decreases were offset by increases in the present value of their benefits under other frozen defined benefit pension plans. The 2024 net amounts for Mr. Cardew ($10,829) and Mr. Orsini ($3,049) were not reported because they were negative. There were no above-market earnings on any non-qualified deferred compensation benefits provided by Lear.</w:t>
      </w:r>
    </w:p>
    <w:p>
      <w:pPr>
        <w:spacing w:after="0" w:line="1" w:lineRule="exact"/>
        <w:rPr>
          <w:rFonts w:ascii="Verdana" w:cs="Verdana" w:eastAsia="Verdana" w:hAnsi="Verdana"/>
          <w:sz w:val="14"/>
          <w:szCs w:val="14"/>
          <w:color w:val="auto"/>
        </w:rPr>
      </w:pPr>
    </w:p>
    <w:p>
      <w:pPr>
        <w:ind w:left="280" w:hanging="272"/>
        <w:spacing w:after="0"/>
        <w:tabs>
          <w:tab w:leader="none" w:pos="280" w:val="left"/>
        </w:tabs>
        <w:numPr>
          <w:ilvl w:val="0"/>
          <w:numId w:val="91"/>
        </w:numPr>
        <w:rPr>
          <w:rFonts w:ascii="Verdana" w:cs="Verdana" w:eastAsia="Verdana" w:hAnsi="Verdana"/>
          <w:sz w:val="14"/>
          <w:szCs w:val="14"/>
          <w:color w:val="auto"/>
        </w:rPr>
      </w:pPr>
      <w:r>
        <w:rPr>
          <w:rFonts w:ascii="Verdana" w:cs="Verdana" w:eastAsia="Verdana" w:hAnsi="Verdana"/>
          <w:sz w:val="14"/>
          <w:szCs w:val="14"/>
          <w:color w:val="auto"/>
        </w:rPr>
        <w:t>The amounts reported under All Other Compensation for 2024 for each NEO include:</w:t>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148"/>
        </w:trPr>
        <w:tc>
          <w:tcPr>
            <w:tcW w:w="1240" w:type="dxa"/>
            <w:vAlign w:val="bottom"/>
            <w:tcBorders>
              <w:top w:val="single" w:sz="8" w:color="696158"/>
            </w:tcBorders>
          </w:tcPr>
          <w:p>
            <w:pPr>
              <w:spacing w:after="0"/>
              <w:rPr>
                <w:sz w:val="12"/>
                <w:szCs w:val="12"/>
                <w:color w:val="auto"/>
              </w:rPr>
            </w:pPr>
          </w:p>
        </w:tc>
        <w:tc>
          <w:tcPr>
            <w:tcW w:w="1380" w:type="dxa"/>
            <w:vAlign w:val="bottom"/>
            <w:tcBorders>
              <w:top w:val="single" w:sz="8" w:color="696158"/>
            </w:tcBorders>
          </w:tcPr>
          <w:p>
            <w:pPr>
              <w:jc w:val="center"/>
              <w:ind w:left="87"/>
              <w:spacing w:after="0"/>
              <w:rPr>
                <w:sz w:val="20"/>
                <w:szCs w:val="20"/>
                <w:color w:val="auto"/>
              </w:rPr>
            </w:pPr>
            <w:r>
              <w:rPr>
                <w:rFonts w:ascii="Verdana" w:cs="Verdana" w:eastAsia="Verdana" w:hAnsi="Verdana"/>
                <w:sz w:val="11"/>
                <w:szCs w:val="11"/>
                <w:b w:val="1"/>
                <w:bCs w:val="1"/>
                <w:color w:val="307FE2"/>
                <w:w w:val="97"/>
              </w:rPr>
              <w:t>Company</w:t>
            </w:r>
          </w:p>
        </w:tc>
        <w:tc>
          <w:tcPr>
            <w:tcW w:w="1160" w:type="dxa"/>
            <w:vAlign w:val="bottom"/>
            <w:tcBorders>
              <w:top w:val="single" w:sz="8" w:color="696158"/>
            </w:tcBorders>
          </w:tcPr>
          <w:p>
            <w:pPr>
              <w:jc w:val="center"/>
              <w:spacing w:after="0"/>
              <w:rPr>
                <w:sz w:val="20"/>
                <w:szCs w:val="20"/>
                <w:color w:val="auto"/>
              </w:rPr>
            </w:pPr>
            <w:r>
              <w:rPr>
                <w:rFonts w:ascii="Verdana" w:cs="Verdana" w:eastAsia="Verdana" w:hAnsi="Verdana"/>
                <w:sz w:val="11"/>
                <w:szCs w:val="11"/>
                <w:b w:val="1"/>
                <w:bCs w:val="1"/>
                <w:color w:val="307FE2"/>
                <w:w w:val="98"/>
              </w:rPr>
              <w:t>Life Insurance</w:t>
            </w:r>
          </w:p>
        </w:tc>
        <w:tc>
          <w:tcPr>
            <w:tcW w:w="1080" w:type="dxa"/>
            <w:vAlign w:val="bottom"/>
            <w:tcBorders>
              <w:top w:val="single" w:sz="8" w:color="696158"/>
            </w:tcBorders>
          </w:tcPr>
          <w:p>
            <w:pPr>
              <w:spacing w:after="0"/>
              <w:rPr>
                <w:sz w:val="12"/>
                <w:szCs w:val="12"/>
                <w:color w:val="auto"/>
              </w:rPr>
            </w:pPr>
          </w:p>
        </w:tc>
        <w:tc>
          <w:tcPr>
            <w:tcW w:w="1140" w:type="dxa"/>
            <w:vAlign w:val="bottom"/>
            <w:tcBorders>
              <w:top w:val="single" w:sz="8" w:color="696158"/>
            </w:tcBorders>
            <w:vMerge w:val="restart"/>
          </w:tcPr>
          <w:p>
            <w:pPr>
              <w:jc w:val="center"/>
              <w:spacing w:after="0"/>
              <w:rPr>
                <w:sz w:val="20"/>
                <w:szCs w:val="20"/>
                <w:color w:val="auto"/>
              </w:rPr>
            </w:pPr>
            <w:r>
              <w:rPr>
                <w:rFonts w:ascii="Verdana" w:cs="Verdana" w:eastAsia="Verdana" w:hAnsi="Verdana"/>
                <w:sz w:val="11"/>
                <w:szCs w:val="11"/>
                <w:b w:val="1"/>
                <w:bCs w:val="1"/>
                <w:color w:val="307FE2"/>
                <w:w w:val="97"/>
              </w:rPr>
              <w:t>Personal Use of</w:t>
            </w:r>
          </w:p>
        </w:tc>
        <w:tc>
          <w:tcPr>
            <w:tcW w:w="1180" w:type="dxa"/>
            <w:vAlign w:val="bottom"/>
            <w:tcBorders>
              <w:top w:val="single" w:sz="8" w:color="696158"/>
            </w:tcBorders>
          </w:tcPr>
          <w:p>
            <w:pPr>
              <w:spacing w:after="0"/>
              <w:rPr>
                <w:sz w:val="12"/>
                <w:szCs w:val="12"/>
                <w:color w:val="auto"/>
              </w:rPr>
            </w:pPr>
          </w:p>
        </w:tc>
        <w:tc>
          <w:tcPr>
            <w:tcW w:w="1080" w:type="dxa"/>
            <w:vAlign w:val="bottom"/>
            <w:tcBorders>
              <w:top w:val="single" w:sz="8" w:color="696158"/>
            </w:tcBorders>
          </w:tcPr>
          <w:p>
            <w:pPr>
              <w:spacing w:after="0"/>
              <w:rPr>
                <w:sz w:val="12"/>
                <w:szCs w:val="12"/>
                <w:color w:val="auto"/>
              </w:rPr>
            </w:pPr>
          </w:p>
        </w:tc>
        <w:tc>
          <w:tcPr>
            <w:tcW w:w="1100" w:type="dxa"/>
            <w:vAlign w:val="bottom"/>
            <w:tcBorders>
              <w:top w:val="single" w:sz="8" w:color="696158"/>
            </w:tcBorders>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1380" w:type="dxa"/>
            <w:vAlign w:val="bottom"/>
            <w:vMerge w:val="restart"/>
          </w:tcPr>
          <w:p>
            <w:pPr>
              <w:jc w:val="center"/>
              <w:ind w:left="67"/>
              <w:spacing w:after="0"/>
              <w:rPr>
                <w:sz w:val="20"/>
                <w:szCs w:val="20"/>
                <w:color w:val="auto"/>
              </w:rPr>
            </w:pPr>
            <w:r>
              <w:rPr>
                <w:rFonts w:ascii="Verdana" w:cs="Verdana" w:eastAsia="Verdana" w:hAnsi="Verdana"/>
                <w:sz w:val="11"/>
                <w:szCs w:val="11"/>
                <w:b w:val="1"/>
                <w:bCs w:val="1"/>
                <w:color w:val="307FE2"/>
                <w:w w:val="97"/>
              </w:rPr>
              <w:t>Contributions to</w:t>
            </w:r>
          </w:p>
        </w:tc>
        <w:tc>
          <w:tcPr>
            <w:tcW w:w="1160" w:type="dxa"/>
            <w:vAlign w:val="bottom"/>
            <w:vMerge w:val="restart"/>
          </w:tcPr>
          <w:p>
            <w:pPr>
              <w:jc w:val="center"/>
              <w:spacing w:after="0"/>
              <w:rPr>
                <w:sz w:val="20"/>
                <w:szCs w:val="20"/>
                <w:color w:val="auto"/>
              </w:rPr>
            </w:pPr>
            <w:r>
              <w:rPr>
                <w:rFonts w:ascii="Verdana" w:cs="Verdana" w:eastAsia="Verdana" w:hAnsi="Verdana"/>
                <w:sz w:val="11"/>
                <w:szCs w:val="11"/>
                <w:b w:val="1"/>
                <w:bCs w:val="1"/>
                <w:color w:val="307FE2"/>
                <w:w w:val="98"/>
              </w:rPr>
              <w:t>Coverage -</w:t>
            </w:r>
          </w:p>
        </w:tc>
        <w:tc>
          <w:tcPr>
            <w:tcW w:w="1080" w:type="dxa"/>
            <w:vAlign w:val="bottom"/>
            <w:vMerge w:val="restart"/>
          </w:tcPr>
          <w:p>
            <w:pPr>
              <w:jc w:val="center"/>
              <w:spacing w:after="0"/>
              <w:rPr>
                <w:sz w:val="20"/>
                <w:szCs w:val="20"/>
                <w:color w:val="auto"/>
              </w:rPr>
            </w:pPr>
            <w:r>
              <w:rPr>
                <w:rFonts w:ascii="Verdana" w:cs="Verdana" w:eastAsia="Verdana" w:hAnsi="Verdana"/>
                <w:sz w:val="11"/>
                <w:szCs w:val="11"/>
                <w:b w:val="1"/>
                <w:bCs w:val="1"/>
                <w:color w:val="307FE2"/>
                <w:w w:val="98"/>
              </w:rPr>
              <w:t>Life Insurance</w:t>
            </w:r>
          </w:p>
        </w:tc>
        <w:tc>
          <w:tcPr>
            <w:tcW w:w="114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vMerge w:val="restart"/>
          </w:tcPr>
          <w:p>
            <w:pPr>
              <w:jc w:val="center"/>
              <w:ind w:right="27"/>
              <w:spacing w:after="0"/>
              <w:rPr>
                <w:sz w:val="20"/>
                <w:szCs w:val="20"/>
                <w:color w:val="auto"/>
              </w:rPr>
            </w:pPr>
            <w:r>
              <w:rPr>
                <w:rFonts w:ascii="Verdana" w:cs="Verdana" w:eastAsia="Verdana" w:hAnsi="Verdana"/>
                <w:sz w:val="11"/>
                <w:szCs w:val="11"/>
                <w:b w:val="1"/>
                <w:bCs w:val="1"/>
                <w:color w:val="307FE2"/>
              </w:rPr>
              <w:t>Executive</w:t>
            </w:r>
          </w:p>
        </w:tc>
        <w:tc>
          <w:tcPr>
            <w:tcW w:w="1100" w:type="dxa"/>
            <w:vAlign w:val="bottom"/>
            <w:vMerge w:val="restart"/>
          </w:tcPr>
          <w:p>
            <w:pPr>
              <w:jc w:val="center"/>
              <w:spacing w:after="0"/>
              <w:rPr>
                <w:sz w:val="20"/>
                <w:szCs w:val="20"/>
                <w:color w:val="auto"/>
              </w:rPr>
            </w:pPr>
            <w:r>
              <w:rPr>
                <w:rFonts w:ascii="Verdana" w:cs="Verdana" w:eastAsia="Verdana" w:hAnsi="Verdana"/>
                <w:sz w:val="11"/>
                <w:szCs w:val="11"/>
                <w:b w:val="1"/>
                <w:bCs w:val="1"/>
                <w:color w:val="307FE2"/>
                <w:w w:val="97"/>
              </w:rPr>
              <w:t>Total All Other</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8"/>
              </w:rPr>
              <w:t>Company Aircraft</w:t>
            </w:r>
          </w:p>
        </w:tc>
        <w:tc>
          <w:tcPr>
            <w:tcW w:w="1180" w:type="dxa"/>
            <w:vAlign w:val="bottom"/>
          </w:tcPr>
          <w:p>
            <w:pPr>
              <w:jc w:val="center"/>
              <w:ind w:right="8"/>
              <w:spacing w:after="0" w:line="122" w:lineRule="exact"/>
              <w:rPr>
                <w:sz w:val="20"/>
                <w:szCs w:val="20"/>
                <w:color w:val="auto"/>
              </w:rPr>
            </w:pPr>
            <w:r>
              <w:rPr>
                <w:rFonts w:ascii="Verdana" w:cs="Verdana" w:eastAsia="Verdana" w:hAnsi="Verdana"/>
                <w:sz w:val="11"/>
                <w:szCs w:val="11"/>
                <w:b w:val="1"/>
                <w:bCs w:val="1"/>
                <w:color w:val="307FE2"/>
                <w:w w:val="97"/>
              </w:rPr>
              <w:t>Security Services</w:t>
            </w: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380" w:type="dxa"/>
            <w:vAlign w:val="bottom"/>
          </w:tcPr>
          <w:p>
            <w:pPr>
              <w:jc w:val="center"/>
              <w:ind w:left="87"/>
              <w:spacing w:after="0" w:line="94" w:lineRule="exact"/>
              <w:rPr>
                <w:sz w:val="20"/>
                <w:szCs w:val="20"/>
                <w:color w:val="auto"/>
              </w:rPr>
            </w:pPr>
            <w:r>
              <w:rPr>
                <w:rFonts w:ascii="Verdana" w:cs="Verdana" w:eastAsia="Verdana" w:hAnsi="Verdana"/>
                <w:sz w:val="8"/>
                <w:szCs w:val="8"/>
                <w:b w:val="1"/>
                <w:bCs w:val="1"/>
                <w:color w:val="307FE2"/>
              </w:rPr>
              <w:t xml:space="preserve">RSP/SRRP </w:t>
            </w:r>
            <w:r>
              <w:rPr>
                <w:rFonts w:ascii="Verdana" w:cs="Verdana" w:eastAsia="Verdana" w:hAnsi="Verdana"/>
                <w:sz w:val="10"/>
                <w:szCs w:val="10"/>
                <w:b w:val="1"/>
                <w:bCs w:val="1"/>
                <w:color w:val="307FE2"/>
                <w:vertAlign w:val="superscript"/>
              </w:rPr>
              <w:t>(A)</w:t>
            </w:r>
          </w:p>
        </w:tc>
        <w:tc>
          <w:tcPr>
            <w:tcW w:w="116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307FE2"/>
              </w:rPr>
              <w:t>Imputed Income</w:t>
            </w:r>
          </w:p>
        </w:tc>
        <w:tc>
          <w:tcPr>
            <w:tcW w:w="108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307FE2"/>
              </w:rPr>
              <w:t>Premiums</w:t>
            </w:r>
          </w:p>
        </w:tc>
        <w:tc>
          <w:tcPr>
            <w:tcW w:w="1140" w:type="dxa"/>
            <w:vAlign w:val="bottom"/>
          </w:tcPr>
          <w:p>
            <w:pPr>
              <w:jc w:val="center"/>
              <w:spacing w:after="0"/>
              <w:rPr>
                <w:sz w:val="20"/>
                <w:szCs w:val="20"/>
                <w:color w:val="auto"/>
              </w:rPr>
            </w:pPr>
            <w:r>
              <w:rPr>
                <w:rFonts w:ascii="Verdana" w:cs="Verdana" w:eastAsia="Verdana" w:hAnsi="Verdana"/>
                <w:sz w:val="7"/>
                <w:szCs w:val="7"/>
                <w:b w:val="1"/>
                <w:bCs w:val="1"/>
                <w:color w:val="307FE2"/>
              </w:rPr>
              <w:t>(B)</w:t>
            </w:r>
          </w:p>
        </w:tc>
        <w:tc>
          <w:tcPr>
            <w:tcW w:w="1180" w:type="dxa"/>
            <w:vAlign w:val="bottom"/>
          </w:tcPr>
          <w:p>
            <w:pPr>
              <w:jc w:val="center"/>
              <w:ind w:right="8"/>
              <w:spacing w:after="0"/>
              <w:rPr>
                <w:sz w:val="20"/>
                <w:szCs w:val="20"/>
                <w:color w:val="auto"/>
              </w:rPr>
            </w:pPr>
            <w:r>
              <w:rPr>
                <w:rFonts w:ascii="Verdana" w:cs="Verdana" w:eastAsia="Verdana" w:hAnsi="Verdana"/>
                <w:sz w:val="7"/>
                <w:szCs w:val="7"/>
                <w:b w:val="1"/>
                <w:bCs w:val="1"/>
                <w:color w:val="307FE2"/>
                <w:w w:val="93"/>
              </w:rPr>
              <w:t>(C)</w:t>
            </w:r>
          </w:p>
        </w:tc>
        <w:tc>
          <w:tcPr>
            <w:tcW w:w="1080" w:type="dxa"/>
            <w:vAlign w:val="bottom"/>
          </w:tcPr>
          <w:p>
            <w:pPr>
              <w:jc w:val="center"/>
              <w:ind w:right="27"/>
              <w:spacing w:after="0" w:line="94" w:lineRule="exact"/>
              <w:rPr>
                <w:sz w:val="20"/>
                <w:szCs w:val="20"/>
                <w:color w:val="auto"/>
              </w:rPr>
            </w:pPr>
            <w:r>
              <w:rPr>
                <w:rFonts w:ascii="Verdana" w:cs="Verdana" w:eastAsia="Verdana" w:hAnsi="Verdana"/>
                <w:sz w:val="10"/>
                <w:szCs w:val="10"/>
                <w:b w:val="1"/>
                <w:bCs w:val="1"/>
                <w:color w:val="307FE2"/>
              </w:rPr>
              <w:t>Physical Cost</w:t>
            </w:r>
          </w:p>
        </w:tc>
        <w:tc>
          <w:tcPr>
            <w:tcW w:w="110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307FE2"/>
              </w:rPr>
              <w:t>Compensation</w:t>
            </w:r>
          </w:p>
        </w:tc>
        <w:tc>
          <w:tcPr>
            <w:tcW w:w="0" w:type="dxa"/>
            <w:vAlign w:val="bottom"/>
          </w:tcPr>
          <w:p>
            <w:pPr>
              <w:spacing w:after="0"/>
              <w:rPr>
                <w:sz w:val="1"/>
                <w:szCs w:val="1"/>
                <w:color w:val="auto"/>
              </w:rPr>
            </w:pPr>
          </w:p>
        </w:tc>
      </w:tr>
      <w:tr>
        <w:trPr>
          <w:trHeight w:val="154"/>
        </w:trPr>
        <w:tc>
          <w:tcPr>
            <w:tcW w:w="1240" w:type="dxa"/>
            <w:vAlign w:val="bottom"/>
          </w:tcPr>
          <w:p>
            <w:pPr>
              <w:ind w:left="20"/>
              <w:spacing w:after="0"/>
              <w:rPr>
                <w:sz w:val="20"/>
                <w:szCs w:val="20"/>
                <w:color w:val="auto"/>
              </w:rPr>
            </w:pPr>
            <w:r>
              <w:rPr>
                <w:rFonts w:ascii="Verdana" w:cs="Verdana" w:eastAsia="Verdana" w:hAnsi="Verdana"/>
                <w:sz w:val="11"/>
                <w:szCs w:val="11"/>
                <w:b w:val="1"/>
                <w:bCs w:val="1"/>
                <w:color w:val="307FE2"/>
              </w:rPr>
              <w:t>Name</w:t>
            </w:r>
          </w:p>
        </w:tc>
        <w:tc>
          <w:tcPr>
            <w:tcW w:w="1380" w:type="dxa"/>
            <w:vAlign w:val="bottom"/>
          </w:tcPr>
          <w:p>
            <w:pPr>
              <w:jc w:val="center"/>
              <w:ind w:left="87"/>
              <w:spacing w:after="0"/>
              <w:rPr>
                <w:sz w:val="20"/>
                <w:szCs w:val="20"/>
                <w:color w:val="auto"/>
              </w:rPr>
            </w:pPr>
            <w:r>
              <w:rPr>
                <w:rFonts w:ascii="Verdana" w:cs="Verdana" w:eastAsia="Verdana" w:hAnsi="Verdana"/>
                <w:sz w:val="11"/>
                <w:szCs w:val="11"/>
                <w:b w:val="1"/>
                <w:bCs w:val="1"/>
                <w:color w:val="307FE2"/>
              </w:rPr>
              <w:t>($)</w:t>
            </w:r>
          </w:p>
        </w:tc>
        <w:tc>
          <w:tcPr>
            <w:tcW w:w="116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08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140" w:type="dxa"/>
            <w:vAlign w:val="bottom"/>
          </w:tcPr>
          <w:p>
            <w:pPr>
              <w:jc w:val="center"/>
              <w:spacing w:after="0"/>
              <w:rPr>
                <w:sz w:val="20"/>
                <w:szCs w:val="20"/>
                <w:color w:val="auto"/>
              </w:rPr>
            </w:pPr>
            <w:r>
              <w:rPr>
                <w:rFonts w:ascii="Verdana" w:cs="Verdana" w:eastAsia="Verdana" w:hAnsi="Verdana"/>
                <w:sz w:val="11"/>
                <w:szCs w:val="11"/>
                <w:b w:val="1"/>
                <w:bCs w:val="1"/>
                <w:color w:val="307FE2"/>
                <w:w w:val="90"/>
              </w:rPr>
              <w:t>($)</w:t>
            </w:r>
          </w:p>
        </w:tc>
        <w:tc>
          <w:tcPr>
            <w:tcW w:w="1180" w:type="dxa"/>
            <w:vAlign w:val="bottom"/>
          </w:tcPr>
          <w:p>
            <w:pPr>
              <w:jc w:val="center"/>
              <w:ind w:right="8"/>
              <w:spacing w:after="0"/>
              <w:rPr>
                <w:sz w:val="20"/>
                <w:szCs w:val="20"/>
                <w:color w:val="auto"/>
              </w:rPr>
            </w:pPr>
            <w:r>
              <w:rPr>
                <w:rFonts w:ascii="Verdana" w:cs="Verdana" w:eastAsia="Verdana" w:hAnsi="Verdana"/>
                <w:sz w:val="11"/>
                <w:szCs w:val="11"/>
                <w:b w:val="1"/>
                <w:bCs w:val="1"/>
                <w:color w:val="307FE2"/>
              </w:rPr>
              <w:t>($)</w:t>
            </w:r>
          </w:p>
        </w:tc>
        <w:tc>
          <w:tcPr>
            <w:tcW w:w="1080" w:type="dxa"/>
            <w:vAlign w:val="bottom"/>
          </w:tcPr>
          <w:p>
            <w:pPr>
              <w:jc w:val="center"/>
              <w:ind w:right="27"/>
              <w:spacing w:after="0"/>
              <w:rPr>
                <w:sz w:val="20"/>
                <w:szCs w:val="20"/>
                <w:color w:val="auto"/>
              </w:rPr>
            </w:pPr>
            <w:r>
              <w:rPr>
                <w:rFonts w:ascii="Verdana" w:cs="Verdana" w:eastAsia="Verdana" w:hAnsi="Verdana"/>
                <w:sz w:val="11"/>
                <w:szCs w:val="11"/>
                <w:b w:val="1"/>
                <w:bCs w:val="1"/>
                <w:color w:val="307FE2"/>
              </w:rPr>
              <w:t>($)</w:t>
            </w:r>
          </w:p>
        </w:tc>
        <w:tc>
          <w:tcPr>
            <w:tcW w:w="110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0" w:type="dxa"/>
            <w:vAlign w:val="bottom"/>
          </w:tcPr>
          <w:p>
            <w:pPr>
              <w:spacing w:after="0"/>
              <w:rPr>
                <w:sz w:val="1"/>
                <w:szCs w:val="1"/>
                <w:color w:val="auto"/>
              </w:rPr>
            </w:pPr>
          </w:p>
        </w:tc>
      </w:tr>
      <w:tr>
        <w:trPr>
          <w:trHeight w:val="22"/>
        </w:trPr>
        <w:tc>
          <w:tcPr>
            <w:tcW w:w="1240" w:type="dxa"/>
            <w:vAlign w:val="bottom"/>
            <w:tcBorders>
              <w:bottom w:val="single" w:sz="8" w:color="1D428A"/>
            </w:tcBorders>
          </w:tcPr>
          <w:p>
            <w:pPr>
              <w:spacing w:after="0" w:line="20" w:lineRule="exact"/>
              <w:rPr>
                <w:sz w:val="1"/>
                <w:szCs w:val="1"/>
                <w:color w:val="auto"/>
              </w:rPr>
            </w:pPr>
          </w:p>
        </w:tc>
        <w:tc>
          <w:tcPr>
            <w:tcW w:w="1380" w:type="dxa"/>
            <w:vAlign w:val="bottom"/>
            <w:tcBorders>
              <w:bottom w:val="single" w:sz="8" w:color="1D428A"/>
            </w:tcBorders>
          </w:tcPr>
          <w:p>
            <w:pPr>
              <w:spacing w:after="0" w:line="20" w:lineRule="exact"/>
              <w:rPr>
                <w:sz w:val="1"/>
                <w:szCs w:val="1"/>
                <w:color w:val="auto"/>
              </w:rPr>
            </w:pPr>
          </w:p>
        </w:tc>
        <w:tc>
          <w:tcPr>
            <w:tcW w:w="1160" w:type="dxa"/>
            <w:vAlign w:val="bottom"/>
            <w:tcBorders>
              <w:bottom w:val="single" w:sz="8" w:color="1D428A"/>
            </w:tcBorders>
          </w:tcPr>
          <w:p>
            <w:pPr>
              <w:spacing w:after="0" w:line="20" w:lineRule="exact"/>
              <w:rPr>
                <w:sz w:val="1"/>
                <w:szCs w:val="1"/>
                <w:color w:val="auto"/>
              </w:rPr>
            </w:pPr>
          </w:p>
        </w:tc>
        <w:tc>
          <w:tcPr>
            <w:tcW w:w="1080" w:type="dxa"/>
            <w:vAlign w:val="bottom"/>
            <w:tcBorders>
              <w:bottom w:val="single" w:sz="8" w:color="1D428A"/>
            </w:tcBorders>
          </w:tcPr>
          <w:p>
            <w:pPr>
              <w:spacing w:after="0" w:line="20" w:lineRule="exact"/>
              <w:rPr>
                <w:sz w:val="1"/>
                <w:szCs w:val="1"/>
                <w:color w:val="auto"/>
              </w:rPr>
            </w:pPr>
          </w:p>
        </w:tc>
        <w:tc>
          <w:tcPr>
            <w:tcW w:w="1140" w:type="dxa"/>
            <w:vAlign w:val="bottom"/>
            <w:tcBorders>
              <w:bottom w:val="single" w:sz="8" w:color="1D428A"/>
            </w:tcBorders>
          </w:tcPr>
          <w:p>
            <w:pPr>
              <w:spacing w:after="0" w:line="20" w:lineRule="exact"/>
              <w:rPr>
                <w:sz w:val="1"/>
                <w:szCs w:val="1"/>
                <w:color w:val="auto"/>
              </w:rPr>
            </w:pPr>
          </w:p>
        </w:tc>
        <w:tc>
          <w:tcPr>
            <w:tcW w:w="1180" w:type="dxa"/>
            <w:vAlign w:val="bottom"/>
            <w:tcBorders>
              <w:bottom w:val="single" w:sz="8" w:color="1D428A"/>
            </w:tcBorders>
          </w:tcPr>
          <w:p>
            <w:pPr>
              <w:spacing w:after="0" w:line="20" w:lineRule="exact"/>
              <w:rPr>
                <w:sz w:val="1"/>
                <w:szCs w:val="1"/>
                <w:color w:val="auto"/>
              </w:rPr>
            </w:pPr>
          </w:p>
        </w:tc>
        <w:tc>
          <w:tcPr>
            <w:tcW w:w="1080" w:type="dxa"/>
            <w:vAlign w:val="bottom"/>
            <w:tcBorders>
              <w:bottom w:val="single" w:sz="8" w:color="1D428A"/>
            </w:tcBorders>
          </w:tcPr>
          <w:p>
            <w:pPr>
              <w:spacing w:after="0" w:line="20" w:lineRule="exact"/>
              <w:rPr>
                <w:sz w:val="1"/>
                <w:szCs w:val="1"/>
                <w:color w:val="auto"/>
              </w:rPr>
            </w:pPr>
          </w:p>
        </w:tc>
        <w:tc>
          <w:tcPr>
            <w:tcW w:w="1100" w:type="dxa"/>
            <w:vAlign w:val="bottom"/>
            <w:tcBorders>
              <w:bottom w:val="single" w:sz="8" w:color="1D428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rPr>
                <w:sz w:val="20"/>
                <w:szCs w:val="20"/>
                <w:color w:val="auto"/>
              </w:rPr>
            </w:pPr>
            <w:r>
              <w:rPr>
                <w:rFonts w:ascii="Verdana" w:cs="Verdana" w:eastAsia="Verdana" w:hAnsi="Verdana"/>
                <w:sz w:val="11"/>
                <w:szCs w:val="11"/>
                <w:color w:val="auto"/>
              </w:rPr>
              <w:t>Raymond E. Scott</w:t>
            </w:r>
          </w:p>
        </w:tc>
        <w:tc>
          <w:tcPr>
            <w:tcW w:w="1380" w:type="dxa"/>
            <w:vAlign w:val="bottom"/>
          </w:tcPr>
          <w:p>
            <w:pPr>
              <w:jc w:val="right"/>
              <w:ind w:right="7"/>
              <w:spacing w:after="0"/>
              <w:rPr>
                <w:sz w:val="20"/>
                <w:szCs w:val="20"/>
                <w:color w:val="auto"/>
              </w:rPr>
            </w:pPr>
            <w:r>
              <w:rPr>
                <w:rFonts w:ascii="Verdana" w:cs="Verdana" w:eastAsia="Verdana" w:hAnsi="Verdana"/>
                <w:sz w:val="11"/>
                <w:szCs w:val="11"/>
                <w:color w:val="auto"/>
              </w:rPr>
              <w:t>795,046</w:t>
            </w:r>
          </w:p>
        </w:tc>
        <w:tc>
          <w:tcPr>
            <w:tcW w:w="1160" w:type="dxa"/>
            <w:vAlign w:val="bottom"/>
          </w:tcPr>
          <w:p>
            <w:pPr>
              <w:jc w:val="right"/>
              <w:ind w:right="47"/>
              <w:spacing w:after="0"/>
              <w:rPr>
                <w:sz w:val="20"/>
                <w:szCs w:val="20"/>
                <w:color w:val="auto"/>
              </w:rPr>
            </w:pPr>
            <w:r>
              <w:rPr>
                <w:rFonts w:ascii="Verdana" w:cs="Verdana" w:eastAsia="Verdana" w:hAnsi="Verdana"/>
                <w:sz w:val="11"/>
                <w:szCs w:val="11"/>
                <w:color w:val="auto"/>
              </w:rPr>
              <w:t>3,612</w:t>
            </w:r>
          </w:p>
        </w:tc>
        <w:tc>
          <w:tcPr>
            <w:tcW w:w="1080" w:type="dxa"/>
            <w:vAlign w:val="bottom"/>
          </w:tcPr>
          <w:p>
            <w:pPr>
              <w:jc w:val="right"/>
              <w:ind w:right="7"/>
              <w:spacing w:after="0"/>
              <w:rPr>
                <w:sz w:val="20"/>
                <w:szCs w:val="20"/>
                <w:color w:val="auto"/>
              </w:rPr>
            </w:pPr>
            <w:r>
              <w:rPr>
                <w:rFonts w:ascii="Verdana" w:cs="Verdana" w:eastAsia="Verdana" w:hAnsi="Verdana"/>
                <w:sz w:val="11"/>
                <w:szCs w:val="11"/>
                <w:color w:val="auto"/>
              </w:rPr>
              <w:t>603</w:t>
            </w:r>
          </w:p>
        </w:tc>
        <w:tc>
          <w:tcPr>
            <w:tcW w:w="1140" w:type="dxa"/>
            <w:vAlign w:val="bottom"/>
          </w:tcPr>
          <w:p>
            <w:pPr>
              <w:jc w:val="right"/>
              <w:ind w:right="8"/>
              <w:spacing w:after="0"/>
              <w:rPr>
                <w:sz w:val="20"/>
                <w:szCs w:val="20"/>
                <w:color w:val="auto"/>
              </w:rPr>
            </w:pPr>
            <w:r>
              <w:rPr>
                <w:rFonts w:ascii="Verdana" w:cs="Verdana" w:eastAsia="Verdana" w:hAnsi="Verdana"/>
                <w:sz w:val="11"/>
                <w:szCs w:val="11"/>
                <w:color w:val="auto"/>
              </w:rPr>
              <w:t>29,146</w:t>
            </w:r>
          </w:p>
        </w:tc>
        <w:tc>
          <w:tcPr>
            <w:tcW w:w="1180" w:type="dxa"/>
            <w:vAlign w:val="bottom"/>
          </w:tcPr>
          <w:p>
            <w:pPr>
              <w:jc w:val="right"/>
              <w:ind w:right="68"/>
              <w:spacing w:after="0"/>
              <w:rPr>
                <w:sz w:val="20"/>
                <w:szCs w:val="20"/>
                <w:color w:val="auto"/>
              </w:rPr>
            </w:pPr>
            <w:r>
              <w:rPr>
                <w:rFonts w:ascii="Verdana" w:cs="Verdana" w:eastAsia="Verdana" w:hAnsi="Verdana"/>
                <w:sz w:val="11"/>
                <w:szCs w:val="11"/>
                <w:color w:val="auto"/>
              </w:rPr>
              <w:t>28,796</w:t>
            </w:r>
          </w:p>
        </w:tc>
        <w:tc>
          <w:tcPr>
            <w:tcW w:w="1080" w:type="dxa"/>
            <w:vAlign w:val="bottom"/>
          </w:tcPr>
          <w:p>
            <w:pPr>
              <w:jc w:val="right"/>
              <w:ind w:right="27"/>
              <w:spacing w:after="0"/>
              <w:rPr>
                <w:sz w:val="20"/>
                <w:szCs w:val="20"/>
                <w:color w:val="auto"/>
              </w:rPr>
            </w:pPr>
            <w:r>
              <w:rPr>
                <w:rFonts w:ascii="Verdana" w:cs="Verdana" w:eastAsia="Verdana" w:hAnsi="Verdana"/>
                <w:sz w:val="11"/>
                <w:szCs w:val="11"/>
                <w:color w:val="auto"/>
              </w:rPr>
              <w:t>1,850</w:t>
            </w:r>
          </w:p>
        </w:tc>
        <w:tc>
          <w:tcPr>
            <w:tcW w:w="1100" w:type="dxa"/>
            <w:vAlign w:val="bottom"/>
          </w:tcPr>
          <w:p>
            <w:pPr>
              <w:jc w:val="right"/>
              <w:ind w:right="7"/>
              <w:spacing w:after="0"/>
              <w:rPr>
                <w:sz w:val="20"/>
                <w:szCs w:val="20"/>
                <w:color w:val="auto"/>
              </w:rPr>
            </w:pPr>
            <w:r>
              <w:rPr>
                <w:rFonts w:ascii="Verdana" w:cs="Verdana" w:eastAsia="Verdana" w:hAnsi="Verdana"/>
                <w:sz w:val="11"/>
                <w:szCs w:val="11"/>
                <w:color w:val="auto"/>
              </w:rPr>
              <w:t>859,053</w:t>
            </w:r>
          </w:p>
        </w:tc>
        <w:tc>
          <w:tcPr>
            <w:tcW w:w="0" w:type="dxa"/>
            <w:vAlign w:val="bottom"/>
          </w:tcPr>
          <w:p>
            <w:pPr>
              <w:spacing w:after="0"/>
              <w:rPr>
                <w:sz w:val="1"/>
                <w:szCs w:val="1"/>
                <w:color w:val="auto"/>
              </w:rPr>
            </w:pPr>
          </w:p>
        </w:tc>
      </w:tr>
      <w:tr>
        <w:trPr>
          <w:trHeight w:val="36"/>
        </w:trPr>
        <w:tc>
          <w:tcPr>
            <w:tcW w:w="124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16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18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0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rPr>
                <w:sz w:val="20"/>
                <w:szCs w:val="20"/>
                <w:color w:val="auto"/>
              </w:rPr>
            </w:pPr>
            <w:r>
              <w:rPr>
                <w:rFonts w:ascii="Verdana" w:cs="Verdana" w:eastAsia="Verdana" w:hAnsi="Verdana"/>
                <w:sz w:val="11"/>
                <w:szCs w:val="11"/>
                <w:color w:val="auto"/>
              </w:rPr>
              <w:t>Jason M. Cardew</w:t>
            </w:r>
          </w:p>
        </w:tc>
        <w:tc>
          <w:tcPr>
            <w:tcW w:w="1380" w:type="dxa"/>
            <w:vAlign w:val="bottom"/>
          </w:tcPr>
          <w:p>
            <w:pPr>
              <w:jc w:val="right"/>
              <w:ind w:right="7"/>
              <w:spacing w:after="0"/>
              <w:rPr>
                <w:sz w:val="20"/>
                <w:szCs w:val="20"/>
                <w:color w:val="auto"/>
              </w:rPr>
            </w:pPr>
            <w:r>
              <w:rPr>
                <w:rFonts w:ascii="Verdana" w:cs="Verdana" w:eastAsia="Verdana" w:hAnsi="Verdana"/>
                <w:sz w:val="11"/>
                <w:szCs w:val="11"/>
                <w:color w:val="auto"/>
              </w:rPr>
              <w:t>373,581</w:t>
            </w:r>
          </w:p>
        </w:tc>
        <w:tc>
          <w:tcPr>
            <w:tcW w:w="1160" w:type="dxa"/>
            <w:vAlign w:val="bottom"/>
          </w:tcPr>
          <w:p>
            <w:pPr>
              <w:jc w:val="right"/>
              <w:ind w:right="47"/>
              <w:spacing w:after="0"/>
              <w:rPr>
                <w:sz w:val="20"/>
                <w:szCs w:val="20"/>
                <w:color w:val="auto"/>
              </w:rPr>
            </w:pPr>
            <w:r>
              <w:rPr>
                <w:rFonts w:ascii="Verdana" w:cs="Verdana" w:eastAsia="Verdana" w:hAnsi="Verdana"/>
                <w:sz w:val="11"/>
                <w:szCs w:val="11"/>
                <w:color w:val="auto"/>
              </w:rPr>
              <w:t>1,932</w:t>
            </w:r>
          </w:p>
        </w:tc>
        <w:tc>
          <w:tcPr>
            <w:tcW w:w="1080" w:type="dxa"/>
            <w:vAlign w:val="bottom"/>
          </w:tcPr>
          <w:p>
            <w:pPr>
              <w:jc w:val="right"/>
              <w:ind w:right="7"/>
              <w:spacing w:after="0"/>
              <w:rPr>
                <w:sz w:val="20"/>
                <w:szCs w:val="20"/>
                <w:color w:val="auto"/>
              </w:rPr>
            </w:pPr>
            <w:r>
              <w:rPr>
                <w:rFonts w:ascii="Verdana" w:cs="Verdana" w:eastAsia="Verdana" w:hAnsi="Verdana"/>
                <w:sz w:val="11"/>
                <w:szCs w:val="11"/>
                <w:color w:val="auto"/>
              </w:rPr>
              <w:t>603</w:t>
            </w:r>
          </w:p>
        </w:tc>
        <w:tc>
          <w:tcPr>
            <w:tcW w:w="1140" w:type="dxa"/>
            <w:vAlign w:val="bottom"/>
          </w:tcPr>
          <w:p>
            <w:pPr>
              <w:jc w:val="right"/>
              <w:ind w:right="8"/>
              <w:spacing w:after="0"/>
              <w:rPr>
                <w:sz w:val="20"/>
                <w:szCs w:val="20"/>
                <w:color w:val="auto"/>
              </w:rPr>
            </w:pPr>
            <w:r>
              <w:rPr>
                <w:rFonts w:ascii="Verdana" w:cs="Verdana" w:eastAsia="Verdana" w:hAnsi="Verdana"/>
                <w:sz w:val="11"/>
                <w:szCs w:val="11"/>
                <w:color w:val="auto"/>
              </w:rPr>
              <w:t>—</w:t>
            </w:r>
          </w:p>
        </w:tc>
        <w:tc>
          <w:tcPr>
            <w:tcW w:w="1180" w:type="dxa"/>
            <w:vAlign w:val="bottom"/>
          </w:tcPr>
          <w:p>
            <w:pPr>
              <w:jc w:val="right"/>
              <w:ind w:right="68"/>
              <w:spacing w:after="0"/>
              <w:rPr>
                <w:sz w:val="20"/>
                <w:szCs w:val="20"/>
                <w:color w:val="auto"/>
              </w:rPr>
            </w:pPr>
            <w:r>
              <w:rPr>
                <w:rFonts w:ascii="Verdana" w:cs="Verdana" w:eastAsia="Verdana" w:hAnsi="Verdana"/>
                <w:sz w:val="11"/>
                <w:szCs w:val="11"/>
                <w:color w:val="auto"/>
              </w:rPr>
              <w:t>15,753</w:t>
            </w:r>
          </w:p>
        </w:tc>
        <w:tc>
          <w:tcPr>
            <w:tcW w:w="1080" w:type="dxa"/>
            <w:vAlign w:val="bottom"/>
          </w:tcPr>
          <w:p>
            <w:pPr>
              <w:jc w:val="right"/>
              <w:ind w:right="27"/>
              <w:spacing w:after="0"/>
              <w:rPr>
                <w:sz w:val="20"/>
                <w:szCs w:val="20"/>
                <w:color w:val="auto"/>
              </w:rPr>
            </w:pPr>
            <w:r>
              <w:rPr>
                <w:rFonts w:ascii="Verdana" w:cs="Verdana" w:eastAsia="Verdana" w:hAnsi="Verdana"/>
                <w:sz w:val="11"/>
                <w:szCs w:val="11"/>
                <w:color w:val="auto"/>
              </w:rPr>
              <w:t>1,850</w:t>
            </w:r>
          </w:p>
        </w:tc>
        <w:tc>
          <w:tcPr>
            <w:tcW w:w="1100" w:type="dxa"/>
            <w:vAlign w:val="bottom"/>
          </w:tcPr>
          <w:p>
            <w:pPr>
              <w:jc w:val="right"/>
              <w:ind w:right="7"/>
              <w:spacing w:after="0"/>
              <w:rPr>
                <w:sz w:val="20"/>
                <w:szCs w:val="20"/>
                <w:color w:val="auto"/>
              </w:rPr>
            </w:pPr>
            <w:r>
              <w:rPr>
                <w:rFonts w:ascii="Verdana" w:cs="Verdana" w:eastAsia="Verdana" w:hAnsi="Verdana"/>
                <w:sz w:val="11"/>
                <w:szCs w:val="11"/>
                <w:color w:val="auto"/>
              </w:rPr>
              <w:t>393,719</w:t>
            </w:r>
          </w:p>
        </w:tc>
        <w:tc>
          <w:tcPr>
            <w:tcW w:w="0" w:type="dxa"/>
            <w:vAlign w:val="bottom"/>
          </w:tcPr>
          <w:p>
            <w:pPr>
              <w:spacing w:after="0"/>
              <w:rPr>
                <w:sz w:val="1"/>
                <w:szCs w:val="1"/>
                <w:color w:val="auto"/>
              </w:rPr>
            </w:pPr>
          </w:p>
        </w:tc>
      </w:tr>
      <w:tr>
        <w:trPr>
          <w:trHeight w:val="36"/>
        </w:trPr>
        <w:tc>
          <w:tcPr>
            <w:tcW w:w="124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16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18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0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rPr>
                <w:sz w:val="20"/>
                <w:szCs w:val="20"/>
                <w:color w:val="auto"/>
              </w:rPr>
            </w:pPr>
            <w:r>
              <w:rPr>
                <w:rFonts w:ascii="Verdana" w:cs="Verdana" w:eastAsia="Verdana" w:hAnsi="Verdana"/>
                <w:sz w:val="11"/>
                <w:szCs w:val="11"/>
                <w:color w:val="auto"/>
              </w:rPr>
              <w:t>Frank C. Orsini</w:t>
            </w:r>
          </w:p>
        </w:tc>
        <w:tc>
          <w:tcPr>
            <w:tcW w:w="1380" w:type="dxa"/>
            <w:vAlign w:val="bottom"/>
          </w:tcPr>
          <w:p>
            <w:pPr>
              <w:jc w:val="right"/>
              <w:ind w:right="7"/>
              <w:spacing w:after="0"/>
              <w:rPr>
                <w:sz w:val="20"/>
                <w:szCs w:val="20"/>
                <w:color w:val="auto"/>
              </w:rPr>
            </w:pPr>
            <w:r>
              <w:rPr>
                <w:rFonts w:ascii="Verdana" w:cs="Verdana" w:eastAsia="Verdana" w:hAnsi="Verdana"/>
                <w:sz w:val="11"/>
                <w:szCs w:val="11"/>
                <w:color w:val="auto"/>
              </w:rPr>
              <w:t>374,681</w:t>
            </w:r>
          </w:p>
        </w:tc>
        <w:tc>
          <w:tcPr>
            <w:tcW w:w="1160" w:type="dxa"/>
            <w:vAlign w:val="bottom"/>
          </w:tcPr>
          <w:p>
            <w:pPr>
              <w:jc w:val="right"/>
              <w:ind w:right="47"/>
              <w:spacing w:after="0"/>
              <w:rPr>
                <w:sz w:val="20"/>
                <w:szCs w:val="20"/>
                <w:color w:val="auto"/>
              </w:rPr>
            </w:pPr>
            <w:r>
              <w:rPr>
                <w:rFonts w:ascii="Verdana" w:cs="Verdana" w:eastAsia="Verdana" w:hAnsi="Verdana"/>
                <w:sz w:val="11"/>
                <w:szCs w:val="11"/>
                <w:color w:val="auto"/>
              </w:rPr>
              <w:t>1,932</w:t>
            </w:r>
          </w:p>
        </w:tc>
        <w:tc>
          <w:tcPr>
            <w:tcW w:w="1080" w:type="dxa"/>
            <w:vAlign w:val="bottom"/>
          </w:tcPr>
          <w:p>
            <w:pPr>
              <w:jc w:val="right"/>
              <w:ind w:right="7"/>
              <w:spacing w:after="0"/>
              <w:rPr>
                <w:sz w:val="20"/>
                <w:szCs w:val="20"/>
                <w:color w:val="auto"/>
              </w:rPr>
            </w:pPr>
            <w:r>
              <w:rPr>
                <w:rFonts w:ascii="Verdana" w:cs="Verdana" w:eastAsia="Verdana" w:hAnsi="Verdana"/>
                <w:sz w:val="11"/>
                <w:szCs w:val="11"/>
                <w:color w:val="auto"/>
              </w:rPr>
              <w:t>603</w:t>
            </w:r>
          </w:p>
        </w:tc>
        <w:tc>
          <w:tcPr>
            <w:tcW w:w="1140" w:type="dxa"/>
            <w:vAlign w:val="bottom"/>
          </w:tcPr>
          <w:p>
            <w:pPr>
              <w:jc w:val="right"/>
              <w:ind w:right="8"/>
              <w:spacing w:after="0"/>
              <w:rPr>
                <w:sz w:val="20"/>
                <w:szCs w:val="20"/>
                <w:color w:val="auto"/>
              </w:rPr>
            </w:pPr>
            <w:r>
              <w:rPr>
                <w:rFonts w:ascii="Verdana" w:cs="Verdana" w:eastAsia="Verdana" w:hAnsi="Verdana"/>
                <w:sz w:val="11"/>
                <w:szCs w:val="11"/>
                <w:color w:val="auto"/>
              </w:rPr>
              <w:t>—</w:t>
            </w:r>
          </w:p>
        </w:tc>
        <w:tc>
          <w:tcPr>
            <w:tcW w:w="1180" w:type="dxa"/>
            <w:vAlign w:val="bottom"/>
          </w:tcPr>
          <w:p>
            <w:pPr>
              <w:jc w:val="right"/>
              <w:ind w:right="68"/>
              <w:spacing w:after="0"/>
              <w:rPr>
                <w:sz w:val="20"/>
                <w:szCs w:val="20"/>
                <w:color w:val="auto"/>
              </w:rPr>
            </w:pPr>
            <w:r>
              <w:rPr>
                <w:rFonts w:ascii="Verdana" w:cs="Verdana" w:eastAsia="Verdana" w:hAnsi="Verdana"/>
                <w:sz w:val="11"/>
                <w:szCs w:val="11"/>
                <w:color w:val="auto"/>
              </w:rPr>
              <w:t>26,624</w:t>
            </w:r>
          </w:p>
        </w:tc>
        <w:tc>
          <w:tcPr>
            <w:tcW w:w="1080" w:type="dxa"/>
            <w:vAlign w:val="bottom"/>
          </w:tcPr>
          <w:p>
            <w:pPr>
              <w:jc w:val="right"/>
              <w:ind w:right="27"/>
              <w:spacing w:after="0"/>
              <w:rPr>
                <w:sz w:val="20"/>
                <w:szCs w:val="20"/>
                <w:color w:val="auto"/>
              </w:rPr>
            </w:pPr>
            <w:r>
              <w:rPr>
                <w:rFonts w:ascii="Verdana" w:cs="Verdana" w:eastAsia="Verdana" w:hAnsi="Verdana"/>
                <w:sz w:val="11"/>
                <w:szCs w:val="11"/>
                <w:color w:val="auto"/>
              </w:rPr>
              <w:t>—</w:t>
            </w:r>
          </w:p>
        </w:tc>
        <w:tc>
          <w:tcPr>
            <w:tcW w:w="1100" w:type="dxa"/>
            <w:vAlign w:val="bottom"/>
          </w:tcPr>
          <w:p>
            <w:pPr>
              <w:jc w:val="right"/>
              <w:ind w:right="7"/>
              <w:spacing w:after="0"/>
              <w:rPr>
                <w:sz w:val="20"/>
                <w:szCs w:val="20"/>
                <w:color w:val="auto"/>
              </w:rPr>
            </w:pPr>
            <w:r>
              <w:rPr>
                <w:rFonts w:ascii="Verdana" w:cs="Verdana" w:eastAsia="Verdana" w:hAnsi="Verdana"/>
                <w:sz w:val="11"/>
                <w:szCs w:val="11"/>
                <w:color w:val="auto"/>
              </w:rPr>
              <w:t>403,840</w:t>
            </w:r>
          </w:p>
        </w:tc>
        <w:tc>
          <w:tcPr>
            <w:tcW w:w="0" w:type="dxa"/>
            <w:vAlign w:val="bottom"/>
          </w:tcPr>
          <w:p>
            <w:pPr>
              <w:spacing w:after="0"/>
              <w:rPr>
                <w:sz w:val="1"/>
                <w:szCs w:val="1"/>
                <w:color w:val="auto"/>
              </w:rPr>
            </w:pPr>
          </w:p>
        </w:tc>
      </w:tr>
      <w:tr>
        <w:trPr>
          <w:trHeight w:val="36"/>
        </w:trPr>
        <w:tc>
          <w:tcPr>
            <w:tcW w:w="124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16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18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0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rPr>
                <w:sz w:val="20"/>
                <w:szCs w:val="20"/>
                <w:color w:val="auto"/>
              </w:rPr>
            </w:pPr>
            <w:r>
              <w:rPr>
                <w:rFonts w:ascii="Verdana" w:cs="Verdana" w:eastAsia="Verdana" w:hAnsi="Verdana"/>
                <w:sz w:val="11"/>
                <w:szCs w:val="11"/>
                <w:color w:val="auto"/>
              </w:rPr>
              <w:t>Carl A. Esposito</w:t>
            </w:r>
          </w:p>
        </w:tc>
        <w:tc>
          <w:tcPr>
            <w:tcW w:w="1380" w:type="dxa"/>
            <w:vAlign w:val="bottom"/>
          </w:tcPr>
          <w:p>
            <w:pPr>
              <w:jc w:val="right"/>
              <w:ind w:right="7"/>
              <w:spacing w:after="0"/>
              <w:rPr>
                <w:sz w:val="20"/>
                <w:szCs w:val="20"/>
                <w:color w:val="auto"/>
              </w:rPr>
            </w:pPr>
            <w:r>
              <w:rPr>
                <w:rFonts w:ascii="Verdana" w:cs="Verdana" w:eastAsia="Verdana" w:hAnsi="Verdana"/>
                <w:sz w:val="11"/>
                <w:szCs w:val="11"/>
                <w:color w:val="auto"/>
              </w:rPr>
              <w:t>227,069</w:t>
            </w:r>
          </w:p>
        </w:tc>
        <w:tc>
          <w:tcPr>
            <w:tcW w:w="1160" w:type="dxa"/>
            <w:vAlign w:val="bottom"/>
          </w:tcPr>
          <w:p>
            <w:pPr>
              <w:jc w:val="right"/>
              <w:ind w:right="47"/>
              <w:spacing w:after="0"/>
              <w:rPr>
                <w:sz w:val="20"/>
                <w:szCs w:val="20"/>
                <w:color w:val="auto"/>
              </w:rPr>
            </w:pPr>
            <w:r>
              <w:rPr>
                <w:rFonts w:ascii="Verdana" w:cs="Verdana" w:eastAsia="Verdana" w:hAnsi="Verdana"/>
                <w:sz w:val="11"/>
                <w:szCs w:val="11"/>
                <w:color w:val="auto"/>
              </w:rPr>
              <w:t>3,612</w:t>
            </w:r>
          </w:p>
        </w:tc>
        <w:tc>
          <w:tcPr>
            <w:tcW w:w="1080" w:type="dxa"/>
            <w:vAlign w:val="bottom"/>
          </w:tcPr>
          <w:p>
            <w:pPr>
              <w:jc w:val="right"/>
              <w:ind w:right="7"/>
              <w:spacing w:after="0"/>
              <w:rPr>
                <w:sz w:val="20"/>
                <w:szCs w:val="20"/>
                <w:color w:val="auto"/>
              </w:rPr>
            </w:pPr>
            <w:r>
              <w:rPr>
                <w:rFonts w:ascii="Verdana" w:cs="Verdana" w:eastAsia="Verdana" w:hAnsi="Verdana"/>
                <w:sz w:val="11"/>
                <w:szCs w:val="11"/>
                <w:color w:val="auto"/>
              </w:rPr>
              <w:t>603</w:t>
            </w:r>
          </w:p>
        </w:tc>
        <w:tc>
          <w:tcPr>
            <w:tcW w:w="1140" w:type="dxa"/>
            <w:vAlign w:val="bottom"/>
          </w:tcPr>
          <w:p>
            <w:pPr>
              <w:jc w:val="right"/>
              <w:ind w:right="8"/>
              <w:spacing w:after="0"/>
              <w:rPr>
                <w:sz w:val="20"/>
                <w:szCs w:val="20"/>
                <w:color w:val="auto"/>
              </w:rPr>
            </w:pPr>
            <w:r>
              <w:rPr>
                <w:rFonts w:ascii="Verdana" w:cs="Verdana" w:eastAsia="Verdana" w:hAnsi="Verdana"/>
                <w:sz w:val="11"/>
                <w:szCs w:val="11"/>
                <w:color w:val="auto"/>
              </w:rPr>
              <w:t>—</w:t>
            </w:r>
          </w:p>
        </w:tc>
        <w:tc>
          <w:tcPr>
            <w:tcW w:w="1180" w:type="dxa"/>
            <w:vAlign w:val="bottom"/>
          </w:tcPr>
          <w:p>
            <w:pPr>
              <w:jc w:val="right"/>
              <w:ind w:right="68"/>
              <w:spacing w:after="0"/>
              <w:rPr>
                <w:sz w:val="20"/>
                <w:szCs w:val="20"/>
                <w:color w:val="auto"/>
              </w:rPr>
            </w:pPr>
            <w:r>
              <w:rPr>
                <w:rFonts w:ascii="Verdana" w:cs="Verdana" w:eastAsia="Verdana" w:hAnsi="Verdana"/>
                <w:sz w:val="11"/>
                <w:szCs w:val="11"/>
                <w:color w:val="auto"/>
              </w:rPr>
              <w:t>6,526</w:t>
            </w:r>
          </w:p>
        </w:tc>
        <w:tc>
          <w:tcPr>
            <w:tcW w:w="1080" w:type="dxa"/>
            <w:vAlign w:val="bottom"/>
          </w:tcPr>
          <w:p>
            <w:pPr>
              <w:jc w:val="right"/>
              <w:ind w:right="27"/>
              <w:spacing w:after="0"/>
              <w:rPr>
                <w:sz w:val="20"/>
                <w:szCs w:val="20"/>
                <w:color w:val="auto"/>
              </w:rPr>
            </w:pPr>
            <w:r>
              <w:rPr>
                <w:rFonts w:ascii="Verdana" w:cs="Verdana" w:eastAsia="Verdana" w:hAnsi="Verdana"/>
                <w:sz w:val="11"/>
                <w:szCs w:val="11"/>
                <w:color w:val="auto"/>
              </w:rPr>
              <w:t>2,500</w:t>
            </w:r>
          </w:p>
        </w:tc>
        <w:tc>
          <w:tcPr>
            <w:tcW w:w="1100" w:type="dxa"/>
            <w:vAlign w:val="bottom"/>
          </w:tcPr>
          <w:p>
            <w:pPr>
              <w:jc w:val="right"/>
              <w:ind w:right="7"/>
              <w:spacing w:after="0"/>
              <w:rPr>
                <w:sz w:val="20"/>
                <w:szCs w:val="20"/>
                <w:color w:val="auto"/>
              </w:rPr>
            </w:pPr>
            <w:r>
              <w:rPr>
                <w:rFonts w:ascii="Verdana" w:cs="Verdana" w:eastAsia="Verdana" w:hAnsi="Verdana"/>
                <w:sz w:val="11"/>
                <w:szCs w:val="11"/>
                <w:color w:val="auto"/>
              </w:rPr>
              <w:t>240,310</w:t>
            </w:r>
          </w:p>
        </w:tc>
        <w:tc>
          <w:tcPr>
            <w:tcW w:w="0" w:type="dxa"/>
            <w:vAlign w:val="bottom"/>
          </w:tcPr>
          <w:p>
            <w:pPr>
              <w:spacing w:after="0"/>
              <w:rPr>
                <w:sz w:val="1"/>
                <w:szCs w:val="1"/>
                <w:color w:val="auto"/>
              </w:rPr>
            </w:pPr>
          </w:p>
        </w:tc>
      </w:tr>
      <w:tr>
        <w:trPr>
          <w:trHeight w:val="36"/>
        </w:trPr>
        <w:tc>
          <w:tcPr>
            <w:tcW w:w="124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16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18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0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rPr>
                <w:sz w:val="20"/>
                <w:szCs w:val="20"/>
                <w:color w:val="auto"/>
              </w:rPr>
            </w:pPr>
            <w:r>
              <w:rPr>
                <w:rFonts w:ascii="Verdana" w:cs="Verdana" w:eastAsia="Verdana" w:hAnsi="Verdana"/>
                <w:sz w:val="11"/>
                <w:szCs w:val="11"/>
                <w:color w:val="auto"/>
              </w:rPr>
              <w:t>Harry A. Kemp</w:t>
            </w:r>
          </w:p>
        </w:tc>
        <w:tc>
          <w:tcPr>
            <w:tcW w:w="1380" w:type="dxa"/>
            <w:vAlign w:val="bottom"/>
          </w:tcPr>
          <w:p>
            <w:pPr>
              <w:jc w:val="right"/>
              <w:ind w:right="7"/>
              <w:spacing w:after="0"/>
              <w:rPr>
                <w:sz w:val="20"/>
                <w:szCs w:val="20"/>
                <w:color w:val="auto"/>
              </w:rPr>
            </w:pPr>
            <w:r>
              <w:rPr>
                <w:rFonts w:ascii="Verdana" w:cs="Verdana" w:eastAsia="Verdana" w:hAnsi="Verdana"/>
                <w:sz w:val="11"/>
                <w:szCs w:val="11"/>
                <w:color w:val="auto"/>
              </w:rPr>
              <w:t>188,082</w:t>
            </w:r>
          </w:p>
        </w:tc>
        <w:tc>
          <w:tcPr>
            <w:tcW w:w="1160" w:type="dxa"/>
            <w:vAlign w:val="bottom"/>
          </w:tcPr>
          <w:p>
            <w:pPr>
              <w:jc w:val="right"/>
              <w:ind w:right="47"/>
              <w:spacing w:after="0"/>
              <w:rPr>
                <w:sz w:val="20"/>
                <w:szCs w:val="20"/>
                <w:color w:val="auto"/>
              </w:rPr>
            </w:pPr>
            <w:r>
              <w:rPr>
                <w:rFonts w:ascii="Verdana" w:cs="Verdana" w:eastAsia="Verdana" w:hAnsi="Verdana"/>
                <w:sz w:val="11"/>
                <w:szCs w:val="11"/>
                <w:color w:val="auto"/>
              </w:rPr>
              <w:t>1,260</w:t>
            </w:r>
          </w:p>
        </w:tc>
        <w:tc>
          <w:tcPr>
            <w:tcW w:w="1080" w:type="dxa"/>
            <w:vAlign w:val="bottom"/>
          </w:tcPr>
          <w:p>
            <w:pPr>
              <w:jc w:val="right"/>
              <w:ind w:right="7"/>
              <w:spacing w:after="0"/>
              <w:rPr>
                <w:sz w:val="20"/>
                <w:szCs w:val="20"/>
                <w:color w:val="auto"/>
              </w:rPr>
            </w:pPr>
            <w:r>
              <w:rPr>
                <w:rFonts w:ascii="Verdana" w:cs="Verdana" w:eastAsia="Verdana" w:hAnsi="Verdana"/>
                <w:sz w:val="11"/>
                <w:szCs w:val="11"/>
                <w:color w:val="auto"/>
              </w:rPr>
              <w:t>603</w:t>
            </w:r>
          </w:p>
        </w:tc>
        <w:tc>
          <w:tcPr>
            <w:tcW w:w="1140" w:type="dxa"/>
            <w:vAlign w:val="bottom"/>
          </w:tcPr>
          <w:p>
            <w:pPr>
              <w:jc w:val="right"/>
              <w:ind w:right="8"/>
              <w:spacing w:after="0"/>
              <w:rPr>
                <w:sz w:val="20"/>
                <w:szCs w:val="20"/>
                <w:color w:val="auto"/>
              </w:rPr>
            </w:pPr>
            <w:r>
              <w:rPr>
                <w:rFonts w:ascii="Verdana" w:cs="Verdana" w:eastAsia="Verdana" w:hAnsi="Verdana"/>
                <w:sz w:val="11"/>
                <w:szCs w:val="11"/>
                <w:color w:val="auto"/>
              </w:rPr>
              <w:t>—</w:t>
            </w:r>
          </w:p>
        </w:tc>
        <w:tc>
          <w:tcPr>
            <w:tcW w:w="1180" w:type="dxa"/>
            <w:vAlign w:val="bottom"/>
          </w:tcPr>
          <w:p>
            <w:pPr>
              <w:jc w:val="right"/>
              <w:ind w:right="68"/>
              <w:spacing w:after="0"/>
              <w:rPr>
                <w:sz w:val="20"/>
                <w:szCs w:val="20"/>
                <w:color w:val="auto"/>
              </w:rPr>
            </w:pPr>
            <w:r>
              <w:rPr>
                <w:rFonts w:ascii="Verdana" w:cs="Verdana" w:eastAsia="Verdana" w:hAnsi="Verdana"/>
                <w:sz w:val="11"/>
                <w:szCs w:val="11"/>
                <w:color w:val="auto"/>
              </w:rPr>
              <w:t>21,468</w:t>
            </w:r>
          </w:p>
        </w:tc>
        <w:tc>
          <w:tcPr>
            <w:tcW w:w="1080" w:type="dxa"/>
            <w:vAlign w:val="bottom"/>
          </w:tcPr>
          <w:p>
            <w:pPr>
              <w:jc w:val="right"/>
              <w:ind w:right="27"/>
              <w:spacing w:after="0"/>
              <w:rPr>
                <w:sz w:val="20"/>
                <w:szCs w:val="20"/>
                <w:color w:val="auto"/>
              </w:rPr>
            </w:pPr>
            <w:r>
              <w:rPr>
                <w:rFonts w:ascii="Verdana" w:cs="Verdana" w:eastAsia="Verdana" w:hAnsi="Verdana"/>
                <w:sz w:val="11"/>
                <w:szCs w:val="11"/>
                <w:color w:val="auto"/>
              </w:rPr>
              <w:t>1,850</w:t>
            </w:r>
          </w:p>
        </w:tc>
        <w:tc>
          <w:tcPr>
            <w:tcW w:w="1100" w:type="dxa"/>
            <w:vAlign w:val="bottom"/>
          </w:tcPr>
          <w:p>
            <w:pPr>
              <w:jc w:val="right"/>
              <w:ind w:right="7"/>
              <w:spacing w:after="0"/>
              <w:rPr>
                <w:sz w:val="20"/>
                <w:szCs w:val="20"/>
                <w:color w:val="auto"/>
              </w:rPr>
            </w:pPr>
            <w:r>
              <w:rPr>
                <w:rFonts w:ascii="Verdana" w:cs="Verdana" w:eastAsia="Verdana" w:hAnsi="Verdana"/>
                <w:sz w:val="11"/>
                <w:szCs w:val="11"/>
                <w:color w:val="auto"/>
              </w:rPr>
              <w:t>213,263</w:t>
            </w:r>
          </w:p>
        </w:tc>
        <w:tc>
          <w:tcPr>
            <w:tcW w:w="0" w:type="dxa"/>
            <w:vAlign w:val="bottom"/>
          </w:tcPr>
          <w:p>
            <w:pPr>
              <w:spacing w:after="0"/>
              <w:rPr>
                <w:sz w:val="1"/>
                <w:szCs w:val="1"/>
                <w:color w:val="auto"/>
              </w:rPr>
            </w:pPr>
          </w:p>
        </w:tc>
      </w:tr>
      <w:tr>
        <w:trPr>
          <w:trHeight w:val="36"/>
        </w:trPr>
        <w:tc>
          <w:tcPr>
            <w:tcW w:w="124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16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18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0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rPr>
                <w:sz w:val="20"/>
                <w:szCs w:val="20"/>
                <w:color w:val="auto"/>
              </w:rPr>
            </w:pPr>
            <w:r>
              <w:rPr>
                <w:rFonts w:ascii="Verdana" w:cs="Verdana" w:eastAsia="Verdana" w:hAnsi="Verdana"/>
                <w:sz w:val="11"/>
                <w:szCs w:val="11"/>
                <w:color w:val="auto"/>
              </w:rPr>
              <w:t>Alicia J. Davis</w:t>
            </w:r>
          </w:p>
        </w:tc>
        <w:tc>
          <w:tcPr>
            <w:tcW w:w="1380" w:type="dxa"/>
            <w:vAlign w:val="bottom"/>
          </w:tcPr>
          <w:p>
            <w:pPr>
              <w:jc w:val="right"/>
              <w:ind w:right="7"/>
              <w:spacing w:after="0"/>
              <w:rPr>
                <w:sz w:val="20"/>
                <w:szCs w:val="20"/>
                <w:color w:val="auto"/>
              </w:rPr>
            </w:pPr>
            <w:r>
              <w:rPr>
                <w:rFonts w:ascii="Verdana" w:cs="Verdana" w:eastAsia="Verdana" w:hAnsi="Verdana"/>
                <w:sz w:val="11"/>
                <w:szCs w:val="11"/>
                <w:color w:val="auto"/>
              </w:rPr>
              <w:t>152,745</w:t>
            </w:r>
          </w:p>
        </w:tc>
        <w:tc>
          <w:tcPr>
            <w:tcW w:w="1160" w:type="dxa"/>
            <w:vAlign w:val="bottom"/>
          </w:tcPr>
          <w:p>
            <w:pPr>
              <w:jc w:val="right"/>
              <w:ind w:right="47"/>
              <w:spacing w:after="0"/>
              <w:rPr>
                <w:sz w:val="20"/>
                <w:szCs w:val="20"/>
                <w:color w:val="auto"/>
              </w:rPr>
            </w:pPr>
            <w:r>
              <w:rPr>
                <w:rFonts w:ascii="Verdana" w:cs="Verdana" w:eastAsia="Verdana" w:hAnsi="Verdana"/>
                <w:sz w:val="11"/>
                <w:szCs w:val="11"/>
                <w:color w:val="auto"/>
              </w:rPr>
              <w:t>1,932</w:t>
            </w:r>
          </w:p>
        </w:tc>
        <w:tc>
          <w:tcPr>
            <w:tcW w:w="1080" w:type="dxa"/>
            <w:vAlign w:val="bottom"/>
          </w:tcPr>
          <w:p>
            <w:pPr>
              <w:jc w:val="right"/>
              <w:ind w:right="7"/>
              <w:spacing w:after="0"/>
              <w:rPr>
                <w:sz w:val="20"/>
                <w:szCs w:val="20"/>
                <w:color w:val="auto"/>
              </w:rPr>
            </w:pPr>
            <w:r>
              <w:rPr>
                <w:rFonts w:ascii="Verdana" w:cs="Verdana" w:eastAsia="Verdana" w:hAnsi="Verdana"/>
                <w:sz w:val="11"/>
                <w:szCs w:val="11"/>
                <w:color w:val="auto"/>
              </w:rPr>
              <w:t>603</w:t>
            </w:r>
          </w:p>
        </w:tc>
        <w:tc>
          <w:tcPr>
            <w:tcW w:w="1140" w:type="dxa"/>
            <w:vAlign w:val="bottom"/>
          </w:tcPr>
          <w:p>
            <w:pPr>
              <w:jc w:val="right"/>
              <w:ind w:right="8"/>
              <w:spacing w:after="0"/>
              <w:rPr>
                <w:sz w:val="20"/>
                <w:szCs w:val="20"/>
                <w:color w:val="auto"/>
              </w:rPr>
            </w:pPr>
            <w:r>
              <w:rPr>
                <w:rFonts w:ascii="Verdana" w:cs="Verdana" w:eastAsia="Verdana" w:hAnsi="Verdana"/>
                <w:sz w:val="11"/>
                <w:szCs w:val="11"/>
                <w:color w:val="auto"/>
              </w:rPr>
              <w:t>—</w:t>
            </w:r>
          </w:p>
        </w:tc>
        <w:tc>
          <w:tcPr>
            <w:tcW w:w="1180" w:type="dxa"/>
            <w:vAlign w:val="bottom"/>
          </w:tcPr>
          <w:p>
            <w:pPr>
              <w:jc w:val="right"/>
              <w:ind w:right="68"/>
              <w:spacing w:after="0"/>
              <w:rPr>
                <w:sz w:val="20"/>
                <w:szCs w:val="20"/>
                <w:color w:val="auto"/>
              </w:rPr>
            </w:pPr>
            <w:r>
              <w:rPr>
                <w:rFonts w:ascii="Verdana" w:cs="Verdana" w:eastAsia="Verdana" w:hAnsi="Verdana"/>
                <w:sz w:val="11"/>
                <w:szCs w:val="11"/>
                <w:color w:val="auto"/>
              </w:rPr>
              <w:t>35,574</w:t>
            </w:r>
          </w:p>
        </w:tc>
        <w:tc>
          <w:tcPr>
            <w:tcW w:w="1080" w:type="dxa"/>
            <w:vAlign w:val="bottom"/>
          </w:tcPr>
          <w:p>
            <w:pPr>
              <w:jc w:val="right"/>
              <w:ind w:right="27"/>
              <w:spacing w:after="0"/>
              <w:rPr>
                <w:sz w:val="20"/>
                <w:szCs w:val="20"/>
                <w:color w:val="auto"/>
              </w:rPr>
            </w:pPr>
            <w:r>
              <w:rPr>
                <w:rFonts w:ascii="Verdana" w:cs="Verdana" w:eastAsia="Verdana" w:hAnsi="Verdana"/>
                <w:sz w:val="11"/>
                <w:szCs w:val="11"/>
                <w:color w:val="auto"/>
              </w:rPr>
              <w:t>1,850</w:t>
            </w:r>
          </w:p>
        </w:tc>
        <w:tc>
          <w:tcPr>
            <w:tcW w:w="1100" w:type="dxa"/>
            <w:vAlign w:val="bottom"/>
          </w:tcPr>
          <w:p>
            <w:pPr>
              <w:jc w:val="right"/>
              <w:ind w:right="7"/>
              <w:spacing w:after="0"/>
              <w:rPr>
                <w:sz w:val="20"/>
                <w:szCs w:val="20"/>
                <w:color w:val="auto"/>
              </w:rPr>
            </w:pPr>
            <w:r>
              <w:rPr>
                <w:rFonts w:ascii="Verdana" w:cs="Verdana" w:eastAsia="Verdana" w:hAnsi="Verdana"/>
                <w:sz w:val="11"/>
                <w:szCs w:val="11"/>
                <w:color w:val="auto"/>
              </w:rPr>
              <w:t>192,704</w:t>
            </w:r>
          </w:p>
        </w:tc>
        <w:tc>
          <w:tcPr>
            <w:tcW w:w="0" w:type="dxa"/>
            <w:vAlign w:val="bottom"/>
          </w:tcPr>
          <w:p>
            <w:pPr>
              <w:spacing w:after="0"/>
              <w:rPr>
                <w:sz w:val="1"/>
                <w:szCs w:val="1"/>
                <w:color w:val="auto"/>
              </w:rPr>
            </w:pPr>
          </w:p>
        </w:tc>
      </w:tr>
      <w:tr>
        <w:trPr>
          <w:trHeight w:val="35"/>
        </w:trPr>
        <w:tc>
          <w:tcPr>
            <w:tcW w:w="124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16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40" w:type="dxa"/>
            <w:vAlign w:val="bottom"/>
            <w:tcBorders>
              <w:bottom w:val="single" w:sz="8" w:color="B3B0AC"/>
            </w:tcBorders>
          </w:tcPr>
          <w:p>
            <w:pPr>
              <w:spacing w:after="0"/>
              <w:rPr>
                <w:sz w:val="3"/>
                <w:szCs w:val="3"/>
                <w:color w:val="auto"/>
              </w:rPr>
            </w:pPr>
          </w:p>
        </w:tc>
        <w:tc>
          <w:tcPr>
            <w:tcW w:w="118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10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right="300" w:hanging="328"/>
        <w:spacing w:after="0" w:line="270" w:lineRule="auto"/>
        <w:tabs>
          <w:tab w:leader="none" w:pos="818" w:val="left"/>
        </w:tabs>
        <w:numPr>
          <w:ilvl w:val="0"/>
          <w:numId w:val="92"/>
        </w:numPr>
        <w:rPr>
          <w:rFonts w:ascii="Verdana" w:cs="Verdana" w:eastAsia="Verdana" w:hAnsi="Verdana"/>
          <w:sz w:val="14"/>
          <w:szCs w:val="14"/>
          <w:color w:val="auto"/>
        </w:rPr>
      </w:pPr>
      <w:r>
        <w:rPr>
          <w:rFonts w:ascii="Verdana" w:cs="Verdana" w:eastAsia="Verdana" w:hAnsi="Verdana"/>
          <w:sz w:val="14"/>
          <w:szCs w:val="14"/>
          <w:color w:val="auto"/>
        </w:rPr>
        <w:t>Matching and automatic non-matching company contributions allocated by the Company to each NEO pursuant to the tax-qualified Salaried Retirement Savings Program ("RSP") and the non-qualified Salaried Retirement Restoration Program ("SRRP") as follows:</w:t>
      </w:r>
    </w:p>
    <w:tbl>
      <w:tblPr>
        <w:tblLayout w:type="fixed"/>
        <w:tblInd w:w="660" w:type="dxa"/>
        <w:tblCellMar>
          <w:top w:w="0" w:type="dxa"/>
          <w:left w:w="0" w:type="dxa"/>
          <w:bottom w:w="0" w:type="dxa"/>
          <w:right w:w="0" w:type="dxa"/>
        </w:tblCellMar>
      </w:tblPr>
      <w:tr>
        <w:trPr>
          <w:trHeight w:val="146"/>
        </w:trPr>
        <w:tc>
          <w:tcPr>
            <w:tcW w:w="1220" w:type="dxa"/>
            <w:vAlign w:val="bottom"/>
            <w:tcBorders>
              <w:top w:val="single" w:sz="8" w:color="696158"/>
            </w:tcBorders>
          </w:tcPr>
          <w:p>
            <w:pPr>
              <w:spacing w:after="0"/>
              <w:rPr>
                <w:sz w:val="12"/>
                <w:szCs w:val="12"/>
                <w:color w:val="auto"/>
              </w:rPr>
            </w:pPr>
          </w:p>
        </w:tc>
        <w:tc>
          <w:tcPr>
            <w:tcW w:w="1200" w:type="dxa"/>
            <w:vAlign w:val="bottom"/>
            <w:tcBorders>
              <w:top w:val="single" w:sz="8" w:color="696158"/>
            </w:tcBorders>
          </w:tcPr>
          <w:p>
            <w:pPr>
              <w:jc w:val="center"/>
              <w:ind w:left="26"/>
              <w:spacing w:after="0"/>
              <w:rPr>
                <w:sz w:val="20"/>
                <w:szCs w:val="20"/>
                <w:color w:val="auto"/>
              </w:rPr>
            </w:pPr>
            <w:r>
              <w:rPr>
                <w:rFonts w:ascii="Verdana" w:cs="Verdana" w:eastAsia="Verdana" w:hAnsi="Verdana"/>
                <w:sz w:val="11"/>
                <w:szCs w:val="11"/>
                <w:b w:val="1"/>
                <w:bCs w:val="1"/>
                <w:color w:val="307FE2"/>
                <w:w w:val="97"/>
              </w:rPr>
              <w:t>RSP</w:t>
            </w:r>
          </w:p>
        </w:tc>
        <w:tc>
          <w:tcPr>
            <w:tcW w:w="1120" w:type="dxa"/>
            <w:vAlign w:val="bottom"/>
            <w:tcBorders>
              <w:top w:val="single" w:sz="8" w:color="696158"/>
            </w:tcBorders>
          </w:tcPr>
          <w:p>
            <w:pPr>
              <w:jc w:val="center"/>
              <w:ind w:right="26"/>
              <w:spacing w:after="0"/>
              <w:rPr>
                <w:sz w:val="20"/>
                <w:szCs w:val="20"/>
                <w:color w:val="auto"/>
              </w:rPr>
            </w:pPr>
            <w:r>
              <w:rPr>
                <w:rFonts w:ascii="Verdana" w:cs="Verdana" w:eastAsia="Verdana" w:hAnsi="Verdana"/>
                <w:sz w:val="11"/>
                <w:szCs w:val="11"/>
                <w:b w:val="1"/>
                <w:bCs w:val="1"/>
                <w:color w:val="307FE2"/>
                <w:w w:val="97"/>
              </w:rPr>
              <w:t>RSP</w:t>
            </w:r>
          </w:p>
        </w:tc>
        <w:tc>
          <w:tcPr>
            <w:tcW w:w="1080" w:type="dxa"/>
            <w:vAlign w:val="bottom"/>
            <w:tcBorders>
              <w:top w:val="single" w:sz="8" w:color="696158"/>
            </w:tcBorders>
          </w:tcPr>
          <w:p>
            <w:pPr>
              <w:jc w:val="center"/>
              <w:ind w:right="26"/>
              <w:spacing w:after="0"/>
              <w:rPr>
                <w:sz w:val="20"/>
                <w:szCs w:val="20"/>
                <w:color w:val="auto"/>
              </w:rPr>
            </w:pPr>
            <w:r>
              <w:rPr>
                <w:rFonts w:ascii="Verdana" w:cs="Verdana" w:eastAsia="Verdana" w:hAnsi="Verdana"/>
                <w:sz w:val="11"/>
                <w:szCs w:val="11"/>
                <w:b w:val="1"/>
                <w:bCs w:val="1"/>
                <w:color w:val="307FE2"/>
                <w:w w:val="96"/>
              </w:rPr>
              <w:t>SRRP</w:t>
            </w:r>
          </w:p>
        </w:tc>
        <w:tc>
          <w:tcPr>
            <w:tcW w:w="1060" w:type="dxa"/>
            <w:vAlign w:val="bottom"/>
            <w:tcBorders>
              <w:top w:val="single" w:sz="8" w:color="696158"/>
            </w:tcBorders>
          </w:tcPr>
          <w:p>
            <w:pPr>
              <w:jc w:val="center"/>
              <w:spacing w:after="0"/>
              <w:rPr>
                <w:sz w:val="20"/>
                <w:szCs w:val="20"/>
                <w:color w:val="auto"/>
              </w:rPr>
            </w:pPr>
            <w:r>
              <w:rPr>
                <w:rFonts w:ascii="Verdana" w:cs="Verdana" w:eastAsia="Verdana" w:hAnsi="Verdana"/>
                <w:sz w:val="11"/>
                <w:szCs w:val="11"/>
                <w:b w:val="1"/>
                <w:bCs w:val="1"/>
                <w:color w:val="307FE2"/>
                <w:w w:val="96"/>
              </w:rPr>
              <w:t>SRRP</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0" w:type="dxa"/>
            <w:vAlign w:val="bottom"/>
          </w:tcPr>
          <w:p>
            <w:pPr>
              <w:jc w:val="center"/>
              <w:ind w:left="6"/>
              <w:spacing w:after="0" w:line="122" w:lineRule="exact"/>
              <w:rPr>
                <w:sz w:val="20"/>
                <w:szCs w:val="20"/>
                <w:color w:val="auto"/>
              </w:rPr>
            </w:pPr>
            <w:r>
              <w:rPr>
                <w:rFonts w:ascii="Verdana" w:cs="Verdana" w:eastAsia="Verdana" w:hAnsi="Verdana"/>
                <w:sz w:val="11"/>
                <w:szCs w:val="11"/>
                <w:b w:val="1"/>
                <w:bCs w:val="1"/>
                <w:color w:val="307FE2"/>
                <w:w w:val="95"/>
              </w:rPr>
              <w:t>Matching</w:t>
            </w:r>
          </w:p>
        </w:tc>
        <w:tc>
          <w:tcPr>
            <w:tcW w:w="1120" w:type="dxa"/>
            <w:vAlign w:val="bottom"/>
          </w:tcPr>
          <w:p>
            <w:pPr>
              <w:jc w:val="center"/>
              <w:ind w:right="6"/>
              <w:spacing w:after="0" w:line="122" w:lineRule="exact"/>
              <w:rPr>
                <w:sz w:val="20"/>
                <w:szCs w:val="20"/>
                <w:color w:val="auto"/>
              </w:rPr>
            </w:pPr>
            <w:r>
              <w:rPr>
                <w:rFonts w:ascii="Verdana" w:cs="Verdana" w:eastAsia="Verdana" w:hAnsi="Verdana"/>
                <w:sz w:val="11"/>
                <w:szCs w:val="11"/>
                <w:b w:val="1"/>
                <w:bCs w:val="1"/>
                <w:color w:val="307FE2"/>
                <w:w w:val="98"/>
              </w:rPr>
              <w:t>Non-matching</w:t>
            </w:r>
          </w:p>
        </w:tc>
        <w:tc>
          <w:tcPr>
            <w:tcW w:w="1080" w:type="dxa"/>
            <w:vAlign w:val="bottom"/>
          </w:tcPr>
          <w:p>
            <w:pPr>
              <w:jc w:val="center"/>
              <w:ind w:right="26"/>
              <w:spacing w:after="0" w:line="122" w:lineRule="exact"/>
              <w:rPr>
                <w:sz w:val="20"/>
                <w:szCs w:val="20"/>
                <w:color w:val="auto"/>
              </w:rPr>
            </w:pPr>
            <w:r>
              <w:rPr>
                <w:rFonts w:ascii="Verdana" w:cs="Verdana" w:eastAsia="Verdana" w:hAnsi="Verdana"/>
                <w:sz w:val="11"/>
                <w:szCs w:val="11"/>
                <w:b w:val="1"/>
                <w:bCs w:val="1"/>
                <w:color w:val="307FE2"/>
                <w:w w:val="99"/>
              </w:rPr>
              <w:t>Matching</w:t>
            </w:r>
          </w:p>
        </w:tc>
        <w:tc>
          <w:tcPr>
            <w:tcW w:w="106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8"/>
              </w:rPr>
              <w:t>Non-matching</w:t>
            </w:r>
          </w:p>
        </w:tc>
        <w:tc>
          <w:tcPr>
            <w:tcW w:w="0" w:type="dxa"/>
            <w:vAlign w:val="bottom"/>
          </w:tcPr>
          <w:p>
            <w:pPr>
              <w:spacing w:after="0"/>
              <w:rPr>
                <w:sz w:val="1"/>
                <w:szCs w:val="1"/>
                <w:color w:val="auto"/>
              </w:rPr>
            </w:pPr>
          </w:p>
        </w:tc>
      </w:tr>
      <w:tr>
        <w:trPr>
          <w:trHeight w:val="135"/>
        </w:trPr>
        <w:tc>
          <w:tcPr>
            <w:tcW w:w="1220" w:type="dxa"/>
            <w:vAlign w:val="bottom"/>
            <w:vMerge w:val="restart"/>
          </w:tcPr>
          <w:p>
            <w:pPr>
              <w:ind w:left="20"/>
              <w:spacing w:after="0"/>
              <w:rPr>
                <w:sz w:val="20"/>
                <w:szCs w:val="20"/>
                <w:color w:val="auto"/>
              </w:rPr>
            </w:pPr>
            <w:r>
              <w:rPr>
                <w:rFonts w:ascii="Verdana" w:cs="Verdana" w:eastAsia="Verdana" w:hAnsi="Verdana"/>
                <w:sz w:val="11"/>
                <w:szCs w:val="11"/>
                <w:b w:val="1"/>
                <w:bCs w:val="1"/>
                <w:color w:val="307FE2"/>
              </w:rPr>
              <w:t>Name</w:t>
            </w:r>
          </w:p>
        </w:tc>
        <w:tc>
          <w:tcPr>
            <w:tcW w:w="1200" w:type="dxa"/>
            <w:vAlign w:val="bottom"/>
          </w:tcPr>
          <w:p>
            <w:pPr>
              <w:jc w:val="center"/>
              <w:ind w:left="26"/>
              <w:spacing w:after="0"/>
              <w:rPr>
                <w:sz w:val="20"/>
                <w:szCs w:val="20"/>
                <w:color w:val="auto"/>
              </w:rPr>
            </w:pPr>
            <w:r>
              <w:rPr>
                <w:rFonts w:ascii="Verdana" w:cs="Verdana" w:eastAsia="Verdana" w:hAnsi="Verdana"/>
                <w:sz w:val="11"/>
                <w:szCs w:val="11"/>
                <w:b w:val="1"/>
                <w:bCs w:val="1"/>
                <w:color w:val="307FE2"/>
                <w:w w:val="98"/>
              </w:rPr>
              <w:t>Contribution</w:t>
            </w:r>
          </w:p>
        </w:tc>
        <w:tc>
          <w:tcPr>
            <w:tcW w:w="1120" w:type="dxa"/>
            <w:vAlign w:val="bottom"/>
          </w:tcPr>
          <w:p>
            <w:pPr>
              <w:jc w:val="center"/>
              <w:ind w:right="26"/>
              <w:spacing w:after="0"/>
              <w:rPr>
                <w:sz w:val="20"/>
                <w:szCs w:val="20"/>
                <w:color w:val="auto"/>
              </w:rPr>
            </w:pPr>
            <w:r>
              <w:rPr>
                <w:rFonts w:ascii="Verdana" w:cs="Verdana" w:eastAsia="Verdana" w:hAnsi="Verdana"/>
                <w:sz w:val="11"/>
                <w:szCs w:val="11"/>
                <w:b w:val="1"/>
                <w:bCs w:val="1"/>
                <w:color w:val="307FE2"/>
                <w:w w:val="98"/>
              </w:rPr>
              <w:t>Contribution</w:t>
            </w:r>
          </w:p>
        </w:tc>
        <w:tc>
          <w:tcPr>
            <w:tcW w:w="1080" w:type="dxa"/>
            <w:vAlign w:val="bottom"/>
          </w:tcPr>
          <w:p>
            <w:pPr>
              <w:jc w:val="center"/>
              <w:ind w:right="26"/>
              <w:spacing w:after="0"/>
              <w:rPr>
                <w:sz w:val="20"/>
                <w:szCs w:val="20"/>
                <w:color w:val="auto"/>
              </w:rPr>
            </w:pPr>
            <w:r>
              <w:rPr>
                <w:rFonts w:ascii="Verdana" w:cs="Verdana" w:eastAsia="Verdana" w:hAnsi="Verdana"/>
                <w:sz w:val="11"/>
                <w:szCs w:val="11"/>
                <w:b w:val="1"/>
                <w:bCs w:val="1"/>
                <w:color w:val="307FE2"/>
                <w:w w:val="98"/>
              </w:rPr>
              <w:t>Contribution</w:t>
            </w:r>
          </w:p>
        </w:tc>
        <w:tc>
          <w:tcPr>
            <w:tcW w:w="106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Contribution</w:t>
            </w:r>
          </w:p>
        </w:tc>
        <w:tc>
          <w:tcPr>
            <w:tcW w:w="0" w:type="dxa"/>
            <w:vAlign w:val="bottom"/>
          </w:tcPr>
          <w:p>
            <w:pPr>
              <w:spacing w:after="0"/>
              <w:rPr>
                <w:sz w:val="1"/>
                <w:szCs w:val="1"/>
                <w:color w:val="auto"/>
              </w:rPr>
            </w:pPr>
          </w:p>
        </w:tc>
      </w:tr>
      <w:tr>
        <w:trPr>
          <w:trHeight w:val="141"/>
        </w:trPr>
        <w:tc>
          <w:tcPr>
            <w:tcW w:w="1220" w:type="dxa"/>
            <w:vAlign w:val="bottom"/>
            <w:vMerge w:val="continue"/>
          </w:tcPr>
          <w:p>
            <w:pPr>
              <w:spacing w:after="0"/>
              <w:rPr>
                <w:sz w:val="12"/>
                <w:szCs w:val="12"/>
                <w:color w:val="auto"/>
              </w:rPr>
            </w:pPr>
          </w:p>
        </w:tc>
        <w:tc>
          <w:tcPr>
            <w:tcW w:w="1200" w:type="dxa"/>
            <w:vAlign w:val="bottom"/>
          </w:tcPr>
          <w:p>
            <w:pPr>
              <w:jc w:val="center"/>
              <w:ind w:left="6"/>
              <w:spacing w:after="0"/>
              <w:rPr>
                <w:sz w:val="20"/>
                <w:szCs w:val="20"/>
                <w:color w:val="auto"/>
              </w:rPr>
            </w:pPr>
            <w:r>
              <w:rPr>
                <w:rFonts w:ascii="Verdana" w:cs="Verdana" w:eastAsia="Verdana" w:hAnsi="Verdana"/>
                <w:sz w:val="11"/>
                <w:szCs w:val="11"/>
                <w:b w:val="1"/>
                <w:bCs w:val="1"/>
                <w:color w:val="307FE2"/>
                <w:w w:val="90"/>
              </w:rPr>
              <w:t>($)</w:t>
            </w:r>
          </w:p>
        </w:tc>
        <w:tc>
          <w:tcPr>
            <w:tcW w:w="1120" w:type="dxa"/>
            <w:vAlign w:val="bottom"/>
          </w:tcPr>
          <w:p>
            <w:pPr>
              <w:jc w:val="center"/>
              <w:ind w:right="26"/>
              <w:spacing w:after="0"/>
              <w:rPr>
                <w:sz w:val="20"/>
                <w:szCs w:val="20"/>
                <w:color w:val="auto"/>
              </w:rPr>
            </w:pPr>
            <w:r>
              <w:rPr>
                <w:rFonts w:ascii="Verdana" w:cs="Verdana" w:eastAsia="Verdana" w:hAnsi="Verdana"/>
                <w:sz w:val="11"/>
                <w:szCs w:val="11"/>
                <w:b w:val="1"/>
                <w:bCs w:val="1"/>
                <w:color w:val="307FE2"/>
              </w:rPr>
              <w:t>($)</w:t>
            </w:r>
          </w:p>
        </w:tc>
        <w:tc>
          <w:tcPr>
            <w:tcW w:w="1080" w:type="dxa"/>
            <w:vAlign w:val="bottom"/>
          </w:tcPr>
          <w:p>
            <w:pPr>
              <w:jc w:val="center"/>
              <w:ind w:right="26"/>
              <w:spacing w:after="0"/>
              <w:rPr>
                <w:sz w:val="20"/>
                <w:szCs w:val="20"/>
                <w:color w:val="auto"/>
              </w:rPr>
            </w:pPr>
            <w:r>
              <w:rPr>
                <w:rFonts w:ascii="Verdana" w:cs="Verdana" w:eastAsia="Verdana" w:hAnsi="Verdana"/>
                <w:sz w:val="11"/>
                <w:szCs w:val="11"/>
                <w:b w:val="1"/>
                <w:bCs w:val="1"/>
                <w:color w:val="307FE2"/>
              </w:rPr>
              <w:t>($)</w:t>
            </w:r>
          </w:p>
        </w:tc>
        <w:tc>
          <w:tcPr>
            <w:tcW w:w="1060" w:type="dxa"/>
            <w:vAlign w:val="bottom"/>
          </w:tcPr>
          <w:p>
            <w:pPr>
              <w:jc w:val="center"/>
              <w:spacing w:after="0"/>
              <w:rPr>
                <w:sz w:val="20"/>
                <w:szCs w:val="20"/>
                <w:color w:val="auto"/>
              </w:rPr>
            </w:pPr>
            <w:r>
              <w:rPr>
                <w:rFonts w:ascii="Verdana" w:cs="Verdana" w:eastAsia="Verdana" w:hAnsi="Verdana"/>
                <w:sz w:val="11"/>
                <w:szCs w:val="11"/>
                <w:b w:val="1"/>
                <w:bCs w:val="1"/>
                <w:color w:val="307FE2"/>
                <w:w w:val="90"/>
              </w:rPr>
              <w:t>($)</w:t>
            </w:r>
          </w:p>
        </w:tc>
        <w:tc>
          <w:tcPr>
            <w:tcW w:w="0" w:type="dxa"/>
            <w:vAlign w:val="bottom"/>
          </w:tcPr>
          <w:p>
            <w:pPr>
              <w:spacing w:after="0"/>
              <w:rPr>
                <w:sz w:val="1"/>
                <w:szCs w:val="1"/>
                <w:color w:val="auto"/>
              </w:rPr>
            </w:pPr>
          </w:p>
        </w:tc>
      </w:tr>
      <w:tr>
        <w:trPr>
          <w:trHeight w:val="22"/>
        </w:trPr>
        <w:tc>
          <w:tcPr>
            <w:tcW w:w="1220" w:type="dxa"/>
            <w:vAlign w:val="bottom"/>
            <w:tcBorders>
              <w:bottom w:val="single" w:sz="8" w:color="1D428A"/>
            </w:tcBorders>
          </w:tcPr>
          <w:p>
            <w:pPr>
              <w:spacing w:after="0" w:line="20" w:lineRule="exact"/>
              <w:rPr>
                <w:sz w:val="1"/>
                <w:szCs w:val="1"/>
                <w:color w:val="auto"/>
              </w:rPr>
            </w:pPr>
          </w:p>
        </w:tc>
        <w:tc>
          <w:tcPr>
            <w:tcW w:w="1200" w:type="dxa"/>
            <w:vAlign w:val="bottom"/>
            <w:tcBorders>
              <w:bottom w:val="single" w:sz="8" w:color="1D428A"/>
            </w:tcBorders>
          </w:tcPr>
          <w:p>
            <w:pPr>
              <w:spacing w:after="0" w:line="20" w:lineRule="exact"/>
              <w:rPr>
                <w:sz w:val="1"/>
                <w:szCs w:val="1"/>
                <w:color w:val="auto"/>
              </w:rPr>
            </w:pPr>
          </w:p>
        </w:tc>
        <w:tc>
          <w:tcPr>
            <w:tcW w:w="1120" w:type="dxa"/>
            <w:vAlign w:val="bottom"/>
            <w:tcBorders>
              <w:bottom w:val="single" w:sz="8" w:color="1D428A"/>
            </w:tcBorders>
          </w:tcPr>
          <w:p>
            <w:pPr>
              <w:spacing w:after="0" w:line="20" w:lineRule="exact"/>
              <w:rPr>
                <w:sz w:val="1"/>
                <w:szCs w:val="1"/>
                <w:color w:val="auto"/>
              </w:rPr>
            </w:pPr>
          </w:p>
        </w:tc>
        <w:tc>
          <w:tcPr>
            <w:tcW w:w="1080" w:type="dxa"/>
            <w:vAlign w:val="bottom"/>
            <w:tcBorders>
              <w:bottom w:val="single" w:sz="8" w:color="1D428A"/>
            </w:tcBorders>
          </w:tcPr>
          <w:p>
            <w:pPr>
              <w:spacing w:after="0" w:line="20" w:lineRule="exact"/>
              <w:rPr>
                <w:sz w:val="1"/>
                <w:szCs w:val="1"/>
                <w:color w:val="auto"/>
              </w:rPr>
            </w:pPr>
          </w:p>
        </w:tc>
        <w:tc>
          <w:tcPr>
            <w:tcW w:w="1060" w:type="dxa"/>
            <w:vAlign w:val="bottom"/>
            <w:tcBorders>
              <w:bottom w:val="single" w:sz="8" w:color="1D428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Raymond E. Scott</w:t>
            </w:r>
          </w:p>
        </w:tc>
        <w:tc>
          <w:tcPr>
            <w:tcW w:w="1200" w:type="dxa"/>
            <w:vAlign w:val="bottom"/>
          </w:tcPr>
          <w:p>
            <w:pPr>
              <w:jc w:val="right"/>
              <w:ind w:right="26"/>
              <w:spacing w:after="0"/>
              <w:rPr>
                <w:sz w:val="20"/>
                <w:szCs w:val="20"/>
                <w:color w:val="auto"/>
              </w:rPr>
            </w:pPr>
            <w:r>
              <w:rPr>
                <w:rFonts w:ascii="Verdana" w:cs="Verdana" w:eastAsia="Verdana" w:hAnsi="Verdana"/>
                <w:sz w:val="11"/>
                <w:szCs w:val="11"/>
                <w:color w:val="auto"/>
              </w:rPr>
              <w:t>15,525</w:t>
            </w:r>
          </w:p>
        </w:tc>
        <w:tc>
          <w:tcPr>
            <w:tcW w:w="1120" w:type="dxa"/>
            <w:vAlign w:val="bottom"/>
          </w:tcPr>
          <w:p>
            <w:pPr>
              <w:jc w:val="right"/>
              <w:ind w:right="66"/>
              <w:spacing w:after="0"/>
              <w:rPr>
                <w:sz w:val="20"/>
                <w:szCs w:val="20"/>
                <w:color w:val="auto"/>
              </w:rPr>
            </w:pPr>
            <w:r>
              <w:rPr>
                <w:rFonts w:ascii="Verdana" w:cs="Verdana" w:eastAsia="Verdana" w:hAnsi="Verdana"/>
                <w:sz w:val="11"/>
                <w:szCs w:val="11"/>
                <w:color w:val="auto"/>
              </w:rPr>
              <w:t>30,475</w:t>
            </w:r>
          </w:p>
        </w:tc>
        <w:tc>
          <w:tcPr>
            <w:tcW w:w="1080" w:type="dxa"/>
            <w:vAlign w:val="bottom"/>
          </w:tcPr>
          <w:p>
            <w:pPr>
              <w:jc w:val="right"/>
              <w:ind w:right="46"/>
              <w:spacing w:after="0"/>
              <w:rPr>
                <w:sz w:val="20"/>
                <w:szCs w:val="20"/>
                <w:color w:val="auto"/>
              </w:rPr>
            </w:pPr>
            <w:r>
              <w:rPr>
                <w:rFonts w:ascii="Verdana" w:cs="Verdana" w:eastAsia="Verdana" w:hAnsi="Verdana"/>
                <w:sz w:val="11"/>
                <w:szCs w:val="11"/>
                <w:color w:val="auto"/>
              </w:rPr>
              <w:t>203,145</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545,901</w:t>
            </w:r>
          </w:p>
        </w:tc>
        <w:tc>
          <w:tcPr>
            <w:tcW w:w="0" w:type="dxa"/>
            <w:vAlign w:val="bottom"/>
          </w:tcPr>
          <w:p>
            <w:pPr>
              <w:spacing w:after="0"/>
              <w:rPr>
                <w:sz w:val="1"/>
                <w:szCs w:val="1"/>
                <w:color w:val="auto"/>
              </w:rPr>
            </w:pPr>
          </w:p>
        </w:tc>
      </w:tr>
      <w:tr>
        <w:trPr>
          <w:trHeight w:val="35"/>
        </w:trPr>
        <w:tc>
          <w:tcPr>
            <w:tcW w:w="1220" w:type="dxa"/>
            <w:vAlign w:val="bottom"/>
            <w:tcBorders>
              <w:bottom w:val="single" w:sz="8" w:color="B3B0AC"/>
            </w:tcBorders>
          </w:tcPr>
          <w:p>
            <w:pPr>
              <w:spacing w:after="0"/>
              <w:rPr>
                <w:sz w:val="3"/>
                <w:szCs w:val="3"/>
                <w:color w:val="auto"/>
              </w:rPr>
            </w:pPr>
          </w:p>
        </w:tc>
        <w:tc>
          <w:tcPr>
            <w:tcW w:w="1200" w:type="dxa"/>
            <w:vAlign w:val="bottom"/>
            <w:tcBorders>
              <w:bottom w:val="single" w:sz="8" w:color="B3B0AC"/>
            </w:tcBorders>
          </w:tcPr>
          <w:p>
            <w:pPr>
              <w:spacing w:after="0"/>
              <w:rPr>
                <w:sz w:val="3"/>
                <w:szCs w:val="3"/>
                <w:color w:val="auto"/>
              </w:rPr>
            </w:pPr>
          </w:p>
        </w:tc>
        <w:tc>
          <w:tcPr>
            <w:tcW w:w="11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Jason M. Cardew</w:t>
            </w:r>
          </w:p>
        </w:tc>
        <w:tc>
          <w:tcPr>
            <w:tcW w:w="1200" w:type="dxa"/>
            <w:vAlign w:val="bottom"/>
          </w:tcPr>
          <w:p>
            <w:pPr>
              <w:jc w:val="right"/>
              <w:ind w:right="26"/>
              <w:spacing w:after="0"/>
              <w:rPr>
                <w:sz w:val="20"/>
                <w:szCs w:val="20"/>
                <w:color w:val="auto"/>
              </w:rPr>
            </w:pPr>
            <w:r>
              <w:rPr>
                <w:rFonts w:ascii="Verdana" w:cs="Verdana" w:eastAsia="Verdana" w:hAnsi="Verdana"/>
                <w:sz w:val="11"/>
                <w:szCs w:val="11"/>
                <w:color w:val="auto"/>
              </w:rPr>
              <w:t>15,525</w:t>
            </w:r>
          </w:p>
        </w:tc>
        <w:tc>
          <w:tcPr>
            <w:tcW w:w="1120" w:type="dxa"/>
            <w:vAlign w:val="bottom"/>
          </w:tcPr>
          <w:p>
            <w:pPr>
              <w:jc w:val="right"/>
              <w:ind w:right="66"/>
              <w:spacing w:after="0"/>
              <w:rPr>
                <w:sz w:val="20"/>
                <w:szCs w:val="20"/>
                <w:color w:val="auto"/>
              </w:rPr>
            </w:pPr>
            <w:r>
              <w:rPr>
                <w:rFonts w:ascii="Verdana" w:cs="Verdana" w:eastAsia="Verdana" w:hAnsi="Verdana"/>
                <w:sz w:val="11"/>
                <w:szCs w:val="11"/>
                <w:color w:val="auto"/>
              </w:rPr>
              <w:t>30,475</w:t>
            </w:r>
          </w:p>
        </w:tc>
        <w:tc>
          <w:tcPr>
            <w:tcW w:w="1080" w:type="dxa"/>
            <w:vAlign w:val="bottom"/>
          </w:tcPr>
          <w:p>
            <w:pPr>
              <w:jc w:val="right"/>
              <w:ind w:right="46"/>
              <w:spacing w:after="0"/>
              <w:rPr>
                <w:sz w:val="20"/>
                <w:szCs w:val="20"/>
                <w:color w:val="auto"/>
              </w:rPr>
            </w:pPr>
            <w:r>
              <w:rPr>
                <w:rFonts w:ascii="Verdana" w:cs="Verdana" w:eastAsia="Verdana" w:hAnsi="Verdana"/>
                <w:sz w:val="11"/>
                <w:szCs w:val="11"/>
                <w:color w:val="auto"/>
              </w:rPr>
              <w:t>88,200</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239,381</w:t>
            </w:r>
          </w:p>
        </w:tc>
        <w:tc>
          <w:tcPr>
            <w:tcW w:w="0" w:type="dxa"/>
            <w:vAlign w:val="bottom"/>
          </w:tcPr>
          <w:p>
            <w:pPr>
              <w:spacing w:after="0"/>
              <w:rPr>
                <w:sz w:val="1"/>
                <w:szCs w:val="1"/>
                <w:color w:val="auto"/>
              </w:rPr>
            </w:pPr>
          </w:p>
        </w:tc>
      </w:tr>
      <w:tr>
        <w:trPr>
          <w:trHeight w:val="35"/>
        </w:trPr>
        <w:tc>
          <w:tcPr>
            <w:tcW w:w="1220" w:type="dxa"/>
            <w:vAlign w:val="bottom"/>
            <w:tcBorders>
              <w:bottom w:val="single" w:sz="8" w:color="B3B0AC"/>
            </w:tcBorders>
          </w:tcPr>
          <w:p>
            <w:pPr>
              <w:spacing w:after="0"/>
              <w:rPr>
                <w:sz w:val="3"/>
                <w:szCs w:val="3"/>
                <w:color w:val="auto"/>
              </w:rPr>
            </w:pPr>
          </w:p>
        </w:tc>
        <w:tc>
          <w:tcPr>
            <w:tcW w:w="1200" w:type="dxa"/>
            <w:vAlign w:val="bottom"/>
            <w:tcBorders>
              <w:bottom w:val="single" w:sz="8" w:color="B3B0AC"/>
            </w:tcBorders>
          </w:tcPr>
          <w:p>
            <w:pPr>
              <w:spacing w:after="0"/>
              <w:rPr>
                <w:sz w:val="3"/>
                <w:szCs w:val="3"/>
                <w:color w:val="auto"/>
              </w:rPr>
            </w:pPr>
          </w:p>
        </w:tc>
        <w:tc>
          <w:tcPr>
            <w:tcW w:w="11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Frank C. Orsini</w:t>
            </w:r>
          </w:p>
        </w:tc>
        <w:tc>
          <w:tcPr>
            <w:tcW w:w="1200" w:type="dxa"/>
            <w:vAlign w:val="bottom"/>
          </w:tcPr>
          <w:p>
            <w:pPr>
              <w:jc w:val="right"/>
              <w:ind w:right="26"/>
              <w:spacing w:after="0"/>
              <w:rPr>
                <w:sz w:val="20"/>
                <w:szCs w:val="20"/>
                <w:color w:val="auto"/>
              </w:rPr>
            </w:pPr>
            <w:r>
              <w:rPr>
                <w:rFonts w:ascii="Verdana" w:cs="Verdana" w:eastAsia="Verdana" w:hAnsi="Verdana"/>
                <w:sz w:val="11"/>
                <w:szCs w:val="11"/>
                <w:color w:val="auto"/>
              </w:rPr>
              <w:t>15,525</w:t>
            </w:r>
          </w:p>
        </w:tc>
        <w:tc>
          <w:tcPr>
            <w:tcW w:w="1120" w:type="dxa"/>
            <w:vAlign w:val="bottom"/>
          </w:tcPr>
          <w:p>
            <w:pPr>
              <w:jc w:val="right"/>
              <w:ind w:right="66"/>
              <w:spacing w:after="0"/>
              <w:rPr>
                <w:sz w:val="20"/>
                <w:szCs w:val="20"/>
                <w:color w:val="auto"/>
              </w:rPr>
            </w:pPr>
            <w:r>
              <w:rPr>
                <w:rFonts w:ascii="Verdana" w:cs="Verdana" w:eastAsia="Verdana" w:hAnsi="Verdana"/>
                <w:sz w:val="11"/>
                <w:szCs w:val="11"/>
                <w:color w:val="auto"/>
              </w:rPr>
              <w:t>30,475</w:t>
            </w:r>
          </w:p>
        </w:tc>
        <w:tc>
          <w:tcPr>
            <w:tcW w:w="1080" w:type="dxa"/>
            <w:vAlign w:val="bottom"/>
          </w:tcPr>
          <w:p>
            <w:pPr>
              <w:jc w:val="right"/>
              <w:ind w:right="46"/>
              <w:spacing w:after="0"/>
              <w:rPr>
                <w:sz w:val="20"/>
                <w:szCs w:val="20"/>
                <w:color w:val="auto"/>
              </w:rPr>
            </w:pPr>
            <w:r>
              <w:rPr>
                <w:rFonts w:ascii="Verdana" w:cs="Verdana" w:eastAsia="Verdana" w:hAnsi="Verdana"/>
                <w:sz w:val="11"/>
                <w:szCs w:val="11"/>
                <w:color w:val="auto"/>
              </w:rPr>
              <w:t>88,500</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240,181</w:t>
            </w:r>
          </w:p>
        </w:tc>
        <w:tc>
          <w:tcPr>
            <w:tcW w:w="0" w:type="dxa"/>
            <w:vAlign w:val="bottom"/>
          </w:tcPr>
          <w:p>
            <w:pPr>
              <w:spacing w:after="0"/>
              <w:rPr>
                <w:sz w:val="1"/>
                <w:szCs w:val="1"/>
                <w:color w:val="auto"/>
              </w:rPr>
            </w:pPr>
          </w:p>
        </w:tc>
      </w:tr>
      <w:tr>
        <w:trPr>
          <w:trHeight w:val="35"/>
        </w:trPr>
        <w:tc>
          <w:tcPr>
            <w:tcW w:w="1220" w:type="dxa"/>
            <w:vAlign w:val="bottom"/>
            <w:tcBorders>
              <w:bottom w:val="single" w:sz="8" w:color="B3B0AC"/>
            </w:tcBorders>
          </w:tcPr>
          <w:p>
            <w:pPr>
              <w:spacing w:after="0"/>
              <w:rPr>
                <w:sz w:val="3"/>
                <w:szCs w:val="3"/>
                <w:color w:val="auto"/>
              </w:rPr>
            </w:pPr>
          </w:p>
        </w:tc>
        <w:tc>
          <w:tcPr>
            <w:tcW w:w="1200" w:type="dxa"/>
            <w:vAlign w:val="bottom"/>
            <w:tcBorders>
              <w:bottom w:val="single" w:sz="8" w:color="B3B0AC"/>
            </w:tcBorders>
          </w:tcPr>
          <w:p>
            <w:pPr>
              <w:spacing w:after="0"/>
              <w:rPr>
                <w:sz w:val="3"/>
                <w:szCs w:val="3"/>
                <w:color w:val="auto"/>
              </w:rPr>
            </w:pPr>
          </w:p>
        </w:tc>
        <w:tc>
          <w:tcPr>
            <w:tcW w:w="11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Carl A. Esposito</w:t>
            </w:r>
          </w:p>
        </w:tc>
        <w:tc>
          <w:tcPr>
            <w:tcW w:w="1200" w:type="dxa"/>
            <w:vAlign w:val="bottom"/>
          </w:tcPr>
          <w:p>
            <w:pPr>
              <w:jc w:val="right"/>
              <w:ind w:right="26"/>
              <w:spacing w:after="0"/>
              <w:rPr>
                <w:sz w:val="20"/>
                <w:szCs w:val="20"/>
                <w:color w:val="auto"/>
              </w:rPr>
            </w:pPr>
            <w:r>
              <w:rPr>
                <w:rFonts w:ascii="Verdana" w:cs="Verdana" w:eastAsia="Verdana" w:hAnsi="Verdana"/>
                <w:sz w:val="11"/>
                <w:szCs w:val="11"/>
                <w:color w:val="auto"/>
              </w:rPr>
              <w:t>15,525</w:t>
            </w:r>
          </w:p>
        </w:tc>
        <w:tc>
          <w:tcPr>
            <w:tcW w:w="1120" w:type="dxa"/>
            <w:vAlign w:val="bottom"/>
          </w:tcPr>
          <w:p>
            <w:pPr>
              <w:jc w:val="right"/>
              <w:ind w:right="66"/>
              <w:spacing w:after="0"/>
              <w:rPr>
                <w:sz w:val="20"/>
                <w:szCs w:val="20"/>
                <w:color w:val="auto"/>
              </w:rPr>
            </w:pPr>
            <w:r>
              <w:rPr>
                <w:rFonts w:ascii="Verdana" w:cs="Verdana" w:eastAsia="Verdana" w:hAnsi="Verdana"/>
                <w:sz w:val="11"/>
                <w:szCs w:val="11"/>
                <w:color w:val="auto"/>
              </w:rPr>
              <w:t>25,992</w:t>
            </w:r>
          </w:p>
        </w:tc>
        <w:tc>
          <w:tcPr>
            <w:tcW w:w="1080" w:type="dxa"/>
            <w:vAlign w:val="bottom"/>
          </w:tcPr>
          <w:p>
            <w:pPr>
              <w:jc w:val="right"/>
              <w:ind w:right="46"/>
              <w:spacing w:after="0"/>
              <w:rPr>
                <w:sz w:val="20"/>
                <w:szCs w:val="20"/>
                <w:color w:val="auto"/>
              </w:rPr>
            </w:pPr>
            <w:r>
              <w:rPr>
                <w:rFonts w:ascii="Verdana" w:cs="Verdana" w:eastAsia="Verdana" w:hAnsi="Verdana"/>
                <w:sz w:val="11"/>
                <w:szCs w:val="11"/>
                <w:color w:val="auto"/>
              </w:rPr>
              <w:t>61,851</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123,701</w:t>
            </w:r>
          </w:p>
        </w:tc>
        <w:tc>
          <w:tcPr>
            <w:tcW w:w="0" w:type="dxa"/>
            <w:vAlign w:val="bottom"/>
          </w:tcPr>
          <w:p>
            <w:pPr>
              <w:spacing w:after="0"/>
              <w:rPr>
                <w:sz w:val="1"/>
                <w:szCs w:val="1"/>
                <w:color w:val="auto"/>
              </w:rPr>
            </w:pPr>
          </w:p>
        </w:tc>
      </w:tr>
      <w:tr>
        <w:trPr>
          <w:trHeight w:val="35"/>
        </w:trPr>
        <w:tc>
          <w:tcPr>
            <w:tcW w:w="1220" w:type="dxa"/>
            <w:vAlign w:val="bottom"/>
            <w:tcBorders>
              <w:bottom w:val="single" w:sz="8" w:color="B3B0AC"/>
            </w:tcBorders>
          </w:tcPr>
          <w:p>
            <w:pPr>
              <w:spacing w:after="0"/>
              <w:rPr>
                <w:sz w:val="3"/>
                <w:szCs w:val="3"/>
                <w:color w:val="auto"/>
              </w:rPr>
            </w:pPr>
          </w:p>
        </w:tc>
        <w:tc>
          <w:tcPr>
            <w:tcW w:w="1200" w:type="dxa"/>
            <w:vAlign w:val="bottom"/>
            <w:tcBorders>
              <w:bottom w:val="single" w:sz="8" w:color="B3B0AC"/>
            </w:tcBorders>
          </w:tcPr>
          <w:p>
            <w:pPr>
              <w:spacing w:after="0"/>
              <w:rPr>
                <w:sz w:val="3"/>
                <w:szCs w:val="3"/>
                <w:color w:val="auto"/>
              </w:rPr>
            </w:pPr>
          </w:p>
        </w:tc>
        <w:tc>
          <w:tcPr>
            <w:tcW w:w="11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Harry A. Kemp</w:t>
            </w:r>
          </w:p>
        </w:tc>
        <w:tc>
          <w:tcPr>
            <w:tcW w:w="1200" w:type="dxa"/>
            <w:vAlign w:val="bottom"/>
          </w:tcPr>
          <w:p>
            <w:pPr>
              <w:jc w:val="right"/>
              <w:ind w:right="26"/>
              <w:spacing w:after="0"/>
              <w:rPr>
                <w:sz w:val="20"/>
                <w:szCs w:val="20"/>
                <w:color w:val="auto"/>
              </w:rPr>
            </w:pPr>
            <w:r>
              <w:rPr>
                <w:rFonts w:ascii="Verdana" w:cs="Verdana" w:eastAsia="Verdana" w:hAnsi="Verdana"/>
                <w:sz w:val="11"/>
                <w:szCs w:val="11"/>
                <w:color w:val="auto"/>
              </w:rPr>
              <w:t>15,525</w:t>
            </w:r>
          </w:p>
        </w:tc>
        <w:tc>
          <w:tcPr>
            <w:tcW w:w="1120" w:type="dxa"/>
            <w:vAlign w:val="bottom"/>
          </w:tcPr>
          <w:p>
            <w:pPr>
              <w:jc w:val="right"/>
              <w:ind w:right="66"/>
              <w:spacing w:after="0"/>
              <w:rPr>
                <w:sz w:val="20"/>
                <w:szCs w:val="20"/>
                <w:color w:val="auto"/>
              </w:rPr>
            </w:pPr>
            <w:r>
              <w:rPr>
                <w:rFonts w:ascii="Verdana" w:cs="Verdana" w:eastAsia="Verdana" w:hAnsi="Verdana"/>
                <w:sz w:val="11"/>
                <w:szCs w:val="11"/>
                <w:color w:val="auto"/>
              </w:rPr>
              <w:t>25,992</w:t>
            </w:r>
          </w:p>
        </w:tc>
        <w:tc>
          <w:tcPr>
            <w:tcW w:w="1080" w:type="dxa"/>
            <w:vAlign w:val="bottom"/>
          </w:tcPr>
          <w:p>
            <w:pPr>
              <w:jc w:val="right"/>
              <w:ind w:right="46"/>
              <w:spacing w:after="0"/>
              <w:rPr>
                <w:sz w:val="20"/>
                <w:szCs w:val="20"/>
                <w:color w:val="auto"/>
              </w:rPr>
            </w:pPr>
            <w:r>
              <w:rPr>
                <w:rFonts w:ascii="Verdana" w:cs="Verdana" w:eastAsia="Verdana" w:hAnsi="Verdana"/>
                <w:sz w:val="11"/>
                <w:szCs w:val="11"/>
                <w:color w:val="auto"/>
              </w:rPr>
              <w:t>16,725</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129,840</w:t>
            </w:r>
          </w:p>
        </w:tc>
        <w:tc>
          <w:tcPr>
            <w:tcW w:w="0" w:type="dxa"/>
            <w:vAlign w:val="bottom"/>
          </w:tcPr>
          <w:p>
            <w:pPr>
              <w:spacing w:after="0"/>
              <w:rPr>
                <w:sz w:val="1"/>
                <w:szCs w:val="1"/>
                <w:color w:val="auto"/>
              </w:rPr>
            </w:pPr>
          </w:p>
        </w:tc>
      </w:tr>
      <w:tr>
        <w:trPr>
          <w:trHeight w:val="35"/>
        </w:trPr>
        <w:tc>
          <w:tcPr>
            <w:tcW w:w="1220" w:type="dxa"/>
            <w:vAlign w:val="bottom"/>
            <w:tcBorders>
              <w:bottom w:val="single" w:sz="8" w:color="B3B0AC"/>
            </w:tcBorders>
          </w:tcPr>
          <w:p>
            <w:pPr>
              <w:spacing w:after="0"/>
              <w:rPr>
                <w:sz w:val="3"/>
                <w:szCs w:val="3"/>
                <w:color w:val="auto"/>
              </w:rPr>
            </w:pPr>
          </w:p>
        </w:tc>
        <w:tc>
          <w:tcPr>
            <w:tcW w:w="1200" w:type="dxa"/>
            <w:vAlign w:val="bottom"/>
            <w:tcBorders>
              <w:bottom w:val="single" w:sz="8" w:color="B3B0AC"/>
            </w:tcBorders>
          </w:tcPr>
          <w:p>
            <w:pPr>
              <w:spacing w:after="0"/>
              <w:rPr>
                <w:sz w:val="3"/>
                <w:szCs w:val="3"/>
                <w:color w:val="auto"/>
              </w:rPr>
            </w:pPr>
          </w:p>
        </w:tc>
        <w:tc>
          <w:tcPr>
            <w:tcW w:w="11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Alicia J. Davis</w:t>
            </w:r>
          </w:p>
        </w:tc>
        <w:tc>
          <w:tcPr>
            <w:tcW w:w="1200" w:type="dxa"/>
            <w:vAlign w:val="bottom"/>
          </w:tcPr>
          <w:p>
            <w:pPr>
              <w:jc w:val="right"/>
              <w:ind w:right="26"/>
              <w:spacing w:after="0"/>
              <w:rPr>
                <w:sz w:val="20"/>
                <w:szCs w:val="20"/>
                <w:color w:val="auto"/>
              </w:rPr>
            </w:pPr>
            <w:r>
              <w:rPr>
                <w:rFonts w:ascii="Verdana" w:cs="Verdana" w:eastAsia="Verdana" w:hAnsi="Verdana"/>
                <w:sz w:val="11"/>
                <w:szCs w:val="11"/>
                <w:color w:val="auto"/>
              </w:rPr>
              <w:t>15,525</w:t>
            </w:r>
          </w:p>
        </w:tc>
        <w:tc>
          <w:tcPr>
            <w:tcW w:w="1120" w:type="dxa"/>
            <w:vAlign w:val="bottom"/>
          </w:tcPr>
          <w:p>
            <w:pPr>
              <w:jc w:val="right"/>
              <w:ind w:right="66"/>
              <w:spacing w:after="0"/>
              <w:rPr>
                <w:sz w:val="20"/>
                <w:szCs w:val="20"/>
                <w:color w:val="auto"/>
              </w:rPr>
            </w:pPr>
            <w:r>
              <w:rPr>
                <w:rFonts w:ascii="Verdana" w:cs="Verdana" w:eastAsia="Verdana" w:hAnsi="Verdana"/>
                <w:sz w:val="11"/>
                <w:szCs w:val="11"/>
                <w:color w:val="auto"/>
              </w:rPr>
              <w:t>21,660</w:t>
            </w:r>
          </w:p>
        </w:tc>
        <w:tc>
          <w:tcPr>
            <w:tcW w:w="1080" w:type="dxa"/>
            <w:vAlign w:val="bottom"/>
          </w:tcPr>
          <w:p>
            <w:pPr>
              <w:jc w:val="right"/>
              <w:ind w:right="46"/>
              <w:spacing w:after="0"/>
              <w:rPr>
                <w:sz w:val="20"/>
                <w:szCs w:val="20"/>
                <w:color w:val="auto"/>
              </w:rPr>
            </w:pPr>
            <w:r>
              <w:rPr>
                <w:rFonts w:ascii="Verdana" w:cs="Verdana" w:eastAsia="Verdana" w:hAnsi="Verdana"/>
                <w:sz w:val="11"/>
                <w:szCs w:val="11"/>
                <w:color w:val="auto"/>
              </w:rPr>
              <w:t>43,335</w:t>
            </w:r>
          </w:p>
        </w:tc>
        <w:tc>
          <w:tcPr>
            <w:tcW w:w="1060" w:type="dxa"/>
            <w:vAlign w:val="bottom"/>
          </w:tcPr>
          <w:p>
            <w:pPr>
              <w:jc w:val="right"/>
              <w:ind w:right="6"/>
              <w:spacing w:after="0"/>
              <w:rPr>
                <w:sz w:val="20"/>
                <w:szCs w:val="20"/>
                <w:color w:val="auto"/>
              </w:rPr>
            </w:pPr>
            <w:r>
              <w:rPr>
                <w:rFonts w:ascii="Verdana" w:cs="Verdana" w:eastAsia="Verdana" w:hAnsi="Verdana"/>
                <w:sz w:val="11"/>
                <w:szCs w:val="11"/>
                <w:color w:val="auto"/>
              </w:rPr>
              <w:t>72,225</w:t>
            </w:r>
          </w:p>
        </w:tc>
        <w:tc>
          <w:tcPr>
            <w:tcW w:w="0" w:type="dxa"/>
            <w:vAlign w:val="bottom"/>
          </w:tcPr>
          <w:p>
            <w:pPr>
              <w:spacing w:after="0"/>
              <w:rPr>
                <w:sz w:val="1"/>
                <w:szCs w:val="1"/>
                <w:color w:val="auto"/>
              </w:rPr>
            </w:pPr>
          </w:p>
        </w:tc>
      </w:tr>
      <w:tr>
        <w:trPr>
          <w:trHeight w:val="35"/>
        </w:trPr>
        <w:tc>
          <w:tcPr>
            <w:tcW w:w="1220" w:type="dxa"/>
            <w:vAlign w:val="bottom"/>
            <w:tcBorders>
              <w:bottom w:val="single" w:sz="8" w:color="B3B0AC"/>
            </w:tcBorders>
          </w:tcPr>
          <w:p>
            <w:pPr>
              <w:spacing w:after="0"/>
              <w:rPr>
                <w:sz w:val="3"/>
                <w:szCs w:val="3"/>
                <w:color w:val="auto"/>
              </w:rPr>
            </w:pPr>
          </w:p>
        </w:tc>
        <w:tc>
          <w:tcPr>
            <w:tcW w:w="1200" w:type="dxa"/>
            <w:vAlign w:val="bottom"/>
            <w:tcBorders>
              <w:bottom w:val="single" w:sz="8" w:color="B3B0AC"/>
            </w:tcBorders>
          </w:tcPr>
          <w:p>
            <w:pPr>
              <w:spacing w:after="0"/>
              <w:rPr>
                <w:sz w:val="3"/>
                <w:szCs w:val="3"/>
                <w:color w:val="auto"/>
              </w:rPr>
            </w:pPr>
          </w:p>
        </w:tc>
        <w:tc>
          <w:tcPr>
            <w:tcW w:w="1120" w:type="dxa"/>
            <w:vAlign w:val="bottom"/>
            <w:tcBorders>
              <w:bottom w:val="single" w:sz="8" w:color="B3B0AC"/>
            </w:tcBorders>
          </w:tcPr>
          <w:p>
            <w:pPr>
              <w:spacing w:after="0"/>
              <w:rPr>
                <w:sz w:val="3"/>
                <w:szCs w:val="3"/>
                <w:color w:val="auto"/>
              </w:rPr>
            </w:pPr>
          </w:p>
        </w:tc>
        <w:tc>
          <w:tcPr>
            <w:tcW w:w="1080" w:type="dxa"/>
            <w:vAlign w:val="bottom"/>
            <w:tcBorders>
              <w:bottom w:val="single" w:sz="8" w:color="B3B0AC"/>
            </w:tcBorders>
          </w:tcPr>
          <w:p>
            <w:pPr>
              <w:spacing w:after="0"/>
              <w:rPr>
                <w:sz w:val="3"/>
                <w:szCs w:val="3"/>
                <w:color w:val="auto"/>
              </w:rPr>
            </w:pPr>
          </w:p>
        </w:tc>
        <w:tc>
          <w:tcPr>
            <w:tcW w:w="1060" w:type="dxa"/>
            <w:vAlign w:val="bottom"/>
            <w:tcBorders>
              <w:bottom w:val="single" w:sz="8" w:color="B3B0A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60" w:hanging="328"/>
        <w:spacing w:after="0" w:line="243" w:lineRule="auto"/>
        <w:tabs>
          <w:tab w:leader="none" w:pos="818" w:val="left"/>
        </w:tabs>
        <w:numPr>
          <w:ilvl w:val="0"/>
          <w:numId w:val="93"/>
        </w:numPr>
        <w:rPr>
          <w:rFonts w:ascii="Verdana" w:cs="Verdana" w:eastAsia="Verdana" w:hAnsi="Verdana"/>
          <w:sz w:val="14"/>
          <w:szCs w:val="14"/>
          <w:color w:val="auto"/>
        </w:rPr>
      </w:pPr>
      <w:r>
        <w:rPr>
          <w:rFonts w:ascii="Verdana" w:cs="Verdana" w:eastAsia="Verdana" w:hAnsi="Verdana"/>
          <w:sz w:val="14"/>
          <w:szCs w:val="14"/>
          <w:color w:val="auto"/>
        </w:rPr>
        <w:t>The aggregate incremental cost related to Mr. Scott's personal use of the Company's aircraft was $29,146. This was calculated based on the incremental variable cost to the Company, including fuel, aircraft maintenance expenses, flight crew travel expenses, landing fees, ground transportation fees, catering, and other miscellaneous variable expenses related to the air travel. Fixed costs, which do not change based on usage, such as lease expense, insurance, and aviation management service fees, are excluded as the Company's aircraft is used predominantly for business purposes.</w:t>
      </w:r>
    </w:p>
    <w:p>
      <w:pPr>
        <w:spacing w:after="0" w:line="2" w:lineRule="exact"/>
        <w:rPr>
          <w:rFonts w:ascii="Verdana" w:cs="Verdana" w:eastAsia="Verdana" w:hAnsi="Verdana"/>
          <w:sz w:val="14"/>
          <w:szCs w:val="14"/>
          <w:color w:val="auto"/>
        </w:rPr>
      </w:pPr>
    </w:p>
    <w:p>
      <w:pPr>
        <w:ind w:left="660" w:right="980" w:hanging="328"/>
        <w:spacing w:after="0" w:line="270" w:lineRule="auto"/>
        <w:tabs>
          <w:tab w:leader="none" w:pos="820" w:val="left"/>
        </w:tabs>
        <w:numPr>
          <w:ilvl w:val="0"/>
          <w:numId w:val="93"/>
        </w:numPr>
        <w:rPr>
          <w:rFonts w:ascii="Verdana" w:cs="Verdana" w:eastAsia="Verdana" w:hAnsi="Verdana"/>
          <w:sz w:val="14"/>
          <w:szCs w:val="14"/>
          <w:color w:val="auto"/>
        </w:rPr>
      </w:pPr>
      <w:r>
        <w:rPr>
          <w:rFonts w:ascii="Verdana" w:cs="Verdana" w:eastAsia="Verdana" w:hAnsi="Verdana"/>
          <w:sz w:val="14"/>
          <w:szCs w:val="14"/>
          <w:color w:val="auto"/>
        </w:rPr>
        <w:t>Consists of an executive risk assessment, personal security detail, home security system installation and monitoring services, and cybersecurity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57</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Employment Agreements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We have entered into employment agreements with each of our NEOs. Each employment agreement specifies the annual base salary for</w:t>
      </w:r>
    </w:p>
    <w:p>
      <w:pPr>
        <w:spacing w:after="0" w:line="8"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the executive, which may be increased at the discretion of the P&amp;C Committee. In addition, the employment agreements specify that the executives are eligible for an annual incentive bonus and participation in the Company's long-term stock incentive plan. Under the terms of the employment agreements, each NEO is also eligible to participate in the welfare, retirement and other benefit plans, practices,</w:t>
      </w:r>
    </w:p>
    <w:p>
      <w:pPr>
        <w:spacing w:after="0" w:line="2"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policies and programs, as may be in effect from time to time, for senior executives of the Company generally. Under the employment agreements, if the Company reduces an executive's base salary, adversely changes the manner of computing an executive's incentive</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compensation opportunity, defers payment of his or her compensation or eliminates or substantially modifies his or her benefits, the executive would have a basis to invoke his or her right to terminate his or her employment for "good reason" under the agreement. For a description of the severance provisions of the employment agreements, see "Potential Payments Upon Termination or Change in</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Control" on page </w:t>
      </w:r>
      <w:r>
        <w:rPr>
          <w:rFonts w:ascii="Verdana" w:cs="Verdana" w:eastAsia="Verdana" w:hAnsi="Verdana"/>
          <w:sz w:val="16"/>
          <w:szCs w:val="16"/>
          <w:u w:val="single" w:color="auto"/>
          <w:color w:val="0000FF"/>
        </w:rPr>
        <w:t>66</w:t>
      </w:r>
      <w:r>
        <w:rPr>
          <w:rFonts w:ascii="Verdana" w:cs="Verdana" w:eastAsia="Verdana" w:hAnsi="Verdana"/>
          <w:sz w:val="16"/>
          <w:szCs w:val="16"/>
          <w:color w:val="auto"/>
        </w:rPr>
        <w: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Lear Corporation Salaried Retirement Program ("RSP")</w:t>
      </w:r>
    </w:p>
    <w:p>
      <w:pPr>
        <w:spacing w:after="0" w:line="137" w:lineRule="exact"/>
        <w:rPr>
          <w:sz w:val="20"/>
          <w:szCs w:val="20"/>
          <w:color w:val="auto"/>
        </w:rPr>
      </w:pPr>
    </w:p>
    <w:p>
      <w:pPr>
        <w:jc w:val="both"/>
        <w:ind w:right="60"/>
        <w:spacing w:after="0" w:line="238" w:lineRule="auto"/>
        <w:rPr>
          <w:sz w:val="20"/>
          <w:szCs w:val="20"/>
          <w:color w:val="auto"/>
        </w:rPr>
      </w:pPr>
      <w:r>
        <w:rPr>
          <w:rFonts w:ascii="Verdana" w:cs="Verdana" w:eastAsia="Verdana" w:hAnsi="Verdana"/>
          <w:sz w:val="16"/>
          <w:szCs w:val="16"/>
          <w:color w:val="auto"/>
        </w:rPr>
        <w:t>The RSP was established pursuant to Section 401(a) of the Internal Revenue Code and permits eligible employees to elect to contribute, on a pre-tax and/or Roth basis, a portion of their base salary and annual bonus each year. Lear provides a matching contribution and an automatic non-matching contribution. The matching contribution is equal to 100% of the employee's contribution up to the first 3% of</w:t>
      </w:r>
    </w:p>
    <w:p>
      <w:pPr>
        <w:spacing w:after="0" w:line="2"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the employee's eligible compensation, plus 50% of the employee's contribution up to the next 3% of the employee's eligible compensation. The amount of the automatic non-matching contribution is based on the employee's "points," which is the sum of the employee's age and years of service as of January 1 of the plan year. Based on the employee's points, Lear contributes (i) from 3% to</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8% of eligible compensation up to the Social Security Taxable Wage Base and (ii) from 4.5% to 12% of eligible compensation in excess of the Social Security Taxable Wage Base. Automatic non-matching contributions are allocated semi-annually, and all Company</w:t>
      </w:r>
    </w:p>
    <w:p>
      <w:pPr>
        <w:spacing w:after="0" w:line="1"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 xml:space="preserve">contributions vest at a rate of 20% per year for each full year of service. For more information on the Salaried Retirement Program, see page </w:t>
      </w:r>
      <w:r>
        <w:rPr>
          <w:rFonts w:ascii="Verdana" w:cs="Verdana" w:eastAsia="Verdana" w:hAnsi="Verdana"/>
          <w:sz w:val="16"/>
          <w:szCs w:val="16"/>
          <w:u w:val="single" w:color="auto"/>
          <w:color w:val="0000FF"/>
        </w:rPr>
        <w:t>64</w:t>
      </w:r>
      <w:r>
        <w:rPr>
          <w:rFonts w:ascii="Verdana" w:cs="Verdana" w:eastAsia="Verdana" w:hAnsi="Verdana"/>
          <w:sz w:val="16"/>
          <w:szCs w:val="16"/>
          <w:color w:val="auto"/>
        </w:rPr>
        <w: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Salaried Retirement Restoration Program ("SRRP")</w:t>
      </w:r>
    </w:p>
    <w:p>
      <w:pPr>
        <w:spacing w:after="0" w:line="137"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SRRP permits employees to make deferrals of salary and bonus above the limits permitted under the tax-qualified RSP. Participants may defer up to 75% of their salary and 90% of their AIP awards under the SRRP. Participants also receive Company matching and</w:t>
      </w:r>
    </w:p>
    <w:p>
      <w:pPr>
        <w:spacing w:after="0" w:line="1"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automatic non-matching contributions under the SRRP that were limited under the RSP due to Internal Revenue Code limits. Participants generally become vested in Company contributions under the SRRP after three years of vesting service. Distributions from the SRRP, which can be made during or after employment, are made in accordance with the participant’s deferral election and may be made in a</w:t>
      </w:r>
    </w:p>
    <w:p>
      <w:pPr>
        <w:spacing w:after="0" w:line="2"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lump sum or in up to ten annual installments. Participants may modify their distribution dates as permitted under Section 409A of the Internal Revenue Code. Plan earnings on contributions made to the SRRP are based on rates of return on investments similar to those available under the tax-qualified RSP and are directed by plan participants. Participants are able to change investments as frequently as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they wish under the SRRP.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0" w:hanging="534"/>
        <w:spacing w:after="0"/>
        <w:tabs>
          <w:tab w:leader="none" w:pos="560" w:val="left"/>
        </w:tabs>
        <w:numPr>
          <w:ilvl w:val="0"/>
          <w:numId w:val="94"/>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288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342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F0EFEE"/>
        </w:rPr>
        <w:t xml:space="preserve">2024 </w:t>
      </w:r>
      <w:r>
        <w:rPr>
          <w:rFonts w:ascii="Verdana" w:cs="Verdana" w:eastAsia="Verdana" w:hAnsi="Verdana"/>
          <w:sz w:val="16"/>
          <w:szCs w:val="16"/>
          <w:b w:val="1"/>
          <w:bCs w:val="1"/>
          <w:color w:val="F0EFEE"/>
          <w:shd w:val="clear" w:color="auto" w:fill="1D428A"/>
        </w:rPr>
        <w:t>Grants of Plan-Based Awards</w:t>
      </w:r>
    </w:p>
    <w:p>
      <w:pPr>
        <w:sectPr>
          <w:pgSz w:w="11900" w:h="16838" w:orient="portrait"/>
          <w:cols w:equalWidth="0" w:num="1">
            <w:col w:w="11240"/>
          </w:cols>
          <w:pgMar w:left="320" w:top="117" w:right="339" w:bottom="1440" w:gutter="0" w:footer="0" w:header="0"/>
        </w:sect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gridSpan w:val="5"/>
          </w:tcPr>
          <w:p>
            <w:pPr>
              <w:jc w:val="center"/>
              <w:ind w:right="62"/>
              <w:spacing w:after="0"/>
              <w:rPr>
                <w:sz w:val="20"/>
                <w:szCs w:val="20"/>
                <w:color w:val="auto"/>
              </w:rPr>
            </w:pPr>
            <w:r>
              <w:rPr>
                <w:rFonts w:ascii="Verdana" w:cs="Verdana" w:eastAsia="Verdana" w:hAnsi="Verdana"/>
                <w:sz w:val="11"/>
                <w:szCs w:val="11"/>
                <w:b w:val="1"/>
                <w:bCs w:val="1"/>
                <w:color w:val="307FE2"/>
                <w:w w:val="97"/>
              </w:rPr>
              <w:t>Estimated Future Payouts</w:t>
            </w: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5"/>
          </w:tcPr>
          <w:p>
            <w:pPr>
              <w:jc w:val="center"/>
              <w:ind w:right="62"/>
              <w:spacing w:after="0" w:line="119" w:lineRule="exact"/>
              <w:rPr>
                <w:sz w:val="20"/>
                <w:szCs w:val="20"/>
                <w:color w:val="auto"/>
              </w:rPr>
            </w:pPr>
            <w:r>
              <w:rPr>
                <w:rFonts w:ascii="Verdana" w:cs="Verdana" w:eastAsia="Verdana" w:hAnsi="Verdana"/>
                <w:sz w:val="11"/>
                <w:szCs w:val="11"/>
                <w:b w:val="1"/>
                <w:bCs w:val="1"/>
                <w:color w:val="307FE2"/>
                <w:w w:val="98"/>
              </w:rPr>
              <w:t>Under Non-Equity Incentive Plan</w:t>
            </w:r>
          </w:p>
        </w:tc>
        <w:tc>
          <w:tcPr>
            <w:tcW w:w="0" w:type="dxa"/>
            <w:vAlign w:val="bottom"/>
          </w:tcPr>
          <w:p>
            <w:pPr>
              <w:spacing w:after="0"/>
              <w:rPr>
                <w:sz w:val="1"/>
                <w:szCs w:val="1"/>
                <w:color w:val="auto"/>
              </w:rPr>
            </w:pPr>
          </w:p>
        </w:tc>
      </w:tr>
      <w:tr>
        <w:trPr>
          <w:trHeight w:val="179"/>
        </w:trPr>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Borders>
              <w:bottom w:val="single" w:sz="8" w:color="1D428A"/>
            </w:tcBorders>
          </w:tcPr>
          <w:p>
            <w:pPr>
              <w:spacing w:after="0"/>
              <w:rPr>
                <w:sz w:val="15"/>
                <w:szCs w:val="15"/>
                <w:color w:val="auto"/>
              </w:rPr>
            </w:pPr>
          </w:p>
        </w:tc>
        <w:tc>
          <w:tcPr>
            <w:tcW w:w="720" w:type="dxa"/>
            <w:vAlign w:val="bottom"/>
            <w:tcBorders>
              <w:bottom w:val="single" w:sz="8" w:color="1D428A"/>
            </w:tcBorders>
          </w:tcPr>
          <w:p>
            <w:pPr>
              <w:spacing w:after="0"/>
              <w:rPr>
                <w:sz w:val="15"/>
                <w:szCs w:val="15"/>
                <w:color w:val="auto"/>
              </w:rPr>
            </w:pPr>
          </w:p>
        </w:tc>
        <w:tc>
          <w:tcPr>
            <w:tcW w:w="140" w:type="dxa"/>
            <w:vAlign w:val="bottom"/>
            <w:tcBorders>
              <w:bottom w:val="single" w:sz="8" w:color="1D428A"/>
            </w:tcBorders>
          </w:tcPr>
          <w:p>
            <w:pPr>
              <w:spacing w:after="0"/>
              <w:rPr>
                <w:sz w:val="15"/>
                <w:szCs w:val="15"/>
                <w:color w:val="auto"/>
              </w:rPr>
            </w:pPr>
          </w:p>
        </w:tc>
        <w:tc>
          <w:tcPr>
            <w:tcW w:w="720" w:type="dxa"/>
            <w:vAlign w:val="bottom"/>
            <w:tcBorders>
              <w:bottom w:val="single" w:sz="8" w:color="1D428A"/>
            </w:tcBorders>
          </w:tcPr>
          <w:p>
            <w:pPr>
              <w:jc w:val="center"/>
              <w:ind w:right="23"/>
              <w:spacing w:after="0"/>
              <w:rPr>
                <w:sz w:val="20"/>
                <w:szCs w:val="20"/>
                <w:color w:val="auto"/>
              </w:rPr>
            </w:pPr>
            <w:r>
              <w:rPr>
                <w:rFonts w:ascii="Verdana" w:cs="Verdana" w:eastAsia="Verdana" w:hAnsi="Verdana"/>
                <w:sz w:val="11"/>
                <w:szCs w:val="11"/>
                <w:b w:val="1"/>
                <w:bCs w:val="1"/>
                <w:color w:val="307FE2"/>
                <w:w w:val="94"/>
              </w:rPr>
              <w:t>Awards</w:t>
            </w:r>
            <w:r>
              <w:rPr>
                <w:rFonts w:ascii="Verdana" w:cs="Verdana" w:eastAsia="Verdana" w:hAnsi="Verdana"/>
                <w:sz w:val="14"/>
                <w:szCs w:val="14"/>
                <w:b w:val="1"/>
                <w:bCs w:val="1"/>
                <w:color w:val="307FE2"/>
                <w:w w:val="94"/>
                <w:vertAlign w:val="superscript"/>
              </w:rPr>
              <w:t>(1)</w:t>
            </w:r>
          </w:p>
        </w:tc>
        <w:tc>
          <w:tcPr>
            <w:tcW w:w="180" w:type="dxa"/>
            <w:vAlign w:val="bottom"/>
            <w:tcBorders>
              <w:bottom w:val="single" w:sz="8" w:color="1D428A"/>
            </w:tcBorders>
          </w:tcPr>
          <w:p>
            <w:pPr>
              <w:spacing w:after="0"/>
              <w:rPr>
                <w:sz w:val="15"/>
                <w:szCs w:val="15"/>
                <w:color w:val="auto"/>
              </w:rPr>
            </w:pPr>
          </w:p>
        </w:tc>
        <w:tc>
          <w:tcPr>
            <w:tcW w:w="720" w:type="dxa"/>
            <w:vAlign w:val="bottom"/>
            <w:tcBorders>
              <w:bottom w:val="single" w:sz="8" w:color="1D428A"/>
            </w:tcBorders>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940" w:type="dxa"/>
            <w:vAlign w:val="bottom"/>
            <w:vMerge w:val="restart"/>
          </w:tcPr>
          <w:p>
            <w:pPr>
              <w:ind w:left="300"/>
              <w:spacing w:after="0"/>
              <w:rPr>
                <w:sz w:val="20"/>
                <w:szCs w:val="20"/>
                <w:color w:val="auto"/>
              </w:rPr>
            </w:pPr>
            <w:r>
              <w:rPr>
                <w:rFonts w:ascii="Verdana" w:cs="Verdana" w:eastAsia="Verdana" w:hAnsi="Verdana"/>
                <w:sz w:val="11"/>
                <w:szCs w:val="11"/>
                <w:b w:val="1"/>
                <w:bCs w:val="1"/>
                <w:color w:val="307FE2"/>
              </w:rPr>
              <w:t>Name</w:t>
            </w:r>
          </w:p>
        </w:tc>
        <w:tc>
          <w:tcPr>
            <w:tcW w:w="1260" w:type="dxa"/>
            <w:vAlign w:val="bottom"/>
            <w:vMerge w:val="restart"/>
          </w:tcPr>
          <w:p>
            <w:pPr>
              <w:jc w:val="right"/>
              <w:ind w:right="166"/>
              <w:spacing w:after="0"/>
              <w:rPr>
                <w:sz w:val="20"/>
                <w:szCs w:val="20"/>
                <w:color w:val="auto"/>
              </w:rPr>
            </w:pPr>
            <w:r>
              <w:rPr>
                <w:rFonts w:ascii="Verdana" w:cs="Verdana" w:eastAsia="Verdana" w:hAnsi="Verdana"/>
                <w:sz w:val="11"/>
                <w:szCs w:val="11"/>
                <w:b w:val="1"/>
                <w:bCs w:val="1"/>
                <w:color w:val="307FE2"/>
              </w:rPr>
              <w:t>Type of Award</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307FE2"/>
                <w:w w:val="97"/>
              </w:rPr>
              <w:t>Grant</w:t>
            </w:r>
          </w:p>
        </w:tc>
        <w:tc>
          <w:tcPr>
            <w:tcW w:w="1100" w:type="dxa"/>
            <w:vAlign w:val="bottom"/>
            <w:gridSpan w:val="2"/>
            <w:vMerge w:val="restart"/>
          </w:tcPr>
          <w:p>
            <w:pPr>
              <w:ind w:left="80"/>
              <w:spacing w:after="0"/>
              <w:rPr>
                <w:sz w:val="20"/>
                <w:szCs w:val="20"/>
                <w:color w:val="auto"/>
              </w:rPr>
            </w:pPr>
            <w:r>
              <w:rPr>
                <w:rFonts w:ascii="Verdana" w:cs="Verdana" w:eastAsia="Verdana" w:hAnsi="Verdana"/>
                <w:sz w:val="11"/>
                <w:szCs w:val="11"/>
                <w:b w:val="1"/>
                <w:bCs w:val="1"/>
                <w:color w:val="307FE2"/>
              </w:rPr>
              <w:t>Approval Date</w:t>
            </w:r>
          </w:p>
        </w:tc>
        <w:tc>
          <w:tcPr>
            <w:tcW w:w="720" w:type="dxa"/>
            <w:vAlign w:val="bottom"/>
          </w:tcPr>
          <w:p>
            <w:pPr>
              <w:jc w:val="right"/>
              <w:ind w:right="43"/>
              <w:spacing w:after="0"/>
              <w:rPr>
                <w:sz w:val="20"/>
                <w:szCs w:val="20"/>
                <w:color w:val="auto"/>
              </w:rPr>
            </w:pPr>
            <w:r>
              <w:rPr>
                <w:rFonts w:ascii="Verdana" w:cs="Verdana" w:eastAsia="Verdana" w:hAnsi="Verdana"/>
                <w:sz w:val="11"/>
                <w:szCs w:val="11"/>
                <w:b w:val="1"/>
                <w:bCs w:val="1"/>
                <w:color w:val="307FE2"/>
                <w:w w:val="97"/>
              </w:rPr>
              <w:t>Threshold</w:t>
            </w:r>
          </w:p>
        </w:tc>
        <w:tc>
          <w:tcPr>
            <w:tcW w:w="140" w:type="dxa"/>
            <w:vAlign w:val="bottom"/>
          </w:tcPr>
          <w:p>
            <w:pPr>
              <w:spacing w:after="0"/>
              <w:rPr>
                <w:sz w:val="24"/>
                <w:szCs w:val="24"/>
                <w:color w:val="auto"/>
              </w:rPr>
            </w:pPr>
          </w:p>
        </w:tc>
        <w:tc>
          <w:tcPr>
            <w:tcW w:w="720" w:type="dxa"/>
            <w:vAlign w:val="bottom"/>
          </w:tcPr>
          <w:p>
            <w:pPr>
              <w:jc w:val="center"/>
              <w:ind w:right="23"/>
              <w:spacing w:after="0"/>
              <w:rPr>
                <w:sz w:val="20"/>
                <w:szCs w:val="20"/>
                <w:color w:val="auto"/>
              </w:rPr>
            </w:pPr>
            <w:r>
              <w:rPr>
                <w:rFonts w:ascii="Verdana" w:cs="Verdana" w:eastAsia="Verdana" w:hAnsi="Verdana"/>
                <w:sz w:val="11"/>
                <w:szCs w:val="11"/>
                <w:b w:val="1"/>
                <w:bCs w:val="1"/>
                <w:color w:val="307FE2"/>
                <w:w w:val="98"/>
              </w:rPr>
              <w:t>Target</w:t>
            </w:r>
          </w:p>
        </w:tc>
        <w:tc>
          <w:tcPr>
            <w:tcW w:w="900" w:type="dxa"/>
            <w:vAlign w:val="bottom"/>
            <w:gridSpan w:val="2"/>
            <w:vMerge w:val="restart"/>
          </w:tcPr>
          <w:p>
            <w:pPr>
              <w:ind w:left="60"/>
              <w:spacing w:after="0"/>
              <w:rPr>
                <w:sz w:val="20"/>
                <w:szCs w:val="20"/>
                <w:color w:val="auto"/>
              </w:rPr>
            </w:pPr>
            <w:r>
              <w:rPr>
                <w:rFonts w:ascii="Verdana" w:cs="Verdana" w:eastAsia="Verdana" w:hAnsi="Verdana"/>
                <w:sz w:val="11"/>
                <w:szCs w:val="11"/>
                <w:b w:val="1"/>
                <w:bCs w:val="1"/>
                <w:color w:val="307FE2"/>
                <w:w w:val="98"/>
              </w:rPr>
              <w:t>Maximum ($)</w:t>
            </w:r>
          </w:p>
        </w:tc>
        <w:tc>
          <w:tcPr>
            <w:tcW w:w="0" w:type="dxa"/>
            <w:vAlign w:val="bottom"/>
          </w:tcPr>
          <w:p>
            <w:pPr>
              <w:spacing w:after="0"/>
              <w:rPr>
                <w:sz w:val="1"/>
                <w:szCs w:val="1"/>
                <w:color w:val="auto"/>
              </w:rPr>
            </w:pPr>
          </w:p>
        </w:tc>
      </w:tr>
      <w:tr>
        <w:trPr>
          <w:trHeight w:val="141"/>
        </w:trPr>
        <w:tc>
          <w:tcPr>
            <w:tcW w:w="9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307FE2"/>
                <w:w w:val="96"/>
              </w:rPr>
              <w:t>Date</w:t>
            </w:r>
          </w:p>
        </w:tc>
        <w:tc>
          <w:tcPr>
            <w:tcW w:w="1100" w:type="dxa"/>
            <w:vAlign w:val="bottom"/>
            <w:gridSpan w:val="2"/>
            <w:vMerge w:val="continue"/>
          </w:tcPr>
          <w:p>
            <w:pPr>
              <w:spacing w:after="0"/>
              <w:rPr>
                <w:sz w:val="12"/>
                <w:szCs w:val="12"/>
                <w:color w:val="auto"/>
              </w:rPr>
            </w:pPr>
          </w:p>
        </w:tc>
        <w:tc>
          <w:tcPr>
            <w:tcW w:w="720" w:type="dxa"/>
            <w:vAlign w:val="bottom"/>
          </w:tcPr>
          <w:p>
            <w:pPr>
              <w:jc w:val="right"/>
              <w:ind w:right="243"/>
              <w:spacing w:after="0"/>
              <w:rPr>
                <w:sz w:val="20"/>
                <w:szCs w:val="20"/>
                <w:color w:val="auto"/>
              </w:rPr>
            </w:pPr>
            <w:r>
              <w:rPr>
                <w:rFonts w:ascii="Verdana" w:cs="Verdana" w:eastAsia="Verdana" w:hAnsi="Verdana"/>
                <w:sz w:val="11"/>
                <w:szCs w:val="11"/>
                <w:b w:val="1"/>
                <w:bCs w:val="1"/>
                <w:color w:val="307FE2"/>
              </w:rPr>
              <w:t>($)</w:t>
            </w:r>
          </w:p>
        </w:tc>
        <w:tc>
          <w:tcPr>
            <w:tcW w:w="140" w:type="dxa"/>
            <w:vAlign w:val="bottom"/>
          </w:tcPr>
          <w:p>
            <w:pPr>
              <w:spacing w:after="0"/>
              <w:rPr>
                <w:sz w:val="12"/>
                <w:szCs w:val="12"/>
                <w:color w:val="auto"/>
              </w:rPr>
            </w:pPr>
          </w:p>
        </w:tc>
        <w:tc>
          <w:tcPr>
            <w:tcW w:w="720" w:type="dxa"/>
            <w:vAlign w:val="bottom"/>
          </w:tcPr>
          <w:p>
            <w:pPr>
              <w:jc w:val="center"/>
              <w:ind w:right="23"/>
              <w:spacing w:after="0"/>
              <w:rPr>
                <w:sz w:val="20"/>
                <w:szCs w:val="20"/>
                <w:color w:val="auto"/>
              </w:rPr>
            </w:pPr>
            <w:r>
              <w:rPr>
                <w:rFonts w:ascii="Verdana" w:cs="Verdana" w:eastAsia="Verdana" w:hAnsi="Verdana"/>
                <w:sz w:val="11"/>
                <w:szCs w:val="11"/>
                <w:b w:val="1"/>
                <w:bCs w:val="1"/>
                <w:color w:val="307FE2"/>
              </w:rPr>
              <w: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940" w:type="dxa"/>
            <w:vAlign w:val="bottom"/>
            <w:tcBorders>
              <w:bottom w:val="single" w:sz="8" w:color="1D428A"/>
            </w:tcBorders>
          </w:tcPr>
          <w:p>
            <w:pPr>
              <w:spacing w:after="0"/>
              <w:rPr>
                <w:sz w:val="2"/>
                <w:szCs w:val="2"/>
                <w:color w:val="auto"/>
              </w:rPr>
            </w:pPr>
          </w:p>
        </w:tc>
        <w:tc>
          <w:tcPr>
            <w:tcW w:w="1260" w:type="dxa"/>
            <w:vAlign w:val="bottom"/>
            <w:tcBorders>
              <w:bottom w:val="single" w:sz="8" w:color="1D428A"/>
            </w:tcBorders>
          </w:tcPr>
          <w:p>
            <w:pPr>
              <w:spacing w:after="0"/>
              <w:rPr>
                <w:sz w:val="2"/>
                <w:szCs w:val="2"/>
                <w:color w:val="auto"/>
              </w:rPr>
            </w:pPr>
          </w:p>
        </w:tc>
        <w:tc>
          <w:tcPr>
            <w:tcW w:w="820" w:type="dxa"/>
            <w:vAlign w:val="bottom"/>
            <w:tcBorders>
              <w:bottom w:val="single" w:sz="8" w:color="1D428A"/>
            </w:tcBorders>
          </w:tcPr>
          <w:p>
            <w:pPr>
              <w:spacing w:after="0"/>
              <w:rPr>
                <w:sz w:val="2"/>
                <w:szCs w:val="2"/>
                <w:color w:val="auto"/>
              </w:rPr>
            </w:pPr>
          </w:p>
        </w:tc>
        <w:tc>
          <w:tcPr>
            <w:tcW w:w="980" w:type="dxa"/>
            <w:vAlign w:val="bottom"/>
            <w:tcBorders>
              <w:bottom w:val="single" w:sz="8" w:color="1D428A"/>
            </w:tcBorders>
          </w:tcPr>
          <w:p>
            <w:pPr>
              <w:spacing w:after="0"/>
              <w:rPr>
                <w:sz w:val="2"/>
                <w:szCs w:val="2"/>
                <w:color w:val="auto"/>
              </w:rPr>
            </w:pPr>
          </w:p>
        </w:tc>
        <w:tc>
          <w:tcPr>
            <w:tcW w:w="120" w:type="dxa"/>
            <w:vAlign w:val="bottom"/>
            <w:tcBorders>
              <w:bottom w:val="single" w:sz="8" w:color="1D428A"/>
            </w:tcBorders>
          </w:tcPr>
          <w:p>
            <w:pPr>
              <w:spacing w:after="0"/>
              <w:rPr>
                <w:sz w:val="2"/>
                <w:szCs w:val="2"/>
                <w:color w:val="auto"/>
              </w:rPr>
            </w:pPr>
          </w:p>
        </w:tc>
        <w:tc>
          <w:tcPr>
            <w:tcW w:w="720" w:type="dxa"/>
            <w:vAlign w:val="bottom"/>
            <w:tcBorders>
              <w:bottom w:val="single" w:sz="8" w:color="1D428A"/>
            </w:tcBorders>
          </w:tcPr>
          <w:p>
            <w:pPr>
              <w:spacing w:after="0"/>
              <w:rPr>
                <w:sz w:val="2"/>
                <w:szCs w:val="2"/>
                <w:color w:val="auto"/>
              </w:rPr>
            </w:pPr>
          </w:p>
        </w:tc>
        <w:tc>
          <w:tcPr>
            <w:tcW w:w="140" w:type="dxa"/>
            <w:vAlign w:val="bottom"/>
            <w:tcBorders>
              <w:bottom w:val="single" w:sz="8" w:color="1D428A"/>
            </w:tcBorders>
          </w:tcPr>
          <w:p>
            <w:pPr>
              <w:spacing w:after="0"/>
              <w:rPr>
                <w:sz w:val="2"/>
                <w:szCs w:val="2"/>
                <w:color w:val="auto"/>
              </w:rPr>
            </w:pPr>
          </w:p>
        </w:tc>
        <w:tc>
          <w:tcPr>
            <w:tcW w:w="720" w:type="dxa"/>
            <w:vAlign w:val="bottom"/>
            <w:tcBorders>
              <w:bottom w:val="single" w:sz="8" w:color="1D428A"/>
            </w:tcBorders>
          </w:tcPr>
          <w:p>
            <w:pPr>
              <w:spacing w:after="0"/>
              <w:rPr>
                <w:sz w:val="2"/>
                <w:szCs w:val="2"/>
                <w:color w:val="auto"/>
              </w:rPr>
            </w:pPr>
          </w:p>
        </w:tc>
        <w:tc>
          <w:tcPr>
            <w:tcW w:w="180" w:type="dxa"/>
            <w:vAlign w:val="bottom"/>
            <w:tcBorders>
              <w:bottom w:val="single" w:sz="8" w:color="1D428A"/>
            </w:tcBorders>
          </w:tcPr>
          <w:p>
            <w:pPr>
              <w:spacing w:after="0"/>
              <w:rPr>
                <w:sz w:val="2"/>
                <w:szCs w:val="2"/>
                <w:color w:val="auto"/>
              </w:rPr>
            </w:pPr>
          </w:p>
        </w:tc>
        <w:tc>
          <w:tcPr>
            <w:tcW w:w="72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60"/>
              <w:spacing w:after="0"/>
              <w:rPr>
                <w:sz w:val="20"/>
                <w:szCs w:val="20"/>
                <w:color w:val="auto"/>
              </w:rPr>
            </w:pPr>
            <w:r>
              <w:rPr>
                <w:rFonts w:ascii="Verdana" w:cs="Verdana" w:eastAsia="Verdana" w:hAnsi="Verdana"/>
                <w:sz w:val="11"/>
                <w:szCs w:val="11"/>
                <w:b w:val="1"/>
                <w:bCs w:val="1"/>
                <w:color w:val="auto"/>
              </w:rPr>
              <w:t>Raymond E.</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Annual Incentive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gridSpan w:val="2"/>
            <w:vMerge w:val="restart"/>
          </w:tcPr>
          <w:p>
            <w:pPr>
              <w:ind w:left="260"/>
              <w:spacing w:after="0"/>
              <w:rPr>
                <w:sz w:val="20"/>
                <w:szCs w:val="20"/>
                <w:color w:val="auto"/>
              </w:rPr>
            </w:pPr>
            <w:r>
              <w:rPr>
                <w:rFonts w:ascii="Verdana" w:cs="Verdana" w:eastAsia="Verdana" w:hAnsi="Verdana"/>
                <w:sz w:val="12"/>
                <w:szCs w:val="12"/>
                <w:color w:val="auto"/>
                <w:w w:val="97"/>
              </w:rPr>
              <w:t>11/13/2023 $</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1,096,000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2,192,000</w:t>
            </w:r>
          </w:p>
        </w:tc>
        <w:tc>
          <w:tcPr>
            <w:tcW w:w="180" w:type="dxa"/>
            <w:vAlign w:val="bottom"/>
            <w:vMerge w:val="restart"/>
          </w:tcPr>
          <w:p>
            <w:pPr>
              <w:ind w:left="60"/>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ind w:right="22"/>
              <w:spacing w:after="0"/>
              <w:rPr>
                <w:sz w:val="20"/>
                <w:szCs w:val="20"/>
                <w:color w:val="auto"/>
              </w:rPr>
            </w:pPr>
            <w:r>
              <w:rPr>
                <w:rFonts w:ascii="Verdana" w:cs="Verdana" w:eastAsia="Verdana" w:hAnsi="Verdana"/>
                <w:sz w:val="12"/>
                <w:szCs w:val="12"/>
                <w:color w:val="auto"/>
                <w:w w:val="99"/>
              </w:rPr>
              <w:t>4,384,000</w:t>
            </w:r>
          </w:p>
        </w:tc>
        <w:tc>
          <w:tcPr>
            <w:tcW w:w="0" w:type="dxa"/>
            <w:vAlign w:val="bottom"/>
          </w:tcPr>
          <w:p>
            <w:pPr>
              <w:spacing w:after="0"/>
              <w:rPr>
                <w:sz w:val="1"/>
                <w:szCs w:val="1"/>
                <w:color w:val="auto"/>
              </w:rPr>
            </w:pPr>
          </w:p>
        </w:tc>
      </w:tr>
      <w:tr>
        <w:trPr>
          <w:trHeight w:val="75"/>
        </w:trPr>
        <w:tc>
          <w:tcPr>
            <w:tcW w:w="94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Scott</w:t>
            </w:r>
          </w:p>
        </w:tc>
        <w:tc>
          <w:tcPr>
            <w:tcW w:w="1260" w:type="dxa"/>
            <w:vAlign w:val="bottom"/>
            <w:vMerge w:val="restart"/>
          </w:tcPr>
          <w:p>
            <w:pPr>
              <w:jc w:val="right"/>
              <w:ind w:right="26"/>
              <w:spacing w:after="0"/>
              <w:rPr>
                <w:sz w:val="20"/>
                <w:szCs w:val="20"/>
                <w:color w:val="auto"/>
              </w:rPr>
            </w:pPr>
            <w:r>
              <w:rPr>
                <w:rFonts w:ascii="Verdana" w:cs="Verdana" w:eastAsia="Verdana" w:hAnsi="Verdana"/>
                <w:sz w:val="11"/>
                <w:szCs w:val="11"/>
                <w:color w:val="auto"/>
              </w:rPr>
              <w:t>Award</w:t>
            </w:r>
          </w:p>
        </w:tc>
        <w:tc>
          <w:tcPr>
            <w:tcW w:w="8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Performance Share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vMerge w:val="restart"/>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40" w:type="dxa"/>
            <w:vAlign w:val="bottom"/>
            <w:tcBorders>
              <w:bottom w:val="single" w:sz="8" w:color="E1DFDE"/>
            </w:tcBorders>
          </w:tcPr>
          <w:p>
            <w:pPr>
              <w:spacing w:after="0"/>
              <w:rPr>
                <w:sz w:val="14"/>
                <w:szCs w:val="14"/>
                <w:color w:val="auto"/>
              </w:rPr>
            </w:pPr>
          </w:p>
        </w:tc>
        <w:tc>
          <w:tcPr>
            <w:tcW w:w="1260" w:type="dxa"/>
            <w:vAlign w:val="bottom"/>
            <w:tcBorders>
              <w:bottom w:val="single" w:sz="8" w:color="E1DFDE"/>
            </w:tcBorders>
          </w:tcPr>
          <w:p>
            <w:pPr>
              <w:jc w:val="right"/>
              <w:ind w:right="26"/>
              <w:spacing w:after="0" w:line="165" w:lineRule="exact"/>
              <w:rPr>
                <w:sz w:val="20"/>
                <w:szCs w:val="20"/>
                <w:color w:val="auto"/>
              </w:rPr>
            </w:pPr>
            <w:r>
              <w:rPr>
                <w:rFonts w:ascii="Verdana" w:cs="Verdana" w:eastAsia="Verdana" w:hAnsi="Verdana"/>
                <w:sz w:val="11"/>
                <w:szCs w:val="11"/>
                <w:color w:val="auto"/>
              </w:rPr>
              <w:t>Award</w:t>
            </w:r>
            <w:r>
              <w:rPr>
                <w:rFonts w:ascii="Verdana" w:cs="Verdana" w:eastAsia="Verdana" w:hAnsi="Verdana"/>
                <w:sz w:val="14"/>
                <w:szCs w:val="14"/>
                <w:color w:val="auto"/>
                <w:vertAlign w:val="superscript"/>
              </w:rPr>
              <w:t>(3)</w:t>
            </w:r>
          </w:p>
        </w:tc>
        <w:tc>
          <w:tcPr>
            <w:tcW w:w="820" w:type="dxa"/>
            <w:vAlign w:val="bottom"/>
            <w:tcBorders>
              <w:bottom w:val="single" w:sz="8" w:color="E1DFDE"/>
            </w:tcBorders>
            <w:vMerge w:val="continue"/>
          </w:tcPr>
          <w:p>
            <w:pPr>
              <w:spacing w:after="0"/>
              <w:rPr>
                <w:sz w:val="14"/>
                <w:szCs w:val="14"/>
                <w:color w:val="auto"/>
              </w:rPr>
            </w:pPr>
          </w:p>
        </w:tc>
        <w:tc>
          <w:tcPr>
            <w:tcW w:w="980" w:type="dxa"/>
            <w:vAlign w:val="bottom"/>
            <w:tcBorders>
              <w:bottom w:val="single" w:sz="8" w:color="E1DFDE"/>
            </w:tcBorders>
            <w:vMerge w:val="continue"/>
          </w:tcPr>
          <w:p>
            <w:pPr>
              <w:spacing w:after="0"/>
              <w:rPr>
                <w:sz w:val="14"/>
                <w:szCs w:val="14"/>
                <w:color w:val="auto"/>
              </w:rPr>
            </w:pPr>
          </w:p>
        </w:tc>
        <w:tc>
          <w:tcPr>
            <w:tcW w:w="12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4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8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tcBorders>
              <w:bottom w:val="single" w:sz="8" w:color="E1DFDE"/>
            </w:tcBorders>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RSU Award</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11/20/2024</w:t>
            </w:r>
          </w:p>
        </w:tc>
        <w:tc>
          <w:tcPr>
            <w:tcW w:w="980" w:type="dxa"/>
            <w:vAlign w:val="bottom"/>
            <w:vMerge w:val="restart"/>
          </w:tcPr>
          <w:p>
            <w:pPr>
              <w:ind w:left="80"/>
              <w:spacing w:after="0"/>
              <w:rPr>
                <w:sz w:val="20"/>
                <w:szCs w:val="20"/>
                <w:color w:val="auto"/>
              </w:rPr>
            </w:pPr>
            <w:r>
              <w:rPr>
                <w:rFonts w:ascii="Verdana" w:cs="Verdana" w:eastAsia="Verdana" w:hAnsi="Verdana"/>
                <w:sz w:val="12"/>
                <w:szCs w:val="12"/>
                <w:color w:val="auto"/>
              </w:rPr>
              <w:t>11/20/2024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(6)</w:t>
            </w:r>
          </w:p>
        </w:tc>
        <w:tc>
          <w:tcPr>
            <w:tcW w:w="8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696158"/>
            </w:tcBorders>
          </w:tcPr>
          <w:p>
            <w:pPr>
              <w:spacing w:after="0" w:line="20" w:lineRule="exact"/>
              <w:rPr>
                <w:sz w:val="1"/>
                <w:szCs w:val="1"/>
                <w:color w:val="auto"/>
              </w:rPr>
            </w:pPr>
          </w:p>
        </w:tc>
        <w:tc>
          <w:tcPr>
            <w:tcW w:w="1260" w:type="dxa"/>
            <w:vAlign w:val="bottom"/>
            <w:tcBorders>
              <w:bottom w:val="single" w:sz="8" w:color="696158"/>
            </w:tcBorders>
          </w:tcPr>
          <w:p>
            <w:pPr>
              <w:spacing w:after="0" w:line="20" w:lineRule="exact"/>
              <w:rPr>
                <w:sz w:val="1"/>
                <w:szCs w:val="1"/>
                <w:color w:val="auto"/>
              </w:rPr>
            </w:pPr>
          </w:p>
        </w:tc>
        <w:tc>
          <w:tcPr>
            <w:tcW w:w="820" w:type="dxa"/>
            <w:vAlign w:val="bottom"/>
            <w:tcBorders>
              <w:bottom w:val="single" w:sz="8" w:color="696158"/>
            </w:tcBorders>
          </w:tcPr>
          <w:p>
            <w:pPr>
              <w:spacing w:after="0" w:line="20" w:lineRule="exact"/>
              <w:rPr>
                <w:sz w:val="1"/>
                <w:szCs w:val="1"/>
                <w:color w:val="auto"/>
              </w:rPr>
            </w:pPr>
          </w:p>
        </w:tc>
        <w:tc>
          <w:tcPr>
            <w:tcW w:w="980" w:type="dxa"/>
            <w:vAlign w:val="bottom"/>
            <w:tcBorders>
              <w:bottom w:val="single" w:sz="8" w:color="696158"/>
            </w:tcBorders>
          </w:tcPr>
          <w:p>
            <w:pPr>
              <w:spacing w:after="0" w:line="20" w:lineRule="exact"/>
              <w:rPr>
                <w:sz w:val="1"/>
                <w:szCs w:val="1"/>
                <w:color w:val="auto"/>
              </w:rPr>
            </w:pPr>
          </w:p>
        </w:tc>
        <w:tc>
          <w:tcPr>
            <w:tcW w:w="12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4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8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40" w:type="dxa"/>
            <w:vAlign w:val="bottom"/>
          </w:tcPr>
          <w:p>
            <w:pPr>
              <w:ind w:left="60"/>
              <w:spacing w:after="0"/>
              <w:rPr>
                <w:sz w:val="20"/>
                <w:szCs w:val="20"/>
                <w:color w:val="auto"/>
              </w:rPr>
            </w:pPr>
            <w:r>
              <w:rPr>
                <w:rFonts w:ascii="Verdana" w:cs="Verdana" w:eastAsia="Verdana" w:hAnsi="Verdana"/>
                <w:sz w:val="11"/>
                <w:szCs w:val="11"/>
                <w:b w:val="1"/>
                <w:bCs w:val="1"/>
                <w:color w:val="auto"/>
              </w:rPr>
              <w:t>Jason M.</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Annual Incentive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gridSpan w:val="2"/>
            <w:vMerge w:val="restart"/>
          </w:tcPr>
          <w:p>
            <w:pPr>
              <w:ind w:left="260"/>
              <w:spacing w:after="0"/>
              <w:rPr>
                <w:sz w:val="20"/>
                <w:szCs w:val="20"/>
                <w:color w:val="auto"/>
              </w:rPr>
            </w:pPr>
            <w:r>
              <w:rPr>
                <w:rFonts w:ascii="Verdana" w:cs="Verdana" w:eastAsia="Verdana" w:hAnsi="Verdana"/>
                <w:sz w:val="12"/>
                <w:szCs w:val="12"/>
                <w:color w:val="auto"/>
                <w:w w:val="97"/>
              </w:rPr>
              <w:t>11/13/2023 $</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440,000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880,000</w:t>
            </w:r>
          </w:p>
        </w:tc>
        <w:tc>
          <w:tcPr>
            <w:tcW w:w="180" w:type="dxa"/>
            <w:vAlign w:val="bottom"/>
            <w:vMerge w:val="restart"/>
          </w:tcPr>
          <w:p>
            <w:pPr>
              <w:ind w:left="60"/>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ind w:right="22"/>
              <w:spacing w:after="0"/>
              <w:rPr>
                <w:sz w:val="20"/>
                <w:szCs w:val="20"/>
                <w:color w:val="auto"/>
              </w:rPr>
            </w:pPr>
            <w:r>
              <w:rPr>
                <w:rFonts w:ascii="Verdana" w:cs="Verdana" w:eastAsia="Verdana" w:hAnsi="Verdana"/>
                <w:sz w:val="12"/>
                <w:szCs w:val="12"/>
                <w:color w:val="auto"/>
                <w:w w:val="99"/>
              </w:rPr>
              <w:t>1,760,000</w:t>
            </w:r>
          </w:p>
        </w:tc>
        <w:tc>
          <w:tcPr>
            <w:tcW w:w="0" w:type="dxa"/>
            <w:vAlign w:val="bottom"/>
          </w:tcPr>
          <w:p>
            <w:pPr>
              <w:spacing w:after="0"/>
              <w:rPr>
                <w:sz w:val="1"/>
                <w:szCs w:val="1"/>
                <w:color w:val="auto"/>
              </w:rPr>
            </w:pPr>
          </w:p>
        </w:tc>
      </w:tr>
      <w:tr>
        <w:trPr>
          <w:trHeight w:val="75"/>
        </w:trPr>
        <w:tc>
          <w:tcPr>
            <w:tcW w:w="94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Cardew</w:t>
            </w:r>
          </w:p>
        </w:tc>
        <w:tc>
          <w:tcPr>
            <w:tcW w:w="1260" w:type="dxa"/>
            <w:vAlign w:val="bottom"/>
            <w:vMerge w:val="restart"/>
          </w:tcPr>
          <w:p>
            <w:pPr>
              <w:jc w:val="right"/>
              <w:ind w:right="26"/>
              <w:spacing w:after="0"/>
              <w:rPr>
                <w:sz w:val="20"/>
                <w:szCs w:val="20"/>
                <w:color w:val="auto"/>
              </w:rPr>
            </w:pPr>
            <w:r>
              <w:rPr>
                <w:rFonts w:ascii="Verdana" w:cs="Verdana" w:eastAsia="Verdana" w:hAnsi="Verdana"/>
                <w:sz w:val="11"/>
                <w:szCs w:val="11"/>
                <w:color w:val="auto"/>
              </w:rPr>
              <w:t>Award</w:t>
            </w:r>
          </w:p>
        </w:tc>
        <w:tc>
          <w:tcPr>
            <w:tcW w:w="8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E1DFDE"/>
            </w:tcBorders>
          </w:tcPr>
          <w:p>
            <w:pPr>
              <w:spacing w:after="0" w:line="20" w:lineRule="exact"/>
              <w:rPr>
                <w:sz w:val="1"/>
                <w:szCs w:val="1"/>
                <w:color w:val="auto"/>
              </w:rPr>
            </w:pPr>
          </w:p>
        </w:tc>
        <w:tc>
          <w:tcPr>
            <w:tcW w:w="1260" w:type="dxa"/>
            <w:vAlign w:val="bottom"/>
            <w:tcBorders>
              <w:bottom w:val="single" w:sz="8" w:color="E1DFDE"/>
            </w:tcBorders>
          </w:tcPr>
          <w:p>
            <w:pPr>
              <w:spacing w:after="0" w:line="20" w:lineRule="exact"/>
              <w:rPr>
                <w:sz w:val="1"/>
                <w:szCs w:val="1"/>
                <w:color w:val="auto"/>
              </w:rPr>
            </w:pPr>
          </w:p>
        </w:tc>
        <w:tc>
          <w:tcPr>
            <w:tcW w:w="820" w:type="dxa"/>
            <w:vAlign w:val="bottom"/>
            <w:tcBorders>
              <w:bottom w:val="single" w:sz="8" w:color="E1DFDE"/>
            </w:tcBorders>
          </w:tcPr>
          <w:p>
            <w:pPr>
              <w:spacing w:after="0" w:line="20" w:lineRule="exact"/>
              <w:rPr>
                <w:sz w:val="1"/>
                <w:szCs w:val="1"/>
                <w:color w:val="auto"/>
              </w:rPr>
            </w:pPr>
          </w:p>
        </w:tc>
        <w:tc>
          <w:tcPr>
            <w:tcW w:w="980" w:type="dxa"/>
            <w:vAlign w:val="bottom"/>
            <w:tcBorders>
              <w:bottom w:val="single" w:sz="8" w:color="E1DFDE"/>
            </w:tcBorders>
          </w:tcPr>
          <w:p>
            <w:pPr>
              <w:spacing w:after="0" w:line="20" w:lineRule="exact"/>
              <w:rPr>
                <w:sz w:val="1"/>
                <w:szCs w:val="1"/>
                <w:color w:val="auto"/>
              </w:rPr>
            </w:pPr>
          </w:p>
        </w:tc>
        <w:tc>
          <w:tcPr>
            <w:tcW w:w="12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8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Performance Share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vMerge w:val="restart"/>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40" w:type="dxa"/>
            <w:vAlign w:val="bottom"/>
            <w:tcBorders>
              <w:bottom w:val="single" w:sz="8" w:color="E1DFDE"/>
            </w:tcBorders>
          </w:tcPr>
          <w:p>
            <w:pPr>
              <w:spacing w:after="0"/>
              <w:rPr>
                <w:sz w:val="14"/>
                <w:szCs w:val="14"/>
                <w:color w:val="auto"/>
              </w:rPr>
            </w:pPr>
          </w:p>
        </w:tc>
        <w:tc>
          <w:tcPr>
            <w:tcW w:w="1260" w:type="dxa"/>
            <w:vAlign w:val="bottom"/>
            <w:tcBorders>
              <w:bottom w:val="single" w:sz="8" w:color="E1DFDE"/>
            </w:tcBorders>
          </w:tcPr>
          <w:p>
            <w:pPr>
              <w:jc w:val="right"/>
              <w:ind w:right="26"/>
              <w:spacing w:after="0" w:line="165" w:lineRule="exact"/>
              <w:rPr>
                <w:sz w:val="20"/>
                <w:szCs w:val="20"/>
                <w:color w:val="auto"/>
              </w:rPr>
            </w:pPr>
            <w:r>
              <w:rPr>
                <w:rFonts w:ascii="Verdana" w:cs="Verdana" w:eastAsia="Verdana" w:hAnsi="Verdana"/>
                <w:sz w:val="11"/>
                <w:szCs w:val="11"/>
                <w:color w:val="auto"/>
              </w:rPr>
              <w:t>Award</w:t>
            </w:r>
            <w:r>
              <w:rPr>
                <w:rFonts w:ascii="Verdana" w:cs="Verdana" w:eastAsia="Verdana" w:hAnsi="Verdana"/>
                <w:sz w:val="14"/>
                <w:szCs w:val="14"/>
                <w:color w:val="auto"/>
                <w:vertAlign w:val="superscript"/>
              </w:rPr>
              <w:t>(3)</w:t>
            </w:r>
          </w:p>
        </w:tc>
        <w:tc>
          <w:tcPr>
            <w:tcW w:w="820" w:type="dxa"/>
            <w:vAlign w:val="bottom"/>
            <w:tcBorders>
              <w:bottom w:val="single" w:sz="8" w:color="E1DFDE"/>
            </w:tcBorders>
            <w:vMerge w:val="continue"/>
          </w:tcPr>
          <w:p>
            <w:pPr>
              <w:spacing w:after="0"/>
              <w:rPr>
                <w:sz w:val="14"/>
                <w:szCs w:val="14"/>
                <w:color w:val="auto"/>
              </w:rPr>
            </w:pPr>
          </w:p>
        </w:tc>
        <w:tc>
          <w:tcPr>
            <w:tcW w:w="980" w:type="dxa"/>
            <w:vAlign w:val="bottom"/>
            <w:tcBorders>
              <w:bottom w:val="single" w:sz="8" w:color="E1DFDE"/>
            </w:tcBorders>
            <w:vMerge w:val="continue"/>
          </w:tcPr>
          <w:p>
            <w:pPr>
              <w:spacing w:after="0"/>
              <w:rPr>
                <w:sz w:val="14"/>
                <w:szCs w:val="14"/>
                <w:color w:val="auto"/>
              </w:rPr>
            </w:pPr>
          </w:p>
        </w:tc>
        <w:tc>
          <w:tcPr>
            <w:tcW w:w="12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4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8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tcBorders>
              <w:bottom w:val="single" w:sz="8" w:color="E1DFDE"/>
            </w:tcBorders>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w w:val="97"/>
              </w:rPr>
              <w:t>Special RSU Award</w:t>
            </w:r>
            <w:r>
              <w:rPr>
                <w:rFonts w:ascii="Verdana" w:cs="Verdana" w:eastAsia="Verdana" w:hAnsi="Verdana"/>
                <w:sz w:val="14"/>
                <w:szCs w:val="14"/>
                <w:color w:val="auto"/>
                <w:w w:val="97"/>
                <w:vertAlign w:val="superscript"/>
              </w:rPr>
              <w:t>(5)</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6"/>
              </w:rPr>
              <w:t>8/14/2024</w:t>
            </w:r>
          </w:p>
        </w:tc>
        <w:tc>
          <w:tcPr>
            <w:tcW w:w="980" w:type="dxa"/>
            <w:vAlign w:val="bottom"/>
            <w:tcBorders>
              <w:bottom w:val="single" w:sz="8" w:color="E1DFDE"/>
            </w:tcBorders>
          </w:tcPr>
          <w:p>
            <w:pPr>
              <w:ind w:left="80"/>
              <w:spacing w:after="0"/>
              <w:rPr>
                <w:sz w:val="20"/>
                <w:szCs w:val="20"/>
                <w:color w:val="auto"/>
              </w:rPr>
            </w:pPr>
            <w:r>
              <w:rPr>
                <w:rFonts w:ascii="Verdana" w:cs="Verdana" w:eastAsia="Verdana" w:hAnsi="Verdana"/>
                <w:sz w:val="12"/>
                <w:szCs w:val="12"/>
                <w:color w:val="auto"/>
              </w:rPr>
              <w:t>8/14/2024</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RSU Award</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11/20/2024</w:t>
            </w:r>
          </w:p>
        </w:tc>
        <w:tc>
          <w:tcPr>
            <w:tcW w:w="980" w:type="dxa"/>
            <w:vAlign w:val="bottom"/>
            <w:vMerge w:val="restart"/>
          </w:tcPr>
          <w:p>
            <w:pPr>
              <w:ind w:left="80"/>
              <w:spacing w:after="0"/>
              <w:rPr>
                <w:sz w:val="20"/>
                <w:szCs w:val="20"/>
                <w:color w:val="auto"/>
              </w:rPr>
            </w:pPr>
            <w:r>
              <w:rPr>
                <w:rFonts w:ascii="Verdana" w:cs="Verdana" w:eastAsia="Verdana" w:hAnsi="Verdana"/>
                <w:sz w:val="12"/>
                <w:szCs w:val="12"/>
                <w:color w:val="auto"/>
              </w:rPr>
              <w:t>11/20/2024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(6)</w:t>
            </w:r>
          </w:p>
        </w:tc>
        <w:tc>
          <w:tcPr>
            <w:tcW w:w="8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696158"/>
            </w:tcBorders>
          </w:tcPr>
          <w:p>
            <w:pPr>
              <w:spacing w:after="0" w:line="20" w:lineRule="exact"/>
              <w:rPr>
                <w:sz w:val="1"/>
                <w:szCs w:val="1"/>
                <w:color w:val="auto"/>
              </w:rPr>
            </w:pPr>
          </w:p>
        </w:tc>
        <w:tc>
          <w:tcPr>
            <w:tcW w:w="1260" w:type="dxa"/>
            <w:vAlign w:val="bottom"/>
            <w:tcBorders>
              <w:bottom w:val="single" w:sz="8" w:color="696158"/>
            </w:tcBorders>
          </w:tcPr>
          <w:p>
            <w:pPr>
              <w:spacing w:after="0" w:line="20" w:lineRule="exact"/>
              <w:rPr>
                <w:sz w:val="1"/>
                <w:szCs w:val="1"/>
                <w:color w:val="auto"/>
              </w:rPr>
            </w:pPr>
          </w:p>
        </w:tc>
        <w:tc>
          <w:tcPr>
            <w:tcW w:w="820" w:type="dxa"/>
            <w:vAlign w:val="bottom"/>
            <w:tcBorders>
              <w:bottom w:val="single" w:sz="8" w:color="696158"/>
            </w:tcBorders>
          </w:tcPr>
          <w:p>
            <w:pPr>
              <w:spacing w:after="0" w:line="20" w:lineRule="exact"/>
              <w:rPr>
                <w:sz w:val="1"/>
                <w:szCs w:val="1"/>
                <w:color w:val="auto"/>
              </w:rPr>
            </w:pPr>
          </w:p>
        </w:tc>
        <w:tc>
          <w:tcPr>
            <w:tcW w:w="980" w:type="dxa"/>
            <w:vAlign w:val="bottom"/>
            <w:tcBorders>
              <w:bottom w:val="single" w:sz="8" w:color="696158"/>
            </w:tcBorders>
          </w:tcPr>
          <w:p>
            <w:pPr>
              <w:spacing w:after="0" w:line="20" w:lineRule="exact"/>
              <w:rPr>
                <w:sz w:val="1"/>
                <w:szCs w:val="1"/>
                <w:color w:val="auto"/>
              </w:rPr>
            </w:pPr>
          </w:p>
        </w:tc>
        <w:tc>
          <w:tcPr>
            <w:tcW w:w="12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4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8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40" w:type="dxa"/>
            <w:vAlign w:val="bottom"/>
          </w:tcPr>
          <w:p>
            <w:pPr>
              <w:ind w:left="60"/>
              <w:spacing w:after="0"/>
              <w:rPr>
                <w:sz w:val="20"/>
                <w:szCs w:val="20"/>
                <w:color w:val="auto"/>
              </w:rPr>
            </w:pPr>
            <w:r>
              <w:rPr>
                <w:rFonts w:ascii="Verdana" w:cs="Verdana" w:eastAsia="Verdana" w:hAnsi="Verdana"/>
                <w:sz w:val="11"/>
                <w:szCs w:val="11"/>
                <w:b w:val="1"/>
                <w:bCs w:val="1"/>
                <w:color w:val="auto"/>
              </w:rPr>
              <w:t>Frank C.</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Annual Incentive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gridSpan w:val="2"/>
            <w:vMerge w:val="restart"/>
          </w:tcPr>
          <w:p>
            <w:pPr>
              <w:ind w:left="260"/>
              <w:spacing w:after="0"/>
              <w:rPr>
                <w:sz w:val="20"/>
                <w:szCs w:val="20"/>
                <w:color w:val="auto"/>
              </w:rPr>
            </w:pPr>
            <w:r>
              <w:rPr>
                <w:rFonts w:ascii="Verdana" w:cs="Verdana" w:eastAsia="Verdana" w:hAnsi="Verdana"/>
                <w:sz w:val="12"/>
                <w:szCs w:val="12"/>
                <w:color w:val="auto"/>
                <w:w w:val="97"/>
              </w:rPr>
              <w:t>11/13/2023 $</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450,000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900,000</w:t>
            </w:r>
          </w:p>
        </w:tc>
        <w:tc>
          <w:tcPr>
            <w:tcW w:w="180" w:type="dxa"/>
            <w:vAlign w:val="bottom"/>
            <w:vMerge w:val="restart"/>
          </w:tcPr>
          <w:p>
            <w:pPr>
              <w:ind w:left="60"/>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ind w:right="22"/>
              <w:spacing w:after="0"/>
              <w:rPr>
                <w:sz w:val="20"/>
                <w:szCs w:val="20"/>
                <w:color w:val="auto"/>
              </w:rPr>
            </w:pPr>
            <w:r>
              <w:rPr>
                <w:rFonts w:ascii="Verdana" w:cs="Verdana" w:eastAsia="Verdana" w:hAnsi="Verdana"/>
                <w:sz w:val="12"/>
                <w:szCs w:val="12"/>
                <w:color w:val="auto"/>
                <w:w w:val="99"/>
              </w:rPr>
              <w:t>1,800,000</w:t>
            </w:r>
          </w:p>
        </w:tc>
        <w:tc>
          <w:tcPr>
            <w:tcW w:w="0" w:type="dxa"/>
            <w:vAlign w:val="bottom"/>
          </w:tcPr>
          <w:p>
            <w:pPr>
              <w:spacing w:after="0"/>
              <w:rPr>
                <w:sz w:val="1"/>
                <w:szCs w:val="1"/>
                <w:color w:val="auto"/>
              </w:rPr>
            </w:pPr>
          </w:p>
        </w:tc>
      </w:tr>
      <w:tr>
        <w:trPr>
          <w:trHeight w:val="75"/>
        </w:trPr>
        <w:tc>
          <w:tcPr>
            <w:tcW w:w="94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Orsini</w:t>
            </w:r>
          </w:p>
        </w:tc>
        <w:tc>
          <w:tcPr>
            <w:tcW w:w="1260" w:type="dxa"/>
            <w:vAlign w:val="bottom"/>
            <w:vMerge w:val="restart"/>
          </w:tcPr>
          <w:p>
            <w:pPr>
              <w:jc w:val="right"/>
              <w:ind w:right="26"/>
              <w:spacing w:after="0"/>
              <w:rPr>
                <w:sz w:val="20"/>
                <w:szCs w:val="20"/>
                <w:color w:val="auto"/>
              </w:rPr>
            </w:pPr>
            <w:r>
              <w:rPr>
                <w:rFonts w:ascii="Verdana" w:cs="Verdana" w:eastAsia="Verdana" w:hAnsi="Verdana"/>
                <w:sz w:val="11"/>
                <w:szCs w:val="11"/>
                <w:color w:val="auto"/>
              </w:rPr>
              <w:t>Award</w:t>
            </w:r>
          </w:p>
        </w:tc>
        <w:tc>
          <w:tcPr>
            <w:tcW w:w="8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E1DFDE"/>
            </w:tcBorders>
          </w:tcPr>
          <w:p>
            <w:pPr>
              <w:spacing w:after="0" w:line="20" w:lineRule="exact"/>
              <w:rPr>
                <w:sz w:val="1"/>
                <w:szCs w:val="1"/>
                <w:color w:val="auto"/>
              </w:rPr>
            </w:pPr>
          </w:p>
        </w:tc>
        <w:tc>
          <w:tcPr>
            <w:tcW w:w="1260" w:type="dxa"/>
            <w:vAlign w:val="bottom"/>
            <w:tcBorders>
              <w:bottom w:val="single" w:sz="8" w:color="E1DFDE"/>
            </w:tcBorders>
          </w:tcPr>
          <w:p>
            <w:pPr>
              <w:spacing w:after="0" w:line="20" w:lineRule="exact"/>
              <w:rPr>
                <w:sz w:val="1"/>
                <w:szCs w:val="1"/>
                <w:color w:val="auto"/>
              </w:rPr>
            </w:pPr>
          </w:p>
        </w:tc>
        <w:tc>
          <w:tcPr>
            <w:tcW w:w="820" w:type="dxa"/>
            <w:vAlign w:val="bottom"/>
            <w:tcBorders>
              <w:bottom w:val="single" w:sz="8" w:color="E1DFDE"/>
            </w:tcBorders>
          </w:tcPr>
          <w:p>
            <w:pPr>
              <w:spacing w:after="0" w:line="20" w:lineRule="exact"/>
              <w:rPr>
                <w:sz w:val="1"/>
                <w:szCs w:val="1"/>
                <w:color w:val="auto"/>
              </w:rPr>
            </w:pPr>
          </w:p>
        </w:tc>
        <w:tc>
          <w:tcPr>
            <w:tcW w:w="980" w:type="dxa"/>
            <w:vAlign w:val="bottom"/>
            <w:tcBorders>
              <w:bottom w:val="single" w:sz="8" w:color="E1DFDE"/>
            </w:tcBorders>
          </w:tcPr>
          <w:p>
            <w:pPr>
              <w:spacing w:after="0" w:line="20" w:lineRule="exact"/>
              <w:rPr>
                <w:sz w:val="1"/>
                <w:szCs w:val="1"/>
                <w:color w:val="auto"/>
              </w:rPr>
            </w:pPr>
          </w:p>
        </w:tc>
        <w:tc>
          <w:tcPr>
            <w:tcW w:w="12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8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Performance Share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vMerge w:val="restart"/>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40" w:type="dxa"/>
            <w:vAlign w:val="bottom"/>
            <w:tcBorders>
              <w:bottom w:val="single" w:sz="8" w:color="E1DFDE"/>
            </w:tcBorders>
          </w:tcPr>
          <w:p>
            <w:pPr>
              <w:spacing w:after="0"/>
              <w:rPr>
                <w:sz w:val="14"/>
                <w:szCs w:val="14"/>
                <w:color w:val="auto"/>
              </w:rPr>
            </w:pPr>
          </w:p>
        </w:tc>
        <w:tc>
          <w:tcPr>
            <w:tcW w:w="1260" w:type="dxa"/>
            <w:vAlign w:val="bottom"/>
            <w:tcBorders>
              <w:bottom w:val="single" w:sz="8" w:color="E1DFDE"/>
            </w:tcBorders>
          </w:tcPr>
          <w:p>
            <w:pPr>
              <w:jc w:val="right"/>
              <w:ind w:right="26"/>
              <w:spacing w:after="0" w:line="165" w:lineRule="exact"/>
              <w:rPr>
                <w:sz w:val="20"/>
                <w:szCs w:val="20"/>
                <w:color w:val="auto"/>
              </w:rPr>
            </w:pPr>
            <w:r>
              <w:rPr>
                <w:rFonts w:ascii="Verdana" w:cs="Verdana" w:eastAsia="Verdana" w:hAnsi="Verdana"/>
                <w:sz w:val="11"/>
                <w:szCs w:val="11"/>
                <w:color w:val="auto"/>
              </w:rPr>
              <w:t>Award</w:t>
            </w:r>
            <w:r>
              <w:rPr>
                <w:rFonts w:ascii="Verdana" w:cs="Verdana" w:eastAsia="Verdana" w:hAnsi="Verdana"/>
                <w:sz w:val="14"/>
                <w:szCs w:val="14"/>
                <w:color w:val="auto"/>
                <w:vertAlign w:val="superscript"/>
              </w:rPr>
              <w:t>(3)</w:t>
            </w:r>
          </w:p>
        </w:tc>
        <w:tc>
          <w:tcPr>
            <w:tcW w:w="820" w:type="dxa"/>
            <w:vAlign w:val="bottom"/>
            <w:tcBorders>
              <w:bottom w:val="single" w:sz="8" w:color="E1DFDE"/>
            </w:tcBorders>
            <w:vMerge w:val="continue"/>
          </w:tcPr>
          <w:p>
            <w:pPr>
              <w:spacing w:after="0"/>
              <w:rPr>
                <w:sz w:val="14"/>
                <w:szCs w:val="14"/>
                <w:color w:val="auto"/>
              </w:rPr>
            </w:pPr>
          </w:p>
        </w:tc>
        <w:tc>
          <w:tcPr>
            <w:tcW w:w="980" w:type="dxa"/>
            <w:vAlign w:val="bottom"/>
            <w:tcBorders>
              <w:bottom w:val="single" w:sz="8" w:color="E1DFDE"/>
            </w:tcBorders>
            <w:vMerge w:val="continue"/>
          </w:tcPr>
          <w:p>
            <w:pPr>
              <w:spacing w:after="0"/>
              <w:rPr>
                <w:sz w:val="14"/>
                <w:szCs w:val="14"/>
                <w:color w:val="auto"/>
              </w:rPr>
            </w:pPr>
          </w:p>
        </w:tc>
        <w:tc>
          <w:tcPr>
            <w:tcW w:w="12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4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8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tcBorders>
              <w:bottom w:val="single" w:sz="8" w:color="E1DFDE"/>
            </w:tcBorders>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w w:val="97"/>
              </w:rPr>
              <w:t>Special RSU Award</w:t>
            </w:r>
            <w:r>
              <w:rPr>
                <w:rFonts w:ascii="Verdana" w:cs="Verdana" w:eastAsia="Verdana" w:hAnsi="Verdana"/>
                <w:sz w:val="14"/>
                <w:szCs w:val="14"/>
                <w:color w:val="auto"/>
                <w:w w:val="97"/>
                <w:vertAlign w:val="superscript"/>
              </w:rPr>
              <w:t>(5)</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6"/>
              </w:rPr>
              <w:t>8/14/2024</w:t>
            </w:r>
          </w:p>
        </w:tc>
        <w:tc>
          <w:tcPr>
            <w:tcW w:w="980" w:type="dxa"/>
            <w:vAlign w:val="bottom"/>
            <w:tcBorders>
              <w:bottom w:val="single" w:sz="8" w:color="E1DFDE"/>
            </w:tcBorders>
          </w:tcPr>
          <w:p>
            <w:pPr>
              <w:ind w:left="80"/>
              <w:spacing w:after="0"/>
              <w:rPr>
                <w:sz w:val="20"/>
                <w:szCs w:val="20"/>
                <w:color w:val="auto"/>
              </w:rPr>
            </w:pPr>
            <w:r>
              <w:rPr>
                <w:rFonts w:ascii="Verdana" w:cs="Verdana" w:eastAsia="Verdana" w:hAnsi="Verdana"/>
                <w:sz w:val="12"/>
                <w:szCs w:val="12"/>
                <w:color w:val="auto"/>
              </w:rPr>
              <w:t>8/14/2024</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RSU Award</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11/20/2024</w:t>
            </w:r>
          </w:p>
        </w:tc>
        <w:tc>
          <w:tcPr>
            <w:tcW w:w="980" w:type="dxa"/>
            <w:vAlign w:val="bottom"/>
            <w:vMerge w:val="restart"/>
          </w:tcPr>
          <w:p>
            <w:pPr>
              <w:ind w:left="80"/>
              <w:spacing w:after="0"/>
              <w:rPr>
                <w:sz w:val="20"/>
                <w:szCs w:val="20"/>
                <w:color w:val="auto"/>
              </w:rPr>
            </w:pPr>
            <w:r>
              <w:rPr>
                <w:rFonts w:ascii="Verdana" w:cs="Verdana" w:eastAsia="Verdana" w:hAnsi="Verdana"/>
                <w:sz w:val="12"/>
                <w:szCs w:val="12"/>
                <w:color w:val="auto"/>
              </w:rPr>
              <w:t>11/20/2024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(6)</w:t>
            </w:r>
          </w:p>
        </w:tc>
        <w:tc>
          <w:tcPr>
            <w:tcW w:w="8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696158"/>
            </w:tcBorders>
          </w:tcPr>
          <w:p>
            <w:pPr>
              <w:spacing w:after="0" w:line="20" w:lineRule="exact"/>
              <w:rPr>
                <w:sz w:val="1"/>
                <w:szCs w:val="1"/>
                <w:color w:val="auto"/>
              </w:rPr>
            </w:pPr>
          </w:p>
        </w:tc>
        <w:tc>
          <w:tcPr>
            <w:tcW w:w="1260" w:type="dxa"/>
            <w:vAlign w:val="bottom"/>
            <w:tcBorders>
              <w:bottom w:val="single" w:sz="8" w:color="696158"/>
            </w:tcBorders>
          </w:tcPr>
          <w:p>
            <w:pPr>
              <w:spacing w:after="0" w:line="20" w:lineRule="exact"/>
              <w:rPr>
                <w:sz w:val="1"/>
                <w:szCs w:val="1"/>
                <w:color w:val="auto"/>
              </w:rPr>
            </w:pPr>
          </w:p>
        </w:tc>
        <w:tc>
          <w:tcPr>
            <w:tcW w:w="820" w:type="dxa"/>
            <w:vAlign w:val="bottom"/>
            <w:tcBorders>
              <w:bottom w:val="single" w:sz="8" w:color="696158"/>
            </w:tcBorders>
          </w:tcPr>
          <w:p>
            <w:pPr>
              <w:spacing w:after="0" w:line="20" w:lineRule="exact"/>
              <w:rPr>
                <w:sz w:val="1"/>
                <w:szCs w:val="1"/>
                <w:color w:val="auto"/>
              </w:rPr>
            </w:pPr>
          </w:p>
        </w:tc>
        <w:tc>
          <w:tcPr>
            <w:tcW w:w="980" w:type="dxa"/>
            <w:vAlign w:val="bottom"/>
            <w:tcBorders>
              <w:bottom w:val="single" w:sz="8" w:color="696158"/>
            </w:tcBorders>
          </w:tcPr>
          <w:p>
            <w:pPr>
              <w:spacing w:after="0" w:line="20" w:lineRule="exact"/>
              <w:rPr>
                <w:sz w:val="1"/>
                <w:szCs w:val="1"/>
                <w:color w:val="auto"/>
              </w:rPr>
            </w:pPr>
          </w:p>
        </w:tc>
        <w:tc>
          <w:tcPr>
            <w:tcW w:w="12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4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8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40" w:type="dxa"/>
            <w:vAlign w:val="bottom"/>
          </w:tcPr>
          <w:p>
            <w:pPr>
              <w:ind w:left="60"/>
              <w:spacing w:after="0"/>
              <w:rPr>
                <w:sz w:val="20"/>
                <w:szCs w:val="20"/>
                <w:color w:val="auto"/>
              </w:rPr>
            </w:pPr>
            <w:r>
              <w:rPr>
                <w:rFonts w:ascii="Verdana" w:cs="Verdana" w:eastAsia="Verdana" w:hAnsi="Verdana"/>
                <w:sz w:val="11"/>
                <w:szCs w:val="11"/>
                <w:b w:val="1"/>
                <w:bCs w:val="1"/>
                <w:color w:val="auto"/>
              </w:rPr>
              <w:t>Carl A.</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Annual Incentive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gridSpan w:val="2"/>
            <w:vMerge w:val="restart"/>
          </w:tcPr>
          <w:p>
            <w:pPr>
              <w:ind w:left="260"/>
              <w:spacing w:after="0"/>
              <w:rPr>
                <w:sz w:val="20"/>
                <w:szCs w:val="20"/>
                <w:color w:val="auto"/>
              </w:rPr>
            </w:pPr>
            <w:r>
              <w:rPr>
                <w:rFonts w:ascii="Verdana" w:cs="Verdana" w:eastAsia="Verdana" w:hAnsi="Verdana"/>
                <w:sz w:val="12"/>
                <w:szCs w:val="12"/>
                <w:color w:val="auto"/>
                <w:w w:val="97"/>
              </w:rPr>
              <w:t>11/13/2023 $</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337,669</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675,338</w:t>
            </w:r>
          </w:p>
        </w:tc>
        <w:tc>
          <w:tcPr>
            <w:tcW w:w="180" w:type="dxa"/>
            <w:vAlign w:val="bottom"/>
            <w:vMerge w:val="restart"/>
          </w:tcPr>
          <w:p>
            <w:pPr>
              <w:ind w:left="60"/>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ind w:right="22"/>
              <w:spacing w:after="0"/>
              <w:rPr>
                <w:sz w:val="20"/>
                <w:szCs w:val="20"/>
                <w:color w:val="auto"/>
              </w:rPr>
            </w:pPr>
            <w:r>
              <w:rPr>
                <w:rFonts w:ascii="Verdana" w:cs="Verdana" w:eastAsia="Verdana" w:hAnsi="Verdana"/>
                <w:sz w:val="12"/>
                <w:szCs w:val="12"/>
                <w:color w:val="auto"/>
                <w:w w:val="99"/>
              </w:rPr>
              <w:t>1,350,675</w:t>
            </w:r>
          </w:p>
        </w:tc>
        <w:tc>
          <w:tcPr>
            <w:tcW w:w="0" w:type="dxa"/>
            <w:vAlign w:val="bottom"/>
          </w:tcPr>
          <w:p>
            <w:pPr>
              <w:spacing w:after="0"/>
              <w:rPr>
                <w:sz w:val="1"/>
                <w:szCs w:val="1"/>
                <w:color w:val="auto"/>
              </w:rPr>
            </w:pPr>
          </w:p>
        </w:tc>
      </w:tr>
      <w:tr>
        <w:trPr>
          <w:trHeight w:val="75"/>
        </w:trPr>
        <w:tc>
          <w:tcPr>
            <w:tcW w:w="94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Esposito</w:t>
            </w:r>
          </w:p>
        </w:tc>
        <w:tc>
          <w:tcPr>
            <w:tcW w:w="1260" w:type="dxa"/>
            <w:vAlign w:val="bottom"/>
            <w:vMerge w:val="restart"/>
          </w:tcPr>
          <w:p>
            <w:pPr>
              <w:jc w:val="right"/>
              <w:ind w:right="26"/>
              <w:spacing w:after="0"/>
              <w:rPr>
                <w:sz w:val="20"/>
                <w:szCs w:val="20"/>
                <w:color w:val="auto"/>
              </w:rPr>
            </w:pPr>
            <w:r>
              <w:rPr>
                <w:rFonts w:ascii="Verdana" w:cs="Verdana" w:eastAsia="Verdana" w:hAnsi="Verdana"/>
                <w:sz w:val="11"/>
                <w:szCs w:val="11"/>
                <w:color w:val="auto"/>
              </w:rPr>
              <w:t>Award</w:t>
            </w:r>
          </w:p>
        </w:tc>
        <w:tc>
          <w:tcPr>
            <w:tcW w:w="8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E1DFDE"/>
            </w:tcBorders>
          </w:tcPr>
          <w:p>
            <w:pPr>
              <w:spacing w:after="0" w:line="20" w:lineRule="exact"/>
              <w:rPr>
                <w:sz w:val="1"/>
                <w:szCs w:val="1"/>
                <w:color w:val="auto"/>
              </w:rPr>
            </w:pPr>
          </w:p>
        </w:tc>
        <w:tc>
          <w:tcPr>
            <w:tcW w:w="1260" w:type="dxa"/>
            <w:vAlign w:val="bottom"/>
            <w:tcBorders>
              <w:bottom w:val="single" w:sz="8" w:color="E1DFDE"/>
            </w:tcBorders>
          </w:tcPr>
          <w:p>
            <w:pPr>
              <w:spacing w:after="0" w:line="20" w:lineRule="exact"/>
              <w:rPr>
                <w:sz w:val="1"/>
                <w:szCs w:val="1"/>
                <w:color w:val="auto"/>
              </w:rPr>
            </w:pPr>
          </w:p>
        </w:tc>
        <w:tc>
          <w:tcPr>
            <w:tcW w:w="820" w:type="dxa"/>
            <w:vAlign w:val="bottom"/>
            <w:tcBorders>
              <w:bottom w:val="single" w:sz="8" w:color="E1DFDE"/>
            </w:tcBorders>
          </w:tcPr>
          <w:p>
            <w:pPr>
              <w:spacing w:after="0" w:line="20" w:lineRule="exact"/>
              <w:rPr>
                <w:sz w:val="1"/>
                <w:szCs w:val="1"/>
                <w:color w:val="auto"/>
              </w:rPr>
            </w:pPr>
          </w:p>
        </w:tc>
        <w:tc>
          <w:tcPr>
            <w:tcW w:w="980" w:type="dxa"/>
            <w:vAlign w:val="bottom"/>
            <w:tcBorders>
              <w:bottom w:val="single" w:sz="8" w:color="E1DFDE"/>
            </w:tcBorders>
          </w:tcPr>
          <w:p>
            <w:pPr>
              <w:spacing w:after="0" w:line="20" w:lineRule="exact"/>
              <w:rPr>
                <w:sz w:val="1"/>
                <w:szCs w:val="1"/>
                <w:color w:val="auto"/>
              </w:rPr>
            </w:pPr>
          </w:p>
        </w:tc>
        <w:tc>
          <w:tcPr>
            <w:tcW w:w="12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8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Performance Share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vMerge w:val="restart"/>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40" w:type="dxa"/>
            <w:vAlign w:val="bottom"/>
            <w:tcBorders>
              <w:bottom w:val="single" w:sz="8" w:color="E1DFDE"/>
            </w:tcBorders>
          </w:tcPr>
          <w:p>
            <w:pPr>
              <w:spacing w:after="0"/>
              <w:rPr>
                <w:sz w:val="14"/>
                <w:szCs w:val="14"/>
                <w:color w:val="auto"/>
              </w:rPr>
            </w:pPr>
          </w:p>
        </w:tc>
        <w:tc>
          <w:tcPr>
            <w:tcW w:w="1260" w:type="dxa"/>
            <w:vAlign w:val="bottom"/>
            <w:tcBorders>
              <w:bottom w:val="single" w:sz="8" w:color="E1DFDE"/>
            </w:tcBorders>
          </w:tcPr>
          <w:p>
            <w:pPr>
              <w:jc w:val="right"/>
              <w:ind w:right="26"/>
              <w:spacing w:after="0" w:line="165" w:lineRule="exact"/>
              <w:rPr>
                <w:sz w:val="20"/>
                <w:szCs w:val="20"/>
                <w:color w:val="auto"/>
              </w:rPr>
            </w:pPr>
            <w:r>
              <w:rPr>
                <w:rFonts w:ascii="Verdana" w:cs="Verdana" w:eastAsia="Verdana" w:hAnsi="Verdana"/>
                <w:sz w:val="11"/>
                <w:szCs w:val="11"/>
                <w:color w:val="auto"/>
              </w:rPr>
              <w:t>Award</w:t>
            </w:r>
            <w:r>
              <w:rPr>
                <w:rFonts w:ascii="Verdana" w:cs="Verdana" w:eastAsia="Verdana" w:hAnsi="Verdana"/>
                <w:sz w:val="14"/>
                <w:szCs w:val="14"/>
                <w:color w:val="auto"/>
                <w:vertAlign w:val="superscript"/>
              </w:rPr>
              <w:t>(3)</w:t>
            </w:r>
          </w:p>
        </w:tc>
        <w:tc>
          <w:tcPr>
            <w:tcW w:w="820" w:type="dxa"/>
            <w:vAlign w:val="bottom"/>
            <w:tcBorders>
              <w:bottom w:val="single" w:sz="8" w:color="E1DFDE"/>
            </w:tcBorders>
            <w:vMerge w:val="continue"/>
          </w:tcPr>
          <w:p>
            <w:pPr>
              <w:spacing w:after="0"/>
              <w:rPr>
                <w:sz w:val="14"/>
                <w:szCs w:val="14"/>
                <w:color w:val="auto"/>
              </w:rPr>
            </w:pPr>
          </w:p>
        </w:tc>
        <w:tc>
          <w:tcPr>
            <w:tcW w:w="980" w:type="dxa"/>
            <w:vAlign w:val="bottom"/>
            <w:tcBorders>
              <w:bottom w:val="single" w:sz="8" w:color="E1DFDE"/>
            </w:tcBorders>
            <w:vMerge w:val="continue"/>
          </w:tcPr>
          <w:p>
            <w:pPr>
              <w:spacing w:after="0"/>
              <w:rPr>
                <w:sz w:val="14"/>
                <w:szCs w:val="14"/>
                <w:color w:val="auto"/>
              </w:rPr>
            </w:pPr>
          </w:p>
        </w:tc>
        <w:tc>
          <w:tcPr>
            <w:tcW w:w="12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4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8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tcBorders>
              <w:bottom w:val="single" w:sz="8" w:color="E1DFDE"/>
            </w:tcBorders>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RSU Award</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11/20/2024</w:t>
            </w:r>
          </w:p>
        </w:tc>
        <w:tc>
          <w:tcPr>
            <w:tcW w:w="980" w:type="dxa"/>
            <w:vAlign w:val="bottom"/>
            <w:vMerge w:val="restart"/>
          </w:tcPr>
          <w:p>
            <w:pPr>
              <w:ind w:left="80"/>
              <w:spacing w:after="0"/>
              <w:rPr>
                <w:sz w:val="20"/>
                <w:szCs w:val="20"/>
                <w:color w:val="auto"/>
              </w:rPr>
            </w:pPr>
            <w:r>
              <w:rPr>
                <w:rFonts w:ascii="Verdana" w:cs="Verdana" w:eastAsia="Verdana" w:hAnsi="Verdana"/>
                <w:sz w:val="12"/>
                <w:szCs w:val="12"/>
                <w:color w:val="auto"/>
              </w:rPr>
              <w:t>11/20/2024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(6)</w:t>
            </w:r>
          </w:p>
        </w:tc>
        <w:tc>
          <w:tcPr>
            <w:tcW w:w="8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696158"/>
            </w:tcBorders>
          </w:tcPr>
          <w:p>
            <w:pPr>
              <w:spacing w:after="0" w:line="20" w:lineRule="exact"/>
              <w:rPr>
                <w:sz w:val="1"/>
                <w:szCs w:val="1"/>
                <w:color w:val="auto"/>
              </w:rPr>
            </w:pPr>
          </w:p>
        </w:tc>
        <w:tc>
          <w:tcPr>
            <w:tcW w:w="1260" w:type="dxa"/>
            <w:vAlign w:val="bottom"/>
            <w:tcBorders>
              <w:bottom w:val="single" w:sz="8" w:color="696158"/>
            </w:tcBorders>
          </w:tcPr>
          <w:p>
            <w:pPr>
              <w:spacing w:after="0" w:line="20" w:lineRule="exact"/>
              <w:rPr>
                <w:sz w:val="1"/>
                <w:szCs w:val="1"/>
                <w:color w:val="auto"/>
              </w:rPr>
            </w:pPr>
          </w:p>
        </w:tc>
        <w:tc>
          <w:tcPr>
            <w:tcW w:w="820" w:type="dxa"/>
            <w:vAlign w:val="bottom"/>
            <w:tcBorders>
              <w:bottom w:val="single" w:sz="8" w:color="696158"/>
            </w:tcBorders>
          </w:tcPr>
          <w:p>
            <w:pPr>
              <w:spacing w:after="0" w:line="20" w:lineRule="exact"/>
              <w:rPr>
                <w:sz w:val="1"/>
                <w:szCs w:val="1"/>
                <w:color w:val="auto"/>
              </w:rPr>
            </w:pPr>
          </w:p>
        </w:tc>
        <w:tc>
          <w:tcPr>
            <w:tcW w:w="980" w:type="dxa"/>
            <w:vAlign w:val="bottom"/>
            <w:tcBorders>
              <w:bottom w:val="single" w:sz="8" w:color="696158"/>
            </w:tcBorders>
          </w:tcPr>
          <w:p>
            <w:pPr>
              <w:spacing w:after="0" w:line="20" w:lineRule="exact"/>
              <w:rPr>
                <w:sz w:val="1"/>
                <w:szCs w:val="1"/>
                <w:color w:val="auto"/>
              </w:rPr>
            </w:pPr>
          </w:p>
        </w:tc>
        <w:tc>
          <w:tcPr>
            <w:tcW w:w="12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4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8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40" w:type="dxa"/>
            <w:vAlign w:val="bottom"/>
          </w:tcPr>
          <w:p>
            <w:pPr>
              <w:ind w:left="60"/>
              <w:spacing w:after="0"/>
              <w:rPr>
                <w:sz w:val="20"/>
                <w:szCs w:val="20"/>
                <w:color w:val="auto"/>
              </w:rPr>
            </w:pPr>
            <w:r>
              <w:rPr>
                <w:rFonts w:ascii="Verdana" w:cs="Verdana" w:eastAsia="Verdana" w:hAnsi="Verdana"/>
                <w:sz w:val="11"/>
                <w:szCs w:val="11"/>
                <w:b w:val="1"/>
                <w:bCs w:val="1"/>
                <w:color w:val="auto"/>
              </w:rPr>
              <w:t>Harry A.</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Annual Incentive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gridSpan w:val="2"/>
            <w:vMerge w:val="restart"/>
          </w:tcPr>
          <w:p>
            <w:pPr>
              <w:ind w:left="260"/>
              <w:spacing w:after="0"/>
              <w:rPr>
                <w:sz w:val="20"/>
                <w:szCs w:val="20"/>
                <w:color w:val="auto"/>
              </w:rPr>
            </w:pPr>
            <w:r>
              <w:rPr>
                <w:rFonts w:ascii="Verdana" w:cs="Verdana" w:eastAsia="Verdana" w:hAnsi="Verdana"/>
                <w:sz w:val="12"/>
                <w:szCs w:val="12"/>
                <w:color w:val="auto"/>
                <w:w w:val="97"/>
              </w:rPr>
              <w:t>11/13/2023 $</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337,500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675,000</w:t>
            </w:r>
          </w:p>
        </w:tc>
        <w:tc>
          <w:tcPr>
            <w:tcW w:w="180" w:type="dxa"/>
            <w:vAlign w:val="bottom"/>
            <w:vMerge w:val="restart"/>
          </w:tcPr>
          <w:p>
            <w:pPr>
              <w:ind w:left="60"/>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ind w:right="22"/>
              <w:spacing w:after="0"/>
              <w:rPr>
                <w:sz w:val="20"/>
                <w:szCs w:val="20"/>
                <w:color w:val="auto"/>
              </w:rPr>
            </w:pPr>
            <w:r>
              <w:rPr>
                <w:rFonts w:ascii="Verdana" w:cs="Verdana" w:eastAsia="Verdana" w:hAnsi="Verdana"/>
                <w:sz w:val="12"/>
                <w:szCs w:val="12"/>
                <w:color w:val="auto"/>
                <w:w w:val="99"/>
              </w:rPr>
              <w:t>1,350,000</w:t>
            </w:r>
          </w:p>
        </w:tc>
        <w:tc>
          <w:tcPr>
            <w:tcW w:w="0" w:type="dxa"/>
            <w:vAlign w:val="bottom"/>
          </w:tcPr>
          <w:p>
            <w:pPr>
              <w:spacing w:after="0"/>
              <w:rPr>
                <w:sz w:val="1"/>
                <w:szCs w:val="1"/>
                <w:color w:val="auto"/>
              </w:rPr>
            </w:pPr>
          </w:p>
        </w:tc>
      </w:tr>
      <w:tr>
        <w:trPr>
          <w:trHeight w:val="75"/>
        </w:trPr>
        <w:tc>
          <w:tcPr>
            <w:tcW w:w="94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Kemp</w:t>
            </w:r>
          </w:p>
        </w:tc>
        <w:tc>
          <w:tcPr>
            <w:tcW w:w="1260" w:type="dxa"/>
            <w:vAlign w:val="bottom"/>
            <w:vMerge w:val="restart"/>
          </w:tcPr>
          <w:p>
            <w:pPr>
              <w:jc w:val="right"/>
              <w:ind w:right="26"/>
              <w:spacing w:after="0"/>
              <w:rPr>
                <w:sz w:val="20"/>
                <w:szCs w:val="20"/>
                <w:color w:val="auto"/>
              </w:rPr>
            </w:pPr>
            <w:r>
              <w:rPr>
                <w:rFonts w:ascii="Verdana" w:cs="Verdana" w:eastAsia="Verdana" w:hAnsi="Verdana"/>
                <w:sz w:val="11"/>
                <w:szCs w:val="11"/>
                <w:color w:val="auto"/>
              </w:rPr>
              <w:t>Award</w:t>
            </w:r>
          </w:p>
        </w:tc>
        <w:tc>
          <w:tcPr>
            <w:tcW w:w="8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E1DFDE"/>
            </w:tcBorders>
          </w:tcPr>
          <w:p>
            <w:pPr>
              <w:spacing w:after="0" w:line="20" w:lineRule="exact"/>
              <w:rPr>
                <w:sz w:val="1"/>
                <w:szCs w:val="1"/>
                <w:color w:val="auto"/>
              </w:rPr>
            </w:pPr>
          </w:p>
        </w:tc>
        <w:tc>
          <w:tcPr>
            <w:tcW w:w="1260" w:type="dxa"/>
            <w:vAlign w:val="bottom"/>
            <w:tcBorders>
              <w:bottom w:val="single" w:sz="8" w:color="E1DFDE"/>
            </w:tcBorders>
          </w:tcPr>
          <w:p>
            <w:pPr>
              <w:spacing w:after="0" w:line="20" w:lineRule="exact"/>
              <w:rPr>
                <w:sz w:val="1"/>
                <w:szCs w:val="1"/>
                <w:color w:val="auto"/>
              </w:rPr>
            </w:pPr>
          </w:p>
        </w:tc>
        <w:tc>
          <w:tcPr>
            <w:tcW w:w="820" w:type="dxa"/>
            <w:vAlign w:val="bottom"/>
            <w:tcBorders>
              <w:bottom w:val="single" w:sz="8" w:color="E1DFDE"/>
            </w:tcBorders>
          </w:tcPr>
          <w:p>
            <w:pPr>
              <w:spacing w:after="0" w:line="20" w:lineRule="exact"/>
              <w:rPr>
                <w:sz w:val="1"/>
                <w:szCs w:val="1"/>
                <w:color w:val="auto"/>
              </w:rPr>
            </w:pPr>
          </w:p>
        </w:tc>
        <w:tc>
          <w:tcPr>
            <w:tcW w:w="980" w:type="dxa"/>
            <w:vAlign w:val="bottom"/>
            <w:tcBorders>
              <w:bottom w:val="single" w:sz="8" w:color="E1DFDE"/>
            </w:tcBorders>
          </w:tcPr>
          <w:p>
            <w:pPr>
              <w:spacing w:after="0" w:line="20" w:lineRule="exact"/>
              <w:rPr>
                <w:sz w:val="1"/>
                <w:szCs w:val="1"/>
                <w:color w:val="auto"/>
              </w:rPr>
            </w:pPr>
          </w:p>
        </w:tc>
        <w:tc>
          <w:tcPr>
            <w:tcW w:w="12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8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Performance Share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vMerge w:val="restart"/>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40" w:type="dxa"/>
            <w:vAlign w:val="bottom"/>
            <w:tcBorders>
              <w:bottom w:val="single" w:sz="8" w:color="E1DFDE"/>
            </w:tcBorders>
          </w:tcPr>
          <w:p>
            <w:pPr>
              <w:spacing w:after="0"/>
              <w:rPr>
                <w:sz w:val="14"/>
                <w:szCs w:val="14"/>
                <w:color w:val="auto"/>
              </w:rPr>
            </w:pPr>
          </w:p>
        </w:tc>
        <w:tc>
          <w:tcPr>
            <w:tcW w:w="1260" w:type="dxa"/>
            <w:vAlign w:val="bottom"/>
            <w:tcBorders>
              <w:bottom w:val="single" w:sz="8" w:color="E1DFDE"/>
            </w:tcBorders>
          </w:tcPr>
          <w:p>
            <w:pPr>
              <w:jc w:val="right"/>
              <w:ind w:right="26"/>
              <w:spacing w:after="0" w:line="165" w:lineRule="exact"/>
              <w:rPr>
                <w:sz w:val="20"/>
                <w:szCs w:val="20"/>
                <w:color w:val="auto"/>
              </w:rPr>
            </w:pPr>
            <w:r>
              <w:rPr>
                <w:rFonts w:ascii="Verdana" w:cs="Verdana" w:eastAsia="Verdana" w:hAnsi="Verdana"/>
                <w:sz w:val="11"/>
                <w:szCs w:val="11"/>
                <w:color w:val="auto"/>
              </w:rPr>
              <w:t>Award</w:t>
            </w:r>
            <w:r>
              <w:rPr>
                <w:rFonts w:ascii="Verdana" w:cs="Verdana" w:eastAsia="Verdana" w:hAnsi="Verdana"/>
                <w:sz w:val="14"/>
                <w:szCs w:val="14"/>
                <w:color w:val="auto"/>
                <w:vertAlign w:val="superscript"/>
              </w:rPr>
              <w:t>(3)</w:t>
            </w:r>
          </w:p>
        </w:tc>
        <w:tc>
          <w:tcPr>
            <w:tcW w:w="820" w:type="dxa"/>
            <w:vAlign w:val="bottom"/>
            <w:tcBorders>
              <w:bottom w:val="single" w:sz="8" w:color="E1DFDE"/>
            </w:tcBorders>
            <w:vMerge w:val="continue"/>
          </w:tcPr>
          <w:p>
            <w:pPr>
              <w:spacing w:after="0"/>
              <w:rPr>
                <w:sz w:val="14"/>
                <w:szCs w:val="14"/>
                <w:color w:val="auto"/>
              </w:rPr>
            </w:pPr>
          </w:p>
        </w:tc>
        <w:tc>
          <w:tcPr>
            <w:tcW w:w="980" w:type="dxa"/>
            <w:vAlign w:val="bottom"/>
            <w:tcBorders>
              <w:bottom w:val="single" w:sz="8" w:color="E1DFDE"/>
            </w:tcBorders>
            <w:vMerge w:val="continue"/>
          </w:tcPr>
          <w:p>
            <w:pPr>
              <w:spacing w:after="0"/>
              <w:rPr>
                <w:sz w:val="14"/>
                <w:szCs w:val="14"/>
                <w:color w:val="auto"/>
              </w:rPr>
            </w:pPr>
          </w:p>
        </w:tc>
        <w:tc>
          <w:tcPr>
            <w:tcW w:w="12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4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8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tcBorders>
              <w:bottom w:val="single" w:sz="8" w:color="E1DFDE"/>
            </w:tcBorders>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RSU Award</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11/20/2024</w:t>
            </w:r>
          </w:p>
        </w:tc>
        <w:tc>
          <w:tcPr>
            <w:tcW w:w="980" w:type="dxa"/>
            <w:vAlign w:val="bottom"/>
            <w:vMerge w:val="restart"/>
          </w:tcPr>
          <w:p>
            <w:pPr>
              <w:ind w:left="80"/>
              <w:spacing w:after="0"/>
              <w:rPr>
                <w:sz w:val="20"/>
                <w:szCs w:val="20"/>
                <w:color w:val="auto"/>
              </w:rPr>
            </w:pPr>
            <w:r>
              <w:rPr>
                <w:rFonts w:ascii="Verdana" w:cs="Verdana" w:eastAsia="Verdana" w:hAnsi="Verdana"/>
                <w:sz w:val="12"/>
                <w:szCs w:val="12"/>
                <w:color w:val="auto"/>
              </w:rPr>
              <w:t>11/20/2024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(6)</w:t>
            </w:r>
          </w:p>
        </w:tc>
        <w:tc>
          <w:tcPr>
            <w:tcW w:w="8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696158"/>
            </w:tcBorders>
          </w:tcPr>
          <w:p>
            <w:pPr>
              <w:spacing w:after="0" w:line="20" w:lineRule="exact"/>
              <w:rPr>
                <w:sz w:val="1"/>
                <w:szCs w:val="1"/>
                <w:color w:val="auto"/>
              </w:rPr>
            </w:pPr>
          </w:p>
        </w:tc>
        <w:tc>
          <w:tcPr>
            <w:tcW w:w="1260" w:type="dxa"/>
            <w:vAlign w:val="bottom"/>
            <w:tcBorders>
              <w:bottom w:val="single" w:sz="8" w:color="696158"/>
            </w:tcBorders>
          </w:tcPr>
          <w:p>
            <w:pPr>
              <w:spacing w:after="0" w:line="20" w:lineRule="exact"/>
              <w:rPr>
                <w:sz w:val="1"/>
                <w:szCs w:val="1"/>
                <w:color w:val="auto"/>
              </w:rPr>
            </w:pPr>
          </w:p>
        </w:tc>
        <w:tc>
          <w:tcPr>
            <w:tcW w:w="820" w:type="dxa"/>
            <w:vAlign w:val="bottom"/>
            <w:tcBorders>
              <w:bottom w:val="single" w:sz="8" w:color="696158"/>
            </w:tcBorders>
          </w:tcPr>
          <w:p>
            <w:pPr>
              <w:spacing w:after="0" w:line="20" w:lineRule="exact"/>
              <w:rPr>
                <w:sz w:val="1"/>
                <w:szCs w:val="1"/>
                <w:color w:val="auto"/>
              </w:rPr>
            </w:pPr>
          </w:p>
        </w:tc>
        <w:tc>
          <w:tcPr>
            <w:tcW w:w="980" w:type="dxa"/>
            <w:vAlign w:val="bottom"/>
            <w:tcBorders>
              <w:bottom w:val="single" w:sz="8" w:color="696158"/>
            </w:tcBorders>
          </w:tcPr>
          <w:p>
            <w:pPr>
              <w:spacing w:after="0" w:line="20" w:lineRule="exact"/>
              <w:rPr>
                <w:sz w:val="1"/>
                <w:szCs w:val="1"/>
                <w:color w:val="auto"/>
              </w:rPr>
            </w:pPr>
          </w:p>
        </w:tc>
        <w:tc>
          <w:tcPr>
            <w:tcW w:w="12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4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180" w:type="dxa"/>
            <w:vAlign w:val="bottom"/>
            <w:tcBorders>
              <w:bottom w:val="single" w:sz="8" w:color="696158"/>
            </w:tcBorders>
          </w:tcPr>
          <w:p>
            <w:pPr>
              <w:spacing w:after="0" w:line="20" w:lineRule="exact"/>
              <w:rPr>
                <w:sz w:val="1"/>
                <w:szCs w:val="1"/>
                <w:color w:val="auto"/>
              </w:rPr>
            </w:pPr>
          </w:p>
        </w:tc>
        <w:tc>
          <w:tcPr>
            <w:tcW w:w="72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4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Alicia J. Davis</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Annual Incentive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gridSpan w:val="2"/>
            <w:vMerge w:val="restart"/>
          </w:tcPr>
          <w:p>
            <w:pPr>
              <w:ind w:left="260"/>
              <w:spacing w:after="0"/>
              <w:rPr>
                <w:sz w:val="20"/>
                <w:szCs w:val="20"/>
                <w:color w:val="auto"/>
              </w:rPr>
            </w:pPr>
            <w:r>
              <w:rPr>
                <w:rFonts w:ascii="Verdana" w:cs="Verdana" w:eastAsia="Verdana" w:hAnsi="Verdana"/>
                <w:sz w:val="12"/>
                <w:szCs w:val="12"/>
                <w:color w:val="auto"/>
                <w:w w:val="97"/>
              </w:rPr>
              <w:t>11/13/2023 $</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232,000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spacing w:after="0"/>
              <w:rPr>
                <w:sz w:val="20"/>
                <w:szCs w:val="20"/>
                <w:color w:val="auto"/>
              </w:rPr>
            </w:pPr>
            <w:r>
              <w:rPr>
                <w:rFonts w:ascii="Verdana" w:cs="Verdana" w:eastAsia="Verdana" w:hAnsi="Verdana"/>
                <w:sz w:val="12"/>
                <w:szCs w:val="12"/>
                <w:color w:val="auto"/>
              </w:rPr>
              <w:t>464,000</w:t>
            </w:r>
          </w:p>
        </w:tc>
        <w:tc>
          <w:tcPr>
            <w:tcW w:w="180" w:type="dxa"/>
            <w:vAlign w:val="bottom"/>
            <w:vMerge w:val="restart"/>
          </w:tcPr>
          <w:p>
            <w:pPr>
              <w:ind w:left="60"/>
              <w:spacing w:after="0"/>
              <w:rPr>
                <w:sz w:val="20"/>
                <w:szCs w:val="20"/>
                <w:color w:val="auto"/>
              </w:rPr>
            </w:pPr>
            <w:r>
              <w:rPr>
                <w:rFonts w:ascii="Verdana" w:cs="Verdana" w:eastAsia="Verdana" w:hAnsi="Verdana"/>
                <w:sz w:val="12"/>
                <w:szCs w:val="12"/>
                <w:color w:val="auto"/>
              </w:rPr>
              <w:t>$</w:t>
            </w:r>
          </w:p>
        </w:tc>
        <w:tc>
          <w:tcPr>
            <w:tcW w:w="720" w:type="dxa"/>
            <w:vAlign w:val="bottom"/>
            <w:vMerge w:val="restart"/>
          </w:tcPr>
          <w:p>
            <w:pPr>
              <w:jc w:val="right"/>
              <w:ind w:right="22"/>
              <w:spacing w:after="0"/>
              <w:rPr>
                <w:sz w:val="20"/>
                <w:szCs w:val="20"/>
                <w:color w:val="auto"/>
              </w:rPr>
            </w:pPr>
            <w:r>
              <w:rPr>
                <w:rFonts w:ascii="Verdana" w:cs="Verdana" w:eastAsia="Verdana" w:hAnsi="Verdana"/>
                <w:sz w:val="12"/>
                <w:szCs w:val="12"/>
                <w:color w:val="auto"/>
              </w:rPr>
              <w:t>928,000</w:t>
            </w:r>
          </w:p>
        </w:tc>
        <w:tc>
          <w:tcPr>
            <w:tcW w:w="0" w:type="dxa"/>
            <w:vAlign w:val="bottom"/>
          </w:tcPr>
          <w:p>
            <w:pPr>
              <w:spacing w:after="0"/>
              <w:rPr>
                <w:sz w:val="1"/>
                <w:szCs w:val="1"/>
                <w:color w:val="auto"/>
              </w:rPr>
            </w:pPr>
          </w:p>
        </w:tc>
      </w:tr>
      <w:tr>
        <w:trPr>
          <w:trHeight w:val="75"/>
        </w:trPr>
        <w:tc>
          <w:tcPr>
            <w:tcW w:w="940" w:type="dxa"/>
            <w:vAlign w:val="bottom"/>
            <w:vMerge w:val="continue"/>
          </w:tcPr>
          <w:p>
            <w:pPr>
              <w:spacing w:after="0"/>
              <w:rPr>
                <w:sz w:val="6"/>
                <w:szCs w:val="6"/>
                <w:color w:val="auto"/>
              </w:rPr>
            </w:pPr>
          </w:p>
        </w:tc>
        <w:tc>
          <w:tcPr>
            <w:tcW w:w="1260" w:type="dxa"/>
            <w:vAlign w:val="bottom"/>
            <w:vMerge w:val="restart"/>
          </w:tcPr>
          <w:p>
            <w:pPr>
              <w:jc w:val="right"/>
              <w:ind w:right="26"/>
              <w:spacing w:after="0"/>
              <w:rPr>
                <w:sz w:val="20"/>
                <w:szCs w:val="20"/>
                <w:color w:val="auto"/>
              </w:rPr>
            </w:pPr>
            <w:r>
              <w:rPr>
                <w:rFonts w:ascii="Verdana" w:cs="Verdana" w:eastAsia="Verdana" w:hAnsi="Verdana"/>
                <w:sz w:val="11"/>
                <w:szCs w:val="11"/>
                <w:color w:val="auto"/>
              </w:rPr>
              <w:t>Award</w:t>
            </w:r>
          </w:p>
        </w:tc>
        <w:tc>
          <w:tcPr>
            <w:tcW w:w="8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E1DFDE"/>
            </w:tcBorders>
          </w:tcPr>
          <w:p>
            <w:pPr>
              <w:spacing w:after="0" w:line="20" w:lineRule="exact"/>
              <w:rPr>
                <w:sz w:val="1"/>
                <w:szCs w:val="1"/>
                <w:color w:val="auto"/>
              </w:rPr>
            </w:pPr>
          </w:p>
        </w:tc>
        <w:tc>
          <w:tcPr>
            <w:tcW w:w="1260" w:type="dxa"/>
            <w:vAlign w:val="bottom"/>
            <w:tcBorders>
              <w:bottom w:val="single" w:sz="8" w:color="E1DFDE"/>
            </w:tcBorders>
          </w:tcPr>
          <w:p>
            <w:pPr>
              <w:spacing w:after="0" w:line="20" w:lineRule="exact"/>
              <w:rPr>
                <w:sz w:val="1"/>
                <w:szCs w:val="1"/>
                <w:color w:val="auto"/>
              </w:rPr>
            </w:pPr>
          </w:p>
        </w:tc>
        <w:tc>
          <w:tcPr>
            <w:tcW w:w="820" w:type="dxa"/>
            <w:vAlign w:val="bottom"/>
            <w:tcBorders>
              <w:bottom w:val="single" w:sz="8" w:color="E1DFDE"/>
            </w:tcBorders>
          </w:tcPr>
          <w:p>
            <w:pPr>
              <w:spacing w:after="0" w:line="20" w:lineRule="exact"/>
              <w:rPr>
                <w:sz w:val="1"/>
                <w:szCs w:val="1"/>
                <w:color w:val="auto"/>
              </w:rPr>
            </w:pPr>
          </w:p>
        </w:tc>
        <w:tc>
          <w:tcPr>
            <w:tcW w:w="980" w:type="dxa"/>
            <w:vAlign w:val="bottom"/>
            <w:tcBorders>
              <w:bottom w:val="single" w:sz="8" w:color="E1DFDE"/>
            </w:tcBorders>
          </w:tcPr>
          <w:p>
            <w:pPr>
              <w:spacing w:after="0" w:line="20" w:lineRule="exact"/>
              <w:rPr>
                <w:sz w:val="1"/>
                <w:szCs w:val="1"/>
                <w:color w:val="auto"/>
              </w:rPr>
            </w:pPr>
          </w:p>
        </w:tc>
        <w:tc>
          <w:tcPr>
            <w:tcW w:w="12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180" w:type="dxa"/>
            <w:vAlign w:val="bottom"/>
            <w:tcBorders>
              <w:bottom w:val="single" w:sz="8" w:color="E1DFDE"/>
            </w:tcBorders>
          </w:tcPr>
          <w:p>
            <w:pPr>
              <w:spacing w:after="0" w:line="20" w:lineRule="exact"/>
              <w:rPr>
                <w:sz w:val="1"/>
                <w:szCs w:val="1"/>
                <w:color w:val="auto"/>
              </w:rPr>
            </w:pPr>
          </w:p>
        </w:tc>
        <w:tc>
          <w:tcPr>
            <w:tcW w:w="72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Performance Share</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vMerge w:val="restart"/>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40" w:type="dxa"/>
            <w:vAlign w:val="bottom"/>
            <w:tcBorders>
              <w:bottom w:val="single" w:sz="8" w:color="E1DFDE"/>
            </w:tcBorders>
          </w:tcPr>
          <w:p>
            <w:pPr>
              <w:spacing w:after="0"/>
              <w:rPr>
                <w:sz w:val="14"/>
                <w:szCs w:val="14"/>
                <w:color w:val="auto"/>
              </w:rPr>
            </w:pPr>
          </w:p>
        </w:tc>
        <w:tc>
          <w:tcPr>
            <w:tcW w:w="1260" w:type="dxa"/>
            <w:vAlign w:val="bottom"/>
            <w:tcBorders>
              <w:bottom w:val="single" w:sz="8" w:color="E1DFDE"/>
            </w:tcBorders>
          </w:tcPr>
          <w:p>
            <w:pPr>
              <w:jc w:val="right"/>
              <w:ind w:right="26"/>
              <w:spacing w:after="0" w:line="165" w:lineRule="exact"/>
              <w:rPr>
                <w:sz w:val="20"/>
                <w:szCs w:val="20"/>
                <w:color w:val="auto"/>
              </w:rPr>
            </w:pPr>
            <w:r>
              <w:rPr>
                <w:rFonts w:ascii="Verdana" w:cs="Verdana" w:eastAsia="Verdana" w:hAnsi="Verdana"/>
                <w:sz w:val="11"/>
                <w:szCs w:val="11"/>
                <w:color w:val="auto"/>
              </w:rPr>
              <w:t>Award</w:t>
            </w:r>
            <w:r>
              <w:rPr>
                <w:rFonts w:ascii="Verdana" w:cs="Verdana" w:eastAsia="Verdana" w:hAnsi="Verdana"/>
                <w:sz w:val="14"/>
                <w:szCs w:val="14"/>
                <w:color w:val="auto"/>
                <w:vertAlign w:val="superscript"/>
              </w:rPr>
              <w:t>(3)</w:t>
            </w:r>
          </w:p>
        </w:tc>
        <w:tc>
          <w:tcPr>
            <w:tcW w:w="820" w:type="dxa"/>
            <w:vAlign w:val="bottom"/>
            <w:tcBorders>
              <w:bottom w:val="single" w:sz="8" w:color="E1DFDE"/>
            </w:tcBorders>
            <w:vMerge w:val="continue"/>
          </w:tcPr>
          <w:p>
            <w:pPr>
              <w:spacing w:after="0"/>
              <w:rPr>
                <w:sz w:val="14"/>
                <w:szCs w:val="14"/>
                <w:color w:val="auto"/>
              </w:rPr>
            </w:pPr>
          </w:p>
        </w:tc>
        <w:tc>
          <w:tcPr>
            <w:tcW w:w="980" w:type="dxa"/>
            <w:vAlign w:val="bottom"/>
            <w:tcBorders>
              <w:bottom w:val="single" w:sz="8" w:color="E1DFDE"/>
            </w:tcBorders>
            <w:vMerge w:val="continue"/>
          </w:tcPr>
          <w:p>
            <w:pPr>
              <w:spacing w:after="0"/>
              <w:rPr>
                <w:sz w:val="14"/>
                <w:szCs w:val="14"/>
                <w:color w:val="auto"/>
              </w:rPr>
            </w:pPr>
          </w:p>
        </w:tc>
        <w:tc>
          <w:tcPr>
            <w:tcW w:w="12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4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180" w:type="dxa"/>
            <w:vAlign w:val="bottom"/>
            <w:tcBorders>
              <w:bottom w:val="single" w:sz="8" w:color="E1DFDE"/>
            </w:tcBorders>
          </w:tcPr>
          <w:p>
            <w:pPr>
              <w:spacing w:after="0"/>
              <w:rPr>
                <w:sz w:val="14"/>
                <w:szCs w:val="14"/>
                <w:color w:val="auto"/>
              </w:rPr>
            </w:pPr>
          </w:p>
        </w:tc>
        <w:tc>
          <w:tcPr>
            <w:tcW w:w="720" w:type="dxa"/>
            <w:vAlign w:val="bottom"/>
            <w:tcBorders>
              <w:bottom w:val="single" w:sz="8" w:color="E1DFDE"/>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Borders>
              <w:bottom w:val="single" w:sz="8" w:color="E1DFDE"/>
            </w:tcBorders>
          </w:tcPr>
          <w:p>
            <w:pPr>
              <w:spacing w:after="0"/>
              <w:rPr>
                <w:sz w:val="15"/>
                <w:szCs w:val="15"/>
                <w:color w:val="auto"/>
              </w:rPr>
            </w:pPr>
          </w:p>
        </w:tc>
        <w:tc>
          <w:tcPr>
            <w:tcW w:w="1260" w:type="dxa"/>
            <w:vAlign w:val="bottom"/>
            <w:tcBorders>
              <w:bottom w:val="single" w:sz="8" w:color="E1DFDE"/>
            </w:tcBorders>
          </w:tcPr>
          <w:p>
            <w:pPr>
              <w:jc w:val="right"/>
              <w:ind w:right="2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2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5"/>
              </w:rPr>
              <w:t>1/2/2024</w:t>
            </w:r>
          </w:p>
        </w:tc>
        <w:tc>
          <w:tcPr>
            <w:tcW w:w="980" w:type="dxa"/>
            <w:vAlign w:val="bottom"/>
            <w:tcBorders>
              <w:bottom w:val="single" w:sz="8" w:color="E1DFDE"/>
            </w:tcBorders>
          </w:tcPr>
          <w:p>
            <w:pPr>
              <w:ind w:left="260"/>
              <w:spacing w:after="0"/>
              <w:rPr>
                <w:sz w:val="20"/>
                <w:szCs w:val="20"/>
                <w:color w:val="auto"/>
              </w:rPr>
            </w:pPr>
            <w:r>
              <w:rPr>
                <w:rFonts w:ascii="Verdana" w:cs="Verdana" w:eastAsia="Verdana" w:hAnsi="Verdana"/>
                <w:sz w:val="12"/>
                <w:szCs w:val="12"/>
                <w:color w:val="auto"/>
                <w:w w:val="97"/>
              </w:rPr>
              <w:t>11/13/2023</w:t>
            </w:r>
          </w:p>
        </w:tc>
        <w:tc>
          <w:tcPr>
            <w:tcW w:w="12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180" w:type="dxa"/>
            <w:vAlign w:val="bottom"/>
            <w:tcBorders>
              <w:bottom w:val="single" w:sz="8" w:color="E1DFDE"/>
            </w:tcBorders>
          </w:tcPr>
          <w:p>
            <w:pPr>
              <w:spacing w:after="0"/>
              <w:rPr>
                <w:sz w:val="15"/>
                <w:szCs w:val="15"/>
                <w:color w:val="auto"/>
              </w:rPr>
            </w:pPr>
          </w:p>
        </w:tc>
        <w:tc>
          <w:tcPr>
            <w:tcW w:w="72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RSU Award</w:t>
            </w:r>
          </w:p>
        </w:tc>
        <w:tc>
          <w:tcPr>
            <w:tcW w:w="82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11/20/2024</w:t>
            </w:r>
          </w:p>
        </w:tc>
        <w:tc>
          <w:tcPr>
            <w:tcW w:w="980" w:type="dxa"/>
            <w:vAlign w:val="bottom"/>
            <w:vMerge w:val="restart"/>
          </w:tcPr>
          <w:p>
            <w:pPr>
              <w:ind w:left="80"/>
              <w:spacing w:after="0"/>
              <w:rPr>
                <w:sz w:val="20"/>
                <w:szCs w:val="20"/>
                <w:color w:val="auto"/>
              </w:rPr>
            </w:pPr>
            <w:r>
              <w:rPr>
                <w:rFonts w:ascii="Verdana" w:cs="Verdana" w:eastAsia="Verdana" w:hAnsi="Verdana"/>
                <w:sz w:val="12"/>
                <w:szCs w:val="12"/>
                <w:color w:val="auto"/>
              </w:rPr>
              <w:t>11/20/2024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(6)</w:t>
            </w:r>
          </w:p>
        </w:tc>
        <w:tc>
          <w:tcPr>
            <w:tcW w:w="8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2620" w:type="dxa"/>
            <w:vAlign w:val="bottom"/>
            <w:gridSpan w:val="3"/>
          </w:tcPr>
          <w:p>
            <w:pPr>
              <w:jc w:val="center"/>
              <w:spacing w:after="0"/>
              <w:rPr>
                <w:sz w:val="20"/>
                <w:szCs w:val="20"/>
                <w:color w:val="auto"/>
              </w:rPr>
            </w:pPr>
            <w:r>
              <w:rPr>
                <w:rFonts w:ascii="Verdana" w:cs="Verdana" w:eastAsia="Verdana" w:hAnsi="Verdana"/>
                <w:sz w:val="11"/>
                <w:szCs w:val="11"/>
                <w:b w:val="1"/>
                <w:bCs w:val="1"/>
                <w:color w:val="307FE2"/>
                <w:w w:val="99"/>
              </w:rPr>
              <w:t>Estimated Future Payouts</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All Other</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20" w:type="dxa"/>
            <w:vAlign w:val="bottom"/>
            <w:gridSpan w:val="3"/>
          </w:tcPr>
          <w:p>
            <w:pPr>
              <w:jc w:val="center"/>
              <w:spacing w:after="0" w:line="122" w:lineRule="exact"/>
              <w:rPr>
                <w:sz w:val="20"/>
                <w:szCs w:val="20"/>
                <w:color w:val="auto"/>
              </w:rPr>
            </w:pPr>
            <w:r>
              <w:rPr>
                <w:rFonts w:ascii="Verdana" w:cs="Verdana" w:eastAsia="Verdana" w:hAnsi="Verdana"/>
                <w:sz w:val="11"/>
                <w:szCs w:val="11"/>
                <w:b w:val="1"/>
                <w:bCs w:val="1"/>
                <w:color w:val="307FE2"/>
                <w:w w:val="98"/>
              </w:rPr>
              <w:t>Under Equity Incentive Plan</w:t>
            </w:r>
          </w:p>
        </w:tc>
        <w:tc>
          <w:tcPr>
            <w:tcW w:w="82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9"/>
              </w:rPr>
              <w:t>Stock</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Verdana" w:cs="Verdana" w:eastAsia="Verdana" w:hAnsi="Verdana"/>
                <w:sz w:val="11"/>
                <w:szCs w:val="11"/>
                <w:b w:val="1"/>
                <w:bCs w:val="1"/>
                <w:color w:val="307FE2"/>
                <w:w w:val="99"/>
              </w:rPr>
              <w:t>Awards</w:t>
            </w:r>
          </w:p>
        </w:tc>
        <w:tc>
          <w:tcPr>
            <w:tcW w:w="9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Awards:</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900" w:type="dxa"/>
            <w:vAlign w:val="bottom"/>
            <w:tcBorders>
              <w:bottom w:val="single" w:sz="8" w:color="1D428A"/>
            </w:tcBorders>
          </w:tcPr>
          <w:p>
            <w:pPr>
              <w:spacing w:after="0"/>
              <w:rPr>
                <w:sz w:val="4"/>
                <w:szCs w:val="4"/>
                <w:color w:val="auto"/>
              </w:rPr>
            </w:pPr>
          </w:p>
        </w:tc>
        <w:tc>
          <w:tcPr>
            <w:tcW w:w="800" w:type="dxa"/>
            <w:vAlign w:val="bottom"/>
            <w:tcBorders>
              <w:bottom w:val="single" w:sz="8" w:color="1D428A"/>
            </w:tcBorders>
          </w:tcPr>
          <w:p>
            <w:pPr>
              <w:spacing w:after="0"/>
              <w:rPr>
                <w:sz w:val="4"/>
                <w:szCs w:val="4"/>
                <w:color w:val="auto"/>
              </w:rPr>
            </w:pPr>
          </w:p>
        </w:tc>
        <w:tc>
          <w:tcPr>
            <w:tcW w:w="920" w:type="dxa"/>
            <w:vAlign w:val="bottom"/>
            <w:tcBorders>
              <w:bottom w:val="single" w:sz="8" w:color="1D428A"/>
            </w:tcBorders>
          </w:tcPr>
          <w:p>
            <w:pPr>
              <w:spacing w:after="0"/>
              <w:rPr>
                <w:sz w:val="4"/>
                <w:szCs w:val="4"/>
                <w:color w:val="auto"/>
              </w:rPr>
            </w:pPr>
          </w:p>
        </w:tc>
        <w:tc>
          <w:tcPr>
            <w:tcW w:w="820" w:type="dxa"/>
            <w:vAlign w:val="bottom"/>
            <w:vMerge w:val="restart"/>
          </w:tcPr>
          <w:p>
            <w:pPr>
              <w:jc w:val="center"/>
              <w:spacing w:after="0" w:line="122" w:lineRule="exact"/>
              <w:rPr>
                <w:sz w:val="20"/>
                <w:szCs w:val="20"/>
                <w:color w:val="auto"/>
              </w:rPr>
            </w:pPr>
            <w:r>
              <w:rPr>
                <w:rFonts w:ascii="Verdana" w:cs="Verdana" w:eastAsia="Verdana" w:hAnsi="Verdana"/>
                <w:sz w:val="11"/>
                <w:szCs w:val="11"/>
                <w:b w:val="1"/>
                <w:bCs w:val="1"/>
                <w:color w:val="307FE2"/>
                <w:w w:val="97"/>
              </w:rPr>
              <w:t>Number of</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307FE2"/>
                <w:w w:val="99"/>
              </w:rPr>
              <w:t>Shares of</w:t>
            </w:r>
          </w:p>
        </w:tc>
        <w:tc>
          <w:tcPr>
            <w:tcW w:w="112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Grant Date Value</w:t>
            </w: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7"/>
              </w:rPr>
              <w:t>Stock or</w:t>
            </w:r>
          </w:p>
        </w:tc>
        <w:tc>
          <w:tcPr>
            <w:tcW w:w="112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5"/>
              </w:rPr>
              <w:t>of Stock</w:t>
            </w:r>
          </w:p>
        </w:tc>
        <w:tc>
          <w:tcPr>
            <w:tcW w:w="0" w:type="dxa"/>
            <w:vAlign w:val="bottom"/>
          </w:tcPr>
          <w:p>
            <w:pPr>
              <w:spacing w:after="0"/>
              <w:rPr>
                <w:sz w:val="1"/>
                <w:szCs w:val="1"/>
                <w:color w:val="auto"/>
              </w:rPr>
            </w:pPr>
          </w:p>
        </w:tc>
      </w:tr>
      <w:tr>
        <w:trPr>
          <w:trHeight w:val="124"/>
        </w:trPr>
        <w:tc>
          <w:tcPr>
            <w:tcW w:w="90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7"/>
              </w:rPr>
              <w:t>Threshold</w:t>
            </w:r>
          </w:p>
        </w:tc>
        <w:tc>
          <w:tcPr>
            <w:tcW w:w="80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8"/>
              </w:rPr>
              <w:t>Target</w:t>
            </w:r>
          </w:p>
        </w:tc>
        <w:tc>
          <w:tcPr>
            <w:tcW w:w="92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9"/>
              </w:rPr>
              <w:t>Maximum</w:t>
            </w:r>
          </w:p>
        </w:tc>
        <w:tc>
          <w:tcPr>
            <w:tcW w:w="82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3"/>
              </w:rPr>
              <w:t>Units</w:t>
            </w:r>
          </w:p>
        </w:tc>
        <w:tc>
          <w:tcPr>
            <w:tcW w:w="1120" w:type="dxa"/>
            <w:vAlign w:val="bottom"/>
          </w:tcPr>
          <w:p>
            <w:pPr>
              <w:jc w:val="center"/>
              <w:spacing w:after="0" w:line="124" w:lineRule="exact"/>
              <w:rPr>
                <w:sz w:val="20"/>
                <w:szCs w:val="20"/>
                <w:color w:val="auto"/>
              </w:rPr>
            </w:pPr>
            <w:r>
              <w:rPr>
                <w:rFonts w:ascii="Verdana" w:cs="Verdana" w:eastAsia="Verdana" w:hAnsi="Verdana"/>
                <w:sz w:val="10"/>
                <w:szCs w:val="10"/>
                <w:b w:val="1"/>
                <w:bCs w:val="1"/>
                <w:color w:val="307FE2"/>
              </w:rPr>
              <w:t>Awards</w:t>
            </w:r>
            <w:r>
              <w:rPr>
                <w:rFonts w:ascii="Verdana" w:cs="Verdana" w:eastAsia="Verdana" w:hAnsi="Verdana"/>
                <w:sz w:val="13"/>
                <w:szCs w:val="13"/>
                <w:b w:val="1"/>
                <w:bCs w:val="1"/>
                <w:color w:val="307FE2"/>
                <w:vertAlign w:val="superscript"/>
              </w:rPr>
              <w:t>(2)</w:t>
            </w:r>
          </w:p>
        </w:tc>
        <w:tc>
          <w:tcPr>
            <w:tcW w:w="0" w:type="dxa"/>
            <w:vAlign w:val="bottom"/>
          </w:tcPr>
          <w:p>
            <w:pPr>
              <w:spacing w:after="0"/>
              <w:rPr>
                <w:sz w:val="1"/>
                <w:szCs w:val="1"/>
                <w:color w:val="auto"/>
              </w:rPr>
            </w:pPr>
          </w:p>
        </w:tc>
      </w:tr>
      <w:tr>
        <w:trPr>
          <w:trHeight w:val="154"/>
        </w:trPr>
        <w:tc>
          <w:tcPr>
            <w:tcW w:w="900" w:type="dxa"/>
            <w:vAlign w:val="bottom"/>
          </w:tcPr>
          <w:p>
            <w:pPr>
              <w:jc w:val="right"/>
              <w:ind w:right="306"/>
              <w:spacing w:after="0"/>
              <w:rPr>
                <w:sz w:val="20"/>
                <w:szCs w:val="20"/>
                <w:color w:val="auto"/>
              </w:rPr>
            </w:pPr>
            <w:r>
              <w:rPr>
                <w:rFonts w:ascii="Verdana" w:cs="Verdana" w:eastAsia="Verdana" w:hAnsi="Verdana"/>
                <w:sz w:val="11"/>
                <w:szCs w:val="11"/>
                <w:b w:val="1"/>
                <w:bCs w:val="1"/>
                <w:color w:val="307FE2"/>
              </w:rPr>
              <w:t>(#)</w:t>
            </w:r>
          </w:p>
        </w:tc>
        <w:tc>
          <w:tcPr>
            <w:tcW w:w="80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920" w:type="dxa"/>
            <w:vAlign w:val="bottom"/>
          </w:tcPr>
          <w:p>
            <w:pPr>
              <w:jc w:val="right"/>
              <w:ind w:right="286"/>
              <w:spacing w:after="0"/>
              <w:rPr>
                <w:sz w:val="20"/>
                <w:szCs w:val="20"/>
                <w:color w:val="auto"/>
              </w:rPr>
            </w:pPr>
            <w:r>
              <w:rPr>
                <w:rFonts w:ascii="Verdana" w:cs="Verdana" w:eastAsia="Verdana" w:hAnsi="Verdana"/>
                <w:sz w:val="11"/>
                <w:szCs w:val="11"/>
                <w:b w:val="1"/>
                <w:bCs w:val="1"/>
                <w:color w:val="307FE2"/>
              </w:rPr>
              <w:t>(#)</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12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0" w:type="dxa"/>
            <w:vAlign w:val="bottom"/>
          </w:tcPr>
          <w:p>
            <w:pPr>
              <w:spacing w:after="0"/>
              <w:rPr>
                <w:sz w:val="1"/>
                <w:szCs w:val="1"/>
                <w:color w:val="auto"/>
              </w:rPr>
            </w:pPr>
          </w:p>
        </w:tc>
      </w:tr>
      <w:tr>
        <w:trPr>
          <w:trHeight w:val="29"/>
        </w:trPr>
        <w:tc>
          <w:tcPr>
            <w:tcW w:w="900" w:type="dxa"/>
            <w:vAlign w:val="bottom"/>
            <w:tcBorders>
              <w:bottom w:val="single" w:sz="8" w:color="1D428A"/>
            </w:tcBorders>
          </w:tcPr>
          <w:p>
            <w:pPr>
              <w:spacing w:after="0"/>
              <w:rPr>
                <w:sz w:val="2"/>
                <w:szCs w:val="2"/>
                <w:color w:val="auto"/>
              </w:rPr>
            </w:pPr>
          </w:p>
        </w:tc>
        <w:tc>
          <w:tcPr>
            <w:tcW w:w="800" w:type="dxa"/>
            <w:vAlign w:val="bottom"/>
            <w:tcBorders>
              <w:bottom w:val="single" w:sz="8" w:color="1D428A"/>
            </w:tcBorders>
          </w:tcPr>
          <w:p>
            <w:pPr>
              <w:spacing w:after="0"/>
              <w:rPr>
                <w:sz w:val="2"/>
                <w:szCs w:val="2"/>
                <w:color w:val="auto"/>
              </w:rPr>
            </w:pPr>
          </w:p>
        </w:tc>
        <w:tc>
          <w:tcPr>
            <w:tcW w:w="920" w:type="dxa"/>
            <w:vAlign w:val="bottom"/>
            <w:tcBorders>
              <w:bottom w:val="single" w:sz="8" w:color="1D428A"/>
            </w:tcBorders>
          </w:tcPr>
          <w:p>
            <w:pPr>
              <w:spacing w:after="0"/>
              <w:rPr>
                <w:sz w:val="2"/>
                <w:szCs w:val="2"/>
                <w:color w:val="auto"/>
              </w:rPr>
            </w:pPr>
          </w:p>
        </w:tc>
        <w:tc>
          <w:tcPr>
            <w:tcW w:w="820" w:type="dxa"/>
            <w:vAlign w:val="bottom"/>
            <w:tcBorders>
              <w:bottom w:val="single" w:sz="8" w:color="1D428A"/>
            </w:tcBorders>
          </w:tcPr>
          <w:p>
            <w:pPr>
              <w:spacing w:after="0"/>
              <w:rPr>
                <w:sz w:val="2"/>
                <w:szCs w:val="2"/>
                <w:color w:val="auto"/>
              </w:rPr>
            </w:pPr>
          </w:p>
        </w:tc>
        <w:tc>
          <w:tcPr>
            <w:tcW w:w="112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80" w:type="dxa"/>
            <w:vAlign w:val="bottom"/>
          </w:tcPr>
          <w:p>
            <w:pPr>
              <w:jc w:val="right"/>
              <w:ind w:right="162"/>
              <w:spacing w:after="0"/>
              <w:rPr>
                <w:sz w:val="20"/>
                <w:szCs w:val="20"/>
                <w:color w:val="auto"/>
              </w:rPr>
            </w:pPr>
            <w:r>
              <w:rPr>
                <w:rFonts w:ascii="Verdana" w:cs="Verdana" w:eastAsia="Verdana" w:hAnsi="Verdana"/>
                <w:sz w:val="12"/>
                <w:szCs w:val="12"/>
                <w:color w:val="auto"/>
              </w:rPr>
              <w:t>31,182</w:t>
            </w:r>
          </w:p>
        </w:tc>
        <w:tc>
          <w:tcPr>
            <w:tcW w:w="840" w:type="dxa"/>
            <w:vAlign w:val="bottom"/>
          </w:tcPr>
          <w:p>
            <w:pPr>
              <w:jc w:val="right"/>
              <w:ind w:right="142"/>
              <w:spacing w:after="0"/>
              <w:rPr>
                <w:sz w:val="20"/>
                <w:szCs w:val="20"/>
                <w:color w:val="auto"/>
              </w:rPr>
            </w:pPr>
            <w:r>
              <w:rPr>
                <w:rFonts w:ascii="Verdana" w:cs="Verdana" w:eastAsia="Verdana" w:hAnsi="Verdana"/>
                <w:sz w:val="12"/>
                <w:szCs w:val="12"/>
                <w:color w:val="auto"/>
              </w:rPr>
              <w:t>62,363</w:t>
            </w:r>
          </w:p>
        </w:tc>
        <w:tc>
          <w:tcPr>
            <w:tcW w:w="1740" w:type="dxa"/>
            <w:vAlign w:val="bottom"/>
          </w:tcPr>
          <w:p>
            <w:pPr>
              <w:jc w:val="right"/>
              <w:ind w:right="1002"/>
              <w:spacing w:after="0"/>
              <w:rPr>
                <w:sz w:val="20"/>
                <w:szCs w:val="20"/>
                <w:color w:val="auto"/>
              </w:rPr>
            </w:pPr>
            <w:r>
              <w:rPr>
                <w:rFonts w:ascii="Verdana" w:cs="Verdana" w:eastAsia="Verdana" w:hAnsi="Verdana"/>
                <w:sz w:val="12"/>
                <w:szCs w:val="12"/>
                <w:color w:val="auto"/>
              </w:rPr>
              <w:t>124,726</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$9,556,472</w:t>
            </w:r>
          </w:p>
        </w:tc>
      </w:tr>
      <w:tr>
        <w:trPr>
          <w:trHeight w:val="88"/>
        </w:trPr>
        <w:tc>
          <w:tcPr>
            <w:tcW w:w="1080" w:type="dxa"/>
            <w:vAlign w:val="bottom"/>
            <w:tcBorders>
              <w:bottom w:val="single" w:sz="8" w:color="E1DFDE"/>
            </w:tcBorders>
          </w:tcPr>
          <w:p>
            <w:pPr>
              <w:spacing w:after="0"/>
              <w:rPr>
                <w:sz w:val="7"/>
                <w:szCs w:val="7"/>
                <w:color w:val="auto"/>
              </w:rPr>
            </w:pPr>
          </w:p>
        </w:tc>
        <w:tc>
          <w:tcPr>
            <w:tcW w:w="840" w:type="dxa"/>
            <w:vAlign w:val="bottom"/>
            <w:tcBorders>
              <w:bottom w:val="single" w:sz="8" w:color="E1DFDE"/>
            </w:tcBorders>
          </w:tcPr>
          <w:p>
            <w:pPr>
              <w:spacing w:after="0"/>
              <w:rPr>
                <w:sz w:val="7"/>
                <w:szCs w:val="7"/>
                <w:color w:val="auto"/>
              </w:rPr>
            </w:pPr>
          </w:p>
        </w:tc>
        <w:tc>
          <w:tcPr>
            <w:tcW w:w="1740" w:type="dxa"/>
            <w:vAlign w:val="bottom"/>
            <w:tcBorders>
              <w:bottom w:val="single" w:sz="8" w:color="E1DFDE"/>
            </w:tcBorders>
          </w:tcPr>
          <w:p>
            <w:pPr>
              <w:spacing w:after="0"/>
              <w:rPr>
                <w:sz w:val="7"/>
                <w:szCs w:val="7"/>
                <w:color w:val="auto"/>
              </w:rPr>
            </w:pPr>
          </w:p>
        </w:tc>
        <w:tc>
          <w:tcPr>
            <w:tcW w:w="900" w:type="dxa"/>
            <w:vAlign w:val="bottom"/>
            <w:tcBorders>
              <w:bottom w:val="single" w:sz="8" w:color="E1DFDE"/>
            </w:tcBorders>
          </w:tcPr>
          <w:p>
            <w:pPr>
              <w:spacing w:after="0"/>
              <w:rPr>
                <w:sz w:val="7"/>
                <w:szCs w:val="7"/>
                <w:color w:val="auto"/>
              </w:rPr>
            </w:pPr>
          </w:p>
        </w:tc>
      </w:tr>
      <w:tr>
        <w:trPr>
          <w:trHeight w:val="176"/>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20,153</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$2,857,494</w:t>
            </w:r>
          </w:p>
        </w:tc>
      </w:tr>
      <w:tr>
        <w:trPr>
          <w:trHeight w:val="277"/>
        </w:trPr>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jc w:val="right"/>
              <w:ind w:right="142"/>
              <w:spacing w:after="0"/>
              <w:rPr>
                <w:sz w:val="20"/>
                <w:szCs w:val="20"/>
                <w:color w:val="auto"/>
              </w:rPr>
            </w:pPr>
            <w:r>
              <w:rPr>
                <w:rFonts w:ascii="Verdana" w:cs="Verdana" w:eastAsia="Verdana" w:hAnsi="Verdana"/>
                <w:sz w:val="12"/>
                <w:szCs w:val="12"/>
                <w:color w:val="auto"/>
              </w:rPr>
              <w:t>9,085</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$849,993</w:t>
            </w:r>
          </w:p>
        </w:tc>
      </w:tr>
      <w:tr>
        <w:trPr>
          <w:trHeight w:val="142"/>
        </w:trPr>
        <w:tc>
          <w:tcPr>
            <w:tcW w:w="1080" w:type="dxa"/>
            <w:vAlign w:val="bottom"/>
            <w:tcBorders>
              <w:bottom w:val="single" w:sz="8" w:color="696158"/>
            </w:tcBorders>
          </w:tcPr>
          <w:p>
            <w:pPr>
              <w:spacing w:after="0"/>
              <w:rPr>
                <w:sz w:val="12"/>
                <w:szCs w:val="12"/>
                <w:color w:val="auto"/>
              </w:rPr>
            </w:pPr>
          </w:p>
        </w:tc>
        <w:tc>
          <w:tcPr>
            <w:tcW w:w="840" w:type="dxa"/>
            <w:vAlign w:val="bottom"/>
            <w:tcBorders>
              <w:bottom w:val="single" w:sz="8" w:color="696158"/>
            </w:tcBorders>
          </w:tcPr>
          <w:p>
            <w:pPr>
              <w:spacing w:after="0"/>
              <w:rPr>
                <w:sz w:val="12"/>
                <w:szCs w:val="12"/>
                <w:color w:val="auto"/>
              </w:rPr>
            </w:pPr>
          </w:p>
        </w:tc>
        <w:tc>
          <w:tcPr>
            <w:tcW w:w="1740" w:type="dxa"/>
            <w:vAlign w:val="bottom"/>
            <w:tcBorders>
              <w:bottom w:val="single" w:sz="8" w:color="696158"/>
            </w:tcBorders>
          </w:tcPr>
          <w:p>
            <w:pPr>
              <w:spacing w:after="0"/>
              <w:rPr>
                <w:sz w:val="12"/>
                <w:szCs w:val="12"/>
                <w:color w:val="auto"/>
              </w:rPr>
            </w:pPr>
          </w:p>
        </w:tc>
        <w:tc>
          <w:tcPr>
            <w:tcW w:w="900" w:type="dxa"/>
            <w:vAlign w:val="bottom"/>
            <w:tcBorders>
              <w:bottom w:val="single" w:sz="8" w:color="696158"/>
            </w:tcBorders>
          </w:tcPr>
          <w:p>
            <w:pPr>
              <w:spacing w:after="0"/>
              <w:rPr>
                <w:sz w:val="12"/>
                <w:szCs w:val="12"/>
                <w:color w:val="auto"/>
              </w:rPr>
            </w:pPr>
          </w:p>
        </w:tc>
      </w:tr>
      <w:tr>
        <w:trPr>
          <w:trHeight w:val="304"/>
        </w:trPr>
        <w:tc>
          <w:tcPr>
            <w:tcW w:w="1080" w:type="dxa"/>
            <w:vAlign w:val="bottom"/>
            <w:tcBorders>
              <w:bottom w:val="single" w:sz="8" w:color="E1DFDE"/>
            </w:tcBorders>
          </w:tcPr>
          <w:p>
            <w:pPr>
              <w:spacing w:after="0"/>
              <w:rPr>
                <w:sz w:val="24"/>
                <w:szCs w:val="24"/>
                <w:color w:val="auto"/>
              </w:rPr>
            </w:pPr>
          </w:p>
        </w:tc>
        <w:tc>
          <w:tcPr>
            <w:tcW w:w="840" w:type="dxa"/>
            <w:vAlign w:val="bottom"/>
            <w:tcBorders>
              <w:bottom w:val="single" w:sz="8" w:color="E1DFDE"/>
            </w:tcBorders>
          </w:tcPr>
          <w:p>
            <w:pPr>
              <w:spacing w:after="0"/>
              <w:rPr>
                <w:sz w:val="24"/>
                <w:szCs w:val="24"/>
                <w:color w:val="auto"/>
              </w:rPr>
            </w:pPr>
          </w:p>
        </w:tc>
        <w:tc>
          <w:tcPr>
            <w:tcW w:w="1740" w:type="dxa"/>
            <w:vAlign w:val="bottom"/>
            <w:tcBorders>
              <w:bottom w:val="single" w:sz="8" w:color="E1DFDE"/>
            </w:tcBorders>
          </w:tcPr>
          <w:p>
            <w:pPr>
              <w:spacing w:after="0"/>
              <w:rPr>
                <w:sz w:val="24"/>
                <w:szCs w:val="24"/>
                <w:color w:val="auto"/>
              </w:rPr>
            </w:pPr>
          </w:p>
        </w:tc>
        <w:tc>
          <w:tcPr>
            <w:tcW w:w="900" w:type="dxa"/>
            <w:vAlign w:val="bottom"/>
            <w:tcBorders>
              <w:bottom w:val="single" w:sz="8" w:color="E1DFDE"/>
            </w:tcBorders>
          </w:tcPr>
          <w:p>
            <w:pPr>
              <w:spacing w:after="0"/>
              <w:rPr>
                <w:sz w:val="24"/>
                <w:szCs w:val="24"/>
                <w:color w:val="auto"/>
              </w:rPr>
            </w:pPr>
          </w:p>
        </w:tc>
      </w:tr>
      <w:tr>
        <w:trPr>
          <w:trHeight w:val="217"/>
        </w:trPr>
        <w:tc>
          <w:tcPr>
            <w:tcW w:w="1080" w:type="dxa"/>
            <w:vAlign w:val="bottom"/>
          </w:tcPr>
          <w:p>
            <w:pPr>
              <w:jc w:val="right"/>
              <w:ind w:right="162"/>
              <w:spacing w:after="0"/>
              <w:rPr>
                <w:sz w:val="20"/>
                <w:szCs w:val="20"/>
                <w:color w:val="auto"/>
              </w:rPr>
            </w:pPr>
            <w:r>
              <w:rPr>
                <w:rFonts w:ascii="Verdana" w:cs="Verdana" w:eastAsia="Verdana" w:hAnsi="Verdana"/>
                <w:sz w:val="12"/>
                <w:szCs w:val="12"/>
                <w:color w:val="auto"/>
              </w:rPr>
              <w:t>8,393</w:t>
            </w:r>
          </w:p>
        </w:tc>
        <w:tc>
          <w:tcPr>
            <w:tcW w:w="840" w:type="dxa"/>
            <w:vAlign w:val="bottom"/>
          </w:tcPr>
          <w:p>
            <w:pPr>
              <w:jc w:val="right"/>
              <w:ind w:right="142"/>
              <w:spacing w:after="0"/>
              <w:rPr>
                <w:sz w:val="20"/>
                <w:szCs w:val="20"/>
                <w:color w:val="auto"/>
              </w:rPr>
            </w:pPr>
            <w:r>
              <w:rPr>
                <w:rFonts w:ascii="Verdana" w:cs="Verdana" w:eastAsia="Verdana" w:hAnsi="Verdana"/>
                <w:sz w:val="12"/>
                <w:szCs w:val="12"/>
                <w:color w:val="auto"/>
              </w:rPr>
              <w:t>16,785</w:t>
            </w:r>
          </w:p>
        </w:tc>
        <w:tc>
          <w:tcPr>
            <w:tcW w:w="1740" w:type="dxa"/>
            <w:vAlign w:val="bottom"/>
          </w:tcPr>
          <w:p>
            <w:pPr>
              <w:jc w:val="right"/>
              <w:ind w:right="1002"/>
              <w:spacing w:after="0"/>
              <w:rPr>
                <w:sz w:val="20"/>
                <w:szCs w:val="20"/>
                <w:color w:val="auto"/>
              </w:rPr>
            </w:pPr>
            <w:r>
              <w:rPr>
                <w:rFonts w:ascii="Verdana" w:cs="Verdana" w:eastAsia="Verdana" w:hAnsi="Verdana"/>
                <w:sz w:val="12"/>
                <w:szCs w:val="12"/>
                <w:color w:val="auto"/>
              </w:rPr>
              <w:t>33,570</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$2,572,122</w:t>
            </w:r>
          </w:p>
        </w:tc>
      </w:tr>
      <w:tr>
        <w:trPr>
          <w:trHeight w:val="88"/>
        </w:trPr>
        <w:tc>
          <w:tcPr>
            <w:tcW w:w="1080" w:type="dxa"/>
            <w:vAlign w:val="bottom"/>
            <w:tcBorders>
              <w:bottom w:val="single" w:sz="8" w:color="E1DFDE"/>
            </w:tcBorders>
          </w:tcPr>
          <w:p>
            <w:pPr>
              <w:spacing w:after="0"/>
              <w:rPr>
                <w:sz w:val="7"/>
                <w:szCs w:val="7"/>
                <w:color w:val="auto"/>
              </w:rPr>
            </w:pPr>
          </w:p>
        </w:tc>
        <w:tc>
          <w:tcPr>
            <w:tcW w:w="840" w:type="dxa"/>
            <w:vAlign w:val="bottom"/>
            <w:tcBorders>
              <w:bottom w:val="single" w:sz="8" w:color="E1DFDE"/>
            </w:tcBorders>
          </w:tcPr>
          <w:p>
            <w:pPr>
              <w:spacing w:after="0"/>
              <w:rPr>
                <w:sz w:val="7"/>
                <w:szCs w:val="7"/>
                <w:color w:val="auto"/>
              </w:rPr>
            </w:pPr>
          </w:p>
        </w:tc>
        <w:tc>
          <w:tcPr>
            <w:tcW w:w="1740" w:type="dxa"/>
            <w:vAlign w:val="bottom"/>
            <w:tcBorders>
              <w:bottom w:val="single" w:sz="8" w:color="E1DFDE"/>
            </w:tcBorders>
          </w:tcPr>
          <w:p>
            <w:pPr>
              <w:spacing w:after="0"/>
              <w:rPr>
                <w:sz w:val="7"/>
                <w:szCs w:val="7"/>
                <w:color w:val="auto"/>
              </w:rPr>
            </w:pPr>
          </w:p>
        </w:tc>
        <w:tc>
          <w:tcPr>
            <w:tcW w:w="900" w:type="dxa"/>
            <w:vAlign w:val="bottom"/>
            <w:tcBorders>
              <w:bottom w:val="single" w:sz="8" w:color="E1DFDE"/>
            </w:tcBorders>
          </w:tcPr>
          <w:p>
            <w:pPr>
              <w:spacing w:after="0"/>
              <w:rPr>
                <w:sz w:val="7"/>
                <w:szCs w:val="7"/>
                <w:color w:val="auto"/>
              </w:rPr>
            </w:pPr>
          </w:p>
        </w:tc>
      </w:tr>
      <w:tr>
        <w:trPr>
          <w:trHeight w:val="176"/>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7,193</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$1,019,895</w:t>
            </w:r>
          </w:p>
        </w:tc>
      </w:tr>
      <w:tr>
        <w:trPr>
          <w:trHeight w:val="183"/>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9,084</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$999,967</w:t>
            </w:r>
          </w:p>
        </w:tc>
      </w:tr>
      <w:tr>
        <w:trPr>
          <w:trHeight w:val="277"/>
        </w:trPr>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jc w:val="right"/>
              <w:ind w:right="142"/>
              <w:spacing w:after="0"/>
              <w:rPr>
                <w:sz w:val="20"/>
                <w:szCs w:val="20"/>
                <w:color w:val="auto"/>
              </w:rPr>
            </w:pPr>
            <w:r>
              <w:rPr>
                <w:rFonts w:ascii="Verdana" w:cs="Verdana" w:eastAsia="Verdana" w:hAnsi="Verdana"/>
                <w:sz w:val="12"/>
                <w:szCs w:val="12"/>
                <w:color w:val="auto"/>
              </w:rPr>
              <w:t>3,206</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$299,953</w:t>
            </w:r>
          </w:p>
        </w:tc>
      </w:tr>
      <w:tr>
        <w:trPr>
          <w:trHeight w:val="142"/>
        </w:trPr>
        <w:tc>
          <w:tcPr>
            <w:tcW w:w="1080" w:type="dxa"/>
            <w:vAlign w:val="bottom"/>
            <w:tcBorders>
              <w:bottom w:val="single" w:sz="8" w:color="696158"/>
            </w:tcBorders>
          </w:tcPr>
          <w:p>
            <w:pPr>
              <w:spacing w:after="0"/>
              <w:rPr>
                <w:sz w:val="12"/>
                <w:szCs w:val="12"/>
                <w:color w:val="auto"/>
              </w:rPr>
            </w:pPr>
          </w:p>
        </w:tc>
        <w:tc>
          <w:tcPr>
            <w:tcW w:w="840" w:type="dxa"/>
            <w:vAlign w:val="bottom"/>
            <w:tcBorders>
              <w:bottom w:val="single" w:sz="8" w:color="696158"/>
            </w:tcBorders>
          </w:tcPr>
          <w:p>
            <w:pPr>
              <w:spacing w:after="0"/>
              <w:rPr>
                <w:sz w:val="12"/>
                <w:szCs w:val="12"/>
                <w:color w:val="auto"/>
              </w:rPr>
            </w:pPr>
          </w:p>
        </w:tc>
        <w:tc>
          <w:tcPr>
            <w:tcW w:w="1740" w:type="dxa"/>
            <w:vAlign w:val="bottom"/>
            <w:tcBorders>
              <w:bottom w:val="single" w:sz="8" w:color="696158"/>
            </w:tcBorders>
          </w:tcPr>
          <w:p>
            <w:pPr>
              <w:spacing w:after="0"/>
              <w:rPr>
                <w:sz w:val="12"/>
                <w:szCs w:val="12"/>
                <w:color w:val="auto"/>
              </w:rPr>
            </w:pPr>
          </w:p>
        </w:tc>
        <w:tc>
          <w:tcPr>
            <w:tcW w:w="900" w:type="dxa"/>
            <w:vAlign w:val="bottom"/>
            <w:tcBorders>
              <w:bottom w:val="single" w:sz="8" w:color="696158"/>
            </w:tcBorders>
          </w:tcPr>
          <w:p>
            <w:pPr>
              <w:spacing w:after="0"/>
              <w:rPr>
                <w:sz w:val="12"/>
                <w:szCs w:val="12"/>
                <w:color w:val="auto"/>
              </w:rPr>
            </w:pPr>
          </w:p>
        </w:tc>
      </w:tr>
      <w:tr>
        <w:trPr>
          <w:trHeight w:val="304"/>
        </w:trPr>
        <w:tc>
          <w:tcPr>
            <w:tcW w:w="1080" w:type="dxa"/>
            <w:vAlign w:val="bottom"/>
            <w:tcBorders>
              <w:bottom w:val="single" w:sz="8" w:color="E1DFDE"/>
            </w:tcBorders>
          </w:tcPr>
          <w:p>
            <w:pPr>
              <w:spacing w:after="0"/>
              <w:rPr>
                <w:sz w:val="24"/>
                <w:szCs w:val="24"/>
                <w:color w:val="auto"/>
              </w:rPr>
            </w:pPr>
          </w:p>
        </w:tc>
        <w:tc>
          <w:tcPr>
            <w:tcW w:w="840" w:type="dxa"/>
            <w:vAlign w:val="bottom"/>
            <w:tcBorders>
              <w:bottom w:val="single" w:sz="8" w:color="E1DFDE"/>
            </w:tcBorders>
          </w:tcPr>
          <w:p>
            <w:pPr>
              <w:spacing w:after="0"/>
              <w:rPr>
                <w:sz w:val="24"/>
                <w:szCs w:val="24"/>
                <w:color w:val="auto"/>
              </w:rPr>
            </w:pPr>
          </w:p>
        </w:tc>
        <w:tc>
          <w:tcPr>
            <w:tcW w:w="1740" w:type="dxa"/>
            <w:vAlign w:val="bottom"/>
            <w:tcBorders>
              <w:bottom w:val="single" w:sz="8" w:color="E1DFDE"/>
            </w:tcBorders>
          </w:tcPr>
          <w:p>
            <w:pPr>
              <w:spacing w:after="0"/>
              <w:rPr>
                <w:sz w:val="24"/>
                <w:szCs w:val="24"/>
                <w:color w:val="auto"/>
              </w:rPr>
            </w:pPr>
          </w:p>
        </w:tc>
        <w:tc>
          <w:tcPr>
            <w:tcW w:w="900" w:type="dxa"/>
            <w:vAlign w:val="bottom"/>
            <w:tcBorders>
              <w:bottom w:val="single" w:sz="8" w:color="E1DFDE"/>
            </w:tcBorders>
          </w:tcPr>
          <w:p>
            <w:pPr>
              <w:spacing w:after="0"/>
              <w:rPr>
                <w:sz w:val="24"/>
                <w:szCs w:val="24"/>
                <w:color w:val="auto"/>
              </w:rPr>
            </w:pPr>
          </w:p>
        </w:tc>
      </w:tr>
      <w:tr>
        <w:trPr>
          <w:trHeight w:val="217"/>
        </w:trPr>
        <w:tc>
          <w:tcPr>
            <w:tcW w:w="1080" w:type="dxa"/>
            <w:vAlign w:val="bottom"/>
          </w:tcPr>
          <w:p>
            <w:pPr>
              <w:jc w:val="right"/>
              <w:ind w:right="162"/>
              <w:spacing w:after="0"/>
              <w:rPr>
                <w:sz w:val="20"/>
                <w:szCs w:val="20"/>
                <w:color w:val="auto"/>
              </w:rPr>
            </w:pPr>
            <w:r>
              <w:rPr>
                <w:rFonts w:ascii="Verdana" w:cs="Verdana" w:eastAsia="Verdana" w:hAnsi="Verdana"/>
                <w:sz w:val="12"/>
                <w:szCs w:val="12"/>
                <w:color w:val="auto"/>
              </w:rPr>
              <w:t>8,393</w:t>
            </w:r>
          </w:p>
        </w:tc>
        <w:tc>
          <w:tcPr>
            <w:tcW w:w="840" w:type="dxa"/>
            <w:vAlign w:val="bottom"/>
          </w:tcPr>
          <w:p>
            <w:pPr>
              <w:jc w:val="right"/>
              <w:ind w:right="142"/>
              <w:spacing w:after="0"/>
              <w:rPr>
                <w:sz w:val="20"/>
                <w:szCs w:val="20"/>
                <w:color w:val="auto"/>
              </w:rPr>
            </w:pPr>
            <w:r>
              <w:rPr>
                <w:rFonts w:ascii="Verdana" w:cs="Verdana" w:eastAsia="Verdana" w:hAnsi="Verdana"/>
                <w:sz w:val="12"/>
                <w:szCs w:val="12"/>
                <w:color w:val="auto"/>
              </w:rPr>
              <w:t>16,785</w:t>
            </w:r>
          </w:p>
        </w:tc>
        <w:tc>
          <w:tcPr>
            <w:tcW w:w="1740" w:type="dxa"/>
            <w:vAlign w:val="bottom"/>
          </w:tcPr>
          <w:p>
            <w:pPr>
              <w:jc w:val="right"/>
              <w:ind w:right="1002"/>
              <w:spacing w:after="0"/>
              <w:rPr>
                <w:sz w:val="20"/>
                <w:szCs w:val="20"/>
                <w:color w:val="auto"/>
              </w:rPr>
            </w:pPr>
            <w:r>
              <w:rPr>
                <w:rFonts w:ascii="Verdana" w:cs="Verdana" w:eastAsia="Verdana" w:hAnsi="Verdana"/>
                <w:sz w:val="12"/>
                <w:szCs w:val="12"/>
                <w:color w:val="auto"/>
              </w:rPr>
              <w:t>33,570</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$2,572,122</w:t>
            </w:r>
          </w:p>
        </w:tc>
      </w:tr>
      <w:tr>
        <w:trPr>
          <w:trHeight w:val="87"/>
        </w:trPr>
        <w:tc>
          <w:tcPr>
            <w:tcW w:w="1080" w:type="dxa"/>
            <w:vAlign w:val="bottom"/>
            <w:tcBorders>
              <w:bottom w:val="single" w:sz="8" w:color="E1DFDE"/>
            </w:tcBorders>
          </w:tcPr>
          <w:p>
            <w:pPr>
              <w:spacing w:after="0"/>
              <w:rPr>
                <w:sz w:val="7"/>
                <w:szCs w:val="7"/>
                <w:color w:val="auto"/>
              </w:rPr>
            </w:pPr>
          </w:p>
        </w:tc>
        <w:tc>
          <w:tcPr>
            <w:tcW w:w="840" w:type="dxa"/>
            <w:vAlign w:val="bottom"/>
            <w:tcBorders>
              <w:bottom w:val="single" w:sz="8" w:color="E1DFDE"/>
            </w:tcBorders>
          </w:tcPr>
          <w:p>
            <w:pPr>
              <w:spacing w:after="0"/>
              <w:rPr>
                <w:sz w:val="7"/>
                <w:szCs w:val="7"/>
                <w:color w:val="auto"/>
              </w:rPr>
            </w:pPr>
          </w:p>
        </w:tc>
        <w:tc>
          <w:tcPr>
            <w:tcW w:w="1740" w:type="dxa"/>
            <w:vAlign w:val="bottom"/>
            <w:tcBorders>
              <w:bottom w:val="single" w:sz="8" w:color="E1DFDE"/>
            </w:tcBorders>
          </w:tcPr>
          <w:p>
            <w:pPr>
              <w:spacing w:after="0"/>
              <w:rPr>
                <w:sz w:val="7"/>
                <w:szCs w:val="7"/>
                <w:color w:val="auto"/>
              </w:rPr>
            </w:pPr>
          </w:p>
        </w:tc>
        <w:tc>
          <w:tcPr>
            <w:tcW w:w="900" w:type="dxa"/>
            <w:vAlign w:val="bottom"/>
            <w:tcBorders>
              <w:bottom w:val="single" w:sz="8" w:color="E1DFDE"/>
            </w:tcBorders>
          </w:tcPr>
          <w:p>
            <w:pPr>
              <w:spacing w:after="0"/>
              <w:rPr>
                <w:sz w:val="7"/>
                <w:szCs w:val="7"/>
                <w:color w:val="auto"/>
              </w:rPr>
            </w:pPr>
          </w:p>
        </w:tc>
      </w:tr>
      <w:tr>
        <w:trPr>
          <w:trHeight w:val="176"/>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7,193</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$1,019,895</w:t>
            </w:r>
          </w:p>
        </w:tc>
      </w:tr>
      <w:tr>
        <w:trPr>
          <w:trHeight w:val="183"/>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18,168</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$1,999,933</w:t>
            </w:r>
          </w:p>
        </w:tc>
      </w:tr>
      <w:tr>
        <w:trPr>
          <w:trHeight w:val="277"/>
        </w:trPr>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jc w:val="right"/>
              <w:ind w:right="142"/>
              <w:spacing w:after="0"/>
              <w:rPr>
                <w:sz w:val="20"/>
                <w:szCs w:val="20"/>
                <w:color w:val="auto"/>
              </w:rPr>
            </w:pPr>
            <w:r>
              <w:rPr>
                <w:rFonts w:ascii="Verdana" w:cs="Verdana" w:eastAsia="Verdana" w:hAnsi="Verdana"/>
                <w:sz w:val="12"/>
                <w:szCs w:val="12"/>
                <w:color w:val="auto"/>
              </w:rPr>
              <w:t>3,206</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$299,953</w:t>
            </w:r>
          </w:p>
        </w:tc>
      </w:tr>
      <w:tr>
        <w:trPr>
          <w:trHeight w:val="141"/>
        </w:trPr>
        <w:tc>
          <w:tcPr>
            <w:tcW w:w="1080" w:type="dxa"/>
            <w:vAlign w:val="bottom"/>
            <w:tcBorders>
              <w:bottom w:val="single" w:sz="8" w:color="696158"/>
            </w:tcBorders>
          </w:tcPr>
          <w:p>
            <w:pPr>
              <w:spacing w:after="0"/>
              <w:rPr>
                <w:sz w:val="12"/>
                <w:szCs w:val="12"/>
                <w:color w:val="auto"/>
              </w:rPr>
            </w:pPr>
          </w:p>
        </w:tc>
        <w:tc>
          <w:tcPr>
            <w:tcW w:w="840" w:type="dxa"/>
            <w:vAlign w:val="bottom"/>
            <w:tcBorders>
              <w:bottom w:val="single" w:sz="8" w:color="696158"/>
            </w:tcBorders>
          </w:tcPr>
          <w:p>
            <w:pPr>
              <w:spacing w:after="0"/>
              <w:rPr>
                <w:sz w:val="12"/>
                <w:szCs w:val="12"/>
                <w:color w:val="auto"/>
              </w:rPr>
            </w:pPr>
          </w:p>
        </w:tc>
        <w:tc>
          <w:tcPr>
            <w:tcW w:w="1740" w:type="dxa"/>
            <w:vAlign w:val="bottom"/>
            <w:tcBorders>
              <w:bottom w:val="single" w:sz="8" w:color="696158"/>
            </w:tcBorders>
          </w:tcPr>
          <w:p>
            <w:pPr>
              <w:spacing w:after="0"/>
              <w:rPr>
                <w:sz w:val="12"/>
                <w:szCs w:val="12"/>
                <w:color w:val="auto"/>
              </w:rPr>
            </w:pPr>
          </w:p>
        </w:tc>
        <w:tc>
          <w:tcPr>
            <w:tcW w:w="900" w:type="dxa"/>
            <w:vAlign w:val="bottom"/>
            <w:tcBorders>
              <w:bottom w:val="single" w:sz="8" w:color="696158"/>
            </w:tcBorders>
          </w:tcPr>
          <w:p>
            <w:pPr>
              <w:spacing w:after="0"/>
              <w:rPr>
                <w:sz w:val="12"/>
                <w:szCs w:val="12"/>
                <w:color w:val="auto"/>
              </w:rPr>
            </w:pPr>
          </w:p>
        </w:tc>
      </w:tr>
      <w:tr>
        <w:trPr>
          <w:trHeight w:val="304"/>
        </w:trPr>
        <w:tc>
          <w:tcPr>
            <w:tcW w:w="1080" w:type="dxa"/>
            <w:vAlign w:val="bottom"/>
            <w:tcBorders>
              <w:bottom w:val="single" w:sz="8" w:color="E1DFDE"/>
            </w:tcBorders>
          </w:tcPr>
          <w:p>
            <w:pPr>
              <w:spacing w:after="0"/>
              <w:rPr>
                <w:sz w:val="24"/>
                <w:szCs w:val="24"/>
                <w:color w:val="auto"/>
              </w:rPr>
            </w:pPr>
          </w:p>
        </w:tc>
        <w:tc>
          <w:tcPr>
            <w:tcW w:w="840" w:type="dxa"/>
            <w:vAlign w:val="bottom"/>
            <w:tcBorders>
              <w:bottom w:val="single" w:sz="8" w:color="E1DFDE"/>
            </w:tcBorders>
          </w:tcPr>
          <w:p>
            <w:pPr>
              <w:spacing w:after="0"/>
              <w:rPr>
                <w:sz w:val="24"/>
                <w:szCs w:val="24"/>
                <w:color w:val="auto"/>
              </w:rPr>
            </w:pPr>
          </w:p>
        </w:tc>
        <w:tc>
          <w:tcPr>
            <w:tcW w:w="1740" w:type="dxa"/>
            <w:vAlign w:val="bottom"/>
            <w:tcBorders>
              <w:bottom w:val="single" w:sz="8" w:color="E1DFDE"/>
            </w:tcBorders>
          </w:tcPr>
          <w:p>
            <w:pPr>
              <w:spacing w:after="0"/>
              <w:rPr>
                <w:sz w:val="24"/>
                <w:szCs w:val="24"/>
                <w:color w:val="auto"/>
              </w:rPr>
            </w:pPr>
          </w:p>
        </w:tc>
        <w:tc>
          <w:tcPr>
            <w:tcW w:w="900" w:type="dxa"/>
            <w:vAlign w:val="bottom"/>
            <w:tcBorders>
              <w:bottom w:val="single" w:sz="8" w:color="E1DFDE"/>
            </w:tcBorders>
          </w:tcPr>
          <w:p>
            <w:pPr>
              <w:spacing w:after="0"/>
              <w:rPr>
                <w:sz w:val="24"/>
                <w:szCs w:val="24"/>
                <w:color w:val="auto"/>
              </w:rPr>
            </w:pPr>
          </w:p>
        </w:tc>
      </w:tr>
      <w:tr>
        <w:trPr>
          <w:trHeight w:val="217"/>
        </w:trPr>
        <w:tc>
          <w:tcPr>
            <w:tcW w:w="1080" w:type="dxa"/>
            <w:vAlign w:val="bottom"/>
          </w:tcPr>
          <w:p>
            <w:pPr>
              <w:jc w:val="right"/>
              <w:ind w:right="162"/>
              <w:spacing w:after="0"/>
              <w:rPr>
                <w:sz w:val="20"/>
                <w:szCs w:val="20"/>
                <w:color w:val="auto"/>
              </w:rPr>
            </w:pPr>
            <w:r>
              <w:rPr>
                <w:rFonts w:ascii="Verdana" w:cs="Verdana" w:eastAsia="Verdana" w:hAnsi="Verdana"/>
                <w:sz w:val="12"/>
                <w:szCs w:val="12"/>
                <w:color w:val="auto"/>
              </w:rPr>
              <w:t>5,369</w:t>
            </w:r>
          </w:p>
        </w:tc>
        <w:tc>
          <w:tcPr>
            <w:tcW w:w="840" w:type="dxa"/>
            <w:vAlign w:val="bottom"/>
          </w:tcPr>
          <w:p>
            <w:pPr>
              <w:jc w:val="right"/>
              <w:ind w:right="142"/>
              <w:spacing w:after="0"/>
              <w:rPr>
                <w:sz w:val="20"/>
                <w:szCs w:val="20"/>
                <w:color w:val="auto"/>
              </w:rPr>
            </w:pPr>
            <w:r>
              <w:rPr>
                <w:rFonts w:ascii="Verdana" w:cs="Verdana" w:eastAsia="Verdana" w:hAnsi="Verdana"/>
                <w:sz w:val="12"/>
                <w:szCs w:val="12"/>
                <w:color w:val="auto"/>
              </w:rPr>
              <w:t>10,737</w:t>
            </w:r>
          </w:p>
        </w:tc>
        <w:tc>
          <w:tcPr>
            <w:tcW w:w="1740" w:type="dxa"/>
            <w:vAlign w:val="bottom"/>
          </w:tcPr>
          <w:p>
            <w:pPr>
              <w:jc w:val="right"/>
              <w:ind w:right="1002"/>
              <w:spacing w:after="0"/>
              <w:rPr>
                <w:sz w:val="20"/>
                <w:szCs w:val="20"/>
                <w:color w:val="auto"/>
              </w:rPr>
            </w:pPr>
            <w:r>
              <w:rPr>
                <w:rFonts w:ascii="Verdana" w:cs="Verdana" w:eastAsia="Verdana" w:hAnsi="Verdana"/>
                <w:sz w:val="12"/>
                <w:szCs w:val="12"/>
                <w:color w:val="auto"/>
              </w:rPr>
              <w:t>21,474</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$1,645,326</w:t>
            </w:r>
          </w:p>
        </w:tc>
      </w:tr>
      <w:tr>
        <w:trPr>
          <w:trHeight w:val="87"/>
        </w:trPr>
        <w:tc>
          <w:tcPr>
            <w:tcW w:w="1080" w:type="dxa"/>
            <w:vAlign w:val="bottom"/>
            <w:tcBorders>
              <w:bottom w:val="single" w:sz="8" w:color="E1DFDE"/>
            </w:tcBorders>
          </w:tcPr>
          <w:p>
            <w:pPr>
              <w:spacing w:after="0"/>
              <w:rPr>
                <w:sz w:val="7"/>
                <w:szCs w:val="7"/>
                <w:color w:val="auto"/>
              </w:rPr>
            </w:pPr>
          </w:p>
        </w:tc>
        <w:tc>
          <w:tcPr>
            <w:tcW w:w="840" w:type="dxa"/>
            <w:vAlign w:val="bottom"/>
            <w:tcBorders>
              <w:bottom w:val="single" w:sz="8" w:color="E1DFDE"/>
            </w:tcBorders>
          </w:tcPr>
          <w:p>
            <w:pPr>
              <w:spacing w:after="0"/>
              <w:rPr>
                <w:sz w:val="7"/>
                <w:szCs w:val="7"/>
                <w:color w:val="auto"/>
              </w:rPr>
            </w:pPr>
          </w:p>
        </w:tc>
        <w:tc>
          <w:tcPr>
            <w:tcW w:w="1740" w:type="dxa"/>
            <w:vAlign w:val="bottom"/>
            <w:tcBorders>
              <w:bottom w:val="single" w:sz="8" w:color="E1DFDE"/>
            </w:tcBorders>
          </w:tcPr>
          <w:p>
            <w:pPr>
              <w:spacing w:after="0"/>
              <w:rPr>
                <w:sz w:val="7"/>
                <w:szCs w:val="7"/>
                <w:color w:val="auto"/>
              </w:rPr>
            </w:pPr>
          </w:p>
        </w:tc>
        <w:tc>
          <w:tcPr>
            <w:tcW w:w="900" w:type="dxa"/>
            <w:vAlign w:val="bottom"/>
            <w:tcBorders>
              <w:bottom w:val="single" w:sz="8" w:color="E1DFDE"/>
            </w:tcBorders>
          </w:tcPr>
          <w:p>
            <w:pPr>
              <w:spacing w:after="0"/>
              <w:rPr>
                <w:sz w:val="7"/>
                <w:szCs w:val="7"/>
                <w:color w:val="auto"/>
              </w:rPr>
            </w:pPr>
          </w:p>
        </w:tc>
      </w:tr>
      <w:tr>
        <w:trPr>
          <w:trHeight w:val="176"/>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4,601</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$652,376</w:t>
            </w:r>
          </w:p>
        </w:tc>
      </w:tr>
      <w:tr>
        <w:trPr>
          <w:trHeight w:val="277"/>
        </w:trPr>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jc w:val="right"/>
              <w:ind w:right="142"/>
              <w:spacing w:after="0"/>
              <w:rPr>
                <w:sz w:val="20"/>
                <w:szCs w:val="20"/>
                <w:color w:val="auto"/>
              </w:rPr>
            </w:pPr>
            <w:r>
              <w:rPr>
                <w:rFonts w:ascii="Verdana" w:cs="Verdana" w:eastAsia="Verdana" w:hAnsi="Verdana"/>
                <w:sz w:val="12"/>
                <w:szCs w:val="12"/>
                <w:color w:val="auto"/>
              </w:rPr>
              <w:t>2,672</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$249,992</w:t>
            </w:r>
          </w:p>
        </w:tc>
      </w:tr>
      <w:tr>
        <w:trPr>
          <w:trHeight w:val="141"/>
        </w:trPr>
        <w:tc>
          <w:tcPr>
            <w:tcW w:w="1080" w:type="dxa"/>
            <w:vAlign w:val="bottom"/>
            <w:tcBorders>
              <w:bottom w:val="single" w:sz="8" w:color="696158"/>
            </w:tcBorders>
          </w:tcPr>
          <w:p>
            <w:pPr>
              <w:spacing w:after="0"/>
              <w:rPr>
                <w:sz w:val="12"/>
                <w:szCs w:val="12"/>
                <w:color w:val="auto"/>
              </w:rPr>
            </w:pPr>
          </w:p>
        </w:tc>
        <w:tc>
          <w:tcPr>
            <w:tcW w:w="840" w:type="dxa"/>
            <w:vAlign w:val="bottom"/>
            <w:tcBorders>
              <w:bottom w:val="single" w:sz="8" w:color="696158"/>
            </w:tcBorders>
          </w:tcPr>
          <w:p>
            <w:pPr>
              <w:spacing w:after="0"/>
              <w:rPr>
                <w:sz w:val="12"/>
                <w:szCs w:val="12"/>
                <w:color w:val="auto"/>
              </w:rPr>
            </w:pPr>
          </w:p>
        </w:tc>
        <w:tc>
          <w:tcPr>
            <w:tcW w:w="1740" w:type="dxa"/>
            <w:vAlign w:val="bottom"/>
            <w:tcBorders>
              <w:bottom w:val="single" w:sz="8" w:color="696158"/>
            </w:tcBorders>
          </w:tcPr>
          <w:p>
            <w:pPr>
              <w:spacing w:after="0"/>
              <w:rPr>
                <w:sz w:val="12"/>
                <w:szCs w:val="12"/>
                <w:color w:val="auto"/>
              </w:rPr>
            </w:pPr>
          </w:p>
        </w:tc>
        <w:tc>
          <w:tcPr>
            <w:tcW w:w="900" w:type="dxa"/>
            <w:vAlign w:val="bottom"/>
            <w:tcBorders>
              <w:bottom w:val="single" w:sz="8" w:color="696158"/>
            </w:tcBorders>
          </w:tcPr>
          <w:p>
            <w:pPr>
              <w:spacing w:after="0"/>
              <w:rPr>
                <w:sz w:val="12"/>
                <w:szCs w:val="12"/>
                <w:color w:val="auto"/>
              </w:rPr>
            </w:pPr>
          </w:p>
        </w:tc>
      </w:tr>
      <w:tr>
        <w:trPr>
          <w:trHeight w:val="304"/>
        </w:trPr>
        <w:tc>
          <w:tcPr>
            <w:tcW w:w="1080" w:type="dxa"/>
            <w:vAlign w:val="bottom"/>
            <w:tcBorders>
              <w:bottom w:val="single" w:sz="8" w:color="E1DFDE"/>
            </w:tcBorders>
          </w:tcPr>
          <w:p>
            <w:pPr>
              <w:spacing w:after="0"/>
              <w:rPr>
                <w:sz w:val="24"/>
                <w:szCs w:val="24"/>
                <w:color w:val="auto"/>
              </w:rPr>
            </w:pPr>
          </w:p>
        </w:tc>
        <w:tc>
          <w:tcPr>
            <w:tcW w:w="840" w:type="dxa"/>
            <w:vAlign w:val="bottom"/>
            <w:tcBorders>
              <w:bottom w:val="single" w:sz="8" w:color="E1DFDE"/>
            </w:tcBorders>
          </w:tcPr>
          <w:p>
            <w:pPr>
              <w:spacing w:after="0"/>
              <w:rPr>
                <w:sz w:val="24"/>
                <w:szCs w:val="24"/>
                <w:color w:val="auto"/>
              </w:rPr>
            </w:pPr>
          </w:p>
        </w:tc>
        <w:tc>
          <w:tcPr>
            <w:tcW w:w="1740" w:type="dxa"/>
            <w:vAlign w:val="bottom"/>
            <w:tcBorders>
              <w:bottom w:val="single" w:sz="8" w:color="E1DFDE"/>
            </w:tcBorders>
          </w:tcPr>
          <w:p>
            <w:pPr>
              <w:spacing w:after="0"/>
              <w:rPr>
                <w:sz w:val="24"/>
                <w:szCs w:val="24"/>
                <w:color w:val="auto"/>
              </w:rPr>
            </w:pPr>
          </w:p>
        </w:tc>
        <w:tc>
          <w:tcPr>
            <w:tcW w:w="900" w:type="dxa"/>
            <w:vAlign w:val="bottom"/>
            <w:tcBorders>
              <w:bottom w:val="single" w:sz="8" w:color="E1DFDE"/>
            </w:tcBorders>
          </w:tcPr>
          <w:p>
            <w:pPr>
              <w:spacing w:after="0"/>
              <w:rPr>
                <w:sz w:val="24"/>
                <w:szCs w:val="24"/>
                <w:color w:val="auto"/>
              </w:rPr>
            </w:pPr>
          </w:p>
        </w:tc>
      </w:tr>
      <w:tr>
        <w:trPr>
          <w:trHeight w:val="217"/>
        </w:trPr>
        <w:tc>
          <w:tcPr>
            <w:tcW w:w="1080" w:type="dxa"/>
            <w:vAlign w:val="bottom"/>
          </w:tcPr>
          <w:p>
            <w:pPr>
              <w:jc w:val="right"/>
              <w:ind w:right="162"/>
              <w:spacing w:after="0"/>
              <w:rPr>
                <w:sz w:val="20"/>
                <w:szCs w:val="20"/>
                <w:color w:val="auto"/>
              </w:rPr>
            </w:pPr>
            <w:r>
              <w:rPr>
                <w:rFonts w:ascii="Verdana" w:cs="Verdana" w:eastAsia="Verdana" w:hAnsi="Verdana"/>
                <w:sz w:val="12"/>
                <w:szCs w:val="12"/>
                <w:color w:val="auto"/>
              </w:rPr>
              <w:t>4,406</w:t>
            </w:r>
          </w:p>
        </w:tc>
        <w:tc>
          <w:tcPr>
            <w:tcW w:w="840" w:type="dxa"/>
            <w:vAlign w:val="bottom"/>
          </w:tcPr>
          <w:p>
            <w:pPr>
              <w:jc w:val="right"/>
              <w:ind w:right="142"/>
              <w:spacing w:after="0"/>
              <w:rPr>
                <w:sz w:val="20"/>
                <w:szCs w:val="20"/>
                <w:color w:val="auto"/>
              </w:rPr>
            </w:pPr>
            <w:r>
              <w:rPr>
                <w:rFonts w:ascii="Verdana" w:cs="Verdana" w:eastAsia="Verdana" w:hAnsi="Verdana"/>
                <w:sz w:val="12"/>
                <w:szCs w:val="12"/>
                <w:color w:val="auto"/>
              </w:rPr>
              <w:t>8,812</w:t>
            </w:r>
          </w:p>
        </w:tc>
        <w:tc>
          <w:tcPr>
            <w:tcW w:w="1740" w:type="dxa"/>
            <w:vAlign w:val="bottom"/>
          </w:tcPr>
          <w:p>
            <w:pPr>
              <w:jc w:val="right"/>
              <w:ind w:right="1002"/>
              <w:spacing w:after="0"/>
              <w:rPr>
                <w:sz w:val="20"/>
                <w:szCs w:val="20"/>
                <w:color w:val="auto"/>
              </w:rPr>
            </w:pPr>
            <w:r>
              <w:rPr>
                <w:rFonts w:ascii="Verdana" w:cs="Verdana" w:eastAsia="Verdana" w:hAnsi="Verdana"/>
                <w:sz w:val="12"/>
                <w:szCs w:val="12"/>
                <w:color w:val="auto"/>
              </w:rPr>
              <w:t>17,624</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$1,350,351</w:t>
            </w:r>
          </w:p>
        </w:tc>
      </w:tr>
      <w:tr>
        <w:trPr>
          <w:trHeight w:val="87"/>
        </w:trPr>
        <w:tc>
          <w:tcPr>
            <w:tcW w:w="1080" w:type="dxa"/>
            <w:vAlign w:val="bottom"/>
            <w:tcBorders>
              <w:bottom w:val="single" w:sz="8" w:color="E1DFDE"/>
            </w:tcBorders>
          </w:tcPr>
          <w:p>
            <w:pPr>
              <w:spacing w:after="0"/>
              <w:rPr>
                <w:sz w:val="7"/>
                <w:szCs w:val="7"/>
                <w:color w:val="auto"/>
              </w:rPr>
            </w:pPr>
          </w:p>
        </w:tc>
        <w:tc>
          <w:tcPr>
            <w:tcW w:w="840" w:type="dxa"/>
            <w:vAlign w:val="bottom"/>
            <w:tcBorders>
              <w:bottom w:val="single" w:sz="8" w:color="E1DFDE"/>
            </w:tcBorders>
          </w:tcPr>
          <w:p>
            <w:pPr>
              <w:spacing w:after="0"/>
              <w:rPr>
                <w:sz w:val="7"/>
                <w:szCs w:val="7"/>
                <w:color w:val="auto"/>
              </w:rPr>
            </w:pPr>
          </w:p>
        </w:tc>
        <w:tc>
          <w:tcPr>
            <w:tcW w:w="1740" w:type="dxa"/>
            <w:vAlign w:val="bottom"/>
            <w:tcBorders>
              <w:bottom w:val="single" w:sz="8" w:color="E1DFDE"/>
            </w:tcBorders>
          </w:tcPr>
          <w:p>
            <w:pPr>
              <w:spacing w:after="0"/>
              <w:rPr>
                <w:sz w:val="7"/>
                <w:szCs w:val="7"/>
                <w:color w:val="auto"/>
              </w:rPr>
            </w:pPr>
          </w:p>
        </w:tc>
        <w:tc>
          <w:tcPr>
            <w:tcW w:w="900" w:type="dxa"/>
            <w:vAlign w:val="bottom"/>
            <w:tcBorders>
              <w:bottom w:val="single" w:sz="8" w:color="E1DFDE"/>
            </w:tcBorders>
          </w:tcPr>
          <w:p>
            <w:pPr>
              <w:spacing w:after="0"/>
              <w:rPr>
                <w:sz w:val="7"/>
                <w:szCs w:val="7"/>
                <w:color w:val="auto"/>
              </w:rPr>
            </w:pPr>
          </w:p>
        </w:tc>
      </w:tr>
      <w:tr>
        <w:trPr>
          <w:trHeight w:val="176"/>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3,776</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$535,399</w:t>
            </w:r>
          </w:p>
        </w:tc>
      </w:tr>
      <w:tr>
        <w:trPr>
          <w:trHeight w:val="277"/>
        </w:trPr>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jc w:val="right"/>
              <w:ind w:right="142"/>
              <w:spacing w:after="0"/>
              <w:rPr>
                <w:sz w:val="20"/>
                <w:szCs w:val="20"/>
                <w:color w:val="auto"/>
              </w:rPr>
            </w:pPr>
            <w:r>
              <w:rPr>
                <w:rFonts w:ascii="Verdana" w:cs="Verdana" w:eastAsia="Verdana" w:hAnsi="Verdana"/>
                <w:sz w:val="12"/>
                <w:szCs w:val="12"/>
                <w:color w:val="auto"/>
              </w:rPr>
              <w:t>2,672</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$249,992</w:t>
            </w:r>
          </w:p>
        </w:tc>
      </w:tr>
      <w:tr>
        <w:trPr>
          <w:trHeight w:val="141"/>
        </w:trPr>
        <w:tc>
          <w:tcPr>
            <w:tcW w:w="1080" w:type="dxa"/>
            <w:vAlign w:val="bottom"/>
            <w:tcBorders>
              <w:bottom w:val="single" w:sz="8" w:color="696158"/>
            </w:tcBorders>
          </w:tcPr>
          <w:p>
            <w:pPr>
              <w:spacing w:after="0"/>
              <w:rPr>
                <w:sz w:val="12"/>
                <w:szCs w:val="12"/>
                <w:color w:val="auto"/>
              </w:rPr>
            </w:pPr>
          </w:p>
        </w:tc>
        <w:tc>
          <w:tcPr>
            <w:tcW w:w="840" w:type="dxa"/>
            <w:vAlign w:val="bottom"/>
            <w:tcBorders>
              <w:bottom w:val="single" w:sz="8" w:color="696158"/>
            </w:tcBorders>
          </w:tcPr>
          <w:p>
            <w:pPr>
              <w:spacing w:after="0"/>
              <w:rPr>
                <w:sz w:val="12"/>
                <w:szCs w:val="12"/>
                <w:color w:val="auto"/>
              </w:rPr>
            </w:pPr>
          </w:p>
        </w:tc>
        <w:tc>
          <w:tcPr>
            <w:tcW w:w="1740" w:type="dxa"/>
            <w:vAlign w:val="bottom"/>
            <w:tcBorders>
              <w:bottom w:val="single" w:sz="8" w:color="696158"/>
            </w:tcBorders>
          </w:tcPr>
          <w:p>
            <w:pPr>
              <w:spacing w:after="0"/>
              <w:rPr>
                <w:sz w:val="12"/>
                <w:szCs w:val="12"/>
                <w:color w:val="auto"/>
              </w:rPr>
            </w:pPr>
          </w:p>
        </w:tc>
        <w:tc>
          <w:tcPr>
            <w:tcW w:w="900" w:type="dxa"/>
            <w:vAlign w:val="bottom"/>
            <w:tcBorders>
              <w:bottom w:val="single" w:sz="8" w:color="696158"/>
            </w:tcBorders>
          </w:tcPr>
          <w:p>
            <w:pPr>
              <w:spacing w:after="0"/>
              <w:rPr>
                <w:sz w:val="12"/>
                <w:szCs w:val="12"/>
                <w:color w:val="auto"/>
              </w:rPr>
            </w:pPr>
          </w:p>
        </w:tc>
      </w:tr>
      <w:tr>
        <w:trPr>
          <w:trHeight w:val="304"/>
        </w:trPr>
        <w:tc>
          <w:tcPr>
            <w:tcW w:w="1080" w:type="dxa"/>
            <w:vAlign w:val="bottom"/>
            <w:tcBorders>
              <w:bottom w:val="single" w:sz="8" w:color="E1DFDE"/>
            </w:tcBorders>
          </w:tcPr>
          <w:p>
            <w:pPr>
              <w:spacing w:after="0"/>
              <w:rPr>
                <w:sz w:val="24"/>
                <w:szCs w:val="24"/>
                <w:color w:val="auto"/>
              </w:rPr>
            </w:pPr>
          </w:p>
        </w:tc>
        <w:tc>
          <w:tcPr>
            <w:tcW w:w="840" w:type="dxa"/>
            <w:vAlign w:val="bottom"/>
            <w:tcBorders>
              <w:bottom w:val="single" w:sz="8" w:color="E1DFDE"/>
            </w:tcBorders>
          </w:tcPr>
          <w:p>
            <w:pPr>
              <w:spacing w:after="0"/>
              <w:rPr>
                <w:sz w:val="24"/>
                <w:szCs w:val="24"/>
                <w:color w:val="auto"/>
              </w:rPr>
            </w:pPr>
          </w:p>
        </w:tc>
        <w:tc>
          <w:tcPr>
            <w:tcW w:w="1740" w:type="dxa"/>
            <w:vAlign w:val="bottom"/>
            <w:tcBorders>
              <w:bottom w:val="single" w:sz="8" w:color="E1DFDE"/>
            </w:tcBorders>
          </w:tcPr>
          <w:p>
            <w:pPr>
              <w:spacing w:after="0"/>
              <w:rPr>
                <w:sz w:val="24"/>
                <w:szCs w:val="24"/>
                <w:color w:val="auto"/>
              </w:rPr>
            </w:pPr>
          </w:p>
        </w:tc>
        <w:tc>
          <w:tcPr>
            <w:tcW w:w="900" w:type="dxa"/>
            <w:vAlign w:val="bottom"/>
            <w:tcBorders>
              <w:bottom w:val="single" w:sz="8" w:color="E1DFDE"/>
            </w:tcBorders>
          </w:tcPr>
          <w:p>
            <w:pPr>
              <w:spacing w:after="0"/>
              <w:rPr>
                <w:sz w:val="24"/>
                <w:szCs w:val="24"/>
                <w:color w:val="auto"/>
              </w:rPr>
            </w:pPr>
          </w:p>
        </w:tc>
      </w:tr>
      <w:tr>
        <w:trPr>
          <w:trHeight w:val="217"/>
        </w:trPr>
        <w:tc>
          <w:tcPr>
            <w:tcW w:w="1080" w:type="dxa"/>
            <w:vAlign w:val="bottom"/>
          </w:tcPr>
          <w:p>
            <w:pPr>
              <w:jc w:val="right"/>
              <w:ind w:right="162"/>
              <w:spacing w:after="0"/>
              <w:rPr>
                <w:sz w:val="20"/>
                <w:szCs w:val="20"/>
                <w:color w:val="auto"/>
              </w:rPr>
            </w:pPr>
            <w:r>
              <w:rPr>
                <w:rFonts w:ascii="Verdana" w:cs="Verdana" w:eastAsia="Verdana" w:hAnsi="Verdana"/>
                <w:sz w:val="12"/>
                <w:szCs w:val="12"/>
                <w:color w:val="auto"/>
              </w:rPr>
              <w:t>3,394</w:t>
            </w:r>
          </w:p>
        </w:tc>
        <w:tc>
          <w:tcPr>
            <w:tcW w:w="840" w:type="dxa"/>
            <w:vAlign w:val="bottom"/>
          </w:tcPr>
          <w:p>
            <w:pPr>
              <w:jc w:val="right"/>
              <w:ind w:right="142"/>
              <w:spacing w:after="0"/>
              <w:rPr>
                <w:sz w:val="20"/>
                <w:szCs w:val="20"/>
                <w:color w:val="auto"/>
              </w:rPr>
            </w:pPr>
            <w:r>
              <w:rPr>
                <w:rFonts w:ascii="Verdana" w:cs="Verdana" w:eastAsia="Verdana" w:hAnsi="Verdana"/>
                <w:sz w:val="12"/>
                <w:szCs w:val="12"/>
                <w:color w:val="auto"/>
              </w:rPr>
              <w:t>6,788</w:t>
            </w:r>
          </w:p>
        </w:tc>
        <w:tc>
          <w:tcPr>
            <w:tcW w:w="1740" w:type="dxa"/>
            <w:vAlign w:val="bottom"/>
          </w:tcPr>
          <w:p>
            <w:pPr>
              <w:jc w:val="right"/>
              <w:ind w:right="1002"/>
              <w:spacing w:after="0"/>
              <w:rPr>
                <w:sz w:val="20"/>
                <w:szCs w:val="20"/>
                <w:color w:val="auto"/>
              </w:rPr>
            </w:pPr>
            <w:r>
              <w:rPr>
                <w:rFonts w:ascii="Verdana" w:cs="Verdana" w:eastAsia="Verdana" w:hAnsi="Verdana"/>
                <w:sz w:val="12"/>
                <w:szCs w:val="12"/>
                <w:color w:val="auto"/>
              </w:rPr>
              <w:t>13,576</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$1,040,193</w:t>
            </w:r>
          </w:p>
        </w:tc>
      </w:tr>
      <w:tr>
        <w:trPr>
          <w:trHeight w:val="88"/>
        </w:trPr>
        <w:tc>
          <w:tcPr>
            <w:tcW w:w="1080" w:type="dxa"/>
            <w:vAlign w:val="bottom"/>
            <w:tcBorders>
              <w:bottom w:val="single" w:sz="8" w:color="E1DFDE"/>
            </w:tcBorders>
          </w:tcPr>
          <w:p>
            <w:pPr>
              <w:spacing w:after="0"/>
              <w:rPr>
                <w:sz w:val="7"/>
                <w:szCs w:val="7"/>
                <w:color w:val="auto"/>
              </w:rPr>
            </w:pPr>
          </w:p>
        </w:tc>
        <w:tc>
          <w:tcPr>
            <w:tcW w:w="840" w:type="dxa"/>
            <w:vAlign w:val="bottom"/>
            <w:tcBorders>
              <w:bottom w:val="single" w:sz="8" w:color="E1DFDE"/>
            </w:tcBorders>
          </w:tcPr>
          <w:p>
            <w:pPr>
              <w:spacing w:after="0"/>
              <w:rPr>
                <w:sz w:val="7"/>
                <w:szCs w:val="7"/>
                <w:color w:val="auto"/>
              </w:rPr>
            </w:pPr>
          </w:p>
        </w:tc>
        <w:tc>
          <w:tcPr>
            <w:tcW w:w="1740" w:type="dxa"/>
            <w:vAlign w:val="bottom"/>
            <w:tcBorders>
              <w:bottom w:val="single" w:sz="8" w:color="E1DFDE"/>
            </w:tcBorders>
          </w:tcPr>
          <w:p>
            <w:pPr>
              <w:spacing w:after="0"/>
              <w:rPr>
                <w:sz w:val="7"/>
                <w:szCs w:val="7"/>
                <w:color w:val="auto"/>
              </w:rPr>
            </w:pPr>
          </w:p>
        </w:tc>
        <w:tc>
          <w:tcPr>
            <w:tcW w:w="900" w:type="dxa"/>
            <w:vAlign w:val="bottom"/>
            <w:tcBorders>
              <w:bottom w:val="single" w:sz="8" w:color="E1DFDE"/>
            </w:tcBorders>
          </w:tcPr>
          <w:p>
            <w:pPr>
              <w:spacing w:after="0"/>
              <w:rPr>
                <w:sz w:val="7"/>
                <w:szCs w:val="7"/>
                <w:color w:val="auto"/>
              </w:rPr>
            </w:pPr>
          </w:p>
        </w:tc>
      </w:tr>
      <w:tr>
        <w:trPr>
          <w:trHeight w:val="176"/>
        </w:trPr>
        <w:tc>
          <w:tcPr>
            <w:tcW w:w="108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2,909</w:t>
            </w:r>
          </w:p>
        </w:tc>
        <w:tc>
          <w:tcPr>
            <w:tcW w:w="9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$412,467</w:t>
            </w:r>
          </w:p>
        </w:tc>
      </w:tr>
      <w:tr>
        <w:trPr>
          <w:trHeight w:val="277"/>
        </w:trPr>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jc w:val="right"/>
              <w:ind w:right="142"/>
              <w:spacing w:after="0"/>
              <w:rPr>
                <w:sz w:val="20"/>
                <w:szCs w:val="20"/>
                <w:color w:val="auto"/>
              </w:rPr>
            </w:pPr>
            <w:r>
              <w:rPr>
                <w:rFonts w:ascii="Verdana" w:cs="Verdana" w:eastAsia="Verdana" w:hAnsi="Verdana"/>
                <w:sz w:val="12"/>
                <w:szCs w:val="12"/>
                <w:color w:val="auto"/>
              </w:rPr>
              <w:t>2,137</w:t>
            </w:r>
          </w:p>
        </w:tc>
        <w:tc>
          <w:tcPr>
            <w:tcW w:w="900" w:type="dxa"/>
            <w:vAlign w:val="bottom"/>
          </w:tcPr>
          <w:p>
            <w:pPr>
              <w:jc w:val="right"/>
              <w:spacing w:after="0"/>
              <w:rPr>
                <w:sz w:val="20"/>
                <w:szCs w:val="20"/>
                <w:color w:val="auto"/>
              </w:rPr>
            </w:pPr>
            <w:r>
              <w:rPr>
                <w:rFonts w:ascii="Verdana" w:cs="Verdana" w:eastAsia="Verdana" w:hAnsi="Verdana"/>
                <w:sz w:val="12"/>
                <w:szCs w:val="12"/>
                <w:color w:val="auto"/>
              </w:rPr>
              <w:t>$199,938</w:t>
            </w:r>
          </w:p>
        </w:tc>
      </w:tr>
    </w:tbl>
    <w:p>
      <w:pPr>
        <w:spacing w:after="0" w:line="318" w:lineRule="exact"/>
        <w:rPr>
          <w:sz w:val="20"/>
          <w:szCs w:val="20"/>
          <w:color w:val="auto"/>
        </w:rPr>
      </w:pPr>
    </w:p>
    <w:p>
      <w:pPr>
        <w:sectPr>
          <w:pgSz w:w="11900" w:h="16838" w:orient="portrait"/>
          <w:cols w:equalWidth="0" w:num="2">
            <w:col w:w="6600" w:space="80"/>
            <w:col w:w="4560"/>
          </w:cols>
          <w:pgMar w:left="320" w:top="117" w:right="339" w:bottom="1440" w:gutter="0" w:footer="0" w:header="0"/>
          <w:type w:val="continuous"/>
        </w:sectPr>
      </w:pPr>
    </w:p>
    <w:p>
      <w:pPr>
        <w:spacing w:after="0" w:line="29" w:lineRule="exact"/>
        <w:rPr>
          <w:sz w:val="20"/>
          <w:szCs w:val="20"/>
          <w:color w:val="auto"/>
        </w:rPr>
      </w:pPr>
    </w:p>
    <w:p>
      <w:pPr>
        <w:ind w:left="340" w:right="140" w:hanging="332"/>
        <w:spacing w:after="0" w:line="242" w:lineRule="auto"/>
        <w:tabs>
          <w:tab w:leader="none" w:pos="332" w:val="left"/>
        </w:tabs>
        <w:numPr>
          <w:ilvl w:val="0"/>
          <w:numId w:val="95"/>
        </w:numPr>
        <w:rPr>
          <w:rFonts w:ascii="Verdana" w:cs="Verdana" w:eastAsia="Verdana" w:hAnsi="Verdana"/>
          <w:sz w:val="14"/>
          <w:szCs w:val="14"/>
          <w:color w:val="auto"/>
        </w:rPr>
      </w:pPr>
      <w:r>
        <w:rPr>
          <w:rFonts w:ascii="Verdana" w:cs="Verdana" w:eastAsia="Verdana" w:hAnsi="Verdana"/>
          <w:sz w:val="14"/>
          <w:szCs w:val="14"/>
          <w:color w:val="auto"/>
        </w:rPr>
        <w:t>For the annual incentive award, the threshold, target and maximum amounts represent 50%, 100% and 200%, respectively, of the total bonus opportunity for each NEO. If actual performance falls between threshold and target or between target and maximum, the award would be calculated using linear interpolation. For the annual incentive award, the target bonus opportunity for the NEOs was also based on a percentage of base salary, which was 160% for Mr. Scott, 100% for Messrs. Cardew and Orsini, 90% for Messrs. Esposito and Kemp, and 80% for Ms. Davis.</w:t>
      </w:r>
    </w:p>
    <w:p>
      <w:pPr>
        <w:spacing w:after="0" w:line="2" w:lineRule="exact"/>
        <w:rPr>
          <w:rFonts w:ascii="Verdana" w:cs="Verdana" w:eastAsia="Verdana" w:hAnsi="Verdana"/>
          <w:sz w:val="14"/>
          <w:szCs w:val="14"/>
          <w:color w:val="auto"/>
        </w:rPr>
      </w:pPr>
    </w:p>
    <w:p>
      <w:pPr>
        <w:ind w:left="340" w:right="120" w:hanging="332"/>
        <w:spacing w:after="0" w:line="242" w:lineRule="auto"/>
        <w:tabs>
          <w:tab w:leader="none" w:pos="332" w:val="left"/>
        </w:tabs>
        <w:numPr>
          <w:ilvl w:val="0"/>
          <w:numId w:val="95"/>
        </w:numPr>
        <w:rPr>
          <w:rFonts w:ascii="Verdana" w:cs="Verdana" w:eastAsia="Verdana" w:hAnsi="Verdana"/>
          <w:sz w:val="14"/>
          <w:szCs w:val="14"/>
          <w:color w:val="auto"/>
        </w:rPr>
      </w:pPr>
      <w:r>
        <w:rPr>
          <w:rFonts w:ascii="Verdana" w:cs="Verdana" w:eastAsia="Verdana" w:hAnsi="Verdana"/>
          <w:sz w:val="14"/>
          <w:szCs w:val="14"/>
          <w:color w:val="auto"/>
        </w:rPr>
        <w:t>The amounts reported for 2024 reflect the aggregate value of Performance Shares, RSUs (including the Special RSUs for Messrs. Cardew and Orsini) and Career Shares under the LTI awarded in the year. There can be no assurance that these values will ever be realized. See Note 12, “Stock-Based Compensation,” to the Company’s consolidated financial statements in our 2024 Annual Report on Form 10-K for more information related to determining these values.</w:t>
      </w:r>
    </w:p>
    <w:p>
      <w:pPr>
        <w:spacing w:after="0" w:line="2" w:lineRule="exact"/>
        <w:rPr>
          <w:rFonts w:ascii="Verdana" w:cs="Verdana" w:eastAsia="Verdana" w:hAnsi="Verdana"/>
          <w:sz w:val="14"/>
          <w:szCs w:val="14"/>
          <w:color w:val="auto"/>
        </w:rPr>
      </w:pPr>
    </w:p>
    <w:p>
      <w:pPr>
        <w:ind w:left="320" w:hanging="312"/>
        <w:spacing w:after="0"/>
        <w:tabs>
          <w:tab w:leader="none" w:pos="320" w:val="left"/>
        </w:tabs>
        <w:numPr>
          <w:ilvl w:val="0"/>
          <w:numId w:val="95"/>
        </w:numPr>
        <w:rPr>
          <w:rFonts w:ascii="Verdana" w:cs="Verdana" w:eastAsia="Verdana" w:hAnsi="Verdana"/>
          <w:sz w:val="14"/>
          <w:szCs w:val="14"/>
          <w:color w:val="auto"/>
        </w:rPr>
      </w:pPr>
      <w:r>
        <w:rPr>
          <w:rFonts w:ascii="Verdana" w:cs="Verdana" w:eastAsia="Verdana" w:hAnsi="Verdana"/>
          <w:sz w:val="14"/>
          <w:szCs w:val="14"/>
          <w:color w:val="auto"/>
        </w:rPr>
        <w:t>See “Performance Shares” below for an explanation regarding the vesting and distribution of the Performance Shares.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7440"/>
        <w:spacing w:after="0"/>
        <w:tabs>
          <w:tab w:leader="none" w:pos="9640" w:val="left"/>
          <w:tab w:leader="none" w:pos="10080" w:val="left"/>
        </w:tabs>
        <w:rPr>
          <w:sz w:val="20"/>
          <w:szCs w:val="20"/>
          <w:color w:val="auto"/>
        </w:rPr>
      </w:pPr>
      <w:r>
        <w:rPr>
          <w:rFonts w:ascii="Verdana" w:cs="Verdana" w:eastAsia="Verdana" w:hAnsi="Verdana"/>
          <w:sz w:val="15"/>
          <w:szCs w:val="15"/>
          <w:b w:val="1"/>
          <w:bCs w:val="1"/>
          <w:color w:val="EE2724"/>
        </w:rPr>
        <w:t>2025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40" w:right="80" w:hanging="332"/>
        <w:spacing w:after="0" w:line="247" w:lineRule="auto"/>
        <w:tabs>
          <w:tab w:leader="none" w:pos="332" w:val="left"/>
        </w:tabs>
        <w:numPr>
          <w:ilvl w:val="0"/>
          <w:numId w:val="96"/>
        </w:numPr>
        <w:rPr>
          <w:rFonts w:ascii="Verdana" w:cs="Verdana" w:eastAsia="Verdana" w:hAnsi="Verdana"/>
          <w:sz w:val="14"/>
          <w:szCs w:val="14"/>
          <w:color w:val="auto"/>
        </w:rPr>
      </w:pPr>
      <w:r>
        <w:rPr>
          <w:rFonts w:ascii="Verdana" w:cs="Verdana" w:eastAsia="Verdana" w:hAnsi="Verdana"/>
          <w:sz w:val="14"/>
          <w:szCs w:val="14"/>
          <w:color w:val="auto"/>
        </w:rPr>
        <w:t>The RSUs vest on the third anniversary of the grant date, except for Ms. Davis' RSUs which vest in equal installments on the first three anniversaries of the grant date.</w:t>
      </w:r>
    </w:p>
    <w:p>
      <w:pPr>
        <w:ind w:left="340" w:right="80" w:hanging="332"/>
        <w:spacing w:after="0" w:line="241" w:lineRule="auto"/>
        <w:tabs>
          <w:tab w:leader="none" w:pos="332" w:val="left"/>
        </w:tabs>
        <w:numPr>
          <w:ilvl w:val="0"/>
          <w:numId w:val="96"/>
        </w:numPr>
        <w:rPr>
          <w:rFonts w:ascii="Verdana" w:cs="Verdana" w:eastAsia="Verdana" w:hAnsi="Verdana"/>
          <w:sz w:val="14"/>
          <w:szCs w:val="14"/>
          <w:color w:val="auto"/>
        </w:rPr>
      </w:pPr>
      <w:r>
        <w:rPr>
          <w:rFonts w:ascii="Verdana" w:cs="Verdana" w:eastAsia="Verdana" w:hAnsi="Verdana"/>
          <w:sz w:val="14"/>
          <w:szCs w:val="14"/>
          <w:color w:val="auto"/>
        </w:rPr>
        <w:t xml:space="preserve">The Special RSUs granted to Mr. Cardew vest in two equal installments on December 31, 2026 and December 31, 2027. The Special RSUs granted to Mr. Orsini vest in three equal installments on the third, fourth and fifth anniversaries of the grant date (August 14, 2027, 2028 and 2029). For more information on the Special RSU awards, see page </w:t>
      </w:r>
      <w:r>
        <w:rPr>
          <w:rFonts w:ascii="Verdana" w:cs="Verdana" w:eastAsia="Verdana" w:hAnsi="Verdana"/>
          <w:sz w:val="14"/>
          <w:szCs w:val="14"/>
          <w:u w:val="single" w:color="auto"/>
          <w:color w:val="0000FF"/>
        </w:rPr>
        <w:t>51</w:t>
      </w:r>
      <w:r>
        <w:rPr>
          <w:rFonts w:ascii="Verdana" w:cs="Verdana" w:eastAsia="Verdana" w:hAnsi="Verdana"/>
          <w:sz w:val="14"/>
          <w:szCs w:val="14"/>
          <w:color w:val="auto"/>
        </w:rPr>
        <w:t>.</w:t>
      </w:r>
    </w:p>
    <w:p>
      <w:pPr>
        <w:ind w:left="320" w:hanging="312"/>
        <w:spacing w:after="0"/>
        <w:tabs>
          <w:tab w:leader="none" w:pos="320" w:val="left"/>
        </w:tabs>
        <w:numPr>
          <w:ilvl w:val="0"/>
          <w:numId w:val="96"/>
        </w:numPr>
        <w:rPr>
          <w:rFonts w:ascii="Verdana" w:cs="Verdana" w:eastAsia="Verdana" w:hAnsi="Verdana"/>
          <w:sz w:val="14"/>
          <w:szCs w:val="14"/>
          <w:color w:val="auto"/>
        </w:rPr>
      </w:pPr>
      <w:r>
        <w:rPr>
          <w:rFonts w:ascii="Verdana" w:cs="Verdana" w:eastAsia="Verdana" w:hAnsi="Verdana"/>
          <w:sz w:val="14"/>
          <w:szCs w:val="14"/>
          <w:color w:val="auto"/>
        </w:rPr>
        <w:t>See “Career Shares” below for an explanation regarding the vesting and distribution of the Career Shares.</w:t>
      </w:r>
    </w:p>
    <w:p>
      <w:pPr>
        <w:spacing w:after="0" w:line="14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Annual Incentives</w:t>
      </w:r>
    </w:p>
    <w:p>
      <w:pPr>
        <w:spacing w:after="0" w:line="137" w:lineRule="exact"/>
        <w:rPr>
          <w:sz w:val="20"/>
          <w:szCs w:val="20"/>
          <w:color w:val="auto"/>
        </w:rPr>
      </w:pPr>
    </w:p>
    <w:p>
      <w:pPr>
        <w:ind w:right="440"/>
        <w:spacing w:after="0" w:line="253" w:lineRule="auto"/>
        <w:rPr>
          <w:sz w:val="20"/>
          <w:szCs w:val="20"/>
          <w:color w:val="auto"/>
        </w:rPr>
      </w:pPr>
      <w:r>
        <w:rPr>
          <w:rFonts w:ascii="Verdana" w:cs="Verdana" w:eastAsia="Verdana" w:hAnsi="Verdana"/>
          <w:sz w:val="16"/>
          <w:szCs w:val="16"/>
          <w:color w:val="auto"/>
        </w:rPr>
        <w:t xml:space="preserve">A summary description of the Company’s AIP is included in “Compensation Discussion and Analysis — Annual Incentive Plan ("AIP") beginning on page </w:t>
      </w:r>
      <w:r>
        <w:rPr>
          <w:rFonts w:ascii="Verdana" w:cs="Verdana" w:eastAsia="Verdana" w:hAnsi="Verdana"/>
          <w:sz w:val="16"/>
          <w:szCs w:val="16"/>
          <w:u w:val="single" w:color="auto"/>
          <w:color w:val="0000FF"/>
        </w:rPr>
        <w:t>45</w:t>
      </w:r>
      <w:r>
        <w:rPr>
          <w:rFonts w:ascii="Verdana" w:cs="Verdana" w:eastAsia="Verdana" w:hAnsi="Verdana"/>
          <w:sz w:val="16"/>
          <w:szCs w:val="16"/>
          <w:color w:val="auto"/>
        </w:rPr>
        <w:t>.</w:t>
      </w:r>
    </w:p>
    <w:p>
      <w:pPr>
        <w:spacing w:after="0" w:line="13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Long-Term Incentives</w:t>
      </w:r>
    </w:p>
    <w:p>
      <w:pPr>
        <w:spacing w:after="0" w:line="123" w:lineRule="exact"/>
        <w:rPr>
          <w:sz w:val="20"/>
          <w:szCs w:val="20"/>
          <w:color w:val="auto"/>
        </w:rPr>
      </w:pPr>
    </w:p>
    <w:p>
      <w:pPr>
        <w:ind w:right="240"/>
        <w:spacing w:after="0" w:line="270" w:lineRule="auto"/>
        <w:rPr>
          <w:sz w:val="20"/>
          <w:szCs w:val="20"/>
          <w:color w:val="auto"/>
        </w:rPr>
      </w:pPr>
      <w:r>
        <w:rPr>
          <w:rFonts w:ascii="Verdana" w:cs="Verdana" w:eastAsia="Verdana" w:hAnsi="Verdana"/>
          <w:sz w:val="16"/>
          <w:szCs w:val="16"/>
          <w:color w:val="auto"/>
        </w:rPr>
        <w:t xml:space="preserve">The Performance Shares and RSUs were all granted pursuant to the LTI, a summary description of which is included in “Compensation Discussion and Analysis — Long-Term Stock Incentive Plan ("LTI") Compensation” beginning on page </w:t>
      </w:r>
      <w:r>
        <w:rPr>
          <w:rFonts w:ascii="Verdana" w:cs="Verdana" w:eastAsia="Verdana" w:hAnsi="Verdana"/>
          <w:sz w:val="16"/>
          <w:szCs w:val="16"/>
          <w:u w:val="single" w:color="auto"/>
          <w:color w:val="0000FF"/>
        </w:rPr>
        <w:t>47</w:t>
      </w:r>
      <w:r>
        <w:rPr>
          <w:rFonts w:ascii="Verdana" w:cs="Verdana" w:eastAsia="Verdana" w:hAnsi="Verdana"/>
          <w:sz w:val="16"/>
          <w:szCs w:val="16"/>
          <w:color w:val="auto"/>
        </w:rPr>
        <w:t>.</w:t>
      </w:r>
    </w:p>
    <w:p>
      <w:pPr>
        <w:spacing w:after="0" w:line="102"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Performance Shares</w:t>
      </w:r>
    </w:p>
    <w:p>
      <w:pPr>
        <w:spacing w:after="0" w:line="143"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Payment of each Performance Share award is contingent on the Company attaining certain levels of Adjusted Pretax Income, Adjusted ROIC Improvement and Relative TSR in the 2024-2026 performance period. Fifty percent (50%) of the Performance Shares can be earned based on Adjusted Pretax Income performance, twenty-five percent (25%) can be earned based on Adjusted ROIC Improvement</w:t>
      </w:r>
    </w:p>
    <w:p>
      <w:pPr>
        <w:spacing w:after="0" w:line="2"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and twenty-five percent (25%) can be earned based on Relative TSR performance. Adjusted Pretax Income goals and performance were set prior to the beginning of the performance period, and performance will be measured annually, with final award payouts based on the</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average of the three annual results. Adjusted ROIC Improvement goals for the three-year performance period were set prior to the beginning of the performance period, and performance will be measured annually, with final award payouts based on the average of the three annual results. If threshold, target or maximum performance goals are attained in the performance period, 50%, 100% or 200%</w:t>
      </w:r>
    </w:p>
    <w:p>
      <w:pPr>
        <w:spacing w:after="0" w:line="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of the target amount, respectively, will be earned. If actual performance falls between threshold and maximum, the award will be calculated using linear interpolation. For a description of the effect of a termination of employment or a change in control on the vesting</w:t>
      </w:r>
    </w:p>
    <w:p>
      <w:pPr>
        <w:spacing w:after="0" w:line="1"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 xml:space="preserve">of Performance Shares, please see “Executive Compensation — Potential Payments Upon Termination or Change in Control” beginning on page </w:t>
      </w:r>
      <w:r>
        <w:rPr>
          <w:rFonts w:ascii="Verdana" w:cs="Verdana" w:eastAsia="Verdana" w:hAnsi="Verdana"/>
          <w:sz w:val="16"/>
          <w:szCs w:val="16"/>
          <w:u w:val="single" w:color="auto"/>
          <w:color w:val="0000FF"/>
        </w:rPr>
        <w:t>66</w:t>
      </w:r>
      <w:r>
        <w:rPr>
          <w:rFonts w:ascii="Verdana" w:cs="Verdana" w:eastAsia="Verdana" w:hAnsi="Verdana"/>
          <w:sz w:val="16"/>
          <w:szCs w:val="16"/>
          <w:color w:val="auto"/>
        </w:rPr>
        <w:t>.</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Dividend equivalents are credited with respect to Performance Shares at the same time as dividends are paid on the Company’s common</w:t>
      </w:r>
    </w:p>
    <w:p>
      <w:pPr>
        <w:spacing w:after="0" w:line="8"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stock; however, the dollar amount of these dividend equivalents is not paid unless and until the performance goals are met with respect to the underlying Performance Shares.</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Restricted Stock Units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In general, the RSUs granted to our NEOs vest and settle in shares of common stock on the third anniversary of the grant date,</w:t>
      </w:r>
    </w:p>
    <w:p>
      <w:pPr>
        <w:spacing w:after="0" w:line="8"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 xml:space="preserve">generally subject to the executive’s continued employment. For a description of the effect of a termination of employment or a change in control on the vesting of RSUs, please see “Executive Compensation — Potential Payments Upon Termination or Change in Control" beginning on page </w:t>
      </w:r>
      <w:r>
        <w:rPr>
          <w:rFonts w:ascii="Verdana" w:cs="Verdana" w:eastAsia="Verdana" w:hAnsi="Verdana"/>
          <w:sz w:val="16"/>
          <w:szCs w:val="16"/>
          <w:u w:val="single" w:color="auto"/>
          <w:color w:val="0000FF"/>
        </w:rPr>
        <w:t>66</w:t>
      </w:r>
      <w:r>
        <w:rPr>
          <w:rFonts w:ascii="Verdana" w:cs="Verdana" w:eastAsia="Verdana" w:hAnsi="Verdana"/>
          <w:sz w:val="16"/>
          <w:szCs w:val="16"/>
          <w:color w:val="auto"/>
        </w:rPr>
        <w:t>.</w:t>
      </w:r>
    </w:p>
    <w:p>
      <w:pPr>
        <w:spacing w:after="0" w:line="92" w:lineRule="exact"/>
        <w:rPr>
          <w:sz w:val="20"/>
          <w:szCs w:val="20"/>
          <w:color w:val="auto"/>
        </w:rPr>
      </w:pPr>
    </w:p>
    <w:p>
      <w:pPr>
        <w:spacing w:after="0"/>
        <w:rPr>
          <w:sz w:val="20"/>
          <w:szCs w:val="20"/>
          <w:color w:val="auto"/>
        </w:rPr>
      </w:pPr>
      <w:r>
        <w:rPr>
          <w:rFonts w:ascii="Verdana" w:cs="Verdana" w:eastAsia="Verdana" w:hAnsi="Verdana"/>
          <w:sz w:val="16"/>
          <w:szCs w:val="16"/>
          <w:color w:val="auto"/>
        </w:rPr>
        <w:t>Dividend equivalents are accrued with respect to RSUs at the same time as dividends are paid on the Company’s common stock.</w:t>
      </w:r>
    </w:p>
    <w:p>
      <w:pPr>
        <w:spacing w:after="0"/>
        <w:rPr>
          <w:sz w:val="20"/>
          <w:szCs w:val="20"/>
          <w:color w:val="auto"/>
        </w:rPr>
      </w:pPr>
      <w:r>
        <w:rPr>
          <w:rFonts w:ascii="Verdana" w:cs="Verdana" w:eastAsia="Verdana" w:hAnsi="Verdana"/>
          <w:sz w:val="16"/>
          <w:szCs w:val="16"/>
          <w:color w:val="auto"/>
        </w:rPr>
        <w:t>However, the dollar amount of these dividend equivalents is not paid unless and until the underlying RSUs vest and are settled.</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Stock Options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In 2020 and 2021, Lear awarded stock options to its executives. These stock options vested over three years on each anniversary of the</w:t>
      </w:r>
    </w:p>
    <w:p>
      <w:pPr>
        <w:spacing w:after="0" w:line="8" w:lineRule="exact"/>
        <w:rPr>
          <w:sz w:val="20"/>
          <w:szCs w:val="20"/>
          <w:color w:val="auto"/>
        </w:rPr>
      </w:pPr>
    </w:p>
    <w:p>
      <w:pPr>
        <w:ind w:right="200"/>
        <w:spacing w:after="0" w:line="243" w:lineRule="auto"/>
        <w:rPr>
          <w:sz w:val="20"/>
          <w:szCs w:val="20"/>
          <w:color w:val="auto"/>
        </w:rPr>
      </w:pPr>
      <w:r>
        <w:rPr>
          <w:rFonts w:ascii="Verdana" w:cs="Verdana" w:eastAsia="Verdana" w:hAnsi="Verdana"/>
          <w:sz w:val="16"/>
          <w:szCs w:val="16"/>
          <w:color w:val="auto"/>
        </w:rPr>
        <w:t xml:space="preserve">grant date, with all options vested as of January 4, 2024. For a description of the effect of a termination of employment or a change in control on the vesting of stock options, please see “Executive Compensation — Potential Payments Upon Termination or Change in Control" beginning on page </w:t>
      </w:r>
      <w:r>
        <w:rPr>
          <w:rFonts w:ascii="Verdana" w:cs="Verdana" w:eastAsia="Verdana" w:hAnsi="Verdana"/>
          <w:sz w:val="16"/>
          <w:szCs w:val="16"/>
          <w:u w:val="single" w:color="auto"/>
          <w:color w:val="0000FF"/>
        </w:rPr>
        <w:t>66</w:t>
      </w:r>
      <w:r>
        <w:rPr>
          <w:rFonts w:ascii="Verdana" w:cs="Verdana" w:eastAsia="Verdana" w:hAnsi="Verdana"/>
          <w:sz w:val="16"/>
          <w:szCs w:val="16"/>
          <w:color w:val="auto"/>
        </w:rPr>
        <w:t>.</w:t>
      </w:r>
    </w:p>
    <w:p>
      <w:pPr>
        <w:spacing w:after="0" w:line="14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Retirement Benefits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Career Shares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In general, the underlying shares of common stock for vested Career Shares are not distributed until the executive attains age 62.</w:t>
      </w:r>
    </w:p>
    <w:p>
      <w:pPr>
        <w:spacing w:after="0" w:line="8"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However, if an executive terminates due to a Career Share “qualifying retirement” (i.e., voluntary termination at or after age 62 or the date that the executive attains a combined number of age and years of service of 65, with a minimum age of 55 and minimum service of five years), or if after becoming “qualifying retirement” eligible the executive is terminated without "cause" or for "good reason," the</w:t>
      </w:r>
    </w:p>
    <w:p>
      <w:pPr>
        <w:spacing w:after="0" w:line="2" w:lineRule="exact"/>
        <w:rPr>
          <w:sz w:val="20"/>
          <w:szCs w:val="20"/>
          <w:color w:val="auto"/>
        </w:rPr>
      </w:pPr>
    </w:p>
    <w:p>
      <w:pPr>
        <w:ind w:right="460"/>
        <w:spacing w:after="0" w:line="253" w:lineRule="auto"/>
        <w:rPr>
          <w:sz w:val="20"/>
          <w:szCs w:val="20"/>
          <w:color w:val="auto"/>
        </w:rPr>
      </w:pPr>
      <w:r>
        <w:rPr>
          <w:rFonts w:ascii="Verdana" w:cs="Verdana" w:eastAsia="Verdana" w:hAnsi="Verdana"/>
          <w:sz w:val="16"/>
          <w:szCs w:val="16"/>
          <w:color w:val="auto"/>
        </w:rPr>
        <w:t>underlying shares of common stock for vested Career Shares are not distributed until the earlier of (i) age 62 (or such later vesting date) or (ii) three years after the executive’s termination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97"/>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288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6866255" cy="3346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662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40"/>
        <w:spacing w:after="0"/>
        <w:rPr>
          <w:sz w:val="20"/>
          <w:szCs w:val="20"/>
          <w:color w:val="auto"/>
        </w:rPr>
      </w:pPr>
      <w:r>
        <w:rPr>
          <w:rFonts w:ascii="Verdana" w:cs="Verdana" w:eastAsia="Verdana" w:hAnsi="Verdana"/>
          <w:sz w:val="16"/>
          <w:szCs w:val="16"/>
          <w:b w:val="1"/>
          <w:bCs w:val="1"/>
          <w:color w:val="F0EFEE"/>
        </w:rPr>
        <w:t>Outstanding Equity Awards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866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900" w:type="dxa"/>
            <w:vAlign w:val="bottom"/>
          </w:tcPr>
          <w:p>
            <w:pPr>
              <w:spacing w:after="0"/>
              <w:rPr>
                <w:sz w:val="14"/>
                <w:szCs w:val="14"/>
                <w:color w:val="auto"/>
              </w:rPr>
            </w:pPr>
          </w:p>
        </w:tc>
        <w:tc>
          <w:tcPr>
            <w:tcW w:w="1100" w:type="dxa"/>
            <w:vAlign w:val="bottom"/>
            <w:tcBorders>
              <w:bottom w:val="single" w:sz="8" w:color="1D428A"/>
            </w:tcBorders>
          </w:tcPr>
          <w:p>
            <w:pPr>
              <w:spacing w:after="0"/>
              <w:rPr>
                <w:sz w:val="14"/>
                <w:szCs w:val="14"/>
                <w:color w:val="auto"/>
              </w:rPr>
            </w:pPr>
          </w:p>
        </w:tc>
        <w:tc>
          <w:tcPr>
            <w:tcW w:w="2320" w:type="dxa"/>
            <w:vAlign w:val="bottom"/>
            <w:tcBorders>
              <w:bottom w:val="single" w:sz="8" w:color="1D428A"/>
            </w:tcBorders>
            <w:gridSpan w:val="2"/>
          </w:tcPr>
          <w:p>
            <w:pPr>
              <w:ind w:left="680"/>
              <w:spacing w:after="0"/>
              <w:rPr>
                <w:sz w:val="20"/>
                <w:szCs w:val="20"/>
                <w:color w:val="auto"/>
              </w:rPr>
            </w:pPr>
            <w:r>
              <w:rPr>
                <w:rFonts w:ascii="Verdana" w:cs="Verdana" w:eastAsia="Verdana" w:hAnsi="Verdana"/>
                <w:sz w:val="12"/>
                <w:szCs w:val="12"/>
                <w:b w:val="1"/>
                <w:bCs w:val="1"/>
                <w:color w:val="307FE2"/>
              </w:rPr>
              <w:t>Option Awards</w:t>
            </w:r>
          </w:p>
        </w:tc>
        <w:tc>
          <w:tcPr>
            <w:tcW w:w="1120" w:type="dxa"/>
            <w:vAlign w:val="bottom"/>
            <w:tcBorders>
              <w:bottom w:val="single" w:sz="8" w:color="1D428A"/>
            </w:tcBorders>
          </w:tcPr>
          <w:p>
            <w:pPr>
              <w:spacing w:after="0"/>
              <w:rPr>
                <w:sz w:val="14"/>
                <w:szCs w:val="14"/>
                <w:color w:val="auto"/>
              </w:rPr>
            </w:pPr>
          </w:p>
        </w:tc>
      </w:tr>
      <w:tr>
        <w:trPr>
          <w:trHeight w:val="571"/>
        </w:trPr>
        <w:tc>
          <w:tcPr>
            <w:tcW w:w="9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Number of</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8"/>
              </w:rPr>
              <w:t>Number of</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9"/>
              </w:rPr>
              <w:t>Shares</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9"/>
              </w:rPr>
              <w:t>Shares</w:t>
            </w: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Underlying</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Underlying</w:t>
            </w: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8"/>
        </w:trPr>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Unexercised</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8"/>
              </w:rPr>
              <w:t>Unexercised</w:t>
            </w: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5"/>
              </w:rPr>
              <w:t>Options</w:t>
            </w:r>
          </w:p>
        </w:tc>
        <w:tc>
          <w:tcPr>
            <w:tcW w:w="1160" w:type="dxa"/>
            <w:vAlign w:val="bottom"/>
          </w:tcPr>
          <w:p>
            <w:pPr>
              <w:jc w:val="center"/>
              <w:ind w:left="2"/>
              <w:spacing w:after="0" w:line="135" w:lineRule="exact"/>
              <w:rPr>
                <w:sz w:val="20"/>
                <w:szCs w:val="20"/>
                <w:color w:val="auto"/>
              </w:rPr>
            </w:pPr>
            <w:r>
              <w:rPr>
                <w:rFonts w:ascii="Verdana" w:cs="Verdana" w:eastAsia="Verdana" w:hAnsi="Verdana"/>
                <w:sz w:val="12"/>
                <w:szCs w:val="12"/>
                <w:b w:val="1"/>
                <w:bCs w:val="1"/>
                <w:color w:val="307FE2"/>
                <w:w w:val="95"/>
              </w:rPr>
              <w:t>Options</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Option Exercise</w:t>
            </w:r>
          </w:p>
        </w:tc>
        <w:tc>
          <w:tcPr>
            <w:tcW w:w="1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Exercisable</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Unexercisable</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4"/>
              </w:rPr>
              <w:t>Price</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Option</w:t>
            </w:r>
          </w:p>
        </w:tc>
      </w:tr>
      <w:tr>
        <w:trPr>
          <w:trHeight w:val="165"/>
        </w:trPr>
        <w:tc>
          <w:tcPr>
            <w:tcW w:w="900" w:type="dxa"/>
            <w:vAlign w:val="bottom"/>
          </w:tcPr>
          <w:p>
            <w:pPr>
              <w:spacing w:after="0"/>
              <w:rPr>
                <w:sz w:val="20"/>
                <w:szCs w:val="20"/>
                <w:color w:val="auto"/>
              </w:rPr>
            </w:pPr>
            <w:r>
              <w:rPr>
                <w:rFonts w:ascii="Verdana" w:cs="Verdana" w:eastAsia="Verdana" w:hAnsi="Verdana"/>
                <w:sz w:val="12"/>
                <w:szCs w:val="12"/>
                <w:b w:val="1"/>
                <w:bCs w:val="1"/>
                <w:color w:val="307FE2"/>
              </w:rPr>
              <w:t>Name</w:t>
            </w: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3"/>
              </w:rPr>
              <w:t>(#)</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3"/>
              </w:rPr>
              <w:t>(#)</w:t>
            </w:r>
          </w:p>
        </w:tc>
        <w:tc>
          <w:tcPr>
            <w:tcW w:w="116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Expiration Date</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420"/>
        <w:spacing w:after="0"/>
        <w:rPr>
          <w:sz w:val="20"/>
          <w:szCs w:val="20"/>
          <w:color w:val="auto"/>
        </w:rPr>
      </w:pPr>
      <w:r>
        <w:rPr>
          <w:rFonts w:ascii="Verdana" w:cs="Verdana" w:eastAsia="Verdana" w:hAnsi="Verdana"/>
          <w:sz w:val="12"/>
          <w:szCs w:val="12"/>
          <w:b w:val="1"/>
          <w:bCs w:val="1"/>
          <w:color w:val="307FE2"/>
        </w:rPr>
        <w:t>Stock Awards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20" w:type="dxa"/>
            <w:vAlign w:val="bottom"/>
            <w:tcBorders>
              <w:top w:val="single" w:sz="8" w:color="1D428A"/>
            </w:tcBorders>
          </w:tcPr>
          <w:p>
            <w:pPr>
              <w:spacing w:after="0"/>
              <w:rPr>
                <w:sz w:val="14"/>
                <w:szCs w:val="14"/>
                <w:color w:val="auto"/>
              </w:rPr>
            </w:pPr>
          </w:p>
        </w:tc>
        <w:tc>
          <w:tcPr>
            <w:tcW w:w="1120" w:type="dxa"/>
            <w:vAlign w:val="bottom"/>
            <w:tcBorders>
              <w:top w:val="single" w:sz="8" w:color="1D428A"/>
            </w:tcBorders>
          </w:tcPr>
          <w:p>
            <w:pPr>
              <w:spacing w:after="0"/>
              <w:rPr>
                <w:sz w:val="14"/>
                <w:szCs w:val="14"/>
                <w:color w:val="auto"/>
              </w:rPr>
            </w:pPr>
          </w:p>
        </w:tc>
        <w:tc>
          <w:tcPr>
            <w:tcW w:w="1140" w:type="dxa"/>
            <w:vAlign w:val="bottom"/>
            <w:tcBorders>
              <w:top w:val="single" w:sz="8" w:color="1D428A"/>
            </w:tcBorders>
          </w:tcPr>
          <w:p>
            <w:pPr>
              <w:spacing w:after="0"/>
              <w:rPr>
                <w:sz w:val="14"/>
                <w:szCs w:val="14"/>
                <w:color w:val="auto"/>
              </w:rPr>
            </w:pPr>
          </w:p>
        </w:tc>
        <w:tc>
          <w:tcPr>
            <w:tcW w:w="1140" w:type="dxa"/>
            <w:vAlign w:val="bottom"/>
            <w:tcBorders>
              <w:top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7"/>
              </w:rPr>
              <w:t>Equity Incentive</w:t>
            </w:r>
          </w:p>
        </w:tc>
      </w:tr>
      <w:tr>
        <w:trPr>
          <w:trHeight w:val="135"/>
        </w:trPr>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Equity Incentive</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Plan Awards:</w:t>
            </w:r>
          </w:p>
        </w:tc>
      </w:tr>
      <w:tr>
        <w:trPr>
          <w:trHeight w:val="148"/>
        </w:trPr>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Plan Awards:</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Market or</w:t>
            </w:r>
          </w:p>
        </w:tc>
      </w:tr>
      <w:tr>
        <w:trPr>
          <w:trHeight w:val="135"/>
        </w:trPr>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5"/>
              </w:rPr>
              <w:t>Number of</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Payout Value of</w:t>
            </w:r>
          </w:p>
        </w:tc>
      </w:tr>
      <w:tr>
        <w:trPr>
          <w:trHeight w:val="148"/>
        </w:trPr>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5"/>
              </w:rPr>
              <w:t>Number of</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Market Value of</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Unearned</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Unearned</w:t>
            </w:r>
          </w:p>
        </w:tc>
      </w:tr>
      <w:tr>
        <w:trPr>
          <w:trHeight w:val="135"/>
        </w:trPr>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Shares or Units</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Shares or Units</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Shares, Units or</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Shares, Units or</w:t>
            </w:r>
          </w:p>
        </w:tc>
      </w:tr>
      <w:tr>
        <w:trPr>
          <w:trHeight w:val="135"/>
        </w:trPr>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of Stock That</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of Stock That</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Other Rights</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Other Rights</w:t>
            </w:r>
          </w:p>
        </w:tc>
      </w:tr>
      <w:tr>
        <w:trPr>
          <w:trHeight w:val="148"/>
        </w:trPr>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Have Not</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Have Not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5"/>
              </w:rPr>
              <w:t>That Have Not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That Have Not</w:t>
            </w:r>
          </w:p>
        </w:tc>
      </w:tr>
      <w:tr>
        <w:trPr>
          <w:trHeight w:val="135"/>
        </w:trPr>
        <w:tc>
          <w:tcPr>
            <w:tcW w:w="112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rPr>
              <w:t>Vested</w:t>
            </w:r>
            <w:r>
              <w:rPr>
                <w:rFonts w:ascii="Verdana" w:cs="Verdana" w:eastAsia="Verdana" w:hAnsi="Verdana"/>
                <w:sz w:val="14"/>
                <w:szCs w:val="14"/>
                <w:b w:val="1"/>
                <w:bCs w:val="1"/>
                <w:color w:val="307FE2"/>
                <w:vertAlign w:val="superscript"/>
              </w:rPr>
              <w:t>(3)</w:t>
            </w:r>
          </w:p>
        </w:tc>
        <w:tc>
          <w:tcPr>
            <w:tcW w:w="112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w w:val="98"/>
              </w:rPr>
              <w:t>Vested</w:t>
            </w:r>
            <w:r>
              <w:rPr>
                <w:rFonts w:ascii="Verdana" w:cs="Verdana" w:eastAsia="Verdana" w:hAnsi="Verdana"/>
                <w:sz w:val="14"/>
                <w:szCs w:val="14"/>
                <w:b w:val="1"/>
                <w:bCs w:val="1"/>
                <w:color w:val="307FE2"/>
                <w:w w:val="98"/>
                <w:vertAlign w:val="superscript"/>
              </w:rPr>
              <w:t>(4)</w:t>
            </w:r>
          </w:p>
        </w:tc>
        <w:tc>
          <w:tcPr>
            <w:tcW w:w="114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rPr>
              <w:t>Vested</w:t>
            </w:r>
            <w:r>
              <w:rPr>
                <w:rFonts w:ascii="Verdana" w:cs="Verdana" w:eastAsia="Verdana" w:hAnsi="Verdana"/>
                <w:sz w:val="14"/>
                <w:szCs w:val="14"/>
                <w:b w:val="1"/>
                <w:bCs w:val="1"/>
                <w:color w:val="307FE2"/>
                <w:vertAlign w:val="superscript"/>
              </w:rPr>
              <w:t>(5)</w:t>
            </w:r>
          </w:p>
        </w:tc>
        <w:tc>
          <w:tcPr>
            <w:tcW w:w="114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w w:val="98"/>
              </w:rPr>
              <w:t>Vested</w:t>
            </w:r>
            <w:r>
              <w:rPr>
                <w:rFonts w:ascii="Verdana" w:cs="Verdana" w:eastAsia="Verdana" w:hAnsi="Verdana"/>
                <w:sz w:val="14"/>
                <w:szCs w:val="14"/>
                <w:b w:val="1"/>
                <w:bCs w:val="1"/>
                <w:color w:val="307FE2"/>
                <w:w w:val="98"/>
                <w:vertAlign w:val="superscript"/>
              </w:rPr>
              <w:t>(5)</w:t>
            </w:r>
          </w:p>
        </w:tc>
      </w:tr>
      <w:tr>
        <w:trPr>
          <w:trHeight w:val="165"/>
        </w:trPr>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r>
    </w:tbl>
    <w:p>
      <w:pPr>
        <w:spacing w:after="0" w:line="1" w:lineRule="exact"/>
        <w:rPr>
          <w:sz w:val="20"/>
          <w:szCs w:val="20"/>
          <w:color w:val="auto"/>
        </w:rPr>
      </w:pPr>
    </w:p>
    <w:p>
      <w:pPr>
        <w:sectPr>
          <w:pgSz w:w="11900" w:h="16838" w:orient="portrait"/>
          <w:cols w:equalWidth="0" w:num="2">
            <w:col w:w="5960" w:space="340"/>
            <w:col w:w="49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20" w:type="dxa"/>
            <w:vAlign w:val="bottom"/>
            <w:tcBorders>
              <w:top w:val="single" w:sz="8" w:color="1D428A"/>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Raymond E. Scott</w:t>
            </w:r>
          </w:p>
        </w:tc>
        <w:tc>
          <w:tcPr>
            <w:tcW w:w="1380" w:type="dxa"/>
            <w:vAlign w:val="bottom"/>
            <w:tcBorders>
              <w:top w:val="single" w:sz="8" w:color="1D428A"/>
              <w:bottom w:val="single" w:sz="8" w:color="B3B0AC"/>
            </w:tcBorders>
          </w:tcPr>
          <w:p>
            <w:pPr>
              <w:jc w:val="right"/>
              <w:ind w:right="482"/>
              <w:spacing w:after="0"/>
              <w:rPr>
                <w:sz w:val="20"/>
                <w:szCs w:val="20"/>
                <w:color w:val="auto"/>
              </w:rPr>
            </w:pPr>
            <w:r>
              <w:rPr>
                <w:rFonts w:ascii="Verdana" w:cs="Verdana" w:eastAsia="Verdana" w:hAnsi="Verdana"/>
                <w:sz w:val="12"/>
                <w:szCs w:val="12"/>
                <w:color w:val="auto"/>
              </w:rPr>
              <w:t>47,552</w:t>
            </w:r>
          </w:p>
        </w:tc>
        <w:tc>
          <w:tcPr>
            <w:tcW w:w="1000" w:type="dxa"/>
            <w:vAlign w:val="bottom"/>
            <w:tcBorders>
              <w:top w:val="single" w:sz="8" w:color="1D428A"/>
              <w:bottom w:val="single" w:sz="8" w:color="B3B0AC"/>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top w:val="single" w:sz="8" w:color="1D428A"/>
              <w:bottom w:val="single" w:sz="8" w:color="B3B0AC"/>
            </w:tcBorders>
          </w:tcPr>
          <w:p>
            <w:pPr>
              <w:jc w:val="right"/>
              <w:ind w:right="242"/>
              <w:spacing w:after="0"/>
              <w:rPr>
                <w:sz w:val="20"/>
                <w:szCs w:val="20"/>
                <w:color w:val="auto"/>
              </w:rPr>
            </w:pPr>
            <w:r>
              <w:rPr>
                <w:rFonts w:ascii="Verdana" w:cs="Verdana" w:eastAsia="Verdana" w:hAnsi="Verdana"/>
                <w:sz w:val="12"/>
                <w:szCs w:val="12"/>
                <w:color w:val="auto"/>
              </w:rPr>
              <w:t>157.44</w:t>
            </w:r>
          </w:p>
        </w:tc>
        <w:tc>
          <w:tcPr>
            <w:tcW w:w="1460" w:type="dxa"/>
            <w:vAlign w:val="bottom"/>
            <w:tcBorders>
              <w:top w:val="single" w:sz="8" w:color="1D428A"/>
              <w:bottom w:val="single" w:sz="8" w:color="B3B0AC"/>
            </w:tcBorders>
          </w:tcPr>
          <w:p>
            <w:pPr>
              <w:jc w:val="right"/>
              <w:ind w:right="322"/>
              <w:spacing w:after="0"/>
              <w:rPr>
                <w:sz w:val="20"/>
                <w:szCs w:val="20"/>
                <w:color w:val="auto"/>
              </w:rPr>
            </w:pPr>
            <w:r>
              <w:rPr>
                <w:rFonts w:ascii="Verdana" w:cs="Verdana" w:eastAsia="Verdana" w:hAnsi="Verdana"/>
                <w:sz w:val="12"/>
                <w:szCs w:val="12"/>
                <w:color w:val="auto"/>
              </w:rPr>
              <w:t>1/4/2031 (1)</w:t>
            </w:r>
          </w:p>
        </w:tc>
        <w:tc>
          <w:tcPr>
            <w:tcW w:w="1080" w:type="dxa"/>
            <w:vAlign w:val="bottom"/>
            <w:tcBorders>
              <w:top w:val="single" w:sz="8" w:color="1D428A"/>
              <w:bottom w:val="single" w:sz="8" w:color="B3B0AC"/>
            </w:tcBorders>
          </w:tcPr>
          <w:p>
            <w:pPr>
              <w:jc w:val="right"/>
              <w:ind w:right="202"/>
              <w:spacing w:after="0"/>
              <w:rPr>
                <w:sz w:val="20"/>
                <w:szCs w:val="20"/>
                <w:color w:val="auto"/>
              </w:rPr>
            </w:pPr>
            <w:r>
              <w:rPr>
                <w:rFonts w:ascii="Verdana" w:cs="Verdana" w:eastAsia="Verdana" w:hAnsi="Verdana"/>
                <w:sz w:val="12"/>
                <w:szCs w:val="12"/>
                <w:color w:val="auto"/>
              </w:rPr>
              <w:t>78,515</w:t>
            </w:r>
          </w:p>
        </w:tc>
        <w:tc>
          <w:tcPr>
            <w:tcW w:w="1180" w:type="dxa"/>
            <w:vAlign w:val="bottom"/>
            <w:tcBorders>
              <w:top w:val="single" w:sz="8" w:color="1D428A"/>
              <w:bottom w:val="single" w:sz="8" w:color="B3B0AC"/>
            </w:tcBorders>
          </w:tcPr>
          <w:p>
            <w:pPr>
              <w:jc w:val="right"/>
              <w:ind w:right="262"/>
              <w:spacing w:after="0"/>
              <w:rPr>
                <w:sz w:val="20"/>
                <w:szCs w:val="20"/>
                <w:color w:val="auto"/>
              </w:rPr>
            </w:pPr>
            <w:r>
              <w:rPr>
                <w:rFonts w:ascii="Verdana" w:cs="Verdana" w:eastAsia="Verdana" w:hAnsi="Verdana"/>
                <w:sz w:val="12"/>
                <w:szCs w:val="12"/>
                <w:color w:val="auto"/>
              </w:rPr>
              <w:t>7,875,920</w:t>
            </w:r>
          </w:p>
        </w:tc>
        <w:tc>
          <w:tcPr>
            <w:tcW w:w="1040" w:type="dxa"/>
            <w:vAlign w:val="bottom"/>
            <w:tcBorders>
              <w:top w:val="single" w:sz="8" w:color="1D428A"/>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202,865</w:t>
            </w:r>
          </w:p>
        </w:tc>
        <w:tc>
          <w:tcPr>
            <w:tcW w:w="980" w:type="dxa"/>
            <w:vAlign w:val="bottom"/>
            <w:tcBorders>
              <w:top w:val="single" w:sz="8" w:color="1D428A"/>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20,342,563</w:t>
            </w:r>
          </w:p>
        </w:tc>
      </w:tr>
      <w:tr>
        <w:trPr>
          <w:trHeight w:val="183"/>
        </w:trPr>
        <w:tc>
          <w:tcPr>
            <w:tcW w:w="1620" w:type="dxa"/>
            <w:vAlign w:val="bottom"/>
            <w:tcBorders>
              <w:bottom w:val="single" w:sz="8" w:color="696158"/>
            </w:tcBorders>
          </w:tcPr>
          <w:p>
            <w:pPr>
              <w:spacing w:after="0"/>
              <w:rPr>
                <w:sz w:val="15"/>
                <w:szCs w:val="15"/>
                <w:color w:val="auto"/>
              </w:rPr>
            </w:pP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55,409</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140.09</w:t>
            </w:r>
          </w:p>
        </w:tc>
        <w:tc>
          <w:tcPr>
            <w:tcW w:w="1460" w:type="dxa"/>
            <w:vAlign w:val="bottom"/>
            <w:tcBorders>
              <w:bottom w:val="single" w:sz="8" w:color="696158"/>
            </w:tcBorders>
          </w:tcPr>
          <w:p>
            <w:pPr>
              <w:jc w:val="right"/>
              <w:ind w:right="322"/>
              <w:spacing w:after="0"/>
              <w:rPr>
                <w:sz w:val="20"/>
                <w:szCs w:val="20"/>
                <w:color w:val="auto"/>
              </w:rPr>
            </w:pPr>
            <w:r>
              <w:rPr>
                <w:rFonts w:ascii="Verdana" w:cs="Verdana" w:eastAsia="Verdana" w:hAnsi="Verdana"/>
                <w:sz w:val="12"/>
                <w:szCs w:val="12"/>
                <w:color w:val="auto"/>
              </w:rPr>
              <w:t>1/2/2030 (2)</w:t>
            </w:r>
          </w:p>
        </w:tc>
        <w:tc>
          <w:tcPr>
            <w:tcW w:w="1080" w:type="dxa"/>
            <w:vAlign w:val="bottom"/>
            <w:tcBorders>
              <w:bottom w:val="single" w:sz="8" w:color="696158"/>
            </w:tcBorders>
          </w:tcPr>
          <w:p>
            <w:pPr>
              <w:spacing w:after="0"/>
              <w:rPr>
                <w:sz w:val="15"/>
                <w:szCs w:val="15"/>
                <w:color w:val="auto"/>
              </w:rPr>
            </w:pPr>
          </w:p>
        </w:tc>
        <w:tc>
          <w:tcPr>
            <w:tcW w:w="1180" w:type="dxa"/>
            <w:vAlign w:val="bottom"/>
            <w:tcBorders>
              <w:bottom w:val="single" w:sz="8" w:color="696158"/>
            </w:tcBorders>
          </w:tcPr>
          <w:p>
            <w:pPr>
              <w:spacing w:after="0"/>
              <w:rPr>
                <w:sz w:val="15"/>
                <w:szCs w:val="15"/>
                <w:color w:val="auto"/>
              </w:rPr>
            </w:pPr>
          </w:p>
        </w:tc>
        <w:tc>
          <w:tcPr>
            <w:tcW w:w="1040" w:type="dxa"/>
            <w:vAlign w:val="bottom"/>
            <w:tcBorders>
              <w:bottom w:val="single" w:sz="8" w:color="696158"/>
            </w:tcBorders>
          </w:tcPr>
          <w:p>
            <w:pPr>
              <w:spacing w:after="0"/>
              <w:rPr>
                <w:sz w:val="15"/>
                <w:szCs w:val="15"/>
                <w:color w:val="auto"/>
              </w:rPr>
            </w:pPr>
          </w:p>
        </w:tc>
        <w:tc>
          <w:tcPr>
            <w:tcW w:w="980" w:type="dxa"/>
            <w:vAlign w:val="bottom"/>
            <w:tcBorders>
              <w:bottom w:val="single" w:sz="8" w:color="696158"/>
            </w:tcBorders>
          </w:tcPr>
          <w:p>
            <w:pPr>
              <w:spacing w:after="0"/>
              <w:rPr>
                <w:sz w:val="15"/>
                <w:szCs w:val="15"/>
                <w:color w:val="auto"/>
              </w:rPr>
            </w:pPr>
          </w:p>
        </w:tc>
      </w:tr>
      <w:tr>
        <w:trPr>
          <w:trHeight w:val="183"/>
        </w:trPr>
        <w:tc>
          <w:tcPr>
            <w:tcW w:w="16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Jason M. Cardew</w:t>
            </w:r>
          </w:p>
        </w:tc>
        <w:tc>
          <w:tcPr>
            <w:tcW w:w="1380" w:type="dxa"/>
            <w:vAlign w:val="bottom"/>
            <w:tcBorders>
              <w:bottom w:val="single" w:sz="8" w:color="B3B0AC"/>
            </w:tcBorders>
          </w:tcPr>
          <w:p>
            <w:pPr>
              <w:jc w:val="right"/>
              <w:ind w:right="482"/>
              <w:spacing w:after="0"/>
              <w:rPr>
                <w:sz w:val="20"/>
                <w:szCs w:val="20"/>
                <w:color w:val="auto"/>
              </w:rPr>
            </w:pPr>
            <w:r>
              <w:rPr>
                <w:rFonts w:ascii="Verdana" w:cs="Verdana" w:eastAsia="Verdana" w:hAnsi="Verdana"/>
                <w:sz w:val="12"/>
                <w:szCs w:val="12"/>
                <w:color w:val="auto"/>
              </w:rPr>
              <w:t>11,888</w:t>
            </w:r>
          </w:p>
        </w:tc>
        <w:tc>
          <w:tcPr>
            <w:tcW w:w="1000" w:type="dxa"/>
            <w:vAlign w:val="bottom"/>
            <w:tcBorders>
              <w:bottom w:val="single" w:sz="8" w:color="B3B0AC"/>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242"/>
              <w:spacing w:after="0"/>
              <w:rPr>
                <w:sz w:val="20"/>
                <w:szCs w:val="20"/>
                <w:color w:val="auto"/>
              </w:rPr>
            </w:pPr>
            <w:r>
              <w:rPr>
                <w:rFonts w:ascii="Verdana" w:cs="Verdana" w:eastAsia="Verdana" w:hAnsi="Verdana"/>
                <w:sz w:val="12"/>
                <w:szCs w:val="12"/>
                <w:color w:val="auto"/>
              </w:rPr>
              <w:t>157.44</w:t>
            </w:r>
          </w:p>
        </w:tc>
        <w:tc>
          <w:tcPr>
            <w:tcW w:w="1460" w:type="dxa"/>
            <w:vAlign w:val="bottom"/>
            <w:tcBorders>
              <w:bottom w:val="single" w:sz="8" w:color="B3B0AC"/>
            </w:tcBorders>
          </w:tcPr>
          <w:p>
            <w:pPr>
              <w:jc w:val="right"/>
              <w:ind w:right="322"/>
              <w:spacing w:after="0"/>
              <w:rPr>
                <w:sz w:val="20"/>
                <w:szCs w:val="20"/>
                <w:color w:val="auto"/>
              </w:rPr>
            </w:pPr>
            <w:r>
              <w:rPr>
                <w:rFonts w:ascii="Verdana" w:cs="Verdana" w:eastAsia="Verdana" w:hAnsi="Verdana"/>
                <w:sz w:val="12"/>
                <w:szCs w:val="12"/>
                <w:color w:val="auto"/>
              </w:rPr>
              <w:t>1/4/2031 (1)</w:t>
            </w:r>
          </w:p>
        </w:tc>
        <w:tc>
          <w:tcPr>
            <w:tcW w:w="1080" w:type="dxa"/>
            <w:vAlign w:val="bottom"/>
            <w:tcBorders>
              <w:bottom w:val="single" w:sz="8" w:color="B3B0AC"/>
            </w:tcBorders>
          </w:tcPr>
          <w:p>
            <w:pPr>
              <w:jc w:val="right"/>
              <w:ind w:right="202"/>
              <w:spacing w:after="0"/>
              <w:rPr>
                <w:sz w:val="20"/>
                <w:szCs w:val="20"/>
                <w:color w:val="auto"/>
              </w:rPr>
            </w:pPr>
            <w:r>
              <w:rPr>
                <w:rFonts w:ascii="Verdana" w:cs="Verdana" w:eastAsia="Verdana" w:hAnsi="Verdana"/>
                <w:sz w:val="12"/>
                <w:szCs w:val="12"/>
                <w:color w:val="auto"/>
              </w:rPr>
              <w:t>35,821</w:t>
            </w:r>
          </w:p>
        </w:tc>
        <w:tc>
          <w:tcPr>
            <w:tcW w:w="1180" w:type="dxa"/>
            <w:vAlign w:val="bottom"/>
            <w:tcBorders>
              <w:bottom w:val="single" w:sz="8" w:color="B3B0AC"/>
            </w:tcBorders>
          </w:tcPr>
          <w:p>
            <w:pPr>
              <w:jc w:val="right"/>
              <w:ind w:right="262"/>
              <w:spacing w:after="0"/>
              <w:rPr>
                <w:sz w:val="20"/>
                <w:szCs w:val="20"/>
                <w:color w:val="auto"/>
              </w:rPr>
            </w:pPr>
            <w:r>
              <w:rPr>
                <w:rFonts w:ascii="Verdana" w:cs="Verdana" w:eastAsia="Verdana" w:hAnsi="Verdana"/>
                <w:sz w:val="12"/>
                <w:szCs w:val="12"/>
                <w:color w:val="auto"/>
              </w:rPr>
              <w:t>3,550,220</w:t>
            </w:r>
          </w:p>
        </w:tc>
        <w:tc>
          <w:tcPr>
            <w:tcW w:w="1040" w:type="dxa"/>
            <w:vAlign w:val="bottom"/>
            <w:tcBorders>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54,601</w:t>
            </w:r>
          </w:p>
        </w:tc>
        <w:tc>
          <w:tcPr>
            <w:tcW w:w="98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5,475,189</w:t>
            </w:r>
          </w:p>
        </w:tc>
      </w:tr>
      <w:tr>
        <w:trPr>
          <w:trHeight w:val="183"/>
        </w:trPr>
        <w:tc>
          <w:tcPr>
            <w:tcW w:w="1620" w:type="dxa"/>
            <w:vAlign w:val="bottom"/>
            <w:tcBorders>
              <w:bottom w:val="single" w:sz="8" w:color="696158"/>
            </w:tcBorders>
          </w:tcPr>
          <w:p>
            <w:pPr>
              <w:spacing w:after="0"/>
              <w:rPr>
                <w:sz w:val="15"/>
                <w:szCs w:val="15"/>
                <w:color w:val="auto"/>
              </w:rPr>
            </w:pP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12,468</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140.09</w:t>
            </w:r>
          </w:p>
        </w:tc>
        <w:tc>
          <w:tcPr>
            <w:tcW w:w="1460" w:type="dxa"/>
            <w:vAlign w:val="bottom"/>
            <w:tcBorders>
              <w:bottom w:val="single" w:sz="8" w:color="696158"/>
            </w:tcBorders>
          </w:tcPr>
          <w:p>
            <w:pPr>
              <w:jc w:val="right"/>
              <w:ind w:right="322"/>
              <w:spacing w:after="0"/>
              <w:rPr>
                <w:sz w:val="20"/>
                <w:szCs w:val="20"/>
                <w:color w:val="auto"/>
              </w:rPr>
            </w:pPr>
            <w:r>
              <w:rPr>
                <w:rFonts w:ascii="Verdana" w:cs="Verdana" w:eastAsia="Verdana" w:hAnsi="Verdana"/>
                <w:sz w:val="12"/>
                <w:szCs w:val="12"/>
                <w:color w:val="auto"/>
              </w:rPr>
              <w:t>1/2/2030 (2)</w:t>
            </w:r>
          </w:p>
        </w:tc>
        <w:tc>
          <w:tcPr>
            <w:tcW w:w="1080" w:type="dxa"/>
            <w:vAlign w:val="bottom"/>
            <w:tcBorders>
              <w:bottom w:val="single" w:sz="8" w:color="696158"/>
            </w:tcBorders>
          </w:tcPr>
          <w:p>
            <w:pPr>
              <w:spacing w:after="0"/>
              <w:rPr>
                <w:sz w:val="15"/>
                <w:szCs w:val="15"/>
                <w:color w:val="auto"/>
              </w:rPr>
            </w:pPr>
          </w:p>
        </w:tc>
        <w:tc>
          <w:tcPr>
            <w:tcW w:w="1180" w:type="dxa"/>
            <w:vAlign w:val="bottom"/>
            <w:tcBorders>
              <w:bottom w:val="single" w:sz="8" w:color="696158"/>
            </w:tcBorders>
          </w:tcPr>
          <w:p>
            <w:pPr>
              <w:spacing w:after="0"/>
              <w:rPr>
                <w:sz w:val="15"/>
                <w:szCs w:val="15"/>
                <w:color w:val="auto"/>
              </w:rPr>
            </w:pPr>
          </w:p>
        </w:tc>
        <w:tc>
          <w:tcPr>
            <w:tcW w:w="1040" w:type="dxa"/>
            <w:vAlign w:val="bottom"/>
            <w:tcBorders>
              <w:bottom w:val="single" w:sz="8" w:color="696158"/>
            </w:tcBorders>
          </w:tcPr>
          <w:p>
            <w:pPr>
              <w:spacing w:after="0"/>
              <w:rPr>
                <w:sz w:val="15"/>
                <w:szCs w:val="15"/>
                <w:color w:val="auto"/>
              </w:rPr>
            </w:pPr>
          </w:p>
        </w:tc>
        <w:tc>
          <w:tcPr>
            <w:tcW w:w="980" w:type="dxa"/>
            <w:vAlign w:val="bottom"/>
            <w:tcBorders>
              <w:bottom w:val="single" w:sz="8" w:color="696158"/>
            </w:tcBorders>
          </w:tcPr>
          <w:p>
            <w:pPr>
              <w:spacing w:after="0"/>
              <w:rPr>
                <w:sz w:val="15"/>
                <w:szCs w:val="15"/>
                <w:color w:val="auto"/>
              </w:rPr>
            </w:pPr>
          </w:p>
        </w:tc>
      </w:tr>
      <w:tr>
        <w:trPr>
          <w:trHeight w:val="183"/>
        </w:trPr>
        <w:tc>
          <w:tcPr>
            <w:tcW w:w="16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Frank C. Orsini</w:t>
            </w:r>
          </w:p>
        </w:tc>
        <w:tc>
          <w:tcPr>
            <w:tcW w:w="1380" w:type="dxa"/>
            <w:vAlign w:val="bottom"/>
            <w:tcBorders>
              <w:bottom w:val="single" w:sz="8" w:color="B3B0AC"/>
            </w:tcBorders>
          </w:tcPr>
          <w:p>
            <w:pPr>
              <w:jc w:val="right"/>
              <w:ind w:right="482"/>
              <w:spacing w:after="0"/>
              <w:rPr>
                <w:sz w:val="20"/>
                <w:szCs w:val="20"/>
                <w:color w:val="auto"/>
              </w:rPr>
            </w:pPr>
            <w:r>
              <w:rPr>
                <w:rFonts w:ascii="Verdana" w:cs="Verdana" w:eastAsia="Verdana" w:hAnsi="Verdana"/>
                <w:sz w:val="12"/>
                <w:szCs w:val="12"/>
                <w:color w:val="auto"/>
              </w:rPr>
              <w:t>13,587</w:t>
            </w:r>
          </w:p>
        </w:tc>
        <w:tc>
          <w:tcPr>
            <w:tcW w:w="1000" w:type="dxa"/>
            <w:vAlign w:val="bottom"/>
            <w:tcBorders>
              <w:bottom w:val="single" w:sz="8" w:color="B3B0AC"/>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242"/>
              <w:spacing w:after="0"/>
              <w:rPr>
                <w:sz w:val="20"/>
                <w:szCs w:val="20"/>
                <w:color w:val="auto"/>
              </w:rPr>
            </w:pPr>
            <w:r>
              <w:rPr>
                <w:rFonts w:ascii="Verdana" w:cs="Verdana" w:eastAsia="Verdana" w:hAnsi="Verdana"/>
                <w:sz w:val="12"/>
                <w:szCs w:val="12"/>
                <w:color w:val="auto"/>
              </w:rPr>
              <w:t>157.44</w:t>
            </w:r>
          </w:p>
        </w:tc>
        <w:tc>
          <w:tcPr>
            <w:tcW w:w="1460" w:type="dxa"/>
            <w:vAlign w:val="bottom"/>
            <w:tcBorders>
              <w:bottom w:val="single" w:sz="8" w:color="B3B0AC"/>
            </w:tcBorders>
          </w:tcPr>
          <w:p>
            <w:pPr>
              <w:jc w:val="right"/>
              <w:ind w:right="322"/>
              <w:spacing w:after="0"/>
              <w:rPr>
                <w:sz w:val="20"/>
                <w:szCs w:val="20"/>
                <w:color w:val="auto"/>
              </w:rPr>
            </w:pPr>
            <w:r>
              <w:rPr>
                <w:rFonts w:ascii="Verdana" w:cs="Verdana" w:eastAsia="Verdana" w:hAnsi="Verdana"/>
                <w:sz w:val="12"/>
                <w:szCs w:val="12"/>
                <w:color w:val="auto"/>
              </w:rPr>
              <w:t>1/4/2031 (1)</w:t>
            </w:r>
          </w:p>
        </w:tc>
        <w:tc>
          <w:tcPr>
            <w:tcW w:w="1080" w:type="dxa"/>
            <w:vAlign w:val="bottom"/>
            <w:tcBorders>
              <w:bottom w:val="single" w:sz="8" w:color="B3B0AC"/>
            </w:tcBorders>
          </w:tcPr>
          <w:p>
            <w:pPr>
              <w:jc w:val="right"/>
              <w:ind w:right="202"/>
              <w:spacing w:after="0"/>
              <w:rPr>
                <w:sz w:val="20"/>
                <w:szCs w:val="20"/>
                <w:color w:val="auto"/>
              </w:rPr>
            </w:pPr>
            <w:r>
              <w:rPr>
                <w:rFonts w:ascii="Verdana" w:cs="Verdana" w:eastAsia="Verdana" w:hAnsi="Verdana"/>
                <w:sz w:val="12"/>
                <w:szCs w:val="12"/>
                <w:color w:val="auto"/>
              </w:rPr>
              <w:t>44,905</w:t>
            </w:r>
          </w:p>
        </w:tc>
        <w:tc>
          <w:tcPr>
            <w:tcW w:w="1180" w:type="dxa"/>
            <w:vAlign w:val="bottom"/>
            <w:tcBorders>
              <w:bottom w:val="single" w:sz="8" w:color="B3B0AC"/>
            </w:tcBorders>
          </w:tcPr>
          <w:p>
            <w:pPr>
              <w:jc w:val="right"/>
              <w:ind w:right="262"/>
              <w:spacing w:after="0"/>
              <w:rPr>
                <w:sz w:val="20"/>
                <w:szCs w:val="20"/>
                <w:color w:val="auto"/>
              </w:rPr>
            </w:pPr>
            <w:r>
              <w:rPr>
                <w:rFonts w:ascii="Verdana" w:cs="Verdana" w:eastAsia="Verdana" w:hAnsi="Verdana"/>
                <w:sz w:val="12"/>
                <w:szCs w:val="12"/>
                <w:color w:val="auto"/>
              </w:rPr>
              <w:t>4,424,620</w:t>
            </w:r>
          </w:p>
        </w:tc>
        <w:tc>
          <w:tcPr>
            <w:tcW w:w="1040" w:type="dxa"/>
            <w:vAlign w:val="bottom"/>
            <w:tcBorders>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54,601</w:t>
            </w:r>
          </w:p>
        </w:tc>
        <w:tc>
          <w:tcPr>
            <w:tcW w:w="98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5,475,189</w:t>
            </w:r>
          </w:p>
        </w:tc>
      </w:tr>
      <w:tr>
        <w:trPr>
          <w:trHeight w:val="183"/>
        </w:trPr>
        <w:tc>
          <w:tcPr>
            <w:tcW w:w="1620" w:type="dxa"/>
            <w:vAlign w:val="bottom"/>
            <w:tcBorders>
              <w:bottom w:val="single" w:sz="8" w:color="696158"/>
            </w:tcBorders>
          </w:tcPr>
          <w:p>
            <w:pPr>
              <w:spacing w:after="0"/>
              <w:rPr>
                <w:sz w:val="15"/>
                <w:szCs w:val="15"/>
                <w:color w:val="auto"/>
              </w:rPr>
            </w:pP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15,832</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140.09</w:t>
            </w:r>
          </w:p>
        </w:tc>
        <w:tc>
          <w:tcPr>
            <w:tcW w:w="1460" w:type="dxa"/>
            <w:vAlign w:val="bottom"/>
            <w:tcBorders>
              <w:bottom w:val="single" w:sz="8" w:color="696158"/>
            </w:tcBorders>
          </w:tcPr>
          <w:p>
            <w:pPr>
              <w:jc w:val="right"/>
              <w:ind w:right="322"/>
              <w:spacing w:after="0"/>
              <w:rPr>
                <w:sz w:val="20"/>
                <w:szCs w:val="20"/>
                <w:color w:val="auto"/>
              </w:rPr>
            </w:pPr>
            <w:r>
              <w:rPr>
                <w:rFonts w:ascii="Verdana" w:cs="Verdana" w:eastAsia="Verdana" w:hAnsi="Verdana"/>
                <w:sz w:val="12"/>
                <w:szCs w:val="12"/>
                <w:color w:val="auto"/>
              </w:rPr>
              <w:t>1/2/2030 (2)</w:t>
            </w:r>
          </w:p>
        </w:tc>
        <w:tc>
          <w:tcPr>
            <w:tcW w:w="1080" w:type="dxa"/>
            <w:vAlign w:val="bottom"/>
            <w:tcBorders>
              <w:bottom w:val="single" w:sz="8" w:color="696158"/>
            </w:tcBorders>
          </w:tcPr>
          <w:p>
            <w:pPr>
              <w:spacing w:after="0"/>
              <w:rPr>
                <w:sz w:val="15"/>
                <w:szCs w:val="15"/>
                <w:color w:val="auto"/>
              </w:rPr>
            </w:pPr>
          </w:p>
        </w:tc>
        <w:tc>
          <w:tcPr>
            <w:tcW w:w="1180" w:type="dxa"/>
            <w:vAlign w:val="bottom"/>
            <w:tcBorders>
              <w:bottom w:val="single" w:sz="8" w:color="696158"/>
            </w:tcBorders>
          </w:tcPr>
          <w:p>
            <w:pPr>
              <w:spacing w:after="0"/>
              <w:rPr>
                <w:sz w:val="15"/>
                <w:szCs w:val="15"/>
                <w:color w:val="auto"/>
              </w:rPr>
            </w:pPr>
          </w:p>
        </w:tc>
        <w:tc>
          <w:tcPr>
            <w:tcW w:w="1040" w:type="dxa"/>
            <w:vAlign w:val="bottom"/>
            <w:tcBorders>
              <w:bottom w:val="single" w:sz="8" w:color="696158"/>
            </w:tcBorders>
          </w:tcPr>
          <w:p>
            <w:pPr>
              <w:spacing w:after="0"/>
              <w:rPr>
                <w:sz w:val="15"/>
                <w:szCs w:val="15"/>
                <w:color w:val="auto"/>
              </w:rPr>
            </w:pPr>
          </w:p>
        </w:tc>
        <w:tc>
          <w:tcPr>
            <w:tcW w:w="980" w:type="dxa"/>
            <w:vAlign w:val="bottom"/>
            <w:tcBorders>
              <w:bottom w:val="single" w:sz="8" w:color="696158"/>
            </w:tcBorders>
          </w:tcPr>
          <w:p>
            <w:pPr>
              <w:spacing w:after="0"/>
              <w:rPr>
                <w:sz w:val="15"/>
                <w:szCs w:val="15"/>
                <w:color w:val="auto"/>
              </w:rPr>
            </w:pPr>
          </w:p>
        </w:tc>
      </w:tr>
      <w:tr>
        <w:trPr>
          <w:trHeight w:val="183"/>
        </w:trPr>
        <w:tc>
          <w:tcPr>
            <w:tcW w:w="16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Carl A. Esposito</w:t>
            </w:r>
          </w:p>
        </w:tc>
        <w:tc>
          <w:tcPr>
            <w:tcW w:w="1380" w:type="dxa"/>
            <w:vAlign w:val="bottom"/>
            <w:tcBorders>
              <w:bottom w:val="single" w:sz="8" w:color="B3B0AC"/>
            </w:tcBorders>
          </w:tcPr>
          <w:p>
            <w:pPr>
              <w:jc w:val="right"/>
              <w:ind w:right="482"/>
              <w:spacing w:after="0"/>
              <w:rPr>
                <w:sz w:val="20"/>
                <w:szCs w:val="20"/>
                <w:color w:val="auto"/>
              </w:rPr>
            </w:pPr>
            <w:r>
              <w:rPr>
                <w:rFonts w:ascii="Verdana" w:cs="Verdana" w:eastAsia="Verdana" w:hAnsi="Verdana"/>
                <w:sz w:val="12"/>
                <w:szCs w:val="12"/>
                <w:color w:val="auto"/>
              </w:rPr>
              <w:t>9,935</w:t>
            </w:r>
          </w:p>
        </w:tc>
        <w:tc>
          <w:tcPr>
            <w:tcW w:w="1000" w:type="dxa"/>
            <w:vAlign w:val="bottom"/>
            <w:tcBorders>
              <w:bottom w:val="single" w:sz="8" w:color="B3B0AC"/>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242"/>
              <w:spacing w:after="0"/>
              <w:rPr>
                <w:sz w:val="20"/>
                <w:szCs w:val="20"/>
                <w:color w:val="auto"/>
              </w:rPr>
            </w:pPr>
            <w:r>
              <w:rPr>
                <w:rFonts w:ascii="Verdana" w:cs="Verdana" w:eastAsia="Verdana" w:hAnsi="Verdana"/>
                <w:sz w:val="12"/>
                <w:szCs w:val="12"/>
                <w:color w:val="auto"/>
              </w:rPr>
              <w:t>157.44</w:t>
            </w:r>
          </w:p>
        </w:tc>
        <w:tc>
          <w:tcPr>
            <w:tcW w:w="1460" w:type="dxa"/>
            <w:vAlign w:val="bottom"/>
            <w:tcBorders>
              <w:bottom w:val="single" w:sz="8" w:color="B3B0AC"/>
            </w:tcBorders>
          </w:tcPr>
          <w:p>
            <w:pPr>
              <w:jc w:val="right"/>
              <w:ind w:right="322"/>
              <w:spacing w:after="0"/>
              <w:rPr>
                <w:sz w:val="20"/>
                <w:szCs w:val="20"/>
                <w:color w:val="auto"/>
              </w:rPr>
            </w:pPr>
            <w:r>
              <w:rPr>
                <w:rFonts w:ascii="Verdana" w:cs="Verdana" w:eastAsia="Verdana" w:hAnsi="Verdana"/>
                <w:sz w:val="12"/>
                <w:szCs w:val="12"/>
                <w:color w:val="auto"/>
              </w:rPr>
              <w:t>1/4/2031 (1)</w:t>
            </w:r>
          </w:p>
        </w:tc>
        <w:tc>
          <w:tcPr>
            <w:tcW w:w="1080" w:type="dxa"/>
            <w:vAlign w:val="bottom"/>
            <w:tcBorders>
              <w:bottom w:val="single" w:sz="8" w:color="B3B0AC"/>
            </w:tcBorders>
          </w:tcPr>
          <w:p>
            <w:pPr>
              <w:jc w:val="right"/>
              <w:ind w:right="202"/>
              <w:spacing w:after="0"/>
              <w:rPr>
                <w:sz w:val="20"/>
                <w:szCs w:val="20"/>
                <w:color w:val="auto"/>
              </w:rPr>
            </w:pPr>
            <w:r>
              <w:rPr>
                <w:rFonts w:ascii="Verdana" w:cs="Verdana" w:eastAsia="Verdana" w:hAnsi="Verdana"/>
                <w:sz w:val="12"/>
                <w:szCs w:val="12"/>
                <w:color w:val="auto"/>
              </w:rPr>
              <w:t>18,708</w:t>
            </w:r>
          </w:p>
        </w:tc>
        <w:tc>
          <w:tcPr>
            <w:tcW w:w="1180" w:type="dxa"/>
            <w:vAlign w:val="bottom"/>
            <w:tcBorders>
              <w:bottom w:val="single" w:sz="8" w:color="B3B0AC"/>
            </w:tcBorders>
          </w:tcPr>
          <w:p>
            <w:pPr>
              <w:jc w:val="right"/>
              <w:ind w:right="262"/>
              <w:spacing w:after="0"/>
              <w:rPr>
                <w:sz w:val="20"/>
                <w:szCs w:val="20"/>
                <w:color w:val="auto"/>
              </w:rPr>
            </w:pPr>
            <w:r>
              <w:rPr>
                <w:rFonts w:ascii="Verdana" w:cs="Verdana" w:eastAsia="Verdana" w:hAnsi="Verdana"/>
                <w:sz w:val="12"/>
                <w:szCs w:val="12"/>
                <w:color w:val="auto"/>
              </w:rPr>
              <w:t>1,871,615</w:t>
            </w:r>
          </w:p>
        </w:tc>
        <w:tc>
          <w:tcPr>
            <w:tcW w:w="1040" w:type="dxa"/>
            <w:vAlign w:val="bottom"/>
            <w:tcBorders>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33,315</w:t>
            </w:r>
          </w:p>
        </w:tc>
        <w:tc>
          <w:tcPr>
            <w:tcW w:w="98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3,338,992</w:t>
            </w:r>
          </w:p>
        </w:tc>
      </w:tr>
      <w:tr>
        <w:trPr>
          <w:trHeight w:val="183"/>
        </w:trPr>
        <w:tc>
          <w:tcPr>
            <w:tcW w:w="1620" w:type="dxa"/>
            <w:vAlign w:val="bottom"/>
            <w:tcBorders>
              <w:bottom w:val="single" w:sz="8" w:color="696158"/>
            </w:tcBorders>
          </w:tcPr>
          <w:p>
            <w:pPr>
              <w:spacing w:after="0"/>
              <w:rPr>
                <w:sz w:val="15"/>
                <w:szCs w:val="15"/>
                <w:color w:val="auto"/>
              </w:rPr>
            </w:pP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11,577</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140.09</w:t>
            </w:r>
          </w:p>
        </w:tc>
        <w:tc>
          <w:tcPr>
            <w:tcW w:w="1460" w:type="dxa"/>
            <w:vAlign w:val="bottom"/>
            <w:tcBorders>
              <w:bottom w:val="single" w:sz="8" w:color="696158"/>
            </w:tcBorders>
          </w:tcPr>
          <w:p>
            <w:pPr>
              <w:jc w:val="right"/>
              <w:ind w:right="322"/>
              <w:spacing w:after="0"/>
              <w:rPr>
                <w:sz w:val="20"/>
                <w:szCs w:val="20"/>
                <w:color w:val="auto"/>
              </w:rPr>
            </w:pPr>
            <w:r>
              <w:rPr>
                <w:rFonts w:ascii="Verdana" w:cs="Verdana" w:eastAsia="Verdana" w:hAnsi="Verdana"/>
                <w:sz w:val="12"/>
                <w:szCs w:val="12"/>
                <w:color w:val="auto"/>
              </w:rPr>
              <w:t>1/2/2030 (2)</w:t>
            </w:r>
          </w:p>
        </w:tc>
        <w:tc>
          <w:tcPr>
            <w:tcW w:w="1080" w:type="dxa"/>
            <w:vAlign w:val="bottom"/>
            <w:tcBorders>
              <w:bottom w:val="single" w:sz="8" w:color="696158"/>
            </w:tcBorders>
          </w:tcPr>
          <w:p>
            <w:pPr>
              <w:spacing w:after="0"/>
              <w:rPr>
                <w:sz w:val="15"/>
                <w:szCs w:val="15"/>
                <w:color w:val="auto"/>
              </w:rPr>
            </w:pPr>
          </w:p>
        </w:tc>
        <w:tc>
          <w:tcPr>
            <w:tcW w:w="1180" w:type="dxa"/>
            <w:vAlign w:val="bottom"/>
            <w:tcBorders>
              <w:bottom w:val="single" w:sz="8" w:color="696158"/>
            </w:tcBorders>
          </w:tcPr>
          <w:p>
            <w:pPr>
              <w:spacing w:after="0"/>
              <w:rPr>
                <w:sz w:val="15"/>
                <w:szCs w:val="15"/>
                <w:color w:val="auto"/>
              </w:rPr>
            </w:pPr>
          </w:p>
        </w:tc>
        <w:tc>
          <w:tcPr>
            <w:tcW w:w="1040" w:type="dxa"/>
            <w:vAlign w:val="bottom"/>
            <w:tcBorders>
              <w:bottom w:val="single" w:sz="8" w:color="696158"/>
            </w:tcBorders>
          </w:tcPr>
          <w:p>
            <w:pPr>
              <w:spacing w:after="0"/>
              <w:rPr>
                <w:sz w:val="15"/>
                <w:szCs w:val="15"/>
                <w:color w:val="auto"/>
              </w:rPr>
            </w:pPr>
          </w:p>
        </w:tc>
        <w:tc>
          <w:tcPr>
            <w:tcW w:w="980" w:type="dxa"/>
            <w:vAlign w:val="bottom"/>
            <w:tcBorders>
              <w:bottom w:val="single" w:sz="8" w:color="696158"/>
            </w:tcBorders>
          </w:tcPr>
          <w:p>
            <w:pPr>
              <w:spacing w:after="0"/>
              <w:rPr>
                <w:sz w:val="15"/>
                <w:szCs w:val="15"/>
                <w:color w:val="auto"/>
              </w:rPr>
            </w:pPr>
          </w:p>
        </w:tc>
      </w:tr>
      <w:tr>
        <w:trPr>
          <w:trHeight w:val="183"/>
        </w:trPr>
        <w:tc>
          <w:tcPr>
            <w:tcW w:w="1620" w:type="dxa"/>
            <w:vAlign w:val="bottom"/>
            <w:tcBorders>
              <w:bottom w:val="single" w:sz="8" w:color="696158"/>
            </w:tcBorders>
          </w:tcPr>
          <w:p>
            <w:pPr>
              <w:ind w:left="20"/>
              <w:spacing w:after="0"/>
              <w:rPr>
                <w:sz w:val="20"/>
                <w:szCs w:val="20"/>
                <w:color w:val="auto"/>
              </w:rPr>
            </w:pPr>
            <w:r>
              <w:rPr>
                <w:rFonts w:ascii="Verdana" w:cs="Verdana" w:eastAsia="Verdana" w:hAnsi="Verdana"/>
                <w:sz w:val="12"/>
                <w:szCs w:val="12"/>
                <w:b w:val="1"/>
                <w:bCs w:val="1"/>
                <w:color w:val="auto"/>
              </w:rPr>
              <w:t>Harry A. Kemp</w:t>
            </w: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w:t>
            </w:r>
          </w:p>
        </w:tc>
        <w:tc>
          <w:tcPr>
            <w:tcW w:w="1460" w:type="dxa"/>
            <w:vAlign w:val="bottom"/>
            <w:tcBorders>
              <w:bottom w:val="single" w:sz="8" w:color="696158"/>
            </w:tcBorders>
          </w:tcPr>
          <w:p>
            <w:pPr>
              <w:jc w:val="right"/>
              <w:ind w:right="582"/>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02"/>
              <w:spacing w:after="0"/>
              <w:rPr>
                <w:sz w:val="20"/>
                <w:szCs w:val="20"/>
                <w:color w:val="auto"/>
              </w:rPr>
            </w:pPr>
            <w:r>
              <w:rPr>
                <w:rFonts w:ascii="Verdana" w:cs="Verdana" w:eastAsia="Verdana" w:hAnsi="Verdana"/>
                <w:sz w:val="12"/>
                <w:szCs w:val="12"/>
                <w:color w:val="auto"/>
              </w:rPr>
              <w:t>14,763</w:t>
            </w:r>
          </w:p>
        </w:tc>
        <w:tc>
          <w:tcPr>
            <w:tcW w:w="1180" w:type="dxa"/>
            <w:vAlign w:val="bottom"/>
            <w:tcBorders>
              <w:bottom w:val="single" w:sz="8" w:color="696158"/>
            </w:tcBorders>
          </w:tcPr>
          <w:p>
            <w:pPr>
              <w:jc w:val="right"/>
              <w:ind w:right="262"/>
              <w:spacing w:after="0"/>
              <w:rPr>
                <w:sz w:val="20"/>
                <w:szCs w:val="20"/>
                <w:color w:val="auto"/>
              </w:rPr>
            </w:pPr>
            <w:r>
              <w:rPr>
                <w:rFonts w:ascii="Verdana" w:cs="Verdana" w:eastAsia="Verdana" w:hAnsi="Verdana"/>
                <w:sz w:val="12"/>
                <w:szCs w:val="12"/>
                <w:color w:val="auto"/>
              </w:rPr>
              <w:t>1,466,228</w:t>
            </w:r>
          </w:p>
        </w:tc>
        <w:tc>
          <w:tcPr>
            <w:tcW w:w="1040" w:type="dxa"/>
            <w:vAlign w:val="bottom"/>
            <w:tcBorders>
              <w:bottom w:val="single" w:sz="8" w:color="696158"/>
            </w:tcBorders>
          </w:tcPr>
          <w:p>
            <w:pPr>
              <w:jc w:val="right"/>
              <w:ind w:right="162"/>
              <w:spacing w:after="0"/>
              <w:rPr>
                <w:sz w:val="20"/>
                <w:szCs w:val="20"/>
                <w:color w:val="auto"/>
              </w:rPr>
            </w:pPr>
            <w:r>
              <w:rPr>
                <w:rFonts w:ascii="Verdana" w:cs="Verdana" w:eastAsia="Verdana" w:hAnsi="Verdana"/>
                <w:sz w:val="12"/>
                <w:szCs w:val="12"/>
                <w:color w:val="auto"/>
              </w:rPr>
              <w:t>28,664</w:t>
            </w:r>
          </w:p>
        </w:tc>
        <w:tc>
          <w:tcPr>
            <w:tcW w:w="980" w:type="dxa"/>
            <w:vAlign w:val="bottom"/>
            <w:tcBorders>
              <w:bottom w:val="single" w:sz="8" w:color="696158"/>
            </w:tcBorders>
          </w:tcPr>
          <w:p>
            <w:pPr>
              <w:jc w:val="right"/>
              <w:ind w:right="2"/>
              <w:spacing w:after="0"/>
              <w:rPr>
                <w:sz w:val="20"/>
                <w:szCs w:val="20"/>
                <w:color w:val="auto"/>
              </w:rPr>
            </w:pPr>
            <w:r>
              <w:rPr>
                <w:rFonts w:ascii="Verdana" w:cs="Verdana" w:eastAsia="Verdana" w:hAnsi="Verdana"/>
                <w:sz w:val="12"/>
                <w:szCs w:val="12"/>
                <w:color w:val="auto"/>
              </w:rPr>
              <w:t>2,874,320</w:t>
            </w:r>
          </w:p>
        </w:tc>
      </w:tr>
      <w:tr>
        <w:trPr>
          <w:trHeight w:val="183"/>
        </w:trPr>
        <w:tc>
          <w:tcPr>
            <w:tcW w:w="1620" w:type="dxa"/>
            <w:vAlign w:val="bottom"/>
            <w:tcBorders>
              <w:bottom w:val="single" w:sz="8" w:color="696158"/>
            </w:tcBorders>
          </w:tcPr>
          <w:p>
            <w:pPr>
              <w:ind w:left="20"/>
              <w:spacing w:after="0"/>
              <w:rPr>
                <w:sz w:val="20"/>
                <w:szCs w:val="20"/>
                <w:color w:val="auto"/>
              </w:rPr>
            </w:pPr>
            <w:r>
              <w:rPr>
                <w:rFonts w:ascii="Verdana" w:cs="Verdana" w:eastAsia="Verdana" w:hAnsi="Verdana"/>
                <w:sz w:val="12"/>
                <w:szCs w:val="12"/>
                <w:b w:val="1"/>
                <w:bCs w:val="1"/>
                <w:color w:val="auto"/>
              </w:rPr>
              <w:t>Alicia J. Davis</w:t>
            </w: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w:t>
            </w:r>
          </w:p>
        </w:tc>
        <w:tc>
          <w:tcPr>
            <w:tcW w:w="1460" w:type="dxa"/>
            <w:vAlign w:val="bottom"/>
            <w:tcBorders>
              <w:bottom w:val="single" w:sz="8" w:color="696158"/>
            </w:tcBorders>
          </w:tcPr>
          <w:p>
            <w:pPr>
              <w:jc w:val="right"/>
              <w:ind w:right="582"/>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02"/>
              <w:spacing w:after="0"/>
              <w:rPr>
                <w:sz w:val="20"/>
                <w:szCs w:val="20"/>
                <w:color w:val="auto"/>
              </w:rPr>
            </w:pPr>
            <w:r>
              <w:rPr>
                <w:rFonts w:ascii="Verdana" w:cs="Verdana" w:eastAsia="Verdana" w:hAnsi="Verdana"/>
                <w:sz w:val="12"/>
                <w:szCs w:val="12"/>
                <w:color w:val="auto"/>
              </w:rPr>
              <w:t>10,674</w:t>
            </w:r>
          </w:p>
        </w:tc>
        <w:tc>
          <w:tcPr>
            <w:tcW w:w="1180" w:type="dxa"/>
            <w:vAlign w:val="bottom"/>
            <w:tcBorders>
              <w:bottom w:val="single" w:sz="8" w:color="696158"/>
            </w:tcBorders>
          </w:tcPr>
          <w:p>
            <w:pPr>
              <w:jc w:val="right"/>
              <w:ind w:right="262"/>
              <w:spacing w:after="0"/>
              <w:rPr>
                <w:sz w:val="20"/>
                <w:szCs w:val="20"/>
                <w:color w:val="auto"/>
              </w:rPr>
            </w:pPr>
            <w:r>
              <w:rPr>
                <w:rFonts w:ascii="Verdana" w:cs="Verdana" w:eastAsia="Verdana" w:hAnsi="Verdana"/>
                <w:sz w:val="12"/>
                <w:szCs w:val="12"/>
                <w:color w:val="auto"/>
              </w:rPr>
              <w:t>1,058,168</w:t>
            </w:r>
          </w:p>
        </w:tc>
        <w:tc>
          <w:tcPr>
            <w:tcW w:w="1040" w:type="dxa"/>
            <w:vAlign w:val="bottom"/>
            <w:tcBorders>
              <w:bottom w:val="single" w:sz="8" w:color="696158"/>
            </w:tcBorders>
          </w:tcPr>
          <w:p>
            <w:pPr>
              <w:jc w:val="right"/>
              <w:ind w:right="162"/>
              <w:spacing w:after="0"/>
              <w:rPr>
                <w:sz w:val="20"/>
                <w:szCs w:val="20"/>
                <w:color w:val="auto"/>
              </w:rPr>
            </w:pPr>
            <w:r>
              <w:rPr>
                <w:rFonts w:ascii="Verdana" w:cs="Verdana" w:eastAsia="Verdana" w:hAnsi="Verdana"/>
                <w:sz w:val="12"/>
                <w:szCs w:val="12"/>
                <w:color w:val="auto"/>
              </w:rPr>
              <w:t>22,080</w:t>
            </w:r>
          </w:p>
        </w:tc>
        <w:tc>
          <w:tcPr>
            <w:tcW w:w="980" w:type="dxa"/>
            <w:vAlign w:val="bottom"/>
            <w:tcBorders>
              <w:bottom w:val="single" w:sz="8" w:color="696158"/>
            </w:tcBorders>
          </w:tcPr>
          <w:p>
            <w:pPr>
              <w:jc w:val="right"/>
              <w:ind w:right="2"/>
              <w:spacing w:after="0"/>
              <w:rPr>
                <w:sz w:val="20"/>
                <w:szCs w:val="20"/>
                <w:color w:val="auto"/>
              </w:rPr>
            </w:pPr>
            <w:r>
              <w:rPr>
                <w:rFonts w:ascii="Verdana" w:cs="Verdana" w:eastAsia="Verdana" w:hAnsi="Verdana"/>
                <w:sz w:val="12"/>
                <w:szCs w:val="12"/>
                <w:color w:val="auto"/>
              </w:rPr>
              <w:t>2,214,101</w:t>
            </w:r>
          </w:p>
        </w:tc>
      </w:tr>
    </w:tbl>
    <w:p>
      <w:pPr>
        <w:spacing w:after="0" w:line="185" w:lineRule="exact"/>
        <w:rPr>
          <w:sz w:val="20"/>
          <w:szCs w:val="20"/>
          <w:color w:val="auto"/>
        </w:rPr>
      </w:pPr>
    </w:p>
    <w:p>
      <w:pPr>
        <w:ind w:left="320" w:hanging="312"/>
        <w:spacing w:after="0"/>
        <w:tabs>
          <w:tab w:leader="none" w:pos="320" w:val="left"/>
        </w:tabs>
        <w:numPr>
          <w:ilvl w:val="0"/>
          <w:numId w:val="98"/>
        </w:numPr>
        <w:rPr>
          <w:rFonts w:ascii="Verdana" w:cs="Verdana" w:eastAsia="Verdana" w:hAnsi="Verdana"/>
          <w:sz w:val="13"/>
          <w:szCs w:val="13"/>
          <w:color w:val="auto"/>
        </w:rPr>
      </w:pPr>
      <w:r>
        <w:rPr>
          <w:rFonts w:ascii="Verdana" w:cs="Verdana" w:eastAsia="Verdana" w:hAnsi="Verdana"/>
          <w:sz w:val="14"/>
          <w:szCs w:val="14"/>
          <w:color w:val="auto"/>
        </w:rPr>
        <w:t>The stock options vested ratably over three years, starting on the first anniversary of January 4, 2021.</w:t>
      </w:r>
    </w:p>
    <w:p>
      <w:pPr>
        <w:ind w:left="320" w:hanging="312"/>
        <w:spacing w:after="0"/>
        <w:tabs>
          <w:tab w:leader="none" w:pos="320" w:val="left"/>
        </w:tabs>
        <w:numPr>
          <w:ilvl w:val="0"/>
          <w:numId w:val="98"/>
        </w:numPr>
        <w:rPr>
          <w:rFonts w:ascii="Verdana" w:cs="Verdana" w:eastAsia="Verdana" w:hAnsi="Verdana"/>
          <w:sz w:val="13"/>
          <w:szCs w:val="13"/>
          <w:color w:val="auto"/>
        </w:rPr>
      </w:pPr>
      <w:r>
        <w:rPr>
          <w:rFonts w:ascii="Verdana" w:cs="Verdana" w:eastAsia="Verdana" w:hAnsi="Verdana"/>
          <w:sz w:val="14"/>
          <w:szCs w:val="14"/>
          <w:color w:val="auto"/>
        </w:rPr>
        <w:t>The stock options vested ratably over three years, starting on the first anniversary of January 2, 2020.</w:t>
      </w:r>
    </w:p>
    <w:p>
      <w:pPr>
        <w:spacing w:after="0" w:line="5" w:lineRule="exact"/>
        <w:rPr>
          <w:rFonts w:ascii="Verdana" w:cs="Verdana" w:eastAsia="Verdana" w:hAnsi="Verdana"/>
          <w:sz w:val="13"/>
          <w:szCs w:val="13"/>
          <w:color w:val="auto"/>
        </w:rPr>
      </w:pPr>
    </w:p>
    <w:p>
      <w:pPr>
        <w:ind w:left="320" w:hanging="312"/>
        <w:spacing w:after="0"/>
        <w:tabs>
          <w:tab w:leader="none" w:pos="320" w:val="left"/>
        </w:tabs>
        <w:numPr>
          <w:ilvl w:val="0"/>
          <w:numId w:val="98"/>
        </w:numPr>
        <w:rPr>
          <w:rFonts w:ascii="Verdana" w:cs="Verdana" w:eastAsia="Verdana" w:hAnsi="Verdana"/>
          <w:sz w:val="13"/>
          <w:szCs w:val="13"/>
          <w:color w:val="auto"/>
        </w:rPr>
      </w:pPr>
      <w:r>
        <w:rPr>
          <w:rFonts w:ascii="Verdana" w:cs="Verdana" w:eastAsia="Verdana" w:hAnsi="Verdana"/>
          <w:sz w:val="14"/>
          <w:szCs w:val="14"/>
          <w:color w:val="auto"/>
        </w:rPr>
        <w:t>The figures represent the following RSU awards:</w:t>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60" w:type="dxa"/>
            <w:vAlign w:val="bottom"/>
            <w:tcBorders>
              <w:top w:val="single" w:sz="8" w:color="696158"/>
            </w:tcBorders>
          </w:tcPr>
          <w:p>
            <w:pPr>
              <w:spacing w:after="0"/>
              <w:rPr>
                <w:sz w:val="14"/>
                <w:szCs w:val="14"/>
                <w:color w:val="auto"/>
              </w:rPr>
            </w:pPr>
          </w:p>
        </w:tc>
        <w:tc>
          <w:tcPr>
            <w:tcW w:w="1380" w:type="dxa"/>
            <w:vAlign w:val="bottom"/>
            <w:tcBorders>
              <w:top w:val="single" w:sz="8" w:color="696158"/>
            </w:tcBorders>
          </w:tcPr>
          <w:p>
            <w:pPr>
              <w:spacing w:after="0"/>
              <w:rPr>
                <w:sz w:val="14"/>
                <w:szCs w:val="14"/>
                <w:color w:val="auto"/>
              </w:rPr>
            </w:pPr>
          </w:p>
        </w:tc>
        <w:tc>
          <w:tcPr>
            <w:tcW w:w="1340" w:type="dxa"/>
            <w:vAlign w:val="bottom"/>
            <w:tcBorders>
              <w:top w:val="single" w:sz="8" w:color="696158"/>
            </w:tcBorders>
          </w:tcPr>
          <w:p>
            <w:pPr>
              <w:spacing w:after="0"/>
              <w:rPr>
                <w:sz w:val="14"/>
                <w:szCs w:val="14"/>
                <w:color w:val="auto"/>
              </w:rPr>
            </w:pPr>
          </w:p>
        </w:tc>
        <w:tc>
          <w:tcPr>
            <w:tcW w:w="1280" w:type="dxa"/>
            <w:vAlign w:val="bottom"/>
            <w:tcBorders>
              <w:top w:val="single" w:sz="8" w:color="696158"/>
            </w:tcBorders>
          </w:tcPr>
          <w:p>
            <w:pPr>
              <w:spacing w:after="0"/>
              <w:rPr>
                <w:sz w:val="14"/>
                <w:szCs w:val="14"/>
                <w:color w:val="auto"/>
              </w:rPr>
            </w:pPr>
          </w:p>
        </w:tc>
        <w:tc>
          <w:tcPr>
            <w:tcW w:w="1320" w:type="dxa"/>
            <w:vAlign w:val="bottom"/>
            <w:tcBorders>
              <w:top w:val="single" w:sz="8" w:color="696158"/>
            </w:tcBorders>
          </w:tcPr>
          <w:p>
            <w:pPr>
              <w:spacing w:after="0"/>
              <w:rPr>
                <w:sz w:val="14"/>
                <w:szCs w:val="14"/>
                <w:color w:val="auto"/>
              </w:rPr>
            </w:pPr>
          </w:p>
        </w:tc>
        <w:tc>
          <w:tcPr>
            <w:tcW w:w="1320" w:type="dxa"/>
            <w:vAlign w:val="bottom"/>
            <w:tcBorders>
              <w:top w:val="single" w:sz="8" w:color="696158"/>
            </w:tcBorders>
          </w:tcPr>
          <w:p>
            <w:pPr>
              <w:jc w:val="center"/>
              <w:spacing w:after="0"/>
              <w:rPr>
                <w:sz w:val="20"/>
                <w:szCs w:val="20"/>
                <w:color w:val="auto"/>
              </w:rPr>
            </w:pPr>
            <w:r>
              <w:rPr>
                <w:rFonts w:ascii="Verdana" w:cs="Verdana" w:eastAsia="Verdana" w:hAnsi="Verdana"/>
                <w:sz w:val="11"/>
                <w:szCs w:val="11"/>
                <w:b w:val="1"/>
                <w:bCs w:val="1"/>
                <w:color w:val="307FE2"/>
                <w:w w:val="97"/>
              </w:rPr>
              <w:t>Number of 2022</w:t>
            </w:r>
          </w:p>
        </w:tc>
        <w:tc>
          <w:tcPr>
            <w:tcW w:w="1340" w:type="dxa"/>
            <w:vAlign w:val="bottom"/>
            <w:tcBorders>
              <w:top w:val="single" w:sz="8" w:color="696158"/>
            </w:tcBorders>
          </w:tcPr>
          <w:p>
            <w:pPr>
              <w:jc w:val="center"/>
              <w:spacing w:after="0"/>
              <w:rPr>
                <w:sz w:val="20"/>
                <w:szCs w:val="20"/>
                <w:color w:val="auto"/>
              </w:rPr>
            </w:pPr>
            <w:r>
              <w:rPr>
                <w:rFonts w:ascii="Verdana" w:cs="Verdana" w:eastAsia="Verdana" w:hAnsi="Verdana"/>
                <w:sz w:val="11"/>
                <w:szCs w:val="11"/>
                <w:b w:val="1"/>
                <w:bCs w:val="1"/>
                <w:color w:val="307FE2"/>
                <w:w w:val="97"/>
              </w:rPr>
              <w:t>Number of 2023</w:t>
            </w:r>
          </w:p>
        </w:tc>
        <w:tc>
          <w:tcPr>
            <w:tcW w:w="1300" w:type="dxa"/>
            <w:vAlign w:val="bottom"/>
            <w:tcBorders>
              <w:top w:val="single" w:sz="8" w:color="696158"/>
            </w:tcBorders>
          </w:tcPr>
          <w:p>
            <w:pPr>
              <w:jc w:val="center"/>
              <w:spacing w:after="0"/>
              <w:rPr>
                <w:sz w:val="20"/>
                <w:szCs w:val="20"/>
                <w:color w:val="auto"/>
              </w:rPr>
            </w:pPr>
            <w:r>
              <w:rPr>
                <w:rFonts w:ascii="Verdana" w:cs="Verdana" w:eastAsia="Verdana" w:hAnsi="Verdana"/>
                <w:sz w:val="11"/>
                <w:szCs w:val="11"/>
                <w:b w:val="1"/>
                <w:bCs w:val="1"/>
                <w:color w:val="307FE2"/>
                <w:w w:val="97"/>
              </w:rPr>
              <w:t>Number of 2024</w:t>
            </w:r>
          </w:p>
        </w:tc>
      </w:tr>
      <w:tr>
        <w:trPr>
          <w:trHeight w:val="121"/>
        </w:trPr>
        <w:tc>
          <w:tcPr>
            <w:tcW w:w="126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7"/>
              </w:rPr>
              <w:t>Number of 2022</w:t>
            </w:r>
          </w:p>
        </w:tc>
        <w:tc>
          <w:tcPr>
            <w:tcW w:w="1340" w:type="dxa"/>
            <w:vAlign w:val="bottom"/>
          </w:tcPr>
          <w:p>
            <w:pPr>
              <w:jc w:val="center"/>
              <w:ind w:right="46"/>
              <w:spacing w:after="0" w:line="122" w:lineRule="exact"/>
              <w:rPr>
                <w:sz w:val="20"/>
                <w:szCs w:val="20"/>
                <w:color w:val="auto"/>
              </w:rPr>
            </w:pPr>
            <w:r>
              <w:rPr>
                <w:rFonts w:ascii="Verdana" w:cs="Verdana" w:eastAsia="Verdana" w:hAnsi="Verdana"/>
                <w:sz w:val="11"/>
                <w:szCs w:val="11"/>
                <w:b w:val="1"/>
                <w:bCs w:val="1"/>
                <w:color w:val="307FE2"/>
                <w:w w:val="99"/>
              </w:rPr>
              <w:t>Number of 2023</w:t>
            </w:r>
          </w:p>
        </w:tc>
        <w:tc>
          <w:tcPr>
            <w:tcW w:w="1280" w:type="dxa"/>
            <w:vAlign w:val="bottom"/>
          </w:tcPr>
          <w:p>
            <w:pPr>
              <w:jc w:val="center"/>
              <w:ind w:right="26"/>
              <w:spacing w:after="0" w:line="122" w:lineRule="exact"/>
              <w:rPr>
                <w:sz w:val="20"/>
                <w:szCs w:val="20"/>
                <w:color w:val="auto"/>
              </w:rPr>
            </w:pPr>
            <w:r>
              <w:rPr>
                <w:rFonts w:ascii="Verdana" w:cs="Verdana" w:eastAsia="Verdana" w:hAnsi="Verdana"/>
                <w:sz w:val="11"/>
                <w:szCs w:val="11"/>
                <w:b w:val="1"/>
                <w:bCs w:val="1"/>
                <w:color w:val="307FE2"/>
                <w:w w:val="99"/>
              </w:rPr>
              <w:t>Number of 2024</w:t>
            </w:r>
          </w:p>
        </w:tc>
        <w:tc>
          <w:tcPr>
            <w:tcW w:w="132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8"/>
              </w:rPr>
              <w:t>Number of Special</w:t>
            </w:r>
          </w:p>
        </w:tc>
        <w:tc>
          <w:tcPr>
            <w:tcW w:w="132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8"/>
              </w:rPr>
              <w:t>Career Shares</w:t>
            </w:r>
          </w:p>
        </w:tc>
        <w:tc>
          <w:tcPr>
            <w:tcW w:w="134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8"/>
              </w:rPr>
              <w:t>Career Shares</w:t>
            </w:r>
          </w:p>
        </w:tc>
        <w:tc>
          <w:tcPr>
            <w:tcW w:w="130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8"/>
              </w:rPr>
              <w:t>Career Shares</w:t>
            </w:r>
          </w:p>
        </w:tc>
      </w:tr>
      <w:tr>
        <w:trPr>
          <w:trHeight w:val="132"/>
        </w:trPr>
        <w:tc>
          <w:tcPr>
            <w:tcW w:w="126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8"/>
              </w:rPr>
              <w:t>RSUs vesting</w:t>
            </w:r>
          </w:p>
        </w:tc>
        <w:tc>
          <w:tcPr>
            <w:tcW w:w="1340" w:type="dxa"/>
            <w:vAlign w:val="bottom"/>
          </w:tcPr>
          <w:p>
            <w:pPr>
              <w:jc w:val="center"/>
              <w:ind w:right="46"/>
              <w:spacing w:after="0" w:line="133" w:lineRule="exact"/>
              <w:rPr>
                <w:sz w:val="20"/>
                <w:szCs w:val="20"/>
                <w:color w:val="auto"/>
              </w:rPr>
            </w:pPr>
            <w:r>
              <w:rPr>
                <w:rFonts w:ascii="Verdana" w:cs="Verdana" w:eastAsia="Verdana" w:hAnsi="Verdana"/>
                <w:sz w:val="11"/>
                <w:szCs w:val="11"/>
                <w:b w:val="1"/>
                <w:bCs w:val="1"/>
                <w:color w:val="307FE2"/>
                <w:w w:val="98"/>
              </w:rPr>
              <w:t>RSUs vesting</w:t>
            </w:r>
          </w:p>
        </w:tc>
        <w:tc>
          <w:tcPr>
            <w:tcW w:w="1280" w:type="dxa"/>
            <w:vAlign w:val="bottom"/>
          </w:tcPr>
          <w:p>
            <w:pPr>
              <w:jc w:val="center"/>
              <w:ind w:right="26"/>
              <w:spacing w:after="0" w:line="133" w:lineRule="exact"/>
              <w:rPr>
                <w:sz w:val="20"/>
                <w:szCs w:val="20"/>
                <w:color w:val="auto"/>
              </w:rPr>
            </w:pPr>
            <w:r>
              <w:rPr>
                <w:rFonts w:ascii="Verdana" w:cs="Verdana" w:eastAsia="Verdana" w:hAnsi="Verdana"/>
                <w:sz w:val="11"/>
                <w:szCs w:val="11"/>
                <w:b w:val="1"/>
                <w:bCs w:val="1"/>
                <w:color w:val="307FE2"/>
                <w:w w:val="98"/>
              </w:rPr>
              <w:t>RSUs vesting</w:t>
            </w:r>
          </w:p>
        </w:tc>
        <w:tc>
          <w:tcPr>
            <w:tcW w:w="132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8"/>
              </w:rPr>
              <w:t>RSUs with unique</w:t>
            </w:r>
          </w:p>
        </w:tc>
        <w:tc>
          <w:tcPr>
            <w:tcW w:w="132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8"/>
              </w:rPr>
              <w:t>Vesting November</w:t>
            </w:r>
          </w:p>
        </w:tc>
        <w:tc>
          <w:tcPr>
            <w:tcW w:w="134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6"/>
              </w:rPr>
              <w:t>Vesting November</w:t>
            </w:r>
          </w:p>
        </w:tc>
        <w:tc>
          <w:tcPr>
            <w:tcW w:w="130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8"/>
              </w:rPr>
              <w:t>Vesting November</w:t>
            </w:r>
          </w:p>
        </w:tc>
      </w:tr>
      <w:tr>
        <w:trPr>
          <w:trHeight w:val="124"/>
        </w:trPr>
        <w:tc>
          <w:tcPr>
            <w:tcW w:w="126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8"/>
              </w:rPr>
              <w:t>January 4, 2025</w:t>
            </w:r>
          </w:p>
        </w:tc>
        <w:tc>
          <w:tcPr>
            <w:tcW w:w="1340" w:type="dxa"/>
            <w:vAlign w:val="bottom"/>
          </w:tcPr>
          <w:p>
            <w:pPr>
              <w:jc w:val="center"/>
              <w:ind w:right="66"/>
              <w:spacing w:after="0" w:line="124" w:lineRule="exact"/>
              <w:rPr>
                <w:sz w:val="20"/>
                <w:szCs w:val="20"/>
                <w:color w:val="auto"/>
              </w:rPr>
            </w:pPr>
            <w:r>
              <w:rPr>
                <w:rFonts w:ascii="Verdana" w:cs="Verdana" w:eastAsia="Verdana" w:hAnsi="Verdana"/>
                <w:sz w:val="11"/>
                <w:szCs w:val="11"/>
                <w:b w:val="1"/>
                <w:bCs w:val="1"/>
                <w:color w:val="307FE2"/>
                <w:w w:val="98"/>
              </w:rPr>
              <w:t>January 4, 2026</w:t>
            </w:r>
          </w:p>
        </w:tc>
        <w:tc>
          <w:tcPr>
            <w:tcW w:w="1280" w:type="dxa"/>
            <w:vAlign w:val="bottom"/>
          </w:tcPr>
          <w:p>
            <w:pPr>
              <w:jc w:val="center"/>
              <w:ind w:right="6"/>
              <w:spacing w:after="0" w:line="124" w:lineRule="exact"/>
              <w:rPr>
                <w:sz w:val="20"/>
                <w:szCs w:val="20"/>
                <w:color w:val="auto"/>
              </w:rPr>
            </w:pPr>
            <w:r>
              <w:rPr>
                <w:rFonts w:ascii="Verdana" w:cs="Verdana" w:eastAsia="Verdana" w:hAnsi="Verdana"/>
                <w:sz w:val="11"/>
                <w:szCs w:val="11"/>
                <w:b w:val="1"/>
                <w:bCs w:val="1"/>
                <w:color w:val="307FE2"/>
                <w:w w:val="98"/>
              </w:rPr>
              <w:t>January 4, 2027</w:t>
            </w:r>
          </w:p>
        </w:tc>
        <w:tc>
          <w:tcPr>
            <w:tcW w:w="1320" w:type="dxa"/>
            <w:vAlign w:val="bottom"/>
          </w:tcPr>
          <w:p>
            <w:pPr>
              <w:jc w:val="center"/>
              <w:spacing w:after="0" w:line="124" w:lineRule="exact"/>
              <w:rPr>
                <w:sz w:val="20"/>
                <w:szCs w:val="20"/>
                <w:color w:val="auto"/>
              </w:rPr>
            </w:pPr>
            <w:r>
              <w:rPr>
                <w:rFonts w:ascii="Verdana" w:cs="Verdana" w:eastAsia="Verdana" w:hAnsi="Verdana"/>
                <w:sz w:val="10"/>
                <w:szCs w:val="10"/>
                <w:b w:val="1"/>
                <w:bCs w:val="1"/>
                <w:color w:val="307FE2"/>
              </w:rPr>
              <w:t xml:space="preserve">vesting </w:t>
            </w:r>
            <w:r>
              <w:rPr>
                <w:rFonts w:ascii="Verdana" w:cs="Verdana" w:eastAsia="Verdana" w:hAnsi="Verdana"/>
                <w:sz w:val="13"/>
                <w:szCs w:val="13"/>
                <w:b w:val="1"/>
                <w:bCs w:val="1"/>
                <w:color w:val="307FE2"/>
                <w:vertAlign w:val="superscript"/>
              </w:rPr>
              <w:t>(B)</w:t>
            </w:r>
          </w:p>
        </w:tc>
        <w:tc>
          <w:tcPr>
            <w:tcW w:w="1320" w:type="dxa"/>
            <w:vAlign w:val="bottom"/>
          </w:tcPr>
          <w:p>
            <w:pPr>
              <w:jc w:val="right"/>
              <w:ind w:right="346"/>
              <w:spacing w:after="0" w:line="124" w:lineRule="exact"/>
              <w:rPr>
                <w:sz w:val="20"/>
                <w:szCs w:val="20"/>
                <w:color w:val="auto"/>
              </w:rPr>
            </w:pPr>
            <w:r>
              <w:rPr>
                <w:rFonts w:ascii="Verdana" w:cs="Verdana" w:eastAsia="Verdana" w:hAnsi="Verdana"/>
                <w:sz w:val="11"/>
                <w:szCs w:val="11"/>
                <w:b w:val="1"/>
                <w:bCs w:val="1"/>
                <w:color w:val="307FE2"/>
              </w:rPr>
              <w:t>14, 2025</w:t>
            </w:r>
          </w:p>
        </w:tc>
        <w:tc>
          <w:tcPr>
            <w:tcW w:w="1340" w:type="dxa"/>
            <w:vAlign w:val="bottom"/>
          </w:tcPr>
          <w:p>
            <w:pPr>
              <w:jc w:val="right"/>
              <w:ind w:right="366"/>
              <w:spacing w:after="0" w:line="124" w:lineRule="exact"/>
              <w:rPr>
                <w:sz w:val="20"/>
                <w:szCs w:val="20"/>
                <w:color w:val="auto"/>
              </w:rPr>
            </w:pPr>
            <w:r>
              <w:rPr>
                <w:rFonts w:ascii="Verdana" w:cs="Verdana" w:eastAsia="Verdana" w:hAnsi="Verdana"/>
                <w:sz w:val="11"/>
                <w:szCs w:val="11"/>
                <w:b w:val="1"/>
                <w:bCs w:val="1"/>
                <w:color w:val="307FE2"/>
              </w:rPr>
              <w:t>13, 2026</w:t>
            </w:r>
          </w:p>
        </w:tc>
        <w:tc>
          <w:tcPr>
            <w:tcW w:w="1300" w:type="dxa"/>
            <w:vAlign w:val="bottom"/>
          </w:tcPr>
          <w:p>
            <w:pPr>
              <w:jc w:val="right"/>
              <w:ind w:right="346"/>
              <w:spacing w:after="0" w:line="124" w:lineRule="exact"/>
              <w:rPr>
                <w:sz w:val="20"/>
                <w:szCs w:val="20"/>
                <w:color w:val="auto"/>
              </w:rPr>
            </w:pPr>
            <w:r>
              <w:rPr>
                <w:rFonts w:ascii="Verdana" w:cs="Verdana" w:eastAsia="Verdana" w:hAnsi="Verdana"/>
                <w:sz w:val="11"/>
                <w:szCs w:val="11"/>
                <w:b w:val="1"/>
                <w:bCs w:val="1"/>
                <w:color w:val="307FE2"/>
              </w:rPr>
              <w:t>20, 2027</w:t>
            </w:r>
          </w:p>
        </w:tc>
      </w:tr>
      <w:tr>
        <w:trPr>
          <w:trHeight w:val="154"/>
        </w:trPr>
        <w:tc>
          <w:tcPr>
            <w:tcW w:w="1260" w:type="dxa"/>
            <w:vAlign w:val="bottom"/>
          </w:tcPr>
          <w:p>
            <w:pPr>
              <w:ind w:left="20"/>
              <w:spacing w:after="0"/>
              <w:rPr>
                <w:sz w:val="20"/>
                <w:szCs w:val="20"/>
                <w:color w:val="auto"/>
              </w:rPr>
            </w:pPr>
            <w:r>
              <w:rPr>
                <w:rFonts w:ascii="Verdana" w:cs="Verdana" w:eastAsia="Verdana" w:hAnsi="Verdana"/>
                <w:sz w:val="11"/>
                <w:szCs w:val="11"/>
                <w:b w:val="1"/>
                <w:bCs w:val="1"/>
                <w:color w:val="307FE2"/>
              </w:rPr>
              <w:t>Name</w:t>
            </w:r>
          </w:p>
        </w:tc>
        <w:tc>
          <w:tcPr>
            <w:tcW w:w="1380" w:type="dxa"/>
            <w:vAlign w:val="bottom"/>
          </w:tcPr>
          <w:p>
            <w:pPr>
              <w:jc w:val="center"/>
              <w:spacing w:after="0"/>
              <w:rPr>
                <w:sz w:val="20"/>
                <w:szCs w:val="20"/>
                <w:color w:val="auto"/>
              </w:rPr>
            </w:pPr>
            <w:r>
              <w:rPr>
                <w:rFonts w:ascii="Verdana" w:cs="Verdana" w:eastAsia="Verdana" w:hAnsi="Verdana"/>
                <w:sz w:val="11"/>
                <w:szCs w:val="11"/>
                <w:b w:val="1"/>
                <w:bCs w:val="1"/>
                <w:color w:val="307FE2"/>
                <w:w w:val="92"/>
              </w:rPr>
              <w:t>(#)</w:t>
            </w:r>
          </w:p>
        </w:tc>
        <w:tc>
          <w:tcPr>
            <w:tcW w:w="1340" w:type="dxa"/>
            <w:vAlign w:val="bottom"/>
          </w:tcPr>
          <w:p>
            <w:pPr>
              <w:jc w:val="center"/>
              <w:ind w:right="46"/>
              <w:spacing w:after="0"/>
              <w:rPr>
                <w:sz w:val="20"/>
                <w:szCs w:val="20"/>
                <w:color w:val="auto"/>
              </w:rPr>
            </w:pPr>
            <w:r>
              <w:rPr>
                <w:rFonts w:ascii="Verdana" w:cs="Verdana" w:eastAsia="Verdana" w:hAnsi="Verdana"/>
                <w:sz w:val="11"/>
                <w:szCs w:val="11"/>
                <w:b w:val="1"/>
                <w:bCs w:val="1"/>
                <w:color w:val="307FE2"/>
                <w:w w:val="92"/>
              </w:rPr>
              <w:t>(#)</w:t>
            </w:r>
          </w:p>
        </w:tc>
        <w:tc>
          <w:tcPr>
            <w:tcW w:w="1280" w:type="dxa"/>
            <w:vAlign w:val="bottom"/>
          </w:tcPr>
          <w:p>
            <w:pPr>
              <w:jc w:val="center"/>
              <w:ind w:right="26"/>
              <w:spacing w:after="0"/>
              <w:rPr>
                <w:sz w:val="20"/>
                <w:szCs w:val="20"/>
                <w:color w:val="auto"/>
              </w:rPr>
            </w:pPr>
            <w:r>
              <w:rPr>
                <w:rFonts w:ascii="Verdana" w:cs="Verdana" w:eastAsia="Verdana" w:hAnsi="Verdana"/>
                <w:sz w:val="11"/>
                <w:szCs w:val="11"/>
                <w:b w:val="1"/>
                <w:bCs w:val="1"/>
                <w:color w:val="307FE2"/>
                <w:w w:val="92"/>
              </w:rPr>
              <w:t>(#)</w:t>
            </w:r>
          </w:p>
        </w:tc>
        <w:tc>
          <w:tcPr>
            <w:tcW w:w="132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320" w:type="dxa"/>
            <w:vAlign w:val="bottom"/>
          </w:tcPr>
          <w:p>
            <w:pPr>
              <w:jc w:val="right"/>
              <w:ind w:right="506"/>
              <w:spacing w:after="0"/>
              <w:rPr>
                <w:sz w:val="20"/>
                <w:szCs w:val="20"/>
                <w:color w:val="auto"/>
              </w:rPr>
            </w:pPr>
            <w:r>
              <w:rPr>
                <w:rFonts w:ascii="Verdana" w:cs="Verdana" w:eastAsia="Verdana" w:hAnsi="Verdana"/>
                <w:sz w:val="11"/>
                <w:szCs w:val="11"/>
                <w:b w:val="1"/>
                <w:bCs w:val="1"/>
                <w:color w:val="307FE2"/>
              </w:rPr>
              <w:t>(#)</w:t>
            </w:r>
          </w:p>
        </w:tc>
        <w:tc>
          <w:tcPr>
            <w:tcW w:w="1340" w:type="dxa"/>
            <w:vAlign w:val="bottom"/>
          </w:tcPr>
          <w:p>
            <w:pPr>
              <w:jc w:val="right"/>
              <w:ind w:right="526"/>
              <w:spacing w:after="0"/>
              <w:rPr>
                <w:sz w:val="20"/>
                <w:szCs w:val="20"/>
                <w:color w:val="auto"/>
              </w:rPr>
            </w:pPr>
            <w:r>
              <w:rPr>
                <w:rFonts w:ascii="Verdana" w:cs="Verdana" w:eastAsia="Verdana" w:hAnsi="Verdana"/>
                <w:sz w:val="11"/>
                <w:szCs w:val="11"/>
                <w:b w:val="1"/>
                <w:bCs w:val="1"/>
                <w:color w:val="307FE2"/>
              </w:rPr>
              <w:t>(#)</w:t>
            </w:r>
          </w:p>
        </w:tc>
        <w:tc>
          <w:tcPr>
            <w:tcW w:w="1300" w:type="dxa"/>
            <w:vAlign w:val="bottom"/>
          </w:tcPr>
          <w:p>
            <w:pPr>
              <w:jc w:val="right"/>
              <w:ind w:right="506"/>
              <w:spacing w:after="0"/>
              <w:rPr>
                <w:sz w:val="20"/>
                <w:szCs w:val="20"/>
                <w:color w:val="auto"/>
              </w:rPr>
            </w:pPr>
            <w:r>
              <w:rPr>
                <w:rFonts w:ascii="Verdana" w:cs="Verdana" w:eastAsia="Verdana" w:hAnsi="Verdana"/>
                <w:sz w:val="11"/>
                <w:szCs w:val="11"/>
                <w:b w:val="1"/>
                <w:bCs w:val="1"/>
                <w:color w:val="307FE2"/>
              </w:rPr>
              <w:t>(#)</w:t>
            </w:r>
          </w:p>
        </w:tc>
      </w:tr>
      <w:tr>
        <w:trPr>
          <w:trHeight w:val="22"/>
        </w:trPr>
        <w:tc>
          <w:tcPr>
            <w:tcW w:w="1260" w:type="dxa"/>
            <w:vAlign w:val="bottom"/>
            <w:tcBorders>
              <w:bottom w:val="single" w:sz="8" w:color="1D428A"/>
            </w:tcBorders>
          </w:tcPr>
          <w:p>
            <w:pPr>
              <w:spacing w:after="0" w:line="20" w:lineRule="exact"/>
              <w:rPr>
                <w:sz w:val="1"/>
                <w:szCs w:val="1"/>
                <w:color w:val="auto"/>
              </w:rPr>
            </w:pPr>
          </w:p>
        </w:tc>
        <w:tc>
          <w:tcPr>
            <w:tcW w:w="1380" w:type="dxa"/>
            <w:vAlign w:val="bottom"/>
            <w:tcBorders>
              <w:bottom w:val="single" w:sz="8" w:color="1D428A"/>
            </w:tcBorders>
          </w:tcPr>
          <w:p>
            <w:pPr>
              <w:spacing w:after="0" w:line="20" w:lineRule="exact"/>
              <w:rPr>
                <w:sz w:val="1"/>
                <w:szCs w:val="1"/>
                <w:color w:val="auto"/>
              </w:rPr>
            </w:pPr>
          </w:p>
        </w:tc>
        <w:tc>
          <w:tcPr>
            <w:tcW w:w="1340" w:type="dxa"/>
            <w:vAlign w:val="bottom"/>
            <w:tcBorders>
              <w:bottom w:val="single" w:sz="8" w:color="1D428A"/>
            </w:tcBorders>
          </w:tcPr>
          <w:p>
            <w:pPr>
              <w:spacing w:after="0" w:line="20" w:lineRule="exact"/>
              <w:rPr>
                <w:sz w:val="1"/>
                <w:szCs w:val="1"/>
                <w:color w:val="auto"/>
              </w:rPr>
            </w:pPr>
          </w:p>
        </w:tc>
        <w:tc>
          <w:tcPr>
            <w:tcW w:w="1280" w:type="dxa"/>
            <w:vAlign w:val="bottom"/>
            <w:tcBorders>
              <w:bottom w:val="single" w:sz="8" w:color="1D428A"/>
            </w:tcBorders>
          </w:tcPr>
          <w:p>
            <w:pPr>
              <w:spacing w:after="0" w:line="20" w:lineRule="exact"/>
              <w:rPr>
                <w:sz w:val="1"/>
                <w:szCs w:val="1"/>
                <w:color w:val="auto"/>
              </w:rPr>
            </w:pPr>
          </w:p>
        </w:tc>
        <w:tc>
          <w:tcPr>
            <w:tcW w:w="1320" w:type="dxa"/>
            <w:vAlign w:val="bottom"/>
            <w:tcBorders>
              <w:bottom w:val="single" w:sz="8" w:color="1D428A"/>
            </w:tcBorders>
          </w:tcPr>
          <w:p>
            <w:pPr>
              <w:spacing w:after="0" w:line="20" w:lineRule="exact"/>
              <w:rPr>
                <w:sz w:val="1"/>
                <w:szCs w:val="1"/>
                <w:color w:val="auto"/>
              </w:rPr>
            </w:pPr>
          </w:p>
        </w:tc>
        <w:tc>
          <w:tcPr>
            <w:tcW w:w="1320" w:type="dxa"/>
            <w:vAlign w:val="bottom"/>
            <w:tcBorders>
              <w:bottom w:val="single" w:sz="8" w:color="1D428A"/>
            </w:tcBorders>
          </w:tcPr>
          <w:p>
            <w:pPr>
              <w:spacing w:after="0" w:line="20" w:lineRule="exact"/>
              <w:rPr>
                <w:sz w:val="1"/>
                <w:szCs w:val="1"/>
                <w:color w:val="auto"/>
              </w:rPr>
            </w:pPr>
          </w:p>
        </w:tc>
        <w:tc>
          <w:tcPr>
            <w:tcW w:w="1340" w:type="dxa"/>
            <w:vAlign w:val="bottom"/>
            <w:tcBorders>
              <w:bottom w:val="single" w:sz="8" w:color="1D428A"/>
            </w:tcBorders>
          </w:tcPr>
          <w:p>
            <w:pPr>
              <w:spacing w:after="0" w:line="20" w:lineRule="exact"/>
              <w:rPr>
                <w:sz w:val="1"/>
                <w:szCs w:val="1"/>
                <w:color w:val="auto"/>
              </w:rPr>
            </w:pPr>
          </w:p>
        </w:tc>
        <w:tc>
          <w:tcPr>
            <w:tcW w:w="1300" w:type="dxa"/>
            <w:vAlign w:val="bottom"/>
            <w:tcBorders>
              <w:bottom w:val="single" w:sz="8" w:color="1D428A"/>
            </w:tcBorders>
          </w:tcPr>
          <w:p>
            <w:pPr>
              <w:spacing w:after="0" w:line="20" w:lineRule="exact"/>
              <w:rPr>
                <w:sz w:val="1"/>
                <w:szCs w:val="1"/>
                <w:color w:val="auto"/>
              </w:rPr>
            </w:pPr>
          </w:p>
        </w:tc>
      </w:tr>
      <w:tr>
        <w:trPr>
          <w:trHeight w:val="147"/>
        </w:trPr>
        <w:tc>
          <w:tcPr>
            <w:tcW w:w="1260" w:type="dxa"/>
            <w:vAlign w:val="bottom"/>
          </w:tcPr>
          <w:p>
            <w:pPr>
              <w:ind w:left="20"/>
              <w:spacing w:after="0"/>
              <w:rPr>
                <w:sz w:val="20"/>
                <w:szCs w:val="20"/>
                <w:color w:val="auto"/>
              </w:rPr>
            </w:pPr>
            <w:r>
              <w:rPr>
                <w:rFonts w:ascii="Verdana" w:cs="Verdana" w:eastAsia="Verdana" w:hAnsi="Verdana"/>
                <w:sz w:val="11"/>
                <w:szCs w:val="11"/>
                <w:b w:val="1"/>
                <w:bCs w:val="1"/>
                <w:color w:val="auto"/>
              </w:rPr>
              <w:t>Raymond E. Scott</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14,820</w:t>
            </w:r>
          </w:p>
        </w:tc>
        <w:tc>
          <w:tcPr>
            <w:tcW w:w="1340" w:type="dxa"/>
            <w:vAlign w:val="bottom"/>
          </w:tcPr>
          <w:p>
            <w:pPr>
              <w:jc w:val="right"/>
              <w:ind w:right="66"/>
              <w:spacing w:after="0"/>
              <w:rPr>
                <w:sz w:val="20"/>
                <w:szCs w:val="20"/>
                <w:color w:val="auto"/>
              </w:rPr>
            </w:pPr>
            <w:r>
              <w:rPr>
                <w:rFonts w:ascii="Verdana" w:cs="Verdana" w:eastAsia="Verdana" w:hAnsi="Verdana"/>
                <w:sz w:val="11"/>
                <w:szCs w:val="11"/>
                <w:color w:val="auto"/>
              </w:rPr>
              <w:t>22,701</w:t>
            </w:r>
          </w:p>
        </w:tc>
        <w:tc>
          <w:tcPr>
            <w:tcW w:w="1280" w:type="dxa"/>
            <w:vAlign w:val="bottom"/>
          </w:tcPr>
          <w:p>
            <w:pPr>
              <w:jc w:val="right"/>
              <w:ind w:right="26"/>
              <w:spacing w:after="0"/>
              <w:rPr>
                <w:sz w:val="20"/>
                <w:szCs w:val="20"/>
                <w:color w:val="auto"/>
              </w:rPr>
            </w:pPr>
            <w:r>
              <w:rPr>
                <w:rFonts w:ascii="Verdana" w:cs="Verdana" w:eastAsia="Verdana" w:hAnsi="Verdana"/>
                <w:sz w:val="11"/>
                <w:szCs w:val="11"/>
                <w:color w:val="auto"/>
              </w:rPr>
              <w:t>20,153</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5,117</w:t>
            </w:r>
          </w:p>
        </w:tc>
        <w:tc>
          <w:tcPr>
            <w:tcW w:w="1340" w:type="dxa"/>
            <w:vAlign w:val="bottom"/>
          </w:tcPr>
          <w:p>
            <w:pPr>
              <w:jc w:val="right"/>
              <w:ind w:right="46"/>
              <w:spacing w:after="0"/>
              <w:rPr>
                <w:sz w:val="20"/>
                <w:szCs w:val="20"/>
                <w:color w:val="auto"/>
              </w:rPr>
            </w:pPr>
            <w:r>
              <w:rPr>
                <w:rFonts w:ascii="Verdana" w:cs="Verdana" w:eastAsia="Verdana" w:hAnsi="Verdana"/>
                <w:sz w:val="11"/>
                <w:szCs w:val="11"/>
                <w:color w:val="auto"/>
              </w:rPr>
              <w:t>6,639</w:t>
            </w:r>
          </w:p>
        </w:tc>
        <w:tc>
          <w:tcPr>
            <w:tcW w:w="1300" w:type="dxa"/>
            <w:vAlign w:val="bottom"/>
          </w:tcPr>
          <w:p>
            <w:pPr>
              <w:jc w:val="right"/>
              <w:ind w:right="6"/>
              <w:spacing w:after="0"/>
              <w:rPr>
                <w:sz w:val="20"/>
                <w:szCs w:val="20"/>
                <w:color w:val="auto"/>
              </w:rPr>
            </w:pPr>
            <w:r>
              <w:rPr>
                <w:rFonts w:ascii="Verdana" w:cs="Verdana" w:eastAsia="Verdana" w:hAnsi="Verdana"/>
                <w:sz w:val="11"/>
                <w:szCs w:val="11"/>
                <w:color w:val="auto"/>
              </w:rPr>
              <w:t>9,085</w:t>
            </w:r>
          </w:p>
        </w:tc>
      </w:tr>
      <w:tr>
        <w:trPr>
          <w:trHeight w:val="35"/>
        </w:trPr>
        <w:tc>
          <w:tcPr>
            <w:tcW w:w="126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28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300" w:type="dxa"/>
            <w:vAlign w:val="bottom"/>
            <w:tcBorders>
              <w:bottom w:val="single" w:sz="8" w:color="B3B0AC"/>
            </w:tcBorders>
          </w:tcPr>
          <w:p>
            <w:pPr>
              <w:spacing w:after="0"/>
              <w:rPr>
                <w:sz w:val="3"/>
                <w:szCs w:val="3"/>
                <w:color w:val="auto"/>
              </w:rPr>
            </w:pPr>
          </w:p>
        </w:tc>
      </w:tr>
      <w:tr>
        <w:trPr>
          <w:trHeight w:val="147"/>
        </w:trPr>
        <w:tc>
          <w:tcPr>
            <w:tcW w:w="1260" w:type="dxa"/>
            <w:vAlign w:val="bottom"/>
          </w:tcPr>
          <w:p>
            <w:pPr>
              <w:ind w:left="20"/>
              <w:spacing w:after="0"/>
              <w:rPr>
                <w:sz w:val="20"/>
                <w:szCs w:val="20"/>
                <w:color w:val="auto"/>
              </w:rPr>
            </w:pPr>
            <w:r>
              <w:rPr>
                <w:rFonts w:ascii="Verdana" w:cs="Verdana" w:eastAsia="Verdana" w:hAnsi="Verdana"/>
                <w:sz w:val="11"/>
                <w:szCs w:val="11"/>
                <w:b w:val="1"/>
                <w:bCs w:val="1"/>
                <w:color w:val="auto"/>
              </w:rPr>
              <w:t>Jason M. Cardew</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3,846</w:t>
            </w:r>
          </w:p>
        </w:tc>
        <w:tc>
          <w:tcPr>
            <w:tcW w:w="1340" w:type="dxa"/>
            <w:vAlign w:val="bottom"/>
          </w:tcPr>
          <w:p>
            <w:pPr>
              <w:jc w:val="right"/>
              <w:ind w:right="66"/>
              <w:spacing w:after="0"/>
              <w:rPr>
                <w:sz w:val="20"/>
                <w:szCs w:val="20"/>
                <w:color w:val="auto"/>
              </w:rPr>
            </w:pPr>
            <w:r>
              <w:rPr>
                <w:rFonts w:ascii="Verdana" w:cs="Verdana" w:eastAsia="Verdana" w:hAnsi="Verdana"/>
                <w:sz w:val="11"/>
                <w:szCs w:val="11"/>
                <w:color w:val="auto"/>
              </w:rPr>
              <w:t>8,103</w:t>
            </w:r>
          </w:p>
        </w:tc>
        <w:tc>
          <w:tcPr>
            <w:tcW w:w="1280" w:type="dxa"/>
            <w:vAlign w:val="bottom"/>
          </w:tcPr>
          <w:p>
            <w:pPr>
              <w:jc w:val="right"/>
              <w:ind w:right="26"/>
              <w:spacing w:after="0"/>
              <w:rPr>
                <w:sz w:val="20"/>
                <w:szCs w:val="20"/>
                <w:color w:val="auto"/>
              </w:rPr>
            </w:pPr>
            <w:r>
              <w:rPr>
                <w:rFonts w:ascii="Verdana" w:cs="Verdana" w:eastAsia="Verdana" w:hAnsi="Verdana"/>
                <w:sz w:val="11"/>
                <w:szCs w:val="11"/>
                <w:color w:val="auto"/>
              </w:rPr>
              <w:t>7,193</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9,084</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2,046</w:t>
            </w:r>
          </w:p>
        </w:tc>
        <w:tc>
          <w:tcPr>
            <w:tcW w:w="1340" w:type="dxa"/>
            <w:vAlign w:val="bottom"/>
          </w:tcPr>
          <w:p>
            <w:pPr>
              <w:jc w:val="right"/>
              <w:ind w:right="46"/>
              <w:spacing w:after="0"/>
              <w:rPr>
                <w:sz w:val="20"/>
                <w:szCs w:val="20"/>
                <w:color w:val="auto"/>
              </w:rPr>
            </w:pPr>
            <w:r>
              <w:rPr>
                <w:rFonts w:ascii="Verdana" w:cs="Verdana" w:eastAsia="Verdana" w:hAnsi="Verdana"/>
                <w:sz w:val="11"/>
                <w:szCs w:val="11"/>
                <w:color w:val="auto"/>
              </w:rPr>
              <w:t>2,343</w:t>
            </w:r>
          </w:p>
        </w:tc>
        <w:tc>
          <w:tcPr>
            <w:tcW w:w="1300" w:type="dxa"/>
            <w:vAlign w:val="bottom"/>
          </w:tcPr>
          <w:p>
            <w:pPr>
              <w:jc w:val="right"/>
              <w:ind w:right="6"/>
              <w:spacing w:after="0"/>
              <w:rPr>
                <w:sz w:val="20"/>
                <w:szCs w:val="20"/>
                <w:color w:val="auto"/>
              </w:rPr>
            </w:pPr>
            <w:r>
              <w:rPr>
                <w:rFonts w:ascii="Verdana" w:cs="Verdana" w:eastAsia="Verdana" w:hAnsi="Verdana"/>
                <w:sz w:val="11"/>
                <w:szCs w:val="11"/>
                <w:color w:val="auto"/>
              </w:rPr>
              <w:t>3,206</w:t>
            </w:r>
          </w:p>
        </w:tc>
      </w:tr>
      <w:tr>
        <w:trPr>
          <w:trHeight w:val="35"/>
        </w:trPr>
        <w:tc>
          <w:tcPr>
            <w:tcW w:w="126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28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300" w:type="dxa"/>
            <w:vAlign w:val="bottom"/>
            <w:tcBorders>
              <w:bottom w:val="single" w:sz="8" w:color="B3B0AC"/>
            </w:tcBorders>
          </w:tcPr>
          <w:p>
            <w:pPr>
              <w:spacing w:after="0"/>
              <w:rPr>
                <w:sz w:val="3"/>
                <w:szCs w:val="3"/>
                <w:color w:val="auto"/>
              </w:rPr>
            </w:pPr>
          </w:p>
        </w:tc>
      </w:tr>
      <w:tr>
        <w:trPr>
          <w:trHeight w:val="147"/>
        </w:trPr>
        <w:tc>
          <w:tcPr>
            <w:tcW w:w="1260" w:type="dxa"/>
            <w:vAlign w:val="bottom"/>
          </w:tcPr>
          <w:p>
            <w:pPr>
              <w:ind w:left="20"/>
              <w:spacing w:after="0"/>
              <w:rPr>
                <w:sz w:val="20"/>
                <w:szCs w:val="20"/>
                <w:color w:val="auto"/>
              </w:rPr>
            </w:pPr>
            <w:r>
              <w:rPr>
                <w:rFonts w:ascii="Verdana" w:cs="Verdana" w:eastAsia="Verdana" w:hAnsi="Verdana"/>
                <w:sz w:val="11"/>
                <w:szCs w:val="11"/>
                <w:b w:val="1"/>
                <w:bCs w:val="1"/>
                <w:color w:val="auto"/>
              </w:rPr>
              <w:t>Frank C. Orsini</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3,846</w:t>
            </w:r>
          </w:p>
        </w:tc>
        <w:tc>
          <w:tcPr>
            <w:tcW w:w="1340" w:type="dxa"/>
            <w:vAlign w:val="bottom"/>
          </w:tcPr>
          <w:p>
            <w:pPr>
              <w:jc w:val="right"/>
              <w:ind w:right="66"/>
              <w:spacing w:after="0"/>
              <w:rPr>
                <w:sz w:val="20"/>
                <w:szCs w:val="20"/>
                <w:color w:val="auto"/>
              </w:rPr>
            </w:pPr>
            <w:r>
              <w:rPr>
                <w:rFonts w:ascii="Verdana" w:cs="Verdana" w:eastAsia="Verdana" w:hAnsi="Verdana"/>
                <w:sz w:val="11"/>
                <w:szCs w:val="11"/>
                <w:color w:val="auto"/>
              </w:rPr>
              <w:t>8,103</w:t>
            </w:r>
          </w:p>
        </w:tc>
        <w:tc>
          <w:tcPr>
            <w:tcW w:w="1280" w:type="dxa"/>
            <w:vAlign w:val="bottom"/>
          </w:tcPr>
          <w:p>
            <w:pPr>
              <w:jc w:val="right"/>
              <w:ind w:right="26"/>
              <w:spacing w:after="0"/>
              <w:rPr>
                <w:sz w:val="20"/>
                <w:szCs w:val="20"/>
                <w:color w:val="auto"/>
              </w:rPr>
            </w:pPr>
            <w:r>
              <w:rPr>
                <w:rFonts w:ascii="Verdana" w:cs="Verdana" w:eastAsia="Verdana" w:hAnsi="Verdana"/>
                <w:sz w:val="11"/>
                <w:szCs w:val="11"/>
                <w:color w:val="auto"/>
              </w:rPr>
              <w:t>7,193</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18,168</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2,046</w:t>
            </w:r>
          </w:p>
        </w:tc>
        <w:tc>
          <w:tcPr>
            <w:tcW w:w="1340" w:type="dxa"/>
            <w:vAlign w:val="bottom"/>
          </w:tcPr>
          <w:p>
            <w:pPr>
              <w:jc w:val="right"/>
              <w:ind w:right="46"/>
              <w:spacing w:after="0"/>
              <w:rPr>
                <w:sz w:val="20"/>
                <w:szCs w:val="20"/>
                <w:color w:val="auto"/>
              </w:rPr>
            </w:pPr>
            <w:r>
              <w:rPr>
                <w:rFonts w:ascii="Verdana" w:cs="Verdana" w:eastAsia="Verdana" w:hAnsi="Verdana"/>
                <w:sz w:val="11"/>
                <w:szCs w:val="11"/>
                <w:color w:val="auto"/>
              </w:rPr>
              <w:t>2,343</w:t>
            </w:r>
          </w:p>
        </w:tc>
        <w:tc>
          <w:tcPr>
            <w:tcW w:w="1300" w:type="dxa"/>
            <w:vAlign w:val="bottom"/>
          </w:tcPr>
          <w:p>
            <w:pPr>
              <w:jc w:val="right"/>
              <w:ind w:right="6"/>
              <w:spacing w:after="0"/>
              <w:rPr>
                <w:sz w:val="20"/>
                <w:szCs w:val="20"/>
                <w:color w:val="auto"/>
              </w:rPr>
            </w:pPr>
            <w:r>
              <w:rPr>
                <w:rFonts w:ascii="Verdana" w:cs="Verdana" w:eastAsia="Verdana" w:hAnsi="Verdana"/>
                <w:sz w:val="11"/>
                <w:szCs w:val="11"/>
                <w:color w:val="auto"/>
              </w:rPr>
              <w:t>3,206</w:t>
            </w:r>
          </w:p>
        </w:tc>
      </w:tr>
      <w:tr>
        <w:trPr>
          <w:trHeight w:val="35"/>
        </w:trPr>
        <w:tc>
          <w:tcPr>
            <w:tcW w:w="126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28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300" w:type="dxa"/>
            <w:vAlign w:val="bottom"/>
            <w:tcBorders>
              <w:bottom w:val="single" w:sz="8" w:color="B3B0AC"/>
            </w:tcBorders>
          </w:tcPr>
          <w:p>
            <w:pPr>
              <w:spacing w:after="0"/>
              <w:rPr>
                <w:sz w:val="3"/>
                <w:szCs w:val="3"/>
                <w:color w:val="auto"/>
              </w:rPr>
            </w:pPr>
          </w:p>
        </w:tc>
      </w:tr>
      <w:tr>
        <w:trPr>
          <w:trHeight w:val="147"/>
        </w:trPr>
        <w:tc>
          <w:tcPr>
            <w:tcW w:w="1260" w:type="dxa"/>
            <w:vAlign w:val="bottom"/>
          </w:tcPr>
          <w:p>
            <w:pPr>
              <w:ind w:left="20"/>
              <w:spacing w:after="0"/>
              <w:rPr>
                <w:sz w:val="20"/>
                <w:szCs w:val="20"/>
                <w:color w:val="auto"/>
              </w:rPr>
            </w:pPr>
            <w:r>
              <w:rPr>
                <w:rFonts w:ascii="Verdana" w:cs="Verdana" w:eastAsia="Verdana" w:hAnsi="Verdana"/>
                <w:sz w:val="11"/>
                <w:szCs w:val="11"/>
                <w:b w:val="1"/>
                <w:bCs w:val="1"/>
                <w:color w:val="auto"/>
              </w:rPr>
              <w:t>Carl A. Esposito</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2,940</w:t>
            </w:r>
          </w:p>
        </w:tc>
        <w:tc>
          <w:tcPr>
            <w:tcW w:w="1340" w:type="dxa"/>
            <w:vAlign w:val="bottom"/>
          </w:tcPr>
          <w:p>
            <w:pPr>
              <w:jc w:val="right"/>
              <w:ind w:right="66"/>
              <w:spacing w:after="0"/>
              <w:rPr>
                <w:sz w:val="20"/>
                <w:szCs w:val="20"/>
                <w:color w:val="auto"/>
              </w:rPr>
            </w:pPr>
            <w:r>
              <w:rPr>
                <w:rFonts w:ascii="Verdana" w:cs="Verdana" w:eastAsia="Verdana" w:hAnsi="Verdana"/>
                <w:sz w:val="11"/>
                <w:szCs w:val="11"/>
                <w:color w:val="auto"/>
              </w:rPr>
              <w:t>4,838</w:t>
            </w:r>
          </w:p>
        </w:tc>
        <w:tc>
          <w:tcPr>
            <w:tcW w:w="1280" w:type="dxa"/>
            <w:vAlign w:val="bottom"/>
          </w:tcPr>
          <w:p>
            <w:pPr>
              <w:jc w:val="right"/>
              <w:ind w:right="26"/>
              <w:spacing w:after="0"/>
              <w:rPr>
                <w:sz w:val="20"/>
                <w:szCs w:val="20"/>
                <w:color w:val="auto"/>
              </w:rPr>
            </w:pPr>
            <w:r>
              <w:rPr>
                <w:rFonts w:ascii="Verdana" w:cs="Verdana" w:eastAsia="Verdana" w:hAnsi="Verdana"/>
                <w:sz w:val="11"/>
                <w:szCs w:val="11"/>
                <w:color w:val="auto"/>
              </w:rPr>
              <w:t>4,601</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1,705</w:t>
            </w:r>
          </w:p>
        </w:tc>
        <w:tc>
          <w:tcPr>
            <w:tcW w:w="1340" w:type="dxa"/>
            <w:vAlign w:val="bottom"/>
          </w:tcPr>
          <w:p>
            <w:pPr>
              <w:jc w:val="right"/>
              <w:ind w:right="46"/>
              <w:spacing w:after="0"/>
              <w:rPr>
                <w:sz w:val="20"/>
                <w:szCs w:val="20"/>
                <w:color w:val="auto"/>
              </w:rPr>
            </w:pPr>
            <w:r>
              <w:rPr>
                <w:rFonts w:ascii="Verdana" w:cs="Verdana" w:eastAsia="Verdana" w:hAnsi="Verdana"/>
                <w:sz w:val="11"/>
                <w:szCs w:val="11"/>
                <w:color w:val="auto"/>
              </w:rPr>
              <w:t>1,952</w:t>
            </w:r>
          </w:p>
        </w:tc>
        <w:tc>
          <w:tcPr>
            <w:tcW w:w="1300" w:type="dxa"/>
            <w:vAlign w:val="bottom"/>
          </w:tcPr>
          <w:p>
            <w:pPr>
              <w:jc w:val="right"/>
              <w:ind w:right="6"/>
              <w:spacing w:after="0"/>
              <w:rPr>
                <w:sz w:val="20"/>
                <w:szCs w:val="20"/>
                <w:color w:val="auto"/>
              </w:rPr>
            </w:pPr>
            <w:r>
              <w:rPr>
                <w:rFonts w:ascii="Verdana" w:cs="Verdana" w:eastAsia="Verdana" w:hAnsi="Verdana"/>
                <w:sz w:val="11"/>
                <w:szCs w:val="11"/>
                <w:color w:val="auto"/>
              </w:rPr>
              <w:t>2,672</w:t>
            </w:r>
          </w:p>
        </w:tc>
      </w:tr>
      <w:tr>
        <w:trPr>
          <w:trHeight w:val="35"/>
        </w:trPr>
        <w:tc>
          <w:tcPr>
            <w:tcW w:w="126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28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300" w:type="dxa"/>
            <w:vAlign w:val="bottom"/>
            <w:tcBorders>
              <w:bottom w:val="single" w:sz="8" w:color="B3B0AC"/>
            </w:tcBorders>
          </w:tcPr>
          <w:p>
            <w:pPr>
              <w:spacing w:after="0"/>
              <w:rPr>
                <w:sz w:val="3"/>
                <w:szCs w:val="3"/>
                <w:color w:val="auto"/>
              </w:rPr>
            </w:pPr>
          </w:p>
        </w:tc>
      </w:tr>
      <w:tr>
        <w:trPr>
          <w:trHeight w:val="147"/>
        </w:trPr>
        <w:tc>
          <w:tcPr>
            <w:tcW w:w="1260" w:type="dxa"/>
            <w:vAlign w:val="bottom"/>
          </w:tcPr>
          <w:p>
            <w:pPr>
              <w:ind w:left="20"/>
              <w:spacing w:after="0"/>
              <w:rPr>
                <w:sz w:val="20"/>
                <w:szCs w:val="20"/>
                <w:color w:val="auto"/>
              </w:rPr>
            </w:pPr>
            <w:r>
              <w:rPr>
                <w:rFonts w:ascii="Verdana" w:cs="Verdana" w:eastAsia="Verdana" w:hAnsi="Verdana"/>
                <w:sz w:val="11"/>
                <w:szCs w:val="11"/>
                <w:b w:val="1"/>
                <w:bCs w:val="1"/>
                <w:color w:val="auto"/>
              </w:rPr>
              <w:t>Harry A. Kemp</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745</w:t>
            </w:r>
          </w:p>
        </w:tc>
        <w:tc>
          <w:tcPr>
            <w:tcW w:w="1340" w:type="dxa"/>
            <w:vAlign w:val="bottom"/>
          </w:tcPr>
          <w:p>
            <w:pPr>
              <w:jc w:val="right"/>
              <w:ind w:right="66"/>
              <w:spacing w:after="0"/>
              <w:rPr>
                <w:sz w:val="20"/>
                <w:szCs w:val="20"/>
                <w:color w:val="auto"/>
              </w:rPr>
            </w:pPr>
            <w:r>
              <w:rPr>
                <w:rFonts w:ascii="Verdana" w:cs="Verdana" w:eastAsia="Verdana" w:hAnsi="Verdana"/>
                <w:sz w:val="11"/>
                <w:szCs w:val="11"/>
                <w:color w:val="auto"/>
              </w:rPr>
              <w:t>4,254</w:t>
            </w:r>
          </w:p>
        </w:tc>
        <w:tc>
          <w:tcPr>
            <w:tcW w:w="1280" w:type="dxa"/>
            <w:vAlign w:val="bottom"/>
          </w:tcPr>
          <w:p>
            <w:pPr>
              <w:jc w:val="right"/>
              <w:ind w:right="26"/>
              <w:spacing w:after="0"/>
              <w:rPr>
                <w:sz w:val="20"/>
                <w:szCs w:val="20"/>
                <w:color w:val="auto"/>
              </w:rPr>
            </w:pPr>
            <w:r>
              <w:rPr>
                <w:rFonts w:ascii="Verdana" w:cs="Verdana" w:eastAsia="Verdana" w:hAnsi="Verdana"/>
                <w:sz w:val="11"/>
                <w:szCs w:val="11"/>
                <w:color w:val="auto"/>
              </w:rPr>
              <w:t>3,776</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w:t>
            </w:r>
          </w:p>
        </w:tc>
        <w:tc>
          <w:tcPr>
            <w:tcW w:w="1320" w:type="dxa"/>
            <w:vAlign w:val="bottom"/>
          </w:tcPr>
          <w:p>
            <w:pPr>
              <w:jc w:val="right"/>
              <w:ind w:right="26"/>
              <w:spacing w:after="0"/>
              <w:rPr>
                <w:sz w:val="20"/>
                <w:szCs w:val="20"/>
                <w:color w:val="auto"/>
              </w:rPr>
            </w:pPr>
            <w:r>
              <w:rPr>
                <w:rFonts w:ascii="Verdana" w:cs="Verdana" w:eastAsia="Verdana" w:hAnsi="Verdana"/>
                <w:sz w:val="11"/>
                <w:szCs w:val="11"/>
                <w:color w:val="auto"/>
              </w:rPr>
              <w:t>1,364</w:t>
            </w:r>
          </w:p>
        </w:tc>
        <w:tc>
          <w:tcPr>
            <w:tcW w:w="1340" w:type="dxa"/>
            <w:vAlign w:val="bottom"/>
          </w:tcPr>
          <w:p>
            <w:pPr>
              <w:jc w:val="right"/>
              <w:ind w:right="46"/>
              <w:spacing w:after="0"/>
              <w:rPr>
                <w:sz w:val="20"/>
                <w:szCs w:val="20"/>
                <w:color w:val="auto"/>
              </w:rPr>
            </w:pPr>
            <w:r>
              <w:rPr>
                <w:rFonts w:ascii="Verdana" w:cs="Verdana" w:eastAsia="Verdana" w:hAnsi="Verdana"/>
                <w:sz w:val="11"/>
                <w:szCs w:val="11"/>
                <w:color w:val="auto"/>
              </w:rPr>
              <w:t>1,952</w:t>
            </w:r>
          </w:p>
        </w:tc>
        <w:tc>
          <w:tcPr>
            <w:tcW w:w="1300" w:type="dxa"/>
            <w:vAlign w:val="bottom"/>
          </w:tcPr>
          <w:p>
            <w:pPr>
              <w:jc w:val="right"/>
              <w:ind w:right="6"/>
              <w:spacing w:after="0"/>
              <w:rPr>
                <w:sz w:val="20"/>
                <w:szCs w:val="20"/>
                <w:color w:val="auto"/>
              </w:rPr>
            </w:pPr>
            <w:r>
              <w:rPr>
                <w:rFonts w:ascii="Verdana" w:cs="Verdana" w:eastAsia="Verdana" w:hAnsi="Verdana"/>
                <w:sz w:val="11"/>
                <w:szCs w:val="11"/>
                <w:color w:val="auto"/>
              </w:rPr>
              <w:t>2,672</w:t>
            </w:r>
          </w:p>
        </w:tc>
      </w:tr>
      <w:tr>
        <w:trPr>
          <w:trHeight w:val="35"/>
        </w:trPr>
        <w:tc>
          <w:tcPr>
            <w:tcW w:w="126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28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20" w:type="dxa"/>
            <w:vAlign w:val="bottom"/>
            <w:tcBorders>
              <w:bottom w:val="single" w:sz="8" w:color="B3B0AC"/>
            </w:tcBorders>
          </w:tcPr>
          <w:p>
            <w:pPr>
              <w:spacing w:after="0"/>
              <w:rPr>
                <w:sz w:val="3"/>
                <w:szCs w:val="3"/>
                <w:color w:val="auto"/>
              </w:rPr>
            </w:pPr>
          </w:p>
        </w:tc>
        <w:tc>
          <w:tcPr>
            <w:tcW w:w="1340" w:type="dxa"/>
            <w:vAlign w:val="bottom"/>
            <w:tcBorders>
              <w:bottom w:val="single" w:sz="8" w:color="B3B0AC"/>
            </w:tcBorders>
          </w:tcPr>
          <w:p>
            <w:pPr>
              <w:spacing w:after="0"/>
              <w:rPr>
                <w:sz w:val="3"/>
                <w:szCs w:val="3"/>
                <w:color w:val="auto"/>
              </w:rPr>
            </w:pPr>
          </w:p>
        </w:tc>
        <w:tc>
          <w:tcPr>
            <w:tcW w:w="1300" w:type="dxa"/>
            <w:vAlign w:val="bottom"/>
            <w:tcBorders>
              <w:bottom w:val="single" w:sz="8" w:color="B3B0AC"/>
            </w:tcBorders>
          </w:tcPr>
          <w:p>
            <w:pPr>
              <w:spacing w:after="0"/>
              <w:rPr>
                <w:sz w:val="3"/>
                <w:szCs w:val="3"/>
                <w:color w:val="auto"/>
              </w:rPr>
            </w:pPr>
          </w:p>
        </w:tc>
      </w:tr>
      <w:tr>
        <w:trPr>
          <w:trHeight w:val="183"/>
        </w:trPr>
        <w:tc>
          <w:tcPr>
            <w:tcW w:w="1260" w:type="dxa"/>
            <w:vAlign w:val="bottom"/>
            <w:tcBorders>
              <w:bottom w:val="single" w:sz="8" w:color="B3B0AC"/>
            </w:tcBorders>
          </w:tcPr>
          <w:p>
            <w:pPr>
              <w:ind w:left="20"/>
              <w:spacing w:after="0"/>
              <w:rPr>
                <w:sz w:val="20"/>
                <w:szCs w:val="20"/>
                <w:color w:val="auto"/>
              </w:rPr>
            </w:pPr>
            <w:r>
              <w:rPr>
                <w:rFonts w:ascii="Verdana" w:cs="Verdana" w:eastAsia="Verdana" w:hAnsi="Verdana"/>
                <w:sz w:val="11"/>
                <w:szCs w:val="11"/>
                <w:b w:val="1"/>
                <w:bCs w:val="1"/>
                <w:color w:val="auto"/>
              </w:rPr>
              <w:t xml:space="preserve">Alicia J. Davis </w:t>
            </w:r>
            <w:r>
              <w:rPr>
                <w:rFonts w:ascii="Verdana" w:cs="Verdana" w:eastAsia="Verdana" w:hAnsi="Verdana"/>
                <w:sz w:val="14"/>
                <w:szCs w:val="14"/>
                <w:b w:val="1"/>
                <w:bCs w:val="1"/>
                <w:color w:val="auto"/>
                <w:vertAlign w:val="superscript"/>
              </w:rPr>
              <w:t>(A)</w:t>
            </w:r>
          </w:p>
        </w:tc>
        <w:tc>
          <w:tcPr>
            <w:tcW w:w="1380" w:type="dxa"/>
            <w:vAlign w:val="bottom"/>
            <w:tcBorders>
              <w:bottom w:val="single" w:sz="8" w:color="B3B0AC"/>
            </w:tcBorders>
          </w:tcPr>
          <w:p>
            <w:pPr>
              <w:jc w:val="right"/>
              <w:ind w:right="46"/>
              <w:spacing w:after="0"/>
              <w:rPr>
                <w:sz w:val="20"/>
                <w:szCs w:val="20"/>
                <w:color w:val="auto"/>
              </w:rPr>
            </w:pPr>
            <w:r>
              <w:rPr>
                <w:rFonts w:ascii="Verdana" w:cs="Verdana" w:eastAsia="Verdana" w:hAnsi="Verdana"/>
                <w:sz w:val="11"/>
                <w:szCs w:val="11"/>
                <w:color w:val="auto"/>
              </w:rPr>
              <w:t>518</w:t>
            </w:r>
          </w:p>
        </w:tc>
        <w:tc>
          <w:tcPr>
            <w:tcW w:w="1340" w:type="dxa"/>
            <w:vAlign w:val="bottom"/>
            <w:tcBorders>
              <w:bottom w:val="single" w:sz="8" w:color="B3B0AC"/>
            </w:tcBorders>
          </w:tcPr>
          <w:p>
            <w:pPr>
              <w:jc w:val="right"/>
              <w:ind w:right="66"/>
              <w:spacing w:after="0"/>
              <w:rPr>
                <w:sz w:val="20"/>
                <w:szCs w:val="20"/>
                <w:color w:val="auto"/>
              </w:rPr>
            </w:pPr>
            <w:r>
              <w:rPr>
                <w:rFonts w:ascii="Verdana" w:cs="Verdana" w:eastAsia="Verdana" w:hAnsi="Verdana"/>
                <w:sz w:val="11"/>
                <w:szCs w:val="11"/>
                <w:color w:val="auto"/>
              </w:rPr>
              <w:t>2,184</w:t>
            </w:r>
          </w:p>
        </w:tc>
        <w:tc>
          <w:tcPr>
            <w:tcW w:w="1280" w:type="dxa"/>
            <w:vAlign w:val="bottom"/>
            <w:tcBorders>
              <w:bottom w:val="single" w:sz="8" w:color="B3B0AC"/>
            </w:tcBorders>
          </w:tcPr>
          <w:p>
            <w:pPr>
              <w:jc w:val="right"/>
              <w:ind w:right="26"/>
              <w:spacing w:after="0"/>
              <w:rPr>
                <w:sz w:val="20"/>
                <w:szCs w:val="20"/>
                <w:color w:val="auto"/>
              </w:rPr>
            </w:pPr>
            <w:r>
              <w:rPr>
                <w:rFonts w:ascii="Verdana" w:cs="Verdana" w:eastAsia="Verdana" w:hAnsi="Verdana"/>
                <w:sz w:val="11"/>
                <w:szCs w:val="11"/>
                <w:color w:val="auto"/>
              </w:rPr>
              <w:t>2,909</w:t>
            </w:r>
          </w:p>
        </w:tc>
        <w:tc>
          <w:tcPr>
            <w:tcW w:w="1320" w:type="dxa"/>
            <w:vAlign w:val="bottom"/>
            <w:tcBorders>
              <w:bottom w:val="single" w:sz="8" w:color="B3B0AC"/>
            </w:tcBorders>
          </w:tcPr>
          <w:p>
            <w:pPr>
              <w:jc w:val="right"/>
              <w:ind w:right="26"/>
              <w:spacing w:after="0"/>
              <w:rPr>
                <w:sz w:val="20"/>
                <w:szCs w:val="20"/>
                <w:color w:val="auto"/>
              </w:rPr>
            </w:pPr>
            <w:r>
              <w:rPr>
                <w:rFonts w:ascii="Verdana" w:cs="Verdana" w:eastAsia="Verdana" w:hAnsi="Verdana"/>
                <w:sz w:val="11"/>
                <w:szCs w:val="11"/>
                <w:color w:val="auto"/>
              </w:rPr>
              <w:t>—</w:t>
            </w:r>
          </w:p>
        </w:tc>
        <w:tc>
          <w:tcPr>
            <w:tcW w:w="1320" w:type="dxa"/>
            <w:vAlign w:val="bottom"/>
            <w:tcBorders>
              <w:bottom w:val="single" w:sz="8" w:color="B3B0AC"/>
            </w:tcBorders>
          </w:tcPr>
          <w:p>
            <w:pPr>
              <w:jc w:val="right"/>
              <w:ind w:right="26"/>
              <w:spacing w:after="0"/>
              <w:rPr>
                <w:sz w:val="20"/>
                <w:szCs w:val="20"/>
                <w:color w:val="auto"/>
              </w:rPr>
            </w:pPr>
            <w:r>
              <w:rPr>
                <w:rFonts w:ascii="Verdana" w:cs="Verdana" w:eastAsia="Verdana" w:hAnsi="Verdana"/>
                <w:sz w:val="11"/>
                <w:szCs w:val="11"/>
                <w:color w:val="auto"/>
              </w:rPr>
              <w:t>1,364</w:t>
            </w:r>
          </w:p>
        </w:tc>
        <w:tc>
          <w:tcPr>
            <w:tcW w:w="1340" w:type="dxa"/>
            <w:vAlign w:val="bottom"/>
            <w:tcBorders>
              <w:bottom w:val="single" w:sz="8" w:color="B3B0AC"/>
            </w:tcBorders>
          </w:tcPr>
          <w:p>
            <w:pPr>
              <w:jc w:val="right"/>
              <w:ind w:right="46"/>
              <w:spacing w:after="0"/>
              <w:rPr>
                <w:sz w:val="20"/>
                <w:szCs w:val="20"/>
                <w:color w:val="auto"/>
              </w:rPr>
            </w:pPr>
            <w:r>
              <w:rPr>
                <w:rFonts w:ascii="Verdana" w:cs="Verdana" w:eastAsia="Verdana" w:hAnsi="Verdana"/>
                <w:sz w:val="11"/>
                <w:szCs w:val="11"/>
                <w:color w:val="auto"/>
              </w:rPr>
              <w:t>1,562</w:t>
            </w:r>
          </w:p>
        </w:tc>
        <w:tc>
          <w:tcPr>
            <w:tcW w:w="1300" w:type="dxa"/>
            <w:vAlign w:val="bottom"/>
            <w:tcBorders>
              <w:bottom w:val="single" w:sz="8" w:color="B3B0AC"/>
            </w:tcBorders>
          </w:tcPr>
          <w:p>
            <w:pPr>
              <w:jc w:val="right"/>
              <w:ind w:right="6"/>
              <w:spacing w:after="0"/>
              <w:rPr>
                <w:sz w:val="20"/>
                <w:szCs w:val="20"/>
                <w:color w:val="auto"/>
              </w:rPr>
            </w:pPr>
            <w:r>
              <w:rPr>
                <w:rFonts w:ascii="Verdana" w:cs="Verdana" w:eastAsia="Verdana" w:hAnsi="Verdana"/>
                <w:sz w:val="11"/>
                <w:szCs w:val="11"/>
                <w:color w:val="auto"/>
              </w:rPr>
              <w:t>2,137</w:t>
            </w:r>
          </w:p>
        </w:tc>
      </w:tr>
    </w:tbl>
    <w:p>
      <w:pPr>
        <w:spacing w:after="0" w:line="85" w:lineRule="exact"/>
        <w:rPr>
          <w:sz w:val="20"/>
          <w:szCs w:val="20"/>
          <w:color w:val="auto"/>
        </w:rPr>
      </w:pPr>
    </w:p>
    <w:p>
      <w:pPr>
        <w:ind w:left="660"/>
        <w:spacing w:after="0"/>
        <w:rPr>
          <w:sz w:val="20"/>
          <w:szCs w:val="20"/>
          <w:color w:val="auto"/>
        </w:rPr>
      </w:pPr>
      <w:r>
        <w:rPr>
          <w:rFonts w:ascii="Verdana" w:cs="Verdana" w:eastAsia="Verdana" w:hAnsi="Verdana"/>
          <w:sz w:val="14"/>
          <w:szCs w:val="14"/>
          <w:color w:val="auto"/>
        </w:rPr>
        <w:t>(A) RSUs granted in 2022, 2023 and 2024 vest in equal installments on the first three anniversaries of the grant date.</w:t>
      </w:r>
    </w:p>
    <w:p>
      <w:pPr>
        <w:spacing w:after="0" w:line="5" w:lineRule="exact"/>
        <w:rPr>
          <w:sz w:val="20"/>
          <w:szCs w:val="20"/>
          <w:color w:val="auto"/>
        </w:rPr>
      </w:pPr>
    </w:p>
    <w:p>
      <w:pPr>
        <w:jc w:val="both"/>
        <w:ind w:left="660" w:right="160" w:hanging="328"/>
        <w:spacing w:after="0" w:line="241" w:lineRule="auto"/>
        <w:tabs>
          <w:tab w:leader="none" w:pos="616" w:val="left"/>
        </w:tabs>
        <w:numPr>
          <w:ilvl w:val="1"/>
          <w:numId w:val="99"/>
        </w:numPr>
        <w:rPr>
          <w:rFonts w:ascii="Verdana" w:cs="Verdana" w:eastAsia="Verdana" w:hAnsi="Verdana"/>
          <w:sz w:val="14"/>
          <w:szCs w:val="14"/>
          <w:color w:val="auto"/>
        </w:rPr>
      </w:pPr>
      <w:r>
        <w:rPr>
          <w:rFonts w:ascii="Verdana" w:cs="Verdana" w:eastAsia="Verdana" w:hAnsi="Verdana"/>
          <w:sz w:val="14"/>
          <w:szCs w:val="14"/>
          <w:color w:val="auto"/>
        </w:rPr>
        <w:t xml:space="preserve">Mr. Cardew's Special RSU award vests in two equal installments on December 31, 2026 and December 31, 2027; Mr. Orsini's Special RSU award vests in three equal installments on the third, fourth, and fifth anniversaries of the grant date. For more information on the Special RSU grants, see "Special RSU Awards" on page </w:t>
      </w:r>
      <w:r>
        <w:rPr>
          <w:rFonts w:ascii="Verdana" w:cs="Verdana" w:eastAsia="Verdana" w:hAnsi="Verdana"/>
          <w:sz w:val="14"/>
          <w:szCs w:val="14"/>
          <w:u w:val="single" w:color="auto"/>
          <w:color w:val="0000FF"/>
        </w:rPr>
        <w:t>51</w:t>
      </w:r>
      <w:r>
        <w:rPr>
          <w:rFonts w:ascii="Verdana" w:cs="Verdana" w:eastAsia="Verdana" w:hAnsi="Verdana"/>
          <w:sz w:val="14"/>
          <w:szCs w:val="14"/>
          <w:color w:val="auto"/>
        </w:rPr>
        <w:t>.</w:t>
      </w:r>
    </w:p>
    <w:p>
      <w:pPr>
        <w:ind w:left="340" w:right="20" w:hanging="332"/>
        <w:spacing w:after="0" w:line="242" w:lineRule="auto"/>
        <w:tabs>
          <w:tab w:leader="none" w:pos="332" w:val="left"/>
        </w:tabs>
        <w:numPr>
          <w:ilvl w:val="0"/>
          <w:numId w:val="100"/>
        </w:numPr>
        <w:rPr>
          <w:rFonts w:ascii="Verdana" w:cs="Verdana" w:eastAsia="Verdana" w:hAnsi="Verdana"/>
          <w:sz w:val="13"/>
          <w:szCs w:val="13"/>
          <w:color w:val="auto"/>
        </w:rPr>
      </w:pPr>
      <w:r>
        <w:rPr>
          <w:rFonts w:ascii="Verdana" w:cs="Verdana" w:eastAsia="Verdana" w:hAnsi="Verdana"/>
          <w:sz w:val="14"/>
          <w:szCs w:val="14"/>
          <w:color w:val="auto"/>
        </w:rPr>
        <w:t>The total values equal the total number of RSUs held by each NEO multiplied by the market price of Company common stock at the close of the last trading day in 2024, which was $94.70 per share, plus the following accrued dividend equivalents and interest at the prime rate (which are paid if and when the underlying RSUs vest and are distributed): Mr. Scott - $440,550, Mr. Cardew - $157,972, Mr. Orsini - $172,116, Mr. Esposito - $99,967, Mr. Kemp - $68,172 and Ms. Davis - $47,340.</w:t>
      </w:r>
    </w:p>
    <w:p>
      <w:pPr>
        <w:spacing w:after="0" w:line="2" w:lineRule="exact"/>
        <w:rPr>
          <w:rFonts w:ascii="Verdana" w:cs="Verdana" w:eastAsia="Verdana" w:hAnsi="Verdana"/>
          <w:sz w:val="13"/>
          <w:szCs w:val="13"/>
          <w:color w:val="auto"/>
        </w:rPr>
      </w:pPr>
    </w:p>
    <w:p>
      <w:pPr>
        <w:ind w:left="340" w:right="40" w:hanging="332"/>
        <w:spacing w:after="0" w:line="248" w:lineRule="auto"/>
        <w:tabs>
          <w:tab w:leader="none" w:pos="332" w:val="left"/>
        </w:tabs>
        <w:numPr>
          <w:ilvl w:val="0"/>
          <w:numId w:val="100"/>
        </w:numPr>
        <w:rPr>
          <w:rFonts w:ascii="Verdana" w:cs="Verdana" w:eastAsia="Verdana" w:hAnsi="Verdana"/>
          <w:sz w:val="13"/>
          <w:szCs w:val="13"/>
          <w:color w:val="auto"/>
        </w:rPr>
      </w:pPr>
      <w:r>
        <w:rPr>
          <w:rFonts w:ascii="Verdana" w:cs="Verdana" w:eastAsia="Verdana" w:hAnsi="Verdana"/>
          <w:sz w:val="14"/>
          <w:szCs w:val="14"/>
          <w:color w:val="auto"/>
        </w:rPr>
        <w:t>The total amounts and values represent the total number of Performance Shares, at the target level for the 2024-2026 performance period and at maximum level for the 2023-2025 performance period, held by each NEO multiplied by the market price of Company common stock at the close of the last trading day in 2024, which was $94.70 per share, plus the following accrued dividend equivalents and interest at the prime rate (which are paid if and when the underlying Performance Shares vest and are distributed): Mr. Scott - $1,131,248, Mr. Cardew - $304,475, Mr. Orsini - $304,475, Mr. Esposito - $184,062, Mr. Kemp - $159,839 and Ms. Davis $123,125. These amounts exclude Performance Shares for the 2022-2024 performance period that vested based on performance through December 31, 2024, and are reported in the 2024 Options Exercised and Stock Vested table below.</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61</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516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3346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Verdana" w:cs="Verdana" w:eastAsia="Verdana" w:hAnsi="Verdana"/>
          <w:sz w:val="16"/>
          <w:szCs w:val="16"/>
          <w:b w:val="1"/>
          <w:bCs w:val="1"/>
          <w:color w:val="F0EFEE"/>
        </w:rPr>
        <w:t>2024 Options Exercised and Stock Vested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2220" w:type="dxa"/>
            <w:vAlign w:val="bottom"/>
            <w:tcBorders>
              <w:bottom w:val="single" w:sz="8" w:color="1D428A"/>
            </w:tcBorders>
            <w:gridSpan w:val="2"/>
          </w:tcPr>
          <w:p>
            <w:pPr>
              <w:ind w:left="720"/>
              <w:spacing w:after="0"/>
              <w:rPr>
                <w:sz w:val="20"/>
                <w:szCs w:val="20"/>
                <w:color w:val="auto"/>
              </w:rPr>
            </w:pPr>
            <w:r>
              <w:rPr>
                <w:rFonts w:ascii="Verdana" w:cs="Verdana" w:eastAsia="Verdana" w:hAnsi="Verdana"/>
                <w:sz w:val="12"/>
                <w:szCs w:val="12"/>
                <w:b w:val="1"/>
                <w:bCs w:val="1"/>
                <w:color w:val="307FE2"/>
              </w:rPr>
              <w:t>Option Awards</w:t>
            </w:r>
          </w:p>
        </w:tc>
        <w:tc>
          <w:tcPr>
            <w:tcW w:w="200" w:type="dxa"/>
            <w:vAlign w:val="bottom"/>
            <w:tcBorders>
              <w:bottom w:val="single" w:sz="8" w:color="1D428A"/>
            </w:tcBorders>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Borders>
              <w:bottom w:val="single" w:sz="8" w:color="1D428A"/>
            </w:tcBorders>
            <w:gridSpan w:val="2"/>
          </w:tcPr>
          <w:p>
            <w:pPr>
              <w:jc w:val="right"/>
              <w:ind w:right="922"/>
              <w:spacing w:after="0"/>
              <w:rPr>
                <w:sz w:val="20"/>
                <w:szCs w:val="20"/>
                <w:color w:val="auto"/>
              </w:rPr>
            </w:pPr>
            <w:r>
              <w:rPr>
                <w:rFonts w:ascii="Verdana" w:cs="Verdana" w:eastAsia="Verdana" w:hAnsi="Verdana"/>
                <w:sz w:val="12"/>
                <w:szCs w:val="12"/>
                <w:b w:val="1"/>
                <w:bCs w:val="1"/>
                <w:color w:val="307FE2"/>
              </w:rPr>
              <w:t>Stock Awards</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040" w:type="dxa"/>
            <w:vAlign w:val="bottom"/>
          </w:tcPr>
          <w:p>
            <w:pPr>
              <w:jc w:val="center"/>
              <w:ind w:left="122"/>
              <w:spacing w:after="0"/>
              <w:rPr>
                <w:sz w:val="20"/>
                <w:szCs w:val="20"/>
                <w:color w:val="auto"/>
              </w:rPr>
            </w:pPr>
            <w:r>
              <w:rPr>
                <w:rFonts w:ascii="Verdana" w:cs="Verdana" w:eastAsia="Verdana" w:hAnsi="Verdana"/>
                <w:sz w:val="12"/>
                <w:szCs w:val="12"/>
                <w:b w:val="1"/>
                <w:bCs w:val="1"/>
                <w:color w:val="307FE2"/>
                <w:w w:val="98"/>
              </w:rPr>
              <w:t>Number of</w:t>
            </w:r>
          </w:p>
        </w:tc>
        <w:tc>
          <w:tcPr>
            <w:tcW w:w="1180" w:type="dxa"/>
            <w:vAlign w:val="bottom"/>
            <w:vMerge w:val="restart"/>
          </w:tcPr>
          <w:p>
            <w:pPr>
              <w:jc w:val="center"/>
              <w:ind w:left="342"/>
              <w:spacing w:after="0"/>
              <w:rPr>
                <w:sz w:val="20"/>
                <w:szCs w:val="20"/>
                <w:color w:val="auto"/>
              </w:rPr>
            </w:pPr>
            <w:r>
              <w:rPr>
                <w:rFonts w:ascii="Verdana" w:cs="Verdana" w:eastAsia="Verdana" w:hAnsi="Verdana"/>
                <w:sz w:val="12"/>
                <w:szCs w:val="12"/>
                <w:b w:val="1"/>
                <w:bCs w:val="1"/>
                <w:color w:val="307FE2"/>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center"/>
              <w:ind w:right="102"/>
              <w:spacing w:after="0"/>
              <w:rPr>
                <w:sz w:val="20"/>
                <w:szCs w:val="20"/>
                <w:color w:val="auto"/>
              </w:rPr>
            </w:pPr>
            <w:r>
              <w:rPr>
                <w:rFonts w:ascii="Verdana" w:cs="Verdana" w:eastAsia="Verdana" w:hAnsi="Verdana"/>
                <w:sz w:val="12"/>
                <w:szCs w:val="12"/>
                <w:b w:val="1"/>
                <w:bCs w:val="1"/>
                <w:color w:val="307FE2"/>
                <w:w w:val="95"/>
              </w:rPr>
              <w:t>Number of</w:t>
            </w:r>
          </w:p>
        </w:tc>
        <w:tc>
          <w:tcPr>
            <w:tcW w:w="1260" w:type="dxa"/>
            <w:vAlign w:val="bottom"/>
            <w:vMerge w:val="restart"/>
          </w:tcPr>
          <w:p>
            <w:pPr>
              <w:jc w:val="center"/>
              <w:ind w:right="102"/>
              <w:spacing w:after="0"/>
              <w:rPr>
                <w:sz w:val="20"/>
                <w:szCs w:val="20"/>
                <w:color w:val="auto"/>
              </w:rPr>
            </w:pPr>
            <w:r>
              <w:rPr>
                <w:rFonts w:ascii="Verdana" w:cs="Verdana" w:eastAsia="Verdana" w:hAnsi="Verdana"/>
                <w:sz w:val="12"/>
                <w:szCs w:val="12"/>
                <w:b w:val="1"/>
                <w:bCs w:val="1"/>
                <w:color w:val="307FE2"/>
              </w:rPr>
              <w:t>Value</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40" w:type="dxa"/>
            <w:vAlign w:val="bottom"/>
          </w:tcPr>
          <w:p>
            <w:pPr>
              <w:jc w:val="center"/>
              <w:ind w:left="122"/>
              <w:spacing w:after="0" w:line="135" w:lineRule="exact"/>
              <w:rPr>
                <w:sz w:val="20"/>
                <w:szCs w:val="20"/>
                <w:color w:val="auto"/>
              </w:rPr>
            </w:pPr>
            <w:r>
              <w:rPr>
                <w:rFonts w:ascii="Verdana" w:cs="Verdana" w:eastAsia="Verdana" w:hAnsi="Verdana"/>
                <w:sz w:val="12"/>
                <w:szCs w:val="12"/>
                <w:b w:val="1"/>
                <w:bCs w:val="1"/>
                <w:color w:val="307FE2"/>
                <w:w w:val="99"/>
              </w:rPr>
              <w:t>Shares</w:t>
            </w:r>
          </w:p>
        </w:tc>
        <w:tc>
          <w:tcPr>
            <w:tcW w:w="11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40" w:type="dxa"/>
            <w:vAlign w:val="bottom"/>
          </w:tcPr>
          <w:p>
            <w:pPr>
              <w:jc w:val="center"/>
              <w:ind w:left="122"/>
              <w:spacing w:after="0" w:line="135" w:lineRule="exact"/>
              <w:rPr>
                <w:sz w:val="20"/>
                <w:szCs w:val="20"/>
                <w:color w:val="auto"/>
              </w:rPr>
            </w:pPr>
            <w:r>
              <w:rPr>
                <w:rFonts w:ascii="Verdana" w:cs="Verdana" w:eastAsia="Verdana" w:hAnsi="Verdana"/>
                <w:sz w:val="12"/>
                <w:szCs w:val="12"/>
                <w:b w:val="1"/>
                <w:bCs w:val="1"/>
                <w:color w:val="307FE2"/>
                <w:w w:val="96"/>
              </w:rPr>
              <w:t>Acquired on</w:t>
            </w:r>
          </w:p>
        </w:tc>
        <w:tc>
          <w:tcPr>
            <w:tcW w:w="1180" w:type="dxa"/>
            <w:vAlign w:val="bottom"/>
          </w:tcPr>
          <w:p>
            <w:pPr>
              <w:jc w:val="center"/>
              <w:ind w:left="322"/>
              <w:spacing w:after="0" w:line="135" w:lineRule="exact"/>
              <w:rPr>
                <w:sz w:val="20"/>
                <w:szCs w:val="20"/>
                <w:color w:val="auto"/>
              </w:rPr>
            </w:pPr>
            <w:r>
              <w:rPr>
                <w:rFonts w:ascii="Verdana" w:cs="Verdana" w:eastAsia="Verdana" w:hAnsi="Verdana"/>
                <w:sz w:val="12"/>
                <w:szCs w:val="12"/>
                <w:b w:val="1"/>
                <w:bCs w:val="1"/>
                <w:color w:val="307FE2"/>
                <w:w w:val="97"/>
              </w:rPr>
              <w:t>Realized 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102"/>
              <w:spacing w:after="0" w:line="135" w:lineRule="exact"/>
              <w:rPr>
                <w:sz w:val="20"/>
                <w:szCs w:val="20"/>
                <w:color w:val="auto"/>
              </w:rPr>
            </w:pPr>
            <w:r>
              <w:rPr>
                <w:rFonts w:ascii="Verdana" w:cs="Verdana" w:eastAsia="Verdana" w:hAnsi="Verdana"/>
                <w:sz w:val="12"/>
                <w:szCs w:val="12"/>
                <w:b w:val="1"/>
                <w:bCs w:val="1"/>
                <w:color w:val="307FE2"/>
                <w:w w:val="98"/>
              </w:rPr>
              <w:t>Shares Acquired</w:t>
            </w:r>
          </w:p>
        </w:tc>
        <w:tc>
          <w:tcPr>
            <w:tcW w:w="1260" w:type="dxa"/>
            <w:vAlign w:val="bottom"/>
          </w:tcPr>
          <w:p>
            <w:pPr>
              <w:jc w:val="center"/>
              <w:ind w:right="82"/>
              <w:spacing w:after="0" w:line="135" w:lineRule="exact"/>
              <w:rPr>
                <w:sz w:val="20"/>
                <w:szCs w:val="20"/>
                <w:color w:val="auto"/>
              </w:rPr>
            </w:pPr>
            <w:r>
              <w:rPr>
                <w:rFonts w:ascii="Verdana" w:cs="Verdana" w:eastAsia="Verdana" w:hAnsi="Verdana"/>
                <w:sz w:val="12"/>
                <w:szCs w:val="12"/>
                <w:b w:val="1"/>
                <w:bCs w:val="1"/>
                <w:color w:val="307FE2"/>
                <w:w w:val="97"/>
              </w:rPr>
              <w:t>Realized on</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40" w:type="dxa"/>
            <w:vAlign w:val="bottom"/>
          </w:tcPr>
          <w:p>
            <w:pPr>
              <w:jc w:val="center"/>
              <w:ind w:left="122"/>
              <w:spacing w:after="0" w:line="135" w:lineRule="exact"/>
              <w:rPr>
                <w:sz w:val="20"/>
                <w:szCs w:val="20"/>
                <w:color w:val="auto"/>
              </w:rPr>
            </w:pPr>
            <w:r>
              <w:rPr>
                <w:rFonts w:ascii="Verdana" w:cs="Verdana" w:eastAsia="Verdana" w:hAnsi="Verdana"/>
                <w:sz w:val="12"/>
                <w:szCs w:val="12"/>
                <w:b w:val="1"/>
                <w:bCs w:val="1"/>
                <w:color w:val="307FE2"/>
                <w:w w:val="95"/>
              </w:rPr>
              <w:t>Exercise</w:t>
            </w:r>
          </w:p>
        </w:tc>
        <w:tc>
          <w:tcPr>
            <w:tcW w:w="1180" w:type="dxa"/>
            <w:vAlign w:val="bottom"/>
          </w:tcPr>
          <w:p>
            <w:pPr>
              <w:jc w:val="center"/>
              <w:ind w:left="342"/>
              <w:spacing w:after="0" w:line="135" w:lineRule="exact"/>
              <w:rPr>
                <w:sz w:val="20"/>
                <w:szCs w:val="20"/>
                <w:color w:val="auto"/>
              </w:rPr>
            </w:pPr>
            <w:r>
              <w:rPr>
                <w:rFonts w:ascii="Verdana" w:cs="Verdana" w:eastAsia="Verdana" w:hAnsi="Verdana"/>
                <w:sz w:val="12"/>
                <w:szCs w:val="12"/>
                <w:b w:val="1"/>
                <w:bCs w:val="1"/>
                <w:color w:val="307FE2"/>
                <w:w w:val="95"/>
              </w:rPr>
              <w:t>Exercise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102"/>
              <w:spacing w:after="0" w:line="135" w:lineRule="exact"/>
              <w:rPr>
                <w:sz w:val="20"/>
                <w:szCs w:val="20"/>
                <w:color w:val="auto"/>
              </w:rPr>
            </w:pPr>
            <w:r>
              <w:rPr>
                <w:rFonts w:ascii="Verdana" w:cs="Verdana" w:eastAsia="Verdana" w:hAnsi="Verdana"/>
                <w:sz w:val="11"/>
                <w:szCs w:val="11"/>
                <w:b w:val="1"/>
                <w:bCs w:val="1"/>
                <w:color w:val="307FE2"/>
              </w:rPr>
              <w:t>on Vesting</w:t>
            </w:r>
            <w:r>
              <w:rPr>
                <w:rFonts w:ascii="Verdana" w:cs="Verdana" w:eastAsia="Verdana" w:hAnsi="Verdana"/>
                <w:sz w:val="14"/>
                <w:szCs w:val="14"/>
                <w:b w:val="1"/>
                <w:bCs w:val="1"/>
                <w:color w:val="307FE2"/>
                <w:vertAlign w:val="superscript"/>
              </w:rPr>
              <w:t>(1)</w:t>
            </w:r>
          </w:p>
        </w:tc>
        <w:tc>
          <w:tcPr>
            <w:tcW w:w="1260" w:type="dxa"/>
            <w:vAlign w:val="bottom"/>
          </w:tcPr>
          <w:p>
            <w:pPr>
              <w:jc w:val="center"/>
              <w:ind w:right="102"/>
              <w:spacing w:after="0" w:line="135" w:lineRule="exact"/>
              <w:rPr>
                <w:sz w:val="20"/>
                <w:szCs w:val="20"/>
                <w:color w:val="auto"/>
              </w:rPr>
            </w:pPr>
            <w:r>
              <w:rPr>
                <w:rFonts w:ascii="Verdana" w:cs="Verdana" w:eastAsia="Verdana" w:hAnsi="Verdana"/>
                <w:sz w:val="11"/>
                <w:szCs w:val="11"/>
                <w:b w:val="1"/>
                <w:bCs w:val="1"/>
                <w:color w:val="307FE2"/>
                <w:w w:val="97"/>
              </w:rPr>
              <w:t>Vesting</w:t>
            </w:r>
            <w:r>
              <w:rPr>
                <w:rFonts w:ascii="Verdana" w:cs="Verdana" w:eastAsia="Verdana" w:hAnsi="Verdana"/>
                <w:sz w:val="14"/>
                <w:szCs w:val="14"/>
                <w:b w:val="1"/>
                <w:bCs w:val="1"/>
                <w:color w:val="307FE2"/>
                <w:w w:val="97"/>
                <w:vertAlign w:val="superscript"/>
              </w:rPr>
              <w:t>(1)(2)</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1D428A"/>
            </w:tcBorders>
          </w:tcPr>
          <w:p>
            <w:pPr>
              <w:ind w:left="560"/>
              <w:spacing w:after="0"/>
              <w:rPr>
                <w:sz w:val="20"/>
                <w:szCs w:val="20"/>
                <w:color w:val="auto"/>
              </w:rPr>
            </w:pPr>
            <w:r>
              <w:rPr>
                <w:rFonts w:ascii="Verdana" w:cs="Verdana" w:eastAsia="Verdana" w:hAnsi="Verdana"/>
                <w:sz w:val="12"/>
                <w:szCs w:val="12"/>
                <w:b w:val="1"/>
                <w:bCs w:val="1"/>
                <w:color w:val="307FE2"/>
              </w:rPr>
              <w:t>Name</w:t>
            </w:r>
          </w:p>
        </w:tc>
        <w:tc>
          <w:tcPr>
            <w:tcW w:w="1040" w:type="dxa"/>
            <w:vAlign w:val="bottom"/>
            <w:tcBorders>
              <w:bottom w:val="single" w:sz="8" w:color="1D428A"/>
            </w:tcBorders>
          </w:tcPr>
          <w:p>
            <w:pPr>
              <w:jc w:val="center"/>
              <w:ind w:left="122"/>
              <w:spacing w:after="0"/>
              <w:rPr>
                <w:sz w:val="20"/>
                <w:szCs w:val="20"/>
                <w:color w:val="auto"/>
              </w:rPr>
            </w:pPr>
            <w:r>
              <w:rPr>
                <w:rFonts w:ascii="Verdana" w:cs="Verdana" w:eastAsia="Verdana" w:hAnsi="Verdana"/>
                <w:sz w:val="12"/>
                <w:szCs w:val="12"/>
                <w:b w:val="1"/>
                <w:bCs w:val="1"/>
                <w:color w:val="307FE2"/>
                <w:w w:val="93"/>
              </w:rPr>
              <w:t>(#)</w:t>
            </w:r>
          </w:p>
        </w:tc>
        <w:tc>
          <w:tcPr>
            <w:tcW w:w="1180" w:type="dxa"/>
            <w:vAlign w:val="bottom"/>
            <w:tcBorders>
              <w:bottom w:val="single" w:sz="8" w:color="1D428A"/>
            </w:tcBorders>
          </w:tcPr>
          <w:p>
            <w:pPr>
              <w:jc w:val="center"/>
              <w:ind w:left="342"/>
              <w:spacing w:after="0"/>
              <w:rPr>
                <w:sz w:val="20"/>
                <w:szCs w:val="20"/>
                <w:color w:val="auto"/>
              </w:rPr>
            </w:pPr>
            <w:r>
              <w:rPr>
                <w:rFonts w:ascii="Verdana" w:cs="Verdana" w:eastAsia="Verdana" w:hAnsi="Verdana"/>
                <w:sz w:val="12"/>
                <w:szCs w:val="12"/>
                <w:b w:val="1"/>
                <w:bCs w:val="1"/>
                <w:color w:val="307FE2"/>
              </w:rPr>
              <w:t>($)</w:t>
            </w:r>
          </w:p>
        </w:tc>
        <w:tc>
          <w:tcPr>
            <w:tcW w:w="200" w:type="dxa"/>
            <w:vAlign w:val="bottom"/>
            <w:tcBorders>
              <w:bottom w:val="single" w:sz="8" w:color="1D428A"/>
            </w:tcBorders>
          </w:tcPr>
          <w:p>
            <w:pPr>
              <w:spacing w:after="0"/>
              <w:rPr>
                <w:sz w:val="15"/>
                <w:szCs w:val="15"/>
                <w:color w:val="auto"/>
              </w:rPr>
            </w:pPr>
          </w:p>
        </w:tc>
        <w:tc>
          <w:tcPr>
            <w:tcW w:w="100" w:type="dxa"/>
            <w:vAlign w:val="bottom"/>
            <w:tcBorders>
              <w:bottom w:val="single" w:sz="8" w:color="1D428A"/>
            </w:tcBorders>
          </w:tcPr>
          <w:p>
            <w:pPr>
              <w:spacing w:after="0"/>
              <w:rPr>
                <w:sz w:val="15"/>
                <w:szCs w:val="15"/>
                <w:color w:val="auto"/>
              </w:rPr>
            </w:pPr>
          </w:p>
        </w:tc>
        <w:tc>
          <w:tcPr>
            <w:tcW w:w="1600" w:type="dxa"/>
            <w:vAlign w:val="bottom"/>
            <w:tcBorders>
              <w:bottom w:val="single" w:sz="8" w:color="1D428A"/>
            </w:tcBorders>
          </w:tcPr>
          <w:p>
            <w:pPr>
              <w:jc w:val="center"/>
              <w:ind w:right="102"/>
              <w:spacing w:after="0"/>
              <w:rPr>
                <w:sz w:val="20"/>
                <w:szCs w:val="20"/>
                <w:color w:val="auto"/>
              </w:rPr>
            </w:pPr>
            <w:r>
              <w:rPr>
                <w:rFonts w:ascii="Verdana" w:cs="Verdana" w:eastAsia="Verdana" w:hAnsi="Verdana"/>
                <w:sz w:val="12"/>
                <w:szCs w:val="12"/>
                <w:b w:val="1"/>
                <w:bCs w:val="1"/>
                <w:color w:val="307FE2"/>
              </w:rPr>
              <w:t>(#)</w:t>
            </w:r>
          </w:p>
        </w:tc>
        <w:tc>
          <w:tcPr>
            <w:tcW w:w="1260" w:type="dxa"/>
            <w:vAlign w:val="bottom"/>
            <w:tcBorders>
              <w:bottom w:val="single" w:sz="8" w:color="1D428A"/>
            </w:tcBorders>
          </w:tcPr>
          <w:p>
            <w:pPr>
              <w:jc w:val="center"/>
              <w:ind w:right="102"/>
              <w:spacing w:after="0"/>
              <w:rPr>
                <w:sz w:val="20"/>
                <w:szCs w:val="20"/>
                <w:color w:val="auto"/>
              </w:rPr>
            </w:pPr>
            <w:r>
              <w:rPr>
                <w:rFonts w:ascii="Verdana" w:cs="Verdana" w:eastAsia="Verdana" w:hAnsi="Verdana"/>
                <w:sz w:val="12"/>
                <w:szCs w:val="12"/>
                <w:b w:val="1"/>
                <w:bCs w:val="1"/>
                <w:color w:val="307FE2"/>
              </w:rPr>
              <w:t>($)</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Raymond E. Scott</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53,543</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6,096,335</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Jason M. Cardew</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14,098</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1,599,835</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Frank C. Orsini</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14,479</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1,654,228</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Carl A. Esposito</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11,293</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1,284,660</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Harry A. Kemp</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8,672</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985,370</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696158"/>
            </w:tcBorders>
          </w:tcPr>
          <w:p>
            <w:pPr>
              <w:ind w:left="20"/>
              <w:spacing w:after="0"/>
              <w:rPr>
                <w:sz w:val="20"/>
                <w:szCs w:val="20"/>
                <w:color w:val="auto"/>
              </w:rPr>
            </w:pPr>
            <w:r>
              <w:rPr>
                <w:rFonts w:ascii="Verdana" w:cs="Verdana" w:eastAsia="Verdana" w:hAnsi="Verdana"/>
                <w:sz w:val="12"/>
                <w:szCs w:val="12"/>
                <w:b w:val="1"/>
                <w:bCs w:val="1"/>
                <w:color w:val="auto"/>
              </w:rPr>
              <w:t>Alicia J. Davis</w:t>
            </w:r>
          </w:p>
        </w:tc>
        <w:tc>
          <w:tcPr>
            <w:tcW w:w="1040" w:type="dxa"/>
            <w:vAlign w:val="bottom"/>
            <w:tcBorders>
              <w:bottom w:val="single" w:sz="8" w:color="696158"/>
            </w:tcBorders>
          </w:tcPr>
          <w:p>
            <w:pPr>
              <w:spacing w:after="0"/>
              <w:rPr>
                <w:sz w:val="15"/>
                <w:szCs w:val="15"/>
                <w:color w:val="auto"/>
              </w:rPr>
            </w:pPr>
          </w:p>
        </w:tc>
        <w:tc>
          <w:tcPr>
            <w:tcW w:w="1180" w:type="dxa"/>
            <w:vAlign w:val="bottom"/>
            <w:tcBorders>
              <w:bottom w:val="single" w:sz="8" w:color="696158"/>
            </w:tcBorders>
          </w:tcPr>
          <w:p>
            <w:pPr>
              <w:spacing w:after="0"/>
              <w:rPr>
                <w:sz w:val="15"/>
                <w:szCs w:val="15"/>
                <w:color w:val="auto"/>
              </w:rPr>
            </w:pPr>
          </w:p>
        </w:tc>
        <w:tc>
          <w:tcPr>
            <w:tcW w:w="200" w:type="dxa"/>
            <w:vAlign w:val="bottom"/>
            <w:tcBorders>
              <w:bottom w:val="single" w:sz="8" w:color="696158"/>
            </w:tcBorders>
          </w:tcPr>
          <w:p>
            <w:pPr>
              <w:spacing w:after="0"/>
              <w:rPr>
                <w:sz w:val="15"/>
                <w:szCs w:val="15"/>
                <w:color w:val="auto"/>
              </w:rPr>
            </w:pPr>
          </w:p>
        </w:tc>
        <w:tc>
          <w:tcPr>
            <w:tcW w:w="100" w:type="dxa"/>
            <w:vAlign w:val="bottom"/>
            <w:tcBorders>
              <w:bottom w:val="single" w:sz="8" w:color="696158"/>
            </w:tcBorders>
          </w:tcPr>
          <w:p>
            <w:pPr>
              <w:spacing w:after="0"/>
              <w:rPr>
                <w:sz w:val="15"/>
                <w:szCs w:val="15"/>
                <w:color w:val="auto"/>
              </w:rPr>
            </w:pPr>
          </w:p>
        </w:tc>
        <w:tc>
          <w:tcPr>
            <w:tcW w:w="1600" w:type="dxa"/>
            <w:vAlign w:val="bottom"/>
            <w:tcBorders>
              <w:bottom w:val="single" w:sz="8" w:color="696158"/>
            </w:tcBorders>
          </w:tcPr>
          <w:p>
            <w:pPr>
              <w:jc w:val="right"/>
              <w:ind w:right="122"/>
              <w:spacing w:after="0"/>
              <w:rPr>
                <w:sz w:val="20"/>
                <w:szCs w:val="20"/>
                <w:color w:val="auto"/>
              </w:rPr>
            </w:pPr>
            <w:r>
              <w:rPr>
                <w:rFonts w:ascii="Verdana" w:cs="Verdana" w:eastAsia="Verdana" w:hAnsi="Verdana"/>
                <w:sz w:val="12"/>
                <w:szCs w:val="12"/>
                <w:color w:val="auto"/>
              </w:rPr>
              <w:t>7,462</w:t>
            </w:r>
          </w:p>
        </w:tc>
        <w:tc>
          <w:tcPr>
            <w:tcW w:w="1260" w:type="dxa"/>
            <w:vAlign w:val="bottom"/>
            <w:tcBorders>
              <w:bottom w:val="single" w:sz="8" w:color="696158"/>
            </w:tcBorders>
          </w:tcPr>
          <w:p>
            <w:pPr>
              <w:jc w:val="right"/>
              <w:ind w:right="2"/>
              <w:spacing w:after="0"/>
              <w:rPr>
                <w:sz w:val="20"/>
                <w:szCs w:val="20"/>
                <w:color w:val="auto"/>
              </w:rPr>
            </w:pPr>
            <w:r>
              <w:rPr>
                <w:rFonts w:ascii="Verdana" w:cs="Verdana" w:eastAsia="Verdana" w:hAnsi="Verdana"/>
                <w:sz w:val="12"/>
                <w:szCs w:val="12"/>
                <w:color w:val="auto"/>
              </w:rPr>
              <w:t>871,314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48" w:lineRule="auto"/>
        <w:tabs>
          <w:tab w:leader="none" w:pos="332" w:val="left"/>
        </w:tabs>
        <w:numPr>
          <w:ilvl w:val="0"/>
          <w:numId w:val="101"/>
        </w:numPr>
        <w:rPr>
          <w:rFonts w:ascii="Verdana" w:cs="Verdana" w:eastAsia="Verdana" w:hAnsi="Verdana"/>
          <w:sz w:val="13"/>
          <w:szCs w:val="13"/>
          <w:color w:val="auto"/>
        </w:rPr>
      </w:pPr>
      <w:r>
        <w:rPr>
          <w:rFonts w:ascii="Verdana" w:cs="Verdana" w:eastAsia="Verdana" w:hAnsi="Verdana"/>
          <w:sz w:val="14"/>
          <w:szCs w:val="14"/>
          <w:color w:val="auto"/>
        </w:rPr>
        <w:t>For Messrs. Scott, Cardew, Orsini and Esposito, consists of 2021 RSU awards that cliff vested on January 4, 2024; for all NEOs, consists of the 2021 Career Shares that vested on November 17, 2024, and the Performance Shares for the three-year period ended December 31, 2024 (which were paid in 2025); for Mr. Kemp, also consists of the third tranche of his 2021 RSU award that vested on January 4, 2024, and the second tranche of his 2022 RSU award that vested on January 4, 2024; and for Ms. Davis, also consists of the third tranche of her 2021 RSU award that vested on January 4, 2024, the second tranche of her 2022 RSU award that vested on January 4, 2024, and the first tranche of her 2023 RSU award that vested on January 4, 2024, in the following amounts: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1360" w:type="dxa"/>
            <w:vAlign w:val="bottom"/>
            <w:tcBorders>
              <w:top w:val="single" w:sz="8" w:color="696158"/>
            </w:tcBorders>
          </w:tcPr>
          <w:p>
            <w:pPr>
              <w:spacing w:after="0"/>
              <w:rPr>
                <w:sz w:val="14"/>
                <w:szCs w:val="14"/>
                <w:color w:val="auto"/>
              </w:rPr>
            </w:pPr>
          </w:p>
        </w:tc>
        <w:tc>
          <w:tcPr>
            <w:tcW w:w="1300" w:type="dxa"/>
            <w:vAlign w:val="bottom"/>
            <w:tcBorders>
              <w:top w:val="single" w:sz="8" w:color="696158"/>
            </w:tcBorders>
          </w:tcPr>
          <w:p>
            <w:pPr>
              <w:jc w:val="center"/>
              <w:ind w:left="82"/>
              <w:spacing w:after="0"/>
              <w:rPr>
                <w:sz w:val="20"/>
                <w:szCs w:val="20"/>
                <w:color w:val="auto"/>
              </w:rPr>
            </w:pPr>
            <w:r>
              <w:rPr>
                <w:rFonts w:ascii="Verdana" w:cs="Verdana" w:eastAsia="Verdana" w:hAnsi="Verdana"/>
                <w:sz w:val="12"/>
                <w:szCs w:val="12"/>
                <w:b w:val="1"/>
                <w:bCs w:val="1"/>
                <w:color w:val="307FE2"/>
                <w:w w:val="95"/>
              </w:rPr>
              <w:t>Number of</w:t>
            </w:r>
          </w:p>
        </w:tc>
        <w:tc>
          <w:tcPr>
            <w:tcW w:w="1060" w:type="dxa"/>
            <w:vAlign w:val="bottom"/>
            <w:tcBorders>
              <w:top w:val="single" w:sz="8" w:color="696158"/>
            </w:tcBorders>
          </w:tcPr>
          <w:p>
            <w:pPr>
              <w:spacing w:after="0"/>
              <w:rPr>
                <w:sz w:val="14"/>
                <w:szCs w:val="14"/>
                <w:color w:val="auto"/>
              </w:rPr>
            </w:pPr>
          </w:p>
        </w:tc>
        <w:tc>
          <w:tcPr>
            <w:tcW w:w="1180" w:type="dxa"/>
            <w:vAlign w:val="bottom"/>
            <w:tcBorders>
              <w:top w:val="single" w:sz="8" w:color="696158"/>
            </w:tcBorders>
          </w:tcPr>
          <w:p>
            <w:pPr>
              <w:jc w:val="center"/>
              <w:ind w:right="2"/>
              <w:spacing w:after="0"/>
              <w:rPr>
                <w:sz w:val="20"/>
                <w:szCs w:val="20"/>
                <w:color w:val="auto"/>
              </w:rPr>
            </w:pPr>
            <w:r>
              <w:rPr>
                <w:rFonts w:ascii="Verdana" w:cs="Verdana" w:eastAsia="Verdana" w:hAnsi="Verdana"/>
                <w:sz w:val="12"/>
                <w:szCs w:val="12"/>
                <w:b w:val="1"/>
                <w:bCs w:val="1"/>
                <w:color w:val="307FE2"/>
                <w:w w:val="98"/>
              </w:rPr>
              <w:t>Number of 2021</w:t>
            </w:r>
          </w:p>
        </w:tc>
        <w:tc>
          <w:tcPr>
            <w:tcW w:w="1020" w:type="dxa"/>
            <w:vAlign w:val="bottom"/>
            <w:tcBorders>
              <w:top w:val="single" w:sz="8" w:color="696158"/>
            </w:tcBorders>
          </w:tcPr>
          <w:p>
            <w:pPr>
              <w:jc w:val="center"/>
              <w:ind w:right="2"/>
              <w:spacing w:after="0"/>
              <w:rPr>
                <w:sz w:val="20"/>
                <w:szCs w:val="20"/>
                <w:color w:val="auto"/>
              </w:rPr>
            </w:pPr>
            <w:r>
              <w:rPr>
                <w:rFonts w:ascii="Verdana" w:cs="Verdana" w:eastAsia="Verdana" w:hAnsi="Verdana"/>
                <w:sz w:val="12"/>
                <w:szCs w:val="12"/>
                <w:b w:val="1"/>
                <w:bCs w:val="1"/>
                <w:color w:val="307FE2"/>
                <w:w w:val="96"/>
              </w:rPr>
              <w:t>2021 Career</w:t>
            </w:r>
          </w:p>
        </w:tc>
        <w:tc>
          <w:tcPr>
            <w:tcW w:w="122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8"/>
              </w:rPr>
              <w:t>Number of</w:t>
            </w:r>
          </w:p>
        </w:tc>
        <w:tc>
          <w:tcPr>
            <w:tcW w:w="112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7"/>
              </w:rPr>
              <w:t>Performance</w:t>
            </w:r>
          </w:p>
        </w:tc>
      </w:tr>
      <w:tr>
        <w:trPr>
          <w:trHeight w:val="135"/>
        </w:trPr>
        <w:tc>
          <w:tcPr>
            <w:tcW w:w="1360" w:type="dxa"/>
            <w:vAlign w:val="bottom"/>
          </w:tcPr>
          <w:p>
            <w:pPr>
              <w:spacing w:after="0"/>
              <w:rPr>
                <w:sz w:val="11"/>
                <w:szCs w:val="11"/>
                <w:color w:val="auto"/>
              </w:rPr>
            </w:pPr>
          </w:p>
        </w:tc>
        <w:tc>
          <w:tcPr>
            <w:tcW w:w="2360" w:type="dxa"/>
            <w:vAlign w:val="bottom"/>
            <w:gridSpan w:val="2"/>
          </w:tcPr>
          <w:p>
            <w:pPr>
              <w:jc w:val="right"/>
              <w:spacing w:after="0" w:line="135" w:lineRule="exact"/>
              <w:rPr>
                <w:sz w:val="20"/>
                <w:szCs w:val="20"/>
                <w:color w:val="auto"/>
              </w:rPr>
            </w:pPr>
            <w:r>
              <w:rPr>
                <w:rFonts w:ascii="Verdana" w:cs="Verdana" w:eastAsia="Verdana" w:hAnsi="Verdana"/>
                <w:sz w:val="12"/>
                <w:szCs w:val="12"/>
                <w:b w:val="1"/>
                <w:bCs w:val="1"/>
                <w:color w:val="307FE2"/>
              </w:rPr>
              <w:t>2021-2023 RSU 2021-2023 RSU</w:t>
            </w:r>
          </w:p>
        </w:tc>
        <w:tc>
          <w:tcPr>
            <w:tcW w:w="118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6"/>
              </w:rPr>
              <w:t>Career Shares</w:t>
            </w:r>
          </w:p>
        </w:tc>
        <w:tc>
          <w:tcPr>
            <w:tcW w:w="102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8"/>
              </w:rPr>
              <w:t>Share Value</w:t>
            </w:r>
          </w:p>
        </w:tc>
        <w:tc>
          <w:tcPr>
            <w:tcW w:w="122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7"/>
              </w:rPr>
              <w:t>Performance</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5"/>
              </w:rPr>
              <w:t>Shares Value</w:t>
            </w:r>
          </w:p>
        </w:tc>
      </w:tr>
      <w:tr>
        <w:trPr>
          <w:trHeight w:val="149"/>
        </w:trPr>
        <w:tc>
          <w:tcPr>
            <w:tcW w:w="1360" w:type="dxa"/>
            <w:vAlign w:val="bottom"/>
          </w:tcPr>
          <w:p>
            <w:pPr>
              <w:spacing w:after="0"/>
              <w:rPr>
                <w:sz w:val="12"/>
                <w:szCs w:val="12"/>
                <w:color w:val="auto"/>
              </w:rPr>
            </w:pPr>
          </w:p>
        </w:tc>
        <w:tc>
          <w:tcPr>
            <w:tcW w:w="1300" w:type="dxa"/>
            <w:vAlign w:val="bottom"/>
          </w:tcPr>
          <w:p>
            <w:pPr>
              <w:jc w:val="center"/>
              <w:ind w:left="82"/>
              <w:spacing w:after="0"/>
              <w:rPr>
                <w:sz w:val="20"/>
                <w:szCs w:val="20"/>
                <w:color w:val="auto"/>
              </w:rPr>
            </w:pPr>
            <w:r>
              <w:rPr>
                <w:rFonts w:ascii="Verdana" w:cs="Verdana" w:eastAsia="Verdana" w:hAnsi="Verdana"/>
                <w:sz w:val="12"/>
                <w:szCs w:val="12"/>
                <w:b w:val="1"/>
                <w:bCs w:val="1"/>
                <w:color w:val="307FE2"/>
                <w:w w:val="98"/>
              </w:rPr>
              <w:t>Shares Acquired</w:t>
            </w:r>
          </w:p>
        </w:tc>
        <w:tc>
          <w:tcPr>
            <w:tcW w:w="106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Value Realized</w:t>
            </w:r>
          </w:p>
        </w:tc>
        <w:tc>
          <w:tcPr>
            <w:tcW w:w="1180" w:type="dxa"/>
            <w:vAlign w:val="bottom"/>
          </w:tcPr>
          <w:p>
            <w:pPr>
              <w:jc w:val="center"/>
              <w:ind w:right="2"/>
              <w:spacing w:after="0"/>
              <w:rPr>
                <w:sz w:val="20"/>
                <w:szCs w:val="20"/>
                <w:color w:val="auto"/>
              </w:rPr>
            </w:pPr>
            <w:r>
              <w:rPr>
                <w:rFonts w:ascii="Verdana" w:cs="Verdana" w:eastAsia="Verdana" w:hAnsi="Verdana"/>
                <w:sz w:val="12"/>
                <w:szCs w:val="12"/>
                <w:b w:val="1"/>
                <w:bCs w:val="1"/>
                <w:color w:val="307FE2"/>
                <w:w w:val="99"/>
              </w:rPr>
              <w:t>Acquired on</w:t>
            </w:r>
          </w:p>
        </w:tc>
        <w:tc>
          <w:tcPr>
            <w:tcW w:w="1020" w:type="dxa"/>
            <w:vAlign w:val="bottom"/>
          </w:tcPr>
          <w:p>
            <w:pPr>
              <w:jc w:val="center"/>
              <w:ind w:right="2"/>
              <w:spacing w:after="0"/>
              <w:rPr>
                <w:sz w:val="20"/>
                <w:szCs w:val="20"/>
                <w:color w:val="auto"/>
              </w:rPr>
            </w:pPr>
            <w:r>
              <w:rPr>
                <w:rFonts w:ascii="Verdana" w:cs="Verdana" w:eastAsia="Verdana" w:hAnsi="Verdana"/>
                <w:sz w:val="12"/>
                <w:szCs w:val="12"/>
                <w:b w:val="1"/>
                <w:bCs w:val="1"/>
                <w:color w:val="307FE2"/>
                <w:w w:val="97"/>
              </w:rPr>
              <w:t>Realized on</w:t>
            </w:r>
          </w:p>
        </w:tc>
        <w:tc>
          <w:tcPr>
            <w:tcW w:w="122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Shares Acquired</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Realized on</w:t>
            </w:r>
          </w:p>
        </w:tc>
      </w:tr>
      <w:tr>
        <w:trPr>
          <w:trHeight w:val="135"/>
        </w:trPr>
        <w:tc>
          <w:tcPr>
            <w:tcW w:w="1360" w:type="dxa"/>
            <w:vAlign w:val="bottom"/>
          </w:tcPr>
          <w:p>
            <w:pPr>
              <w:spacing w:after="0"/>
              <w:rPr>
                <w:sz w:val="11"/>
                <w:szCs w:val="11"/>
                <w:color w:val="auto"/>
              </w:rPr>
            </w:pPr>
          </w:p>
        </w:tc>
        <w:tc>
          <w:tcPr>
            <w:tcW w:w="1300" w:type="dxa"/>
            <w:vAlign w:val="bottom"/>
          </w:tcPr>
          <w:p>
            <w:pPr>
              <w:jc w:val="center"/>
              <w:ind w:left="62"/>
              <w:spacing w:after="0" w:line="135" w:lineRule="exact"/>
              <w:rPr>
                <w:sz w:val="20"/>
                <w:szCs w:val="20"/>
                <w:color w:val="auto"/>
              </w:rPr>
            </w:pPr>
            <w:r>
              <w:rPr>
                <w:rFonts w:ascii="Verdana" w:cs="Verdana" w:eastAsia="Verdana" w:hAnsi="Verdana"/>
                <w:sz w:val="12"/>
                <w:szCs w:val="12"/>
                <w:b w:val="1"/>
                <w:bCs w:val="1"/>
                <w:color w:val="307FE2"/>
                <w:w w:val="97"/>
              </w:rPr>
              <w:t>on Vesting</w:t>
            </w:r>
          </w:p>
        </w:tc>
        <w:tc>
          <w:tcPr>
            <w:tcW w:w="10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on Vesting</w:t>
            </w:r>
          </w:p>
        </w:tc>
        <w:tc>
          <w:tcPr>
            <w:tcW w:w="118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4"/>
              </w:rPr>
              <w:t>Vesting</w:t>
            </w:r>
          </w:p>
        </w:tc>
        <w:tc>
          <w:tcPr>
            <w:tcW w:w="102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4"/>
              </w:rPr>
              <w:t>Vesting</w:t>
            </w:r>
          </w:p>
        </w:tc>
        <w:tc>
          <w:tcPr>
            <w:tcW w:w="12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on Vesting</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4"/>
              </w:rPr>
              <w:t>Vesting</w:t>
            </w:r>
          </w:p>
        </w:tc>
      </w:tr>
      <w:tr>
        <w:trPr>
          <w:trHeight w:val="151"/>
        </w:trPr>
        <w:tc>
          <w:tcPr>
            <w:tcW w:w="1360" w:type="dxa"/>
            <w:vAlign w:val="bottom"/>
          </w:tcPr>
          <w:p>
            <w:pPr>
              <w:spacing w:after="0"/>
              <w:rPr>
                <w:sz w:val="13"/>
                <w:szCs w:val="13"/>
                <w:color w:val="auto"/>
              </w:rPr>
            </w:pPr>
          </w:p>
        </w:tc>
        <w:tc>
          <w:tcPr>
            <w:tcW w:w="1300" w:type="dxa"/>
            <w:vAlign w:val="bottom"/>
          </w:tcPr>
          <w:p>
            <w:pPr>
              <w:jc w:val="center"/>
              <w:ind w:left="82"/>
              <w:spacing w:after="0"/>
              <w:rPr>
                <w:sz w:val="20"/>
                <w:szCs w:val="20"/>
                <w:color w:val="auto"/>
              </w:rPr>
            </w:pPr>
            <w:r>
              <w:rPr>
                <w:rFonts w:ascii="Verdana" w:cs="Verdana" w:eastAsia="Verdana" w:hAnsi="Verdana"/>
                <w:sz w:val="12"/>
                <w:szCs w:val="12"/>
                <w:b w:val="1"/>
                <w:bCs w:val="1"/>
                <w:color w:val="307FE2"/>
              </w:rPr>
              <w:t>(#)</w:t>
            </w:r>
          </w:p>
        </w:tc>
        <w:tc>
          <w:tcPr>
            <w:tcW w:w="106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180" w:type="dxa"/>
            <w:vAlign w:val="bottom"/>
          </w:tcPr>
          <w:p>
            <w:pPr>
              <w:jc w:val="center"/>
              <w:ind w:right="2"/>
              <w:spacing w:after="0"/>
              <w:rPr>
                <w:sz w:val="20"/>
                <w:szCs w:val="20"/>
                <w:color w:val="auto"/>
              </w:rPr>
            </w:pPr>
            <w:r>
              <w:rPr>
                <w:rFonts w:ascii="Verdana" w:cs="Verdana" w:eastAsia="Verdana" w:hAnsi="Verdana"/>
                <w:sz w:val="12"/>
                <w:szCs w:val="12"/>
                <w:b w:val="1"/>
                <w:bCs w:val="1"/>
                <w:color w:val="307FE2"/>
              </w:rPr>
              <w:t>(#)</w:t>
            </w:r>
          </w:p>
        </w:tc>
        <w:tc>
          <w:tcPr>
            <w:tcW w:w="1020" w:type="dxa"/>
            <w:vAlign w:val="bottom"/>
          </w:tcPr>
          <w:p>
            <w:pPr>
              <w:jc w:val="center"/>
              <w:ind w:right="2"/>
              <w:spacing w:after="0"/>
              <w:rPr>
                <w:sz w:val="20"/>
                <w:szCs w:val="20"/>
                <w:color w:val="auto"/>
              </w:rPr>
            </w:pPr>
            <w:r>
              <w:rPr>
                <w:rFonts w:ascii="Verdana" w:cs="Verdana" w:eastAsia="Verdana" w:hAnsi="Verdana"/>
                <w:sz w:val="12"/>
                <w:szCs w:val="12"/>
                <w:b w:val="1"/>
                <w:bCs w:val="1"/>
                <w:color w:val="307FE2"/>
                <w:w w:val="92"/>
              </w:rPr>
              <w:t>($)</w:t>
            </w:r>
          </w:p>
        </w:tc>
        <w:tc>
          <w:tcPr>
            <w:tcW w:w="1220" w:type="dxa"/>
            <w:vAlign w:val="bottom"/>
          </w:tcPr>
          <w:p>
            <w:pPr>
              <w:jc w:val="center"/>
              <w:spacing w:after="0"/>
              <w:rPr>
                <w:sz w:val="20"/>
                <w:szCs w:val="20"/>
                <w:color w:val="auto"/>
              </w:rPr>
            </w:pPr>
            <w:r>
              <w:rPr>
                <w:rFonts w:ascii="Verdana" w:cs="Verdana" w:eastAsia="Verdana" w:hAnsi="Verdana"/>
                <w:sz w:val="12"/>
                <w:szCs w:val="12"/>
                <w:b w:val="1"/>
                <w:bCs w:val="1"/>
                <w:color w:val="307FE2"/>
                <w:w w:val="93"/>
              </w:rPr>
              <w:t>(#)</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r>
      <w:tr>
        <w:trPr>
          <w:trHeight w:val="33"/>
        </w:trPr>
        <w:tc>
          <w:tcPr>
            <w:tcW w:w="1360" w:type="dxa"/>
            <w:vAlign w:val="bottom"/>
            <w:tcBorders>
              <w:bottom w:val="single" w:sz="8" w:color="1D428A"/>
            </w:tcBorders>
          </w:tcPr>
          <w:p>
            <w:pPr>
              <w:spacing w:after="0"/>
              <w:rPr>
                <w:sz w:val="2"/>
                <w:szCs w:val="2"/>
                <w:color w:val="auto"/>
              </w:rPr>
            </w:pPr>
          </w:p>
        </w:tc>
        <w:tc>
          <w:tcPr>
            <w:tcW w:w="1300" w:type="dxa"/>
            <w:vAlign w:val="bottom"/>
            <w:tcBorders>
              <w:bottom w:val="single" w:sz="8" w:color="1D428A"/>
            </w:tcBorders>
          </w:tcPr>
          <w:p>
            <w:pPr>
              <w:spacing w:after="0"/>
              <w:rPr>
                <w:sz w:val="2"/>
                <w:szCs w:val="2"/>
                <w:color w:val="auto"/>
              </w:rPr>
            </w:pPr>
          </w:p>
        </w:tc>
        <w:tc>
          <w:tcPr>
            <w:tcW w:w="1060" w:type="dxa"/>
            <w:vAlign w:val="bottom"/>
            <w:tcBorders>
              <w:bottom w:val="single" w:sz="8" w:color="1D428A"/>
            </w:tcBorders>
          </w:tcPr>
          <w:p>
            <w:pPr>
              <w:spacing w:after="0"/>
              <w:rPr>
                <w:sz w:val="2"/>
                <w:szCs w:val="2"/>
                <w:color w:val="auto"/>
              </w:rPr>
            </w:pPr>
          </w:p>
        </w:tc>
        <w:tc>
          <w:tcPr>
            <w:tcW w:w="1180" w:type="dxa"/>
            <w:vAlign w:val="bottom"/>
            <w:tcBorders>
              <w:bottom w:val="single" w:sz="8" w:color="1D428A"/>
            </w:tcBorders>
          </w:tcPr>
          <w:p>
            <w:pPr>
              <w:spacing w:after="0"/>
              <w:rPr>
                <w:sz w:val="2"/>
                <w:szCs w:val="2"/>
                <w:color w:val="auto"/>
              </w:rPr>
            </w:pPr>
          </w:p>
        </w:tc>
        <w:tc>
          <w:tcPr>
            <w:tcW w:w="1020" w:type="dxa"/>
            <w:vAlign w:val="bottom"/>
            <w:tcBorders>
              <w:bottom w:val="single" w:sz="8" w:color="1D428A"/>
            </w:tcBorders>
          </w:tcPr>
          <w:p>
            <w:pPr>
              <w:spacing w:after="0"/>
              <w:rPr>
                <w:sz w:val="2"/>
                <w:szCs w:val="2"/>
                <w:color w:val="auto"/>
              </w:rPr>
            </w:pPr>
          </w:p>
        </w:tc>
        <w:tc>
          <w:tcPr>
            <w:tcW w:w="1220" w:type="dxa"/>
            <w:vAlign w:val="bottom"/>
            <w:tcBorders>
              <w:bottom w:val="single" w:sz="8" w:color="1D428A"/>
            </w:tcBorders>
          </w:tcPr>
          <w:p>
            <w:pPr>
              <w:spacing w:after="0"/>
              <w:rPr>
                <w:sz w:val="2"/>
                <w:szCs w:val="2"/>
                <w:color w:val="auto"/>
              </w:rPr>
            </w:pPr>
          </w:p>
        </w:tc>
        <w:tc>
          <w:tcPr>
            <w:tcW w:w="1120" w:type="dxa"/>
            <w:vAlign w:val="bottom"/>
            <w:tcBorders>
              <w:bottom w:val="single" w:sz="8" w:color="1D428A"/>
            </w:tcBorders>
          </w:tcPr>
          <w:p>
            <w:pPr>
              <w:spacing w:after="0"/>
              <w:rPr>
                <w:sz w:val="2"/>
                <w:szCs w:val="2"/>
                <w:color w:val="auto"/>
              </w:rPr>
            </w:pPr>
          </w:p>
        </w:tc>
      </w:tr>
      <w:tr>
        <w:trPr>
          <w:trHeight w:val="176"/>
        </w:trPr>
        <w:tc>
          <w:tcPr>
            <w:tcW w:w="136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b w:val="1"/>
                <w:bCs w:val="1"/>
                <w:color w:val="auto"/>
              </w:rPr>
              <w:t>Raymond E. Scott</w:t>
            </w:r>
          </w:p>
        </w:tc>
        <w:tc>
          <w:tcPr>
            <w:tcW w:w="130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10,670</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1,431,381</w:t>
            </w:r>
          </w:p>
        </w:tc>
        <w:tc>
          <w:tcPr>
            <w:tcW w:w="118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4,144</w:t>
            </w:r>
          </w:p>
        </w:tc>
        <w:tc>
          <w:tcPr>
            <w:tcW w:w="10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396,208</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38,729</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3,730,377</w:t>
            </w:r>
          </w:p>
        </w:tc>
      </w:tr>
      <w:tr>
        <w:trPr>
          <w:trHeight w:val="183"/>
        </w:trPr>
        <w:tc>
          <w:tcPr>
            <w:tcW w:w="136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b w:val="1"/>
                <w:bCs w:val="1"/>
                <w:color w:val="auto"/>
              </w:rPr>
              <w:t>Jason M. Cardew</w:t>
            </w:r>
          </w:p>
        </w:tc>
        <w:tc>
          <w:tcPr>
            <w:tcW w:w="130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2,667</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357,778</w:t>
            </w:r>
          </w:p>
        </w:tc>
        <w:tc>
          <w:tcPr>
            <w:tcW w:w="118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1,381</w:t>
            </w:r>
          </w:p>
        </w:tc>
        <w:tc>
          <w:tcPr>
            <w:tcW w:w="10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132,037</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10,050</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968,016</w:t>
            </w:r>
          </w:p>
        </w:tc>
      </w:tr>
      <w:tr>
        <w:trPr>
          <w:trHeight w:val="182"/>
        </w:trPr>
        <w:tc>
          <w:tcPr>
            <w:tcW w:w="136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b w:val="1"/>
                <w:bCs w:val="1"/>
                <w:color w:val="auto"/>
              </w:rPr>
              <w:t>Frank C. Orsini</w:t>
            </w:r>
          </w:p>
        </w:tc>
        <w:tc>
          <w:tcPr>
            <w:tcW w:w="130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3,048</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408,889</w:t>
            </w:r>
          </w:p>
        </w:tc>
        <w:tc>
          <w:tcPr>
            <w:tcW w:w="118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1,381</w:t>
            </w:r>
          </w:p>
        </w:tc>
        <w:tc>
          <w:tcPr>
            <w:tcW w:w="10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132,037</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10,050</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968,016</w:t>
            </w:r>
          </w:p>
        </w:tc>
      </w:tr>
      <w:tr>
        <w:trPr>
          <w:trHeight w:val="183"/>
        </w:trPr>
        <w:tc>
          <w:tcPr>
            <w:tcW w:w="136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b w:val="1"/>
                <w:bCs w:val="1"/>
                <w:color w:val="auto"/>
              </w:rPr>
              <w:t>Carl A. Esposito</w:t>
            </w:r>
          </w:p>
        </w:tc>
        <w:tc>
          <w:tcPr>
            <w:tcW w:w="130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2,229</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299,020</w:t>
            </w:r>
          </w:p>
        </w:tc>
        <w:tc>
          <w:tcPr>
            <w:tcW w:w="118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1,381</w:t>
            </w:r>
          </w:p>
        </w:tc>
        <w:tc>
          <w:tcPr>
            <w:tcW w:w="10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132,037</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7,683</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740,027</w:t>
            </w:r>
          </w:p>
        </w:tc>
      </w:tr>
      <w:tr>
        <w:trPr>
          <w:trHeight w:val="183"/>
        </w:trPr>
        <w:tc>
          <w:tcPr>
            <w:tcW w:w="136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b w:val="1"/>
                <w:bCs w:val="1"/>
                <w:color w:val="auto"/>
              </w:rPr>
              <w:t>Harry A. Kemp</w:t>
            </w:r>
          </w:p>
        </w:tc>
        <w:tc>
          <w:tcPr>
            <w:tcW w:w="130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1,723</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231,140</w:t>
            </w:r>
          </w:p>
        </w:tc>
        <w:tc>
          <w:tcPr>
            <w:tcW w:w="118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1,105</w:t>
            </w:r>
          </w:p>
        </w:tc>
        <w:tc>
          <w:tcPr>
            <w:tcW w:w="10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105,649</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5,844</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562,894</w:t>
            </w:r>
          </w:p>
        </w:tc>
      </w:tr>
      <w:tr>
        <w:trPr>
          <w:trHeight w:val="183"/>
        </w:trPr>
        <w:tc>
          <w:tcPr>
            <w:tcW w:w="136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b w:val="1"/>
                <w:bCs w:val="1"/>
                <w:color w:val="auto"/>
              </w:rPr>
              <w:t>Alicia J. Davis</w:t>
            </w:r>
          </w:p>
        </w:tc>
        <w:tc>
          <w:tcPr>
            <w:tcW w:w="130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2,294</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307,740</w:t>
            </w:r>
          </w:p>
        </w:tc>
        <w:tc>
          <w:tcPr>
            <w:tcW w:w="118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1,105</w:t>
            </w:r>
          </w:p>
        </w:tc>
        <w:tc>
          <w:tcPr>
            <w:tcW w:w="10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105,649</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4,063</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391,348</w:t>
            </w:r>
          </w:p>
        </w:tc>
      </w:tr>
    </w:tbl>
    <w:p>
      <w:pPr>
        <w:spacing w:after="0" w:line="71" w:lineRule="exact"/>
        <w:rPr>
          <w:sz w:val="20"/>
          <w:szCs w:val="20"/>
          <w:color w:val="auto"/>
        </w:rPr>
      </w:pPr>
    </w:p>
    <w:p>
      <w:pPr>
        <w:ind w:left="340" w:right="160" w:hanging="332"/>
        <w:spacing w:after="0" w:line="270" w:lineRule="auto"/>
        <w:tabs>
          <w:tab w:leader="none" w:pos="332" w:val="left"/>
        </w:tabs>
        <w:numPr>
          <w:ilvl w:val="0"/>
          <w:numId w:val="102"/>
        </w:numPr>
        <w:rPr>
          <w:rFonts w:ascii="Verdana" w:cs="Verdana" w:eastAsia="Verdana" w:hAnsi="Verdana"/>
          <w:sz w:val="13"/>
          <w:szCs w:val="13"/>
          <w:color w:val="auto"/>
        </w:rPr>
      </w:pPr>
      <w:r>
        <w:rPr>
          <w:rFonts w:ascii="Verdana" w:cs="Verdana" w:eastAsia="Verdana" w:hAnsi="Verdana"/>
          <w:sz w:val="14"/>
          <w:szCs w:val="14"/>
          <w:color w:val="auto"/>
        </w:rPr>
        <w:t>For all NEOs, includes dividend equivalent payments, including interest, in the following amounts: Mr. Scott - $538,370, Mr. Cardew - $142,003, Mr. Orsini - $145,285, Mr. Esposito - $113,575, Mr. Kemp - $85,686 and Ms. Davis - $66,577.</w:t>
      </w:r>
    </w:p>
    <w:p>
      <w:pPr>
        <w:sectPr>
          <w:pgSz w:w="11900" w:h="16838" w:orient="portrait"/>
          <w:cols w:equalWidth="0" w:num="1">
            <w:col w:w="11220"/>
          </w:cols>
          <w:pgMar w:left="320" w:top="130" w:right="359"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0" w:hanging="534"/>
        <w:spacing w:after="0"/>
        <w:tabs>
          <w:tab w:leader="none" w:pos="560" w:val="left"/>
        </w:tabs>
        <w:numPr>
          <w:ilvl w:val="0"/>
          <w:numId w:val="103"/>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895"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8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288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6703695" cy="3346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036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60"/>
        <w:spacing w:after="0"/>
        <w:rPr>
          <w:sz w:val="20"/>
          <w:szCs w:val="20"/>
          <w:color w:val="auto"/>
        </w:rPr>
      </w:pPr>
      <w:r>
        <w:rPr>
          <w:rFonts w:ascii="Verdana" w:cs="Verdana" w:eastAsia="Verdana" w:hAnsi="Verdana"/>
          <w:sz w:val="16"/>
          <w:szCs w:val="16"/>
          <w:b w:val="1"/>
          <w:bCs w:val="1"/>
          <w:color w:val="F0EFEE"/>
        </w:rPr>
        <w:t>2024 Pension Benefits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jc w:val="center"/>
              <w:ind w:right="11"/>
              <w:spacing w:after="0"/>
              <w:rPr>
                <w:sz w:val="20"/>
                <w:szCs w:val="20"/>
                <w:color w:val="auto"/>
              </w:rPr>
            </w:pPr>
            <w:r>
              <w:rPr>
                <w:rFonts w:ascii="Verdana" w:cs="Verdana" w:eastAsia="Verdana" w:hAnsi="Verdana"/>
                <w:sz w:val="13"/>
                <w:szCs w:val="13"/>
                <w:b w:val="1"/>
                <w:bCs w:val="1"/>
                <w:color w:val="307FE2"/>
                <w:w w:val="96"/>
              </w:rPr>
              <w:t>Number</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5"/>
              </w:rPr>
              <w:t>Present</w:t>
            </w:r>
          </w:p>
        </w:tc>
        <w:tc>
          <w:tcPr>
            <w:tcW w:w="1440" w:type="dxa"/>
            <w:vAlign w:val="bottom"/>
          </w:tcPr>
          <w:p>
            <w:pPr>
              <w:spacing w:after="0"/>
              <w:rPr>
                <w:sz w:val="14"/>
                <w:szCs w:val="14"/>
                <w:color w:val="auto"/>
              </w:rPr>
            </w:pPr>
          </w:p>
        </w:tc>
      </w:tr>
      <w:tr>
        <w:trPr>
          <w:trHeight w:val="189"/>
        </w:trPr>
        <w:tc>
          <w:tcPr>
            <w:tcW w:w="1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jc w:val="center"/>
              <w:ind w:right="11"/>
              <w:spacing w:after="0"/>
              <w:rPr>
                <w:sz w:val="20"/>
                <w:szCs w:val="20"/>
                <w:color w:val="auto"/>
              </w:rPr>
            </w:pPr>
            <w:r>
              <w:rPr>
                <w:rFonts w:ascii="Verdana" w:cs="Verdana" w:eastAsia="Verdana" w:hAnsi="Verdana"/>
                <w:sz w:val="13"/>
                <w:szCs w:val="13"/>
                <w:b w:val="1"/>
                <w:bCs w:val="1"/>
                <w:color w:val="307FE2"/>
                <w:w w:val="96"/>
              </w:rPr>
              <w:t>of Years of</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Value of</w:t>
            </w:r>
          </w:p>
        </w:tc>
        <w:tc>
          <w:tcPr>
            <w:tcW w:w="1440" w:type="dxa"/>
            <w:vAlign w:val="bottom"/>
          </w:tcPr>
          <w:p>
            <w:pPr>
              <w:spacing w:after="0"/>
              <w:rPr>
                <w:sz w:val="16"/>
                <w:szCs w:val="16"/>
                <w:color w:val="auto"/>
              </w:rPr>
            </w:pPr>
          </w:p>
        </w:tc>
      </w:tr>
      <w:tr>
        <w:trPr>
          <w:trHeight w:val="200"/>
        </w:trPr>
        <w:tc>
          <w:tcPr>
            <w:tcW w:w="16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ind w:left="280"/>
              <w:spacing w:after="0"/>
              <w:rPr>
                <w:sz w:val="20"/>
                <w:szCs w:val="20"/>
                <w:color w:val="auto"/>
              </w:rPr>
            </w:pPr>
            <w:r>
              <w:rPr>
                <w:rFonts w:ascii="Verdana" w:cs="Verdana" w:eastAsia="Verdana" w:hAnsi="Verdana"/>
                <w:sz w:val="13"/>
                <w:szCs w:val="13"/>
                <w:b w:val="1"/>
                <w:bCs w:val="1"/>
                <w:color w:val="307FE2"/>
              </w:rPr>
              <w:t>Number of Years</w:t>
            </w:r>
          </w:p>
        </w:tc>
        <w:tc>
          <w:tcPr>
            <w:tcW w:w="1080" w:type="dxa"/>
            <w:vAlign w:val="bottom"/>
          </w:tcPr>
          <w:p>
            <w:pPr>
              <w:jc w:val="center"/>
              <w:ind w:right="11"/>
              <w:spacing w:after="0"/>
              <w:rPr>
                <w:sz w:val="20"/>
                <w:szCs w:val="20"/>
                <w:color w:val="auto"/>
              </w:rPr>
            </w:pPr>
            <w:r>
              <w:rPr>
                <w:rFonts w:ascii="Verdana" w:cs="Verdana" w:eastAsia="Verdana" w:hAnsi="Verdana"/>
                <w:sz w:val="13"/>
                <w:szCs w:val="13"/>
                <w:b w:val="1"/>
                <w:bCs w:val="1"/>
                <w:color w:val="307FE2"/>
                <w:w w:val="94"/>
              </w:rPr>
              <w:t>Vesting</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7"/>
              </w:rPr>
              <w:t>Accumulated</w:t>
            </w:r>
          </w:p>
        </w:tc>
        <w:tc>
          <w:tcPr>
            <w:tcW w:w="144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Payments During</w:t>
            </w:r>
          </w:p>
        </w:tc>
      </w:tr>
      <w:tr>
        <w:trPr>
          <w:trHeight w:val="189"/>
        </w:trPr>
        <w:tc>
          <w:tcPr>
            <w:tcW w:w="1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Verdana" w:cs="Verdana" w:eastAsia="Verdana" w:hAnsi="Verdana"/>
                <w:sz w:val="13"/>
                <w:szCs w:val="13"/>
                <w:b w:val="1"/>
                <w:bCs w:val="1"/>
                <w:color w:val="307FE2"/>
              </w:rPr>
              <w:t>Credited Service</w:t>
            </w:r>
          </w:p>
        </w:tc>
        <w:tc>
          <w:tcPr>
            <w:tcW w:w="1080" w:type="dxa"/>
            <w:vAlign w:val="bottom"/>
          </w:tcPr>
          <w:p>
            <w:pPr>
              <w:jc w:val="center"/>
              <w:spacing w:after="0" w:line="189" w:lineRule="exact"/>
              <w:rPr>
                <w:sz w:val="20"/>
                <w:szCs w:val="20"/>
                <w:color w:val="auto"/>
              </w:rPr>
            </w:pPr>
            <w:r>
              <w:rPr>
                <w:rFonts w:ascii="Verdana" w:cs="Verdana" w:eastAsia="Verdana" w:hAnsi="Verdana"/>
                <w:sz w:val="13"/>
                <w:szCs w:val="13"/>
                <w:b w:val="1"/>
                <w:bCs w:val="1"/>
                <w:color w:val="307FE2"/>
                <w:w w:val="90"/>
              </w:rPr>
              <w:t>Service</w:t>
            </w:r>
            <w:r>
              <w:rPr>
                <w:rFonts w:ascii="Verdana" w:cs="Verdana" w:eastAsia="Verdana" w:hAnsi="Verdana"/>
                <w:sz w:val="16"/>
                <w:szCs w:val="16"/>
                <w:b w:val="1"/>
                <w:bCs w:val="1"/>
                <w:color w:val="307FE2"/>
                <w:w w:val="90"/>
                <w:vertAlign w:val="superscript"/>
              </w:rPr>
              <w:t>(1)</w:t>
            </w:r>
          </w:p>
        </w:tc>
        <w:tc>
          <w:tcPr>
            <w:tcW w:w="1360" w:type="dxa"/>
            <w:vAlign w:val="bottom"/>
          </w:tcPr>
          <w:p>
            <w:pPr>
              <w:jc w:val="center"/>
              <w:spacing w:after="0" w:line="189" w:lineRule="exact"/>
              <w:rPr>
                <w:sz w:val="20"/>
                <w:szCs w:val="20"/>
                <w:color w:val="auto"/>
              </w:rPr>
            </w:pPr>
            <w:r>
              <w:rPr>
                <w:rFonts w:ascii="Verdana" w:cs="Verdana" w:eastAsia="Verdana" w:hAnsi="Verdana"/>
                <w:sz w:val="13"/>
                <w:szCs w:val="13"/>
                <w:b w:val="1"/>
                <w:bCs w:val="1"/>
                <w:color w:val="307FE2"/>
                <w:w w:val="92"/>
              </w:rPr>
              <w:t>Benefit</w:t>
            </w:r>
            <w:r>
              <w:rPr>
                <w:rFonts w:ascii="Verdana" w:cs="Verdana" w:eastAsia="Verdana" w:hAnsi="Verdana"/>
                <w:sz w:val="16"/>
                <w:szCs w:val="16"/>
                <w:b w:val="1"/>
                <w:bCs w:val="1"/>
                <w:color w:val="307FE2"/>
                <w:w w:val="92"/>
                <w:vertAlign w:val="superscript"/>
              </w:rPr>
              <w:t>(2)</w:t>
            </w:r>
          </w:p>
        </w:tc>
        <w:tc>
          <w:tcPr>
            <w:tcW w:w="144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Last Fiscal Year</w:t>
            </w:r>
          </w:p>
        </w:tc>
      </w:tr>
      <w:tr>
        <w:trPr>
          <w:trHeight w:val="215"/>
        </w:trPr>
        <w:tc>
          <w:tcPr>
            <w:tcW w:w="1640" w:type="dxa"/>
            <w:vAlign w:val="bottom"/>
            <w:tcBorders>
              <w:bottom w:val="single" w:sz="8" w:color="1D428A"/>
            </w:tcBorders>
          </w:tcPr>
          <w:p>
            <w:pPr>
              <w:ind w:left="700"/>
              <w:spacing w:after="0"/>
              <w:rPr>
                <w:sz w:val="20"/>
                <w:szCs w:val="20"/>
                <w:color w:val="auto"/>
              </w:rPr>
            </w:pPr>
            <w:r>
              <w:rPr>
                <w:rFonts w:ascii="Verdana" w:cs="Verdana" w:eastAsia="Verdana" w:hAnsi="Verdana"/>
                <w:sz w:val="13"/>
                <w:szCs w:val="13"/>
                <w:b w:val="1"/>
                <w:bCs w:val="1"/>
                <w:color w:val="307FE2"/>
              </w:rPr>
              <w:t>Name</w:t>
            </w:r>
          </w:p>
        </w:tc>
        <w:tc>
          <w:tcPr>
            <w:tcW w:w="3440" w:type="dxa"/>
            <w:vAlign w:val="bottom"/>
            <w:tcBorders>
              <w:bottom w:val="single" w:sz="8" w:color="1D428A"/>
            </w:tcBorders>
          </w:tcPr>
          <w:p>
            <w:pPr>
              <w:ind w:left="1560"/>
              <w:spacing w:after="0"/>
              <w:rPr>
                <w:sz w:val="20"/>
                <w:szCs w:val="20"/>
                <w:color w:val="auto"/>
              </w:rPr>
            </w:pPr>
            <w:r>
              <w:rPr>
                <w:rFonts w:ascii="Verdana" w:cs="Verdana" w:eastAsia="Verdana" w:hAnsi="Verdana"/>
                <w:sz w:val="13"/>
                <w:szCs w:val="13"/>
                <w:b w:val="1"/>
                <w:bCs w:val="1"/>
                <w:color w:val="307FE2"/>
              </w:rPr>
              <w:t>Plan Name</w:t>
            </w:r>
          </w:p>
        </w:tc>
        <w:tc>
          <w:tcPr>
            <w:tcW w:w="1600" w:type="dxa"/>
            <w:vAlign w:val="bottom"/>
            <w:tcBorders>
              <w:bottom w:val="single" w:sz="8" w:color="1D428A"/>
            </w:tcBorders>
          </w:tcPr>
          <w:p>
            <w:pPr>
              <w:jc w:val="center"/>
              <w:ind w:left="90"/>
              <w:spacing w:after="0"/>
              <w:rPr>
                <w:sz w:val="20"/>
                <w:szCs w:val="20"/>
                <w:color w:val="auto"/>
              </w:rPr>
            </w:pPr>
            <w:r>
              <w:rPr>
                <w:rFonts w:ascii="Verdana" w:cs="Verdana" w:eastAsia="Verdana" w:hAnsi="Verdana"/>
                <w:sz w:val="13"/>
                <w:szCs w:val="13"/>
                <w:b w:val="1"/>
                <w:bCs w:val="1"/>
                <w:color w:val="307FE2"/>
                <w:w w:val="94"/>
              </w:rPr>
              <w:t>(#)</w:t>
            </w:r>
          </w:p>
        </w:tc>
        <w:tc>
          <w:tcPr>
            <w:tcW w:w="1080" w:type="dxa"/>
            <w:vAlign w:val="bottom"/>
            <w:tcBorders>
              <w:bottom w:val="single" w:sz="8" w:color="1D428A"/>
            </w:tcBorders>
          </w:tcPr>
          <w:p>
            <w:pPr>
              <w:jc w:val="center"/>
              <w:ind w:right="11"/>
              <w:spacing w:after="0"/>
              <w:rPr>
                <w:sz w:val="20"/>
                <w:szCs w:val="20"/>
                <w:color w:val="auto"/>
              </w:rPr>
            </w:pPr>
            <w:r>
              <w:rPr>
                <w:rFonts w:ascii="Verdana" w:cs="Verdana" w:eastAsia="Verdana" w:hAnsi="Verdana"/>
                <w:sz w:val="13"/>
                <w:szCs w:val="13"/>
                <w:b w:val="1"/>
                <w:bCs w:val="1"/>
                <w:color w:val="307FE2"/>
                <w:w w:val="94"/>
              </w:rPr>
              <w:t>(#)</w:t>
            </w:r>
          </w:p>
        </w:tc>
        <w:tc>
          <w:tcPr>
            <w:tcW w:w="13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44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r>
      <w:tr>
        <w:trPr>
          <w:trHeight w:val="204"/>
        </w:trPr>
        <w:tc>
          <w:tcPr>
            <w:tcW w:w="1640" w:type="dxa"/>
            <w:vAlign w:val="bottom"/>
          </w:tcPr>
          <w:p>
            <w:pPr>
              <w:ind w:left="40"/>
              <w:spacing w:after="0"/>
              <w:rPr>
                <w:sz w:val="20"/>
                <w:szCs w:val="20"/>
                <w:color w:val="auto"/>
              </w:rPr>
            </w:pPr>
            <w:r>
              <w:rPr>
                <w:rFonts w:ascii="Verdana" w:cs="Verdana" w:eastAsia="Verdana" w:hAnsi="Verdana"/>
                <w:sz w:val="14"/>
                <w:szCs w:val="14"/>
                <w:b w:val="1"/>
                <w:bCs w:val="1"/>
                <w:color w:val="auto"/>
              </w:rPr>
              <w:t>Raymond E. Scott</w:t>
            </w: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Plan (tax-qualified plan)</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18.4</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36.4</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482,992</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98"/>
        </w:trPr>
        <w:tc>
          <w:tcPr>
            <w:tcW w:w="1640" w:type="dxa"/>
            <w:vAlign w:val="bottom"/>
          </w:tcPr>
          <w:p>
            <w:pPr>
              <w:spacing w:after="0"/>
              <w:rPr>
                <w:sz w:val="17"/>
                <w:szCs w:val="17"/>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Equalization Program</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18.4</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36.4</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568,169</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Salaried Retirement Restoration Program</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Make Up Account)</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18.4</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36.4</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368,419</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696158"/>
            </w:tcBorders>
          </w:tcPr>
          <w:p>
            <w:pPr>
              <w:spacing w:after="0"/>
              <w:rPr>
                <w:sz w:val="2"/>
                <w:szCs w:val="2"/>
                <w:color w:val="auto"/>
              </w:rPr>
            </w:pPr>
          </w:p>
        </w:tc>
        <w:tc>
          <w:tcPr>
            <w:tcW w:w="344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1080" w:type="dxa"/>
            <w:vAlign w:val="bottom"/>
            <w:tcBorders>
              <w:bottom w:val="single" w:sz="8" w:color="696158"/>
            </w:tcBorders>
          </w:tcPr>
          <w:p>
            <w:pPr>
              <w:spacing w:after="0"/>
              <w:rPr>
                <w:sz w:val="2"/>
                <w:szCs w:val="2"/>
                <w:color w:val="auto"/>
              </w:rPr>
            </w:pPr>
          </w:p>
        </w:tc>
        <w:tc>
          <w:tcPr>
            <w:tcW w:w="136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r>
      <w:tr>
        <w:trPr>
          <w:trHeight w:val="198"/>
        </w:trPr>
        <w:tc>
          <w:tcPr>
            <w:tcW w:w="1640" w:type="dxa"/>
            <w:vAlign w:val="bottom"/>
          </w:tcPr>
          <w:p>
            <w:pPr>
              <w:ind w:left="60"/>
              <w:spacing w:after="0"/>
              <w:rPr>
                <w:sz w:val="20"/>
                <w:szCs w:val="20"/>
                <w:color w:val="auto"/>
              </w:rPr>
            </w:pPr>
            <w:r>
              <w:rPr>
                <w:rFonts w:ascii="Verdana" w:cs="Verdana" w:eastAsia="Verdana" w:hAnsi="Verdana"/>
                <w:sz w:val="14"/>
                <w:szCs w:val="14"/>
                <w:b w:val="1"/>
                <w:bCs w:val="1"/>
                <w:color w:val="auto"/>
              </w:rPr>
              <w:t>Jason M. Cardew</w:t>
            </w: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Plan (tax-qualified plan)</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14.5</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32.5</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266,157</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97"/>
        </w:trPr>
        <w:tc>
          <w:tcPr>
            <w:tcW w:w="1640" w:type="dxa"/>
            <w:vAlign w:val="bottom"/>
          </w:tcPr>
          <w:p>
            <w:pPr>
              <w:spacing w:after="0"/>
              <w:rPr>
                <w:sz w:val="17"/>
                <w:szCs w:val="17"/>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Equalization Program</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14.5</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32.5</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5,624</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Salaried Retirement Restoration Program</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Make Up Account)</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14.5</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32.5</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18,900</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696158"/>
            </w:tcBorders>
          </w:tcPr>
          <w:p>
            <w:pPr>
              <w:spacing w:after="0"/>
              <w:rPr>
                <w:sz w:val="2"/>
                <w:szCs w:val="2"/>
                <w:color w:val="auto"/>
              </w:rPr>
            </w:pPr>
          </w:p>
        </w:tc>
        <w:tc>
          <w:tcPr>
            <w:tcW w:w="344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1080" w:type="dxa"/>
            <w:vAlign w:val="bottom"/>
            <w:tcBorders>
              <w:bottom w:val="single" w:sz="8" w:color="696158"/>
            </w:tcBorders>
          </w:tcPr>
          <w:p>
            <w:pPr>
              <w:spacing w:after="0"/>
              <w:rPr>
                <w:sz w:val="2"/>
                <w:szCs w:val="2"/>
                <w:color w:val="auto"/>
              </w:rPr>
            </w:pPr>
          </w:p>
        </w:tc>
        <w:tc>
          <w:tcPr>
            <w:tcW w:w="136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b w:val="1"/>
                <w:bCs w:val="1"/>
                <w:color w:val="auto"/>
              </w:rPr>
              <w:t>Frank C. Orsini</w:t>
            </w: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Plan (tax-qualified plan)</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12.7</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30.7</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226,772</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97"/>
        </w:trPr>
        <w:tc>
          <w:tcPr>
            <w:tcW w:w="1640" w:type="dxa"/>
            <w:vAlign w:val="bottom"/>
          </w:tcPr>
          <w:p>
            <w:pPr>
              <w:spacing w:after="0"/>
              <w:rPr>
                <w:sz w:val="17"/>
                <w:szCs w:val="17"/>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Equalization Program</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12.7</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30.7</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78,807</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Salaried Retirement Restoration Program</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Make Up Account)</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12.7</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30.7</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100,808</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696158"/>
            </w:tcBorders>
          </w:tcPr>
          <w:p>
            <w:pPr>
              <w:spacing w:after="0"/>
              <w:rPr>
                <w:sz w:val="2"/>
                <w:szCs w:val="2"/>
                <w:color w:val="auto"/>
              </w:rPr>
            </w:pPr>
          </w:p>
        </w:tc>
        <w:tc>
          <w:tcPr>
            <w:tcW w:w="344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1080" w:type="dxa"/>
            <w:vAlign w:val="bottom"/>
            <w:tcBorders>
              <w:bottom w:val="single" w:sz="8" w:color="696158"/>
            </w:tcBorders>
          </w:tcPr>
          <w:p>
            <w:pPr>
              <w:spacing w:after="0"/>
              <w:rPr>
                <w:sz w:val="2"/>
                <w:szCs w:val="2"/>
                <w:color w:val="auto"/>
              </w:rPr>
            </w:pPr>
          </w:p>
        </w:tc>
        <w:tc>
          <w:tcPr>
            <w:tcW w:w="136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r>
      <w:tr>
        <w:trPr>
          <w:trHeight w:val="223"/>
        </w:trPr>
        <w:tc>
          <w:tcPr>
            <w:tcW w:w="1640" w:type="dxa"/>
            <w:vAlign w:val="bottom"/>
            <w:tcBorders>
              <w:bottom w:val="single" w:sz="8" w:color="696158"/>
            </w:tcBorders>
          </w:tcPr>
          <w:p>
            <w:pPr>
              <w:ind w:left="20"/>
              <w:spacing w:after="0"/>
              <w:rPr>
                <w:sz w:val="20"/>
                <w:szCs w:val="20"/>
                <w:color w:val="auto"/>
              </w:rPr>
            </w:pPr>
            <w:r>
              <w:rPr>
                <w:rFonts w:ascii="Verdana" w:cs="Verdana" w:eastAsia="Verdana" w:hAnsi="Verdana"/>
                <w:sz w:val="14"/>
                <w:szCs w:val="14"/>
                <w:b w:val="1"/>
                <w:bCs w:val="1"/>
                <w:color w:val="auto"/>
              </w:rPr>
              <w:t>Carl A. Esposito</w:t>
            </w:r>
          </w:p>
        </w:tc>
        <w:tc>
          <w:tcPr>
            <w:tcW w:w="3440" w:type="dxa"/>
            <w:vAlign w:val="bottom"/>
            <w:tcBorders>
              <w:bottom w:val="single" w:sz="8" w:color="696158"/>
            </w:tcBorders>
          </w:tcPr>
          <w:p>
            <w:pPr>
              <w:ind w:left="180"/>
              <w:spacing w:after="0" w:line="223" w:lineRule="exact"/>
              <w:rPr>
                <w:sz w:val="20"/>
                <w:szCs w:val="20"/>
                <w:color w:val="auto"/>
              </w:rPr>
            </w:pPr>
            <w:r>
              <w:rPr>
                <w:rFonts w:ascii="Verdana" w:cs="Verdana" w:eastAsia="Verdana" w:hAnsi="Verdana"/>
                <w:sz w:val="24"/>
                <w:szCs w:val="24"/>
                <w:color w:val="auto"/>
                <w:vertAlign w:val="subscript"/>
              </w:rPr>
              <w:t>N/A</w:t>
            </w:r>
            <w:r>
              <w:rPr>
                <w:rFonts w:ascii="Verdana" w:cs="Verdana" w:eastAsia="Verdana" w:hAnsi="Verdana"/>
                <w:sz w:val="9"/>
                <w:szCs w:val="9"/>
                <w:color w:val="auto"/>
              </w:rPr>
              <w:t>(3)</w:t>
            </w:r>
          </w:p>
        </w:tc>
        <w:tc>
          <w:tcPr>
            <w:tcW w:w="1600" w:type="dxa"/>
            <w:vAlign w:val="bottom"/>
            <w:tcBorders>
              <w:bottom w:val="single" w:sz="8" w:color="696158"/>
            </w:tcBorders>
          </w:tcPr>
          <w:p>
            <w:pPr>
              <w:jc w:val="center"/>
              <w:ind w:left="70"/>
              <w:spacing w:after="0"/>
              <w:rPr>
                <w:sz w:val="20"/>
                <w:szCs w:val="20"/>
                <w:color w:val="auto"/>
              </w:rPr>
            </w:pPr>
            <w:r>
              <w:rPr>
                <w:rFonts w:ascii="Verdana" w:cs="Verdana" w:eastAsia="Verdana" w:hAnsi="Verdana"/>
                <w:sz w:val="14"/>
                <w:szCs w:val="14"/>
                <w:color w:val="auto"/>
                <w:w w:val="99"/>
              </w:rPr>
              <w:t>—</w:t>
            </w:r>
          </w:p>
        </w:tc>
        <w:tc>
          <w:tcPr>
            <w:tcW w:w="1080" w:type="dxa"/>
            <w:vAlign w:val="bottom"/>
            <w:tcBorders>
              <w:bottom w:val="single" w:sz="8" w:color="696158"/>
            </w:tcBorders>
          </w:tcPr>
          <w:p>
            <w:pPr>
              <w:jc w:val="center"/>
              <w:spacing w:after="0"/>
              <w:rPr>
                <w:sz w:val="20"/>
                <w:szCs w:val="20"/>
                <w:color w:val="auto"/>
              </w:rPr>
            </w:pPr>
            <w:r>
              <w:rPr>
                <w:rFonts w:ascii="Verdana" w:cs="Verdana" w:eastAsia="Verdana" w:hAnsi="Verdana"/>
                <w:sz w:val="14"/>
                <w:szCs w:val="14"/>
                <w:color w:val="auto"/>
                <w:w w:val="99"/>
              </w:rPr>
              <w:t>—</w:t>
            </w:r>
          </w:p>
        </w:tc>
        <w:tc>
          <w:tcPr>
            <w:tcW w:w="1360" w:type="dxa"/>
            <w:vAlign w:val="bottom"/>
            <w:tcBorders>
              <w:bottom w:val="single" w:sz="8" w:color="696158"/>
            </w:tcBorders>
          </w:tcPr>
          <w:p>
            <w:pPr>
              <w:jc w:val="right"/>
              <w:ind w:right="71"/>
              <w:spacing w:after="0"/>
              <w:rPr>
                <w:sz w:val="20"/>
                <w:szCs w:val="20"/>
                <w:color w:val="auto"/>
              </w:rPr>
            </w:pPr>
            <w:r>
              <w:rPr>
                <w:rFonts w:ascii="Verdana" w:cs="Verdana" w:eastAsia="Verdana" w:hAnsi="Verdana"/>
                <w:sz w:val="14"/>
                <w:szCs w:val="14"/>
                <w:color w:val="auto"/>
              </w:rPr>
              <w:t>—</w:t>
            </w:r>
          </w:p>
        </w:tc>
        <w:tc>
          <w:tcPr>
            <w:tcW w:w="1440" w:type="dxa"/>
            <w:vAlign w:val="bottom"/>
            <w:tcBorders>
              <w:bottom w:val="single" w:sz="8" w:color="696158"/>
            </w:tcBorders>
          </w:tcPr>
          <w:p>
            <w:pPr>
              <w:ind w:left="1220"/>
              <w:spacing w:after="0"/>
              <w:rPr>
                <w:sz w:val="20"/>
                <w:szCs w:val="20"/>
                <w:color w:val="auto"/>
              </w:rPr>
            </w:pPr>
            <w:r>
              <w:rPr>
                <w:rFonts w:ascii="Verdana" w:cs="Verdana" w:eastAsia="Verdana" w:hAnsi="Verdana"/>
                <w:sz w:val="14"/>
                <w:szCs w:val="14"/>
                <w:color w:val="auto"/>
              </w:rPr>
              <w:t>—</w:t>
            </w:r>
          </w:p>
        </w:tc>
      </w:tr>
      <w:tr>
        <w:trPr>
          <w:trHeight w:val="223"/>
        </w:trPr>
        <w:tc>
          <w:tcPr>
            <w:tcW w:w="1640" w:type="dxa"/>
            <w:vAlign w:val="bottom"/>
            <w:tcBorders>
              <w:bottom w:val="single" w:sz="8" w:color="696158"/>
            </w:tcBorders>
          </w:tcPr>
          <w:p>
            <w:pPr>
              <w:ind w:left="20"/>
              <w:spacing w:after="0"/>
              <w:rPr>
                <w:sz w:val="20"/>
                <w:szCs w:val="20"/>
                <w:color w:val="auto"/>
              </w:rPr>
            </w:pPr>
            <w:r>
              <w:rPr>
                <w:rFonts w:ascii="Verdana" w:cs="Verdana" w:eastAsia="Verdana" w:hAnsi="Verdana"/>
                <w:sz w:val="14"/>
                <w:szCs w:val="14"/>
                <w:b w:val="1"/>
                <w:bCs w:val="1"/>
                <w:color w:val="auto"/>
              </w:rPr>
              <w:t>Harry A. Kemp</w:t>
            </w:r>
          </w:p>
        </w:tc>
        <w:tc>
          <w:tcPr>
            <w:tcW w:w="3440" w:type="dxa"/>
            <w:vAlign w:val="bottom"/>
            <w:tcBorders>
              <w:bottom w:val="single" w:sz="8" w:color="696158"/>
            </w:tcBorders>
          </w:tcPr>
          <w:p>
            <w:pPr>
              <w:ind w:left="180"/>
              <w:spacing w:after="0"/>
              <w:rPr>
                <w:sz w:val="20"/>
                <w:szCs w:val="20"/>
                <w:color w:val="auto"/>
              </w:rPr>
            </w:pPr>
            <w:r>
              <w:rPr>
                <w:rFonts w:ascii="Verdana" w:cs="Verdana" w:eastAsia="Verdana" w:hAnsi="Verdana"/>
                <w:sz w:val="14"/>
                <w:szCs w:val="14"/>
                <w:color w:val="auto"/>
              </w:rPr>
              <w:t>N/A</w:t>
            </w:r>
            <w:r>
              <w:rPr>
                <w:rFonts w:ascii="Verdana" w:cs="Verdana" w:eastAsia="Verdana" w:hAnsi="Verdana"/>
                <w:sz w:val="18"/>
                <w:szCs w:val="18"/>
                <w:color w:val="auto"/>
                <w:vertAlign w:val="superscript"/>
              </w:rPr>
              <w:t>(3)</w:t>
            </w:r>
          </w:p>
        </w:tc>
        <w:tc>
          <w:tcPr>
            <w:tcW w:w="1600" w:type="dxa"/>
            <w:vAlign w:val="bottom"/>
            <w:tcBorders>
              <w:bottom w:val="single" w:sz="8" w:color="696158"/>
            </w:tcBorders>
          </w:tcPr>
          <w:p>
            <w:pPr>
              <w:jc w:val="center"/>
              <w:ind w:left="70"/>
              <w:spacing w:after="0"/>
              <w:rPr>
                <w:sz w:val="20"/>
                <w:szCs w:val="20"/>
                <w:color w:val="auto"/>
              </w:rPr>
            </w:pPr>
            <w:r>
              <w:rPr>
                <w:rFonts w:ascii="Verdana" w:cs="Verdana" w:eastAsia="Verdana" w:hAnsi="Verdana"/>
                <w:sz w:val="14"/>
                <w:szCs w:val="14"/>
                <w:color w:val="auto"/>
                <w:w w:val="99"/>
              </w:rPr>
              <w:t>—</w:t>
            </w:r>
          </w:p>
        </w:tc>
        <w:tc>
          <w:tcPr>
            <w:tcW w:w="1080" w:type="dxa"/>
            <w:vAlign w:val="bottom"/>
            <w:tcBorders>
              <w:bottom w:val="single" w:sz="8" w:color="696158"/>
            </w:tcBorders>
          </w:tcPr>
          <w:p>
            <w:pPr>
              <w:jc w:val="center"/>
              <w:spacing w:after="0"/>
              <w:rPr>
                <w:sz w:val="20"/>
                <w:szCs w:val="20"/>
                <w:color w:val="auto"/>
              </w:rPr>
            </w:pPr>
            <w:r>
              <w:rPr>
                <w:rFonts w:ascii="Verdana" w:cs="Verdana" w:eastAsia="Verdana" w:hAnsi="Verdana"/>
                <w:sz w:val="14"/>
                <w:szCs w:val="14"/>
                <w:color w:val="auto"/>
                <w:w w:val="99"/>
              </w:rPr>
              <w:t>—</w:t>
            </w:r>
          </w:p>
        </w:tc>
        <w:tc>
          <w:tcPr>
            <w:tcW w:w="1360" w:type="dxa"/>
            <w:vAlign w:val="bottom"/>
            <w:tcBorders>
              <w:bottom w:val="single" w:sz="8" w:color="696158"/>
            </w:tcBorders>
          </w:tcPr>
          <w:p>
            <w:pPr>
              <w:jc w:val="right"/>
              <w:ind w:right="71"/>
              <w:spacing w:after="0"/>
              <w:rPr>
                <w:sz w:val="20"/>
                <w:szCs w:val="20"/>
                <w:color w:val="auto"/>
              </w:rPr>
            </w:pPr>
            <w:r>
              <w:rPr>
                <w:rFonts w:ascii="Verdana" w:cs="Verdana" w:eastAsia="Verdana" w:hAnsi="Verdana"/>
                <w:sz w:val="14"/>
                <w:szCs w:val="14"/>
                <w:color w:val="auto"/>
              </w:rPr>
              <w:t>—</w:t>
            </w:r>
          </w:p>
        </w:tc>
        <w:tc>
          <w:tcPr>
            <w:tcW w:w="1440" w:type="dxa"/>
            <w:vAlign w:val="bottom"/>
            <w:tcBorders>
              <w:bottom w:val="single" w:sz="8" w:color="696158"/>
            </w:tcBorders>
          </w:tcPr>
          <w:p>
            <w:pPr>
              <w:ind w:left="1220"/>
              <w:spacing w:after="0"/>
              <w:rPr>
                <w:sz w:val="20"/>
                <w:szCs w:val="20"/>
                <w:color w:val="auto"/>
              </w:rPr>
            </w:pPr>
            <w:r>
              <w:rPr>
                <w:rFonts w:ascii="Verdana" w:cs="Verdana" w:eastAsia="Verdana" w:hAnsi="Verdana"/>
                <w:sz w:val="14"/>
                <w:szCs w:val="14"/>
                <w:color w:val="auto"/>
              </w:rPr>
              <w:t>—</w:t>
            </w:r>
          </w:p>
        </w:tc>
      </w:tr>
      <w:tr>
        <w:trPr>
          <w:trHeight w:val="223"/>
        </w:trPr>
        <w:tc>
          <w:tcPr>
            <w:tcW w:w="1640" w:type="dxa"/>
            <w:vAlign w:val="bottom"/>
            <w:tcBorders>
              <w:bottom w:val="single" w:sz="8" w:color="696158"/>
            </w:tcBorders>
          </w:tcPr>
          <w:p>
            <w:pPr>
              <w:ind w:left="20"/>
              <w:spacing w:after="0"/>
              <w:rPr>
                <w:sz w:val="20"/>
                <w:szCs w:val="20"/>
                <w:color w:val="auto"/>
              </w:rPr>
            </w:pPr>
            <w:r>
              <w:rPr>
                <w:rFonts w:ascii="Verdana" w:cs="Verdana" w:eastAsia="Verdana" w:hAnsi="Verdana"/>
                <w:sz w:val="14"/>
                <w:szCs w:val="14"/>
                <w:b w:val="1"/>
                <w:bCs w:val="1"/>
                <w:color w:val="auto"/>
              </w:rPr>
              <w:t>Alicia J. Davis</w:t>
            </w:r>
          </w:p>
        </w:tc>
        <w:tc>
          <w:tcPr>
            <w:tcW w:w="3440" w:type="dxa"/>
            <w:vAlign w:val="bottom"/>
            <w:tcBorders>
              <w:bottom w:val="single" w:sz="8" w:color="696158"/>
            </w:tcBorders>
          </w:tcPr>
          <w:p>
            <w:pPr>
              <w:ind w:left="180"/>
              <w:spacing w:after="0"/>
              <w:rPr>
                <w:sz w:val="20"/>
                <w:szCs w:val="20"/>
                <w:color w:val="auto"/>
              </w:rPr>
            </w:pPr>
            <w:r>
              <w:rPr>
                <w:rFonts w:ascii="Verdana" w:cs="Verdana" w:eastAsia="Verdana" w:hAnsi="Verdana"/>
                <w:sz w:val="14"/>
                <w:szCs w:val="14"/>
                <w:color w:val="auto"/>
              </w:rPr>
              <w:t>N/A</w:t>
            </w:r>
            <w:r>
              <w:rPr>
                <w:rFonts w:ascii="Verdana" w:cs="Verdana" w:eastAsia="Verdana" w:hAnsi="Verdana"/>
                <w:sz w:val="18"/>
                <w:szCs w:val="18"/>
                <w:color w:val="auto"/>
                <w:vertAlign w:val="superscript"/>
              </w:rPr>
              <w:t>(3)</w:t>
            </w:r>
          </w:p>
        </w:tc>
        <w:tc>
          <w:tcPr>
            <w:tcW w:w="1600" w:type="dxa"/>
            <w:vAlign w:val="bottom"/>
            <w:tcBorders>
              <w:bottom w:val="single" w:sz="8" w:color="696158"/>
            </w:tcBorders>
          </w:tcPr>
          <w:p>
            <w:pPr>
              <w:jc w:val="center"/>
              <w:ind w:left="70"/>
              <w:spacing w:after="0"/>
              <w:rPr>
                <w:sz w:val="20"/>
                <w:szCs w:val="20"/>
                <w:color w:val="auto"/>
              </w:rPr>
            </w:pPr>
            <w:r>
              <w:rPr>
                <w:rFonts w:ascii="Verdana" w:cs="Verdana" w:eastAsia="Verdana" w:hAnsi="Verdana"/>
                <w:sz w:val="14"/>
                <w:szCs w:val="14"/>
                <w:color w:val="auto"/>
                <w:w w:val="99"/>
              </w:rPr>
              <w:t>—</w:t>
            </w:r>
          </w:p>
        </w:tc>
        <w:tc>
          <w:tcPr>
            <w:tcW w:w="1080" w:type="dxa"/>
            <w:vAlign w:val="bottom"/>
            <w:tcBorders>
              <w:bottom w:val="single" w:sz="8" w:color="696158"/>
            </w:tcBorders>
          </w:tcPr>
          <w:p>
            <w:pPr>
              <w:jc w:val="center"/>
              <w:spacing w:after="0"/>
              <w:rPr>
                <w:sz w:val="20"/>
                <w:szCs w:val="20"/>
                <w:color w:val="auto"/>
              </w:rPr>
            </w:pPr>
            <w:r>
              <w:rPr>
                <w:rFonts w:ascii="Verdana" w:cs="Verdana" w:eastAsia="Verdana" w:hAnsi="Verdana"/>
                <w:sz w:val="14"/>
                <w:szCs w:val="14"/>
                <w:color w:val="auto"/>
                <w:w w:val="99"/>
              </w:rPr>
              <w:t>—</w:t>
            </w:r>
          </w:p>
        </w:tc>
        <w:tc>
          <w:tcPr>
            <w:tcW w:w="1360" w:type="dxa"/>
            <w:vAlign w:val="bottom"/>
            <w:tcBorders>
              <w:bottom w:val="single" w:sz="8" w:color="696158"/>
            </w:tcBorders>
          </w:tcPr>
          <w:p>
            <w:pPr>
              <w:jc w:val="right"/>
              <w:ind w:right="71"/>
              <w:spacing w:after="0"/>
              <w:rPr>
                <w:sz w:val="20"/>
                <w:szCs w:val="20"/>
                <w:color w:val="auto"/>
              </w:rPr>
            </w:pPr>
            <w:r>
              <w:rPr>
                <w:rFonts w:ascii="Verdana" w:cs="Verdana" w:eastAsia="Verdana" w:hAnsi="Verdana"/>
                <w:sz w:val="14"/>
                <w:szCs w:val="14"/>
                <w:color w:val="auto"/>
              </w:rPr>
              <w:t>—</w:t>
            </w:r>
          </w:p>
        </w:tc>
        <w:tc>
          <w:tcPr>
            <w:tcW w:w="1440" w:type="dxa"/>
            <w:vAlign w:val="bottom"/>
            <w:tcBorders>
              <w:bottom w:val="single" w:sz="8" w:color="696158"/>
            </w:tcBorders>
          </w:tcPr>
          <w:p>
            <w:pPr>
              <w:ind w:left="1220"/>
              <w:spacing w:after="0"/>
              <w:rPr>
                <w:sz w:val="20"/>
                <w:szCs w:val="20"/>
                <w:color w:val="auto"/>
              </w:rPr>
            </w:pPr>
            <w:r>
              <w:rPr>
                <w:rFonts w:ascii="Verdana" w:cs="Verdana" w:eastAsia="Verdana" w:hAnsi="Verdana"/>
                <w:sz w:val="14"/>
                <w:szCs w:val="14"/>
                <w:color w:val="auto"/>
              </w:rPr>
              <w:t>—</w:t>
            </w:r>
          </w:p>
        </w:tc>
      </w:tr>
    </w:tbl>
    <w:p>
      <w:pPr>
        <w:spacing w:after="0" w:line="193" w:lineRule="exact"/>
        <w:rPr>
          <w:sz w:val="20"/>
          <w:szCs w:val="20"/>
          <w:color w:val="auto"/>
        </w:rPr>
      </w:pPr>
    </w:p>
    <w:p>
      <w:pPr>
        <w:ind w:left="340" w:right="20" w:hanging="332"/>
        <w:spacing w:after="0" w:line="238" w:lineRule="auto"/>
        <w:tabs>
          <w:tab w:leader="none" w:pos="332" w:val="left"/>
        </w:tabs>
        <w:numPr>
          <w:ilvl w:val="0"/>
          <w:numId w:val="104"/>
        </w:numPr>
        <w:rPr>
          <w:rFonts w:ascii="Verdana" w:cs="Verdana" w:eastAsia="Verdana" w:hAnsi="Verdana"/>
          <w:sz w:val="14"/>
          <w:szCs w:val="14"/>
          <w:color w:val="auto"/>
        </w:rPr>
      </w:pPr>
      <w:r>
        <w:rPr>
          <w:rFonts w:ascii="Verdana" w:cs="Verdana" w:eastAsia="Verdana" w:hAnsi="Verdana"/>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w:t>
      </w:r>
    </w:p>
    <w:p>
      <w:pPr>
        <w:ind w:left="340" w:right="140" w:hanging="332"/>
        <w:spacing w:after="0" w:line="244" w:lineRule="auto"/>
        <w:tabs>
          <w:tab w:leader="none" w:pos="332" w:val="left"/>
        </w:tabs>
        <w:numPr>
          <w:ilvl w:val="0"/>
          <w:numId w:val="104"/>
        </w:numPr>
        <w:rPr>
          <w:rFonts w:ascii="Verdana" w:cs="Verdana" w:eastAsia="Verdana" w:hAnsi="Verdana"/>
          <w:sz w:val="14"/>
          <w:szCs w:val="14"/>
          <w:color w:val="auto"/>
        </w:rPr>
      </w:pPr>
      <w:r>
        <w:rPr>
          <w:rFonts w:ascii="Verdana" w:cs="Verdana" w:eastAsia="Verdana" w:hAnsi="Verdana"/>
          <w:sz w:val="14"/>
          <w:szCs w:val="14"/>
          <w:color w:val="auto"/>
        </w:rPr>
        <w:t>Present values determined using a December 31, 2024 measurement date and reflect benefits accrued based on service and pay earned through such date. Figures for the tax-qualified pension plan are determined based on post-commencement valuation mortality (white collar Pri-2012 retiree mortality table with 96.9% multiplier, projected generationally using MP-2021 improvement scale), commencement of benefits at age 65 and an assumed discount rate of 5.70% as of the measurement date. Figures for the Pension Equalization Program and Salaried Retirement Restoration Program (collectively, the "SERP") are determined based on the mortality prescribed by Revenue Ruling 2001-62, commencement of benefits at the later of age 60 and full vesting and an assumed discount rate of 5.00% as of the measurement date. The assumed future SERP present value conversion rate for those not yet in payment is 4.66%.</w:t>
      </w:r>
    </w:p>
    <w:p>
      <w:pPr>
        <w:spacing w:after="0" w:line="4" w:lineRule="exact"/>
        <w:rPr>
          <w:rFonts w:ascii="Verdana" w:cs="Verdana" w:eastAsia="Verdana" w:hAnsi="Verdana"/>
          <w:sz w:val="14"/>
          <w:szCs w:val="14"/>
          <w:color w:val="auto"/>
        </w:rPr>
      </w:pPr>
    </w:p>
    <w:p>
      <w:pPr>
        <w:ind w:left="340" w:right="520" w:hanging="332"/>
        <w:spacing w:after="0" w:line="270" w:lineRule="auto"/>
        <w:tabs>
          <w:tab w:leader="none" w:pos="332" w:val="left"/>
        </w:tabs>
        <w:numPr>
          <w:ilvl w:val="0"/>
          <w:numId w:val="104"/>
        </w:numPr>
        <w:rPr>
          <w:rFonts w:ascii="Verdana" w:cs="Verdana" w:eastAsia="Verdana" w:hAnsi="Verdana"/>
          <w:sz w:val="14"/>
          <w:szCs w:val="14"/>
          <w:color w:val="auto"/>
        </w:rPr>
      </w:pPr>
      <w:r>
        <w:rPr>
          <w:rFonts w:ascii="Verdana" w:cs="Verdana" w:eastAsia="Verdana" w:hAnsi="Verdana"/>
          <w:sz w:val="14"/>
          <w:szCs w:val="14"/>
          <w:color w:val="auto"/>
        </w:rPr>
        <w:t>Messrs. Esposito and Kemp and Ms. Davis are not participants in the Pension Plan, the Pension Equalization Program or in the Pension Make Up Account.</w:t>
      </w:r>
    </w:p>
    <w:p>
      <w:pPr>
        <w:spacing w:after="0" w:line="10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Qualified Pension Plan</w:t>
      </w:r>
    </w:p>
    <w:p>
      <w:pPr>
        <w:spacing w:after="0" w:line="137" w:lineRule="exact"/>
        <w:rPr>
          <w:sz w:val="20"/>
          <w:szCs w:val="20"/>
          <w:color w:val="auto"/>
        </w:rPr>
      </w:pPr>
    </w:p>
    <w:p>
      <w:pPr>
        <w:ind w:right="480"/>
        <w:spacing w:after="0" w:line="241" w:lineRule="auto"/>
        <w:rPr>
          <w:sz w:val="20"/>
          <w:szCs w:val="20"/>
          <w:color w:val="auto"/>
        </w:rPr>
      </w:pPr>
      <w:r>
        <w:rPr>
          <w:rFonts w:ascii="Verdana" w:cs="Verdana" w:eastAsia="Verdana" w:hAnsi="Verdana"/>
          <w:sz w:val="16"/>
          <w:szCs w:val="16"/>
          <w:color w:val="auto"/>
        </w:rPr>
        <w:t>The NEOs (and other eligible employees), other than Messrs. Esposito and Kemp and Ms. Davis, participate in the Lear Corporation Pension Plan (the “Pension Plan”), which was frozen with respect to any new benefits as of December 31, 2006. The Pension Plan is</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intended to be a qualified pension plan 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w:t>
      </w:r>
    </w:p>
    <w:p>
      <w:pPr>
        <w:spacing w:after="0" w:line="2" w:lineRule="exact"/>
        <w:rPr>
          <w:sz w:val="20"/>
          <w:szCs w:val="20"/>
          <w:color w:val="auto"/>
        </w:rPr>
      </w:pPr>
    </w:p>
    <w:p>
      <w:pPr>
        <w:ind w:right="860"/>
        <w:spacing w:after="0" w:line="253" w:lineRule="auto"/>
        <w:rPr>
          <w:sz w:val="20"/>
          <w:szCs w:val="20"/>
          <w:color w:val="auto"/>
        </w:rPr>
      </w:pPr>
      <w:r>
        <w:rPr>
          <w:rFonts w:ascii="Verdana" w:cs="Verdana" w:eastAsia="Verdana" w:hAnsi="Verdana"/>
          <w:sz w:val="16"/>
          <w:szCs w:val="16"/>
          <w:color w:val="auto"/>
        </w:rPr>
        <w:t>Code. The Company may make contributions in excess of any minimum funding requirements when the Company believes it is financially advantageous to do so and based on its other capital requirements and other considerations.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Pension Plan contains multiple benefit formulas. Under the principal formula, applicable to all participating NEOs, pension benefits</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are based on “final average pay,” which is the average of the participant’s compensation as of December 31, 2006, for the five calendar years in the last ten years of employment prior to the freeze of the Pension Plan in which the participant had the highest earnings.</w:t>
      </w:r>
    </w:p>
    <w:p>
      <w:pPr>
        <w:spacing w:after="0" w:line="1"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98" w:lineRule="exact"/>
        <w:rPr>
          <w:sz w:val="20"/>
          <w:szCs w:val="20"/>
          <w:color w:val="auto"/>
        </w:rPr>
      </w:pPr>
    </w:p>
    <w:p>
      <w:pPr>
        <w:ind w:left="660" w:right="20" w:hanging="328"/>
        <w:spacing w:after="0" w:line="245" w:lineRule="auto"/>
        <w:tabs>
          <w:tab w:leader="none" w:pos="654" w:val="left"/>
        </w:tabs>
        <w:numPr>
          <w:ilvl w:val="0"/>
          <w:numId w:val="105"/>
        </w:numPr>
        <w:rPr>
          <w:rFonts w:ascii="Verdana" w:cs="Verdana" w:eastAsia="Verdana" w:hAnsi="Verdana"/>
          <w:sz w:val="16"/>
          <w:szCs w:val="16"/>
          <w:color w:val="auto"/>
        </w:rPr>
      </w:pPr>
      <w:r>
        <w:rPr>
          <w:rFonts w:ascii="Verdana" w:cs="Verdana" w:eastAsia="Verdana" w:hAnsi="Verdana"/>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83" w:lineRule="exact"/>
        <w:rPr>
          <w:rFonts w:ascii="Verdana" w:cs="Verdana" w:eastAsia="Verdana" w:hAnsi="Verdana"/>
          <w:sz w:val="16"/>
          <w:szCs w:val="16"/>
          <w:color w:val="auto"/>
        </w:rPr>
      </w:pPr>
    </w:p>
    <w:p>
      <w:pPr>
        <w:ind w:left="640" w:hanging="308"/>
        <w:spacing w:after="0"/>
        <w:tabs>
          <w:tab w:leader="none" w:pos="640" w:val="left"/>
        </w:tabs>
        <w:numPr>
          <w:ilvl w:val="0"/>
          <w:numId w:val="105"/>
        </w:numPr>
        <w:rPr>
          <w:rFonts w:ascii="Verdana" w:cs="Verdana" w:eastAsia="Verdana" w:hAnsi="Verdana"/>
          <w:sz w:val="16"/>
          <w:szCs w:val="16"/>
          <w:color w:val="auto"/>
        </w:rPr>
      </w:pPr>
      <w:r>
        <w:rPr>
          <w:rFonts w:ascii="Verdana" w:cs="Verdana" w:eastAsia="Verdana" w:hAnsi="Verdana"/>
          <w:sz w:val="16"/>
          <w:szCs w:val="16"/>
          <w:color w:val="auto"/>
        </w:rPr>
        <w:t>$360.00 times years of credited service.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63</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480"/>
        <w:spacing w:after="0" w:line="241" w:lineRule="auto"/>
        <w:rPr>
          <w:sz w:val="20"/>
          <w:szCs w:val="20"/>
          <w:color w:val="auto"/>
        </w:rPr>
      </w:pPr>
      <w:r>
        <w:rPr>
          <w:rFonts w:ascii="Verdana" w:cs="Verdana" w:eastAsia="Verdana" w:hAnsi="Verdana"/>
          <w:sz w:val="16"/>
          <w:szCs w:val="16"/>
          <w:color w:val="auto"/>
        </w:rPr>
        <w:t>Mr. Scott is currently eligible for early retirement under the Pension Plan. A participant who has attained age 55 and has at least 10 years of service is eligible for early retirement and may commence receipt of his or her annual retirement benefit (calculated in</w:t>
      </w:r>
    </w:p>
    <w:p>
      <w:pPr>
        <w:spacing w:after="0" w:line="1" w:lineRule="exact"/>
        <w:rPr>
          <w:sz w:val="20"/>
          <w:szCs w:val="20"/>
          <w:color w:val="auto"/>
        </w:rPr>
      </w:pPr>
    </w:p>
    <w:p>
      <w:pPr>
        <w:ind w:right="260"/>
        <w:spacing w:after="0" w:line="308" w:lineRule="auto"/>
        <w:rPr>
          <w:sz w:val="20"/>
          <w:szCs w:val="20"/>
          <w:color w:val="auto"/>
        </w:rPr>
      </w:pPr>
      <w:r>
        <w:rPr>
          <w:rFonts w:ascii="Verdana" w:cs="Verdana" w:eastAsia="Verdana" w:hAnsi="Verdana"/>
          <w:sz w:val="16"/>
          <w:szCs w:val="16"/>
          <w:color w:val="auto"/>
        </w:rPr>
        <w:t>accordance with the above) prior to reaching age 65, but such benefit will be actuarially reduced to account for early commencement. The benefits under the Pension Plan became vested once the participant accrued five years of vesting service under the plan. Service</w:t>
      </w:r>
    </w:p>
    <w:p>
      <w:pPr>
        <w:ind w:right="340"/>
        <w:spacing w:after="0" w:line="253" w:lineRule="auto"/>
        <w:rPr>
          <w:sz w:val="20"/>
          <w:szCs w:val="20"/>
          <w:color w:val="auto"/>
        </w:rPr>
      </w:pPr>
      <w:r>
        <w:rPr>
          <w:rFonts w:ascii="Verdana" w:cs="Verdana" w:eastAsia="Verdana" w:hAnsi="Verdana"/>
          <w:sz w:val="16"/>
          <w:szCs w:val="16"/>
          <w:color w:val="auto"/>
        </w:rPr>
        <w:t>performed after December 31, 2006, continued to count towards vesting credit even though no additional benefits accrued under the plan after that date. All Pension Plan participants are 100% vested.</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Pension Equalization Program</w:t>
      </w:r>
    </w:p>
    <w:p>
      <w:pPr>
        <w:spacing w:after="0" w:line="137"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The Pension Equalization Program, which was frozen for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w:t>
      </w:r>
    </w:p>
    <w:p>
      <w:pPr>
        <w:spacing w:after="0" w:line="2" w:lineRule="exact"/>
        <w:rPr>
          <w:sz w:val="20"/>
          <w:szCs w:val="20"/>
          <w:color w:val="auto"/>
        </w:rPr>
      </w:pPr>
    </w:p>
    <w:p>
      <w:pPr>
        <w:ind w:right="360"/>
        <w:spacing w:after="0" w:line="241" w:lineRule="auto"/>
        <w:rPr>
          <w:sz w:val="20"/>
          <w:szCs w:val="20"/>
          <w:color w:val="auto"/>
        </w:rPr>
      </w:pPr>
      <w:r>
        <w:rPr>
          <w:rFonts w:ascii="Verdana" w:cs="Verdana" w:eastAsia="Verdana" w:hAnsi="Verdana"/>
          <w:sz w:val="16"/>
          <w:szCs w:val="16"/>
          <w:color w:val="auto"/>
        </w:rPr>
        <w:t>Equalization Program is intended to supplement the benefits under the Pension Plan for certain highly paid executives whose Pension Plan benefits are limited by those Internal Revenue Code limits. A participant’s Pension Equalization Program benefit equals the</w:t>
      </w:r>
    </w:p>
    <w:p>
      <w:pPr>
        <w:spacing w:after="0" w:line="1"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w:t>
      </w:r>
    </w:p>
    <w:p>
      <w:pPr>
        <w:spacing w:after="0" w:line="2" w:lineRule="exact"/>
        <w:rPr>
          <w:sz w:val="20"/>
          <w:szCs w:val="20"/>
          <w:color w:val="auto"/>
        </w:rPr>
      </w:pPr>
    </w:p>
    <w:p>
      <w:pPr>
        <w:ind w:right="340"/>
        <w:spacing w:after="0" w:line="241" w:lineRule="auto"/>
        <w:rPr>
          <w:sz w:val="20"/>
          <w:szCs w:val="20"/>
          <w:color w:val="auto"/>
        </w:rPr>
      </w:pPr>
      <w:r>
        <w:rPr>
          <w:rFonts w:ascii="Verdana" w:cs="Verdana" w:eastAsia="Verdana" w:hAnsi="Verdana"/>
          <w:sz w:val="16"/>
          <w:szCs w:val="16"/>
          <w:color w:val="auto"/>
        </w:rPr>
        <w:t>three years are eligible to participate in the Pension Equalization Program. The NEOs, other than Messrs. Esposito and Kemp and Ms. Davis, participate in the Pension Equalization Program. The benefits under the Pension Equalization Program become vested once the</w:t>
      </w:r>
    </w:p>
    <w:p>
      <w:pPr>
        <w:spacing w:after="0" w:line="1"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participant has either (i) attained age 55 and has at least 10 years of vesting service, attained age 65, or becomes eligible for disability retirement under the Pension Plan, or (ii) attained 20 years of vesting service. Vesting service will continue to accrue after December 31, 2006.</w:t>
      </w:r>
    </w:p>
    <w:p>
      <w:pPr>
        <w:spacing w:after="0" w:line="98"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On December 18, 2007, the Pension Equalization Program was amended to provide for its termination and the wind down of the Company’s obligations pursuant thereto. For an active participant who is eligible to receive benefits, amounts that would otherwise be</w:t>
      </w:r>
    </w:p>
    <w:p>
      <w:pPr>
        <w:spacing w:after="0" w:line="1"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payable will be used to fund a third-party annuity or other investment vehicle. In such event, the participant will not receive any cash payments until the participant retires or otherwise terminates employment with the Company.</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Salaried Retirement Restoration Program</w:t>
      </w:r>
    </w:p>
    <w:p>
      <w:pPr>
        <w:spacing w:after="0" w:line="137"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The Salaried Retirement Restoration Program, as amended and restated as of January 1, 2013, contains both defined benefit and defined contribution elements. The defined benefit element is quantified and described in the Pension Benefits table and in the narrative below. For more information on the defined contribution element, see page 60.</w:t>
      </w:r>
    </w:p>
    <w:p>
      <w:pPr>
        <w:spacing w:after="0" w:line="9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to defer compensation under the Salaried Retirement Restoration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0" w:hanging="534"/>
        <w:spacing w:after="0"/>
        <w:tabs>
          <w:tab w:leader="none" w:pos="560" w:val="left"/>
        </w:tabs>
        <w:numPr>
          <w:ilvl w:val="0"/>
          <w:numId w:val="106"/>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8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288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3346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F0EFEE"/>
        </w:rPr>
        <w:t>2024 Nonqualified Deferred Compensation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00" w:type="dxa"/>
            <w:vAlign w:val="bottom"/>
          </w:tcPr>
          <w:p>
            <w:pPr>
              <w:jc w:val="center"/>
              <w:ind w:left="116"/>
              <w:spacing w:after="0"/>
              <w:rPr>
                <w:sz w:val="20"/>
                <w:szCs w:val="20"/>
                <w:color w:val="auto"/>
              </w:rPr>
            </w:pPr>
            <w:r>
              <w:rPr>
                <w:rFonts w:ascii="Verdana" w:cs="Verdana" w:eastAsia="Verdana" w:hAnsi="Verdana"/>
                <w:sz w:val="13"/>
                <w:szCs w:val="13"/>
                <w:b w:val="1"/>
                <w:bCs w:val="1"/>
                <w:color w:val="307FE2"/>
              </w:rPr>
              <w:t>Executive</w:t>
            </w:r>
          </w:p>
        </w:tc>
        <w:tc>
          <w:tcPr>
            <w:tcW w:w="1460" w:type="dxa"/>
            <w:vAlign w:val="bottom"/>
          </w:tcPr>
          <w:p>
            <w:pPr>
              <w:jc w:val="center"/>
              <w:spacing w:after="0"/>
              <w:rPr>
                <w:sz w:val="20"/>
                <w:szCs w:val="20"/>
                <w:color w:val="auto"/>
              </w:rPr>
            </w:pPr>
            <w:r>
              <w:rPr>
                <w:rFonts w:ascii="Verdana" w:cs="Verdana" w:eastAsia="Verdana" w:hAnsi="Verdana"/>
                <w:sz w:val="13"/>
                <w:szCs w:val="13"/>
                <w:b w:val="1"/>
                <w:bCs w:val="1"/>
                <w:color w:val="307FE2"/>
              </w:rPr>
              <w:t>Company</w:t>
            </w:r>
          </w:p>
        </w:tc>
        <w:tc>
          <w:tcPr>
            <w:tcW w:w="1580" w:type="dxa"/>
            <w:vAlign w:val="bottom"/>
          </w:tcPr>
          <w:p>
            <w:pPr>
              <w:jc w:val="center"/>
              <w:ind w:right="116"/>
              <w:spacing w:after="0"/>
              <w:rPr>
                <w:sz w:val="20"/>
                <w:szCs w:val="20"/>
                <w:color w:val="auto"/>
              </w:rPr>
            </w:pPr>
            <w:r>
              <w:rPr>
                <w:rFonts w:ascii="Verdana" w:cs="Verdana" w:eastAsia="Verdana" w:hAnsi="Verdana"/>
                <w:sz w:val="13"/>
                <w:szCs w:val="13"/>
                <w:b w:val="1"/>
                <w:bCs w:val="1"/>
                <w:color w:val="307FE2"/>
              </w:rPr>
              <w:t>Aggregate</w:t>
            </w:r>
          </w:p>
        </w:tc>
        <w:tc>
          <w:tcPr>
            <w:tcW w:w="1560" w:type="dxa"/>
            <w:vAlign w:val="bottom"/>
          </w:tcPr>
          <w:p>
            <w:pPr>
              <w:jc w:val="center"/>
              <w:ind w:right="116"/>
              <w:spacing w:after="0"/>
              <w:rPr>
                <w:sz w:val="20"/>
                <w:szCs w:val="20"/>
                <w:color w:val="auto"/>
              </w:rPr>
            </w:pPr>
            <w:r>
              <w:rPr>
                <w:rFonts w:ascii="Verdana" w:cs="Verdana" w:eastAsia="Verdana" w:hAnsi="Verdana"/>
                <w:sz w:val="13"/>
                <w:szCs w:val="13"/>
                <w:b w:val="1"/>
                <w:bCs w:val="1"/>
                <w:color w:val="307FE2"/>
              </w:rPr>
              <w:t>Aggregate</w:t>
            </w:r>
          </w:p>
        </w:tc>
        <w:tc>
          <w:tcPr>
            <w:tcW w:w="1420" w:type="dxa"/>
            <w:vAlign w:val="bottom"/>
          </w:tcPr>
          <w:p>
            <w:pPr>
              <w:jc w:val="center"/>
              <w:spacing w:after="0"/>
              <w:rPr>
                <w:sz w:val="20"/>
                <w:szCs w:val="20"/>
                <w:color w:val="auto"/>
              </w:rPr>
            </w:pPr>
            <w:r>
              <w:rPr>
                <w:rFonts w:ascii="Verdana" w:cs="Verdana" w:eastAsia="Verdana" w:hAnsi="Verdana"/>
                <w:sz w:val="13"/>
                <w:szCs w:val="13"/>
                <w:b w:val="1"/>
                <w:bCs w:val="1"/>
                <w:color w:val="307FE2"/>
              </w:rPr>
              <w:t>Aggregate</w:t>
            </w:r>
          </w:p>
        </w:tc>
      </w:tr>
      <w:tr>
        <w:trPr>
          <w:trHeight w:val="188"/>
        </w:trPr>
        <w:tc>
          <w:tcPr>
            <w:tcW w:w="1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00" w:type="dxa"/>
            <w:vAlign w:val="bottom"/>
          </w:tcPr>
          <w:p>
            <w:pPr>
              <w:jc w:val="center"/>
              <w:ind w:left="136"/>
              <w:spacing w:after="0"/>
              <w:rPr>
                <w:sz w:val="20"/>
                <w:szCs w:val="20"/>
                <w:color w:val="auto"/>
              </w:rPr>
            </w:pPr>
            <w:r>
              <w:rPr>
                <w:rFonts w:ascii="Verdana" w:cs="Verdana" w:eastAsia="Verdana" w:hAnsi="Verdana"/>
                <w:sz w:val="13"/>
                <w:szCs w:val="13"/>
                <w:b w:val="1"/>
                <w:bCs w:val="1"/>
                <w:color w:val="307FE2"/>
              </w:rPr>
              <w:t>Contributions in</w:t>
            </w:r>
          </w:p>
        </w:tc>
        <w:tc>
          <w:tcPr>
            <w:tcW w:w="1460" w:type="dxa"/>
            <w:vAlign w:val="bottom"/>
          </w:tcPr>
          <w:p>
            <w:pPr>
              <w:jc w:val="center"/>
              <w:spacing w:after="0"/>
              <w:rPr>
                <w:sz w:val="20"/>
                <w:szCs w:val="20"/>
                <w:color w:val="auto"/>
              </w:rPr>
            </w:pPr>
            <w:r>
              <w:rPr>
                <w:rFonts w:ascii="Verdana" w:cs="Verdana" w:eastAsia="Verdana" w:hAnsi="Verdana"/>
                <w:sz w:val="13"/>
                <w:szCs w:val="13"/>
                <w:b w:val="1"/>
                <w:bCs w:val="1"/>
                <w:color w:val="307FE2"/>
              </w:rPr>
              <w:t>Contributions in</w:t>
            </w:r>
          </w:p>
        </w:tc>
        <w:tc>
          <w:tcPr>
            <w:tcW w:w="1580" w:type="dxa"/>
            <w:vAlign w:val="bottom"/>
          </w:tcPr>
          <w:p>
            <w:pPr>
              <w:jc w:val="center"/>
              <w:ind w:right="116"/>
              <w:spacing w:after="0"/>
              <w:rPr>
                <w:sz w:val="20"/>
                <w:szCs w:val="20"/>
                <w:color w:val="auto"/>
              </w:rPr>
            </w:pPr>
            <w:r>
              <w:rPr>
                <w:rFonts w:ascii="Verdana" w:cs="Verdana" w:eastAsia="Verdana" w:hAnsi="Verdana"/>
                <w:sz w:val="13"/>
                <w:szCs w:val="13"/>
                <w:b w:val="1"/>
                <w:bCs w:val="1"/>
                <w:color w:val="307FE2"/>
              </w:rPr>
              <w:t>Earnings in Last</w:t>
            </w:r>
          </w:p>
        </w:tc>
        <w:tc>
          <w:tcPr>
            <w:tcW w:w="1560" w:type="dxa"/>
            <w:vAlign w:val="bottom"/>
          </w:tcPr>
          <w:p>
            <w:pPr>
              <w:jc w:val="center"/>
              <w:ind w:right="136"/>
              <w:spacing w:after="0"/>
              <w:rPr>
                <w:sz w:val="20"/>
                <w:szCs w:val="20"/>
                <w:color w:val="auto"/>
              </w:rPr>
            </w:pPr>
            <w:r>
              <w:rPr>
                <w:rFonts w:ascii="Verdana" w:cs="Verdana" w:eastAsia="Verdana" w:hAnsi="Verdana"/>
                <w:sz w:val="13"/>
                <w:szCs w:val="13"/>
                <w:b w:val="1"/>
                <w:bCs w:val="1"/>
                <w:color w:val="307FE2"/>
              </w:rPr>
              <w:t>Withdrawals/</w:t>
            </w:r>
          </w:p>
        </w:tc>
        <w:tc>
          <w:tcPr>
            <w:tcW w:w="1420" w:type="dxa"/>
            <w:vAlign w:val="bottom"/>
          </w:tcPr>
          <w:p>
            <w:pPr>
              <w:jc w:val="center"/>
              <w:spacing w:after="0"/>
              <w:rPr>
                <w:sz w:val="20"/>
                <w:szCs w:val="20"/>
                <w:color w:val="auto"/>
              </w:rPr>
            </w:pPr>
            <w:r>
              <w:rPr>
                <w:rFonts w:ascii="Verdana" w:cs="Verdana" w:eastAsia="Verdana" w:hAnsi="Verdana"/>
                <w:sz w:val="13"/>
                <w:szCs w:val="13"/>
                <w:b w:val="1"/>
                <w:bCs w:val="1"/>
                <w:color w:val="307FE2"/>
              </w:rPr>
              <w:t>Balance at Last</w:t>
            </w:r>
          </w:p>
        </w:tc>
      </w:tr>
      <w:tr>
        <w:trPr>
          <w:trHeight w:val="176"/>
        </w:trPr>
        <w:tc>
          <w:tcPr>
            <w:tcW w:w="1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00" w:type="dxa"/>
            <w:vAlign w:val="bottom"/>
          </w:tcPr>
          <w:p>
            <w:pPr>
              <w:jc w:val="center"/>
              <w:ind w:left="116"/>
              <w:spacing w:after="0"/>
              <w:rPr>
                <w:sz w:val="20"/>
                <w:szCs w:val="20"/>
                <w:color w:val="auto"/>
              </w:rPr>
            </w:pPr>
            <w:r>
              <w:rPr>
                <w:rFonts w:ascii="Verdana" w:cs="Verdana" w:eastAsia="Verdana" w:hAnsi="Verdana"/>
                <w:sz w:val="13"/>
                <w:szCs w:val="13"/>
                <w:b w:val="1"/>
                <w:bCs w:val="1"/>
                <w:color w:val="307FE2"/>
              </w:rPr>
              <w:t>Last FY</w:t>
            </w:r>
          </w:p>
        </w:tc>
        <w:tc>
          <w:tcPr>
            <w:tcW w:w="1460" w:type="dxa"/>
            <w:vAlign w:val="bottom"/>
          </w:tcPr>
          <w:p>
            <w:pPr>
              <w:jc w:val="center"/>
              <w:spacing w:after="0"/>
              <w:rPr>
                <w:sz w:val="20"/>
                <w:szCs w:val="20"/>
                <w:color w:val="auto"/>
              </w:rPr>
            </w:pPr>
            <w:r>
              <w:rPr>
                <w:rFonts w:ascii="Verdana" w:cs="Verdana" w:eastAsia="Verdana" w:hAnsi="Verdana"/>
                <w:sz w:val="13"/>
                <w:szCs w:val="13"/>
                <w:b w:val="1"/>
                <w:bCs w:val="1"/>
                <w:color w:val="307FE2"/>
              </w:rPr>
              <w:t>Last FY</w:t>
            </w:r>
            <w:r>
              <w:rPr>
                <w:rFonts w:ascii="Verdana" w:cs="Verdana" w:eastAsia="Verdana" w:hAnsi="Verdana"/>
                <w:sz w:val="8"/>
                <w:szCs w:val="8"/>
                <w:b w:val="1"/>
                <w:bCs w:val="1"/>
                <w:color w:val="307FE2"/>
              </w:rPr>
              <w:t>(1)</w:t>
            </w:r>
          </w:p>
        </w:tc>
        <w:tc>
          <w:tcPr>
            <w:tcW w:w="1580" w:type="dxa"/>
            <w:vAlign w:val="bottom"/>
          </w:tcPr>
          <w:p>
            <w:pPr>
              <w:jc w:val="center"/>
              <w:ind w:right="116"/>
              <w:spacing w:after="0"/>
              <w:rPr>
                <w:sz w:val="20"/>
                <w:szCs w:val="20"/>
                <w:color w:val="auto"/>
              </w:rPr>
            </w:pPr>
            <w:r>
              <w:rPr>
                <w:rFonts w:ascii="Verdana" w:cs="Verdana" w:eastAsia="Verdana" w:hAnsi="Verdana"/>
                <w:sz w:val="13"/>
                <w:szCs w:val="13"/>
                <w:b w:val="1"/>
                <w:bCs w:val="1"/>
                <w:color w:val="307FE2"/>
              </w:rPr>
              <w:t>FY</w:t>
            </w:r>
            <w:r>
              <w:rPr>
                <w:rFonts w:ascii="Verdana" w:cs="Verdana" w:eastAsia="Verdana" w:hAnsi="Verdana"/>
                <w:sz w:val="8"/>
                <w:szCs w:val="8"/>
                <w:b w:val="1"/>
                <w:bCs w:val="1"/>
                <w:color w:val="307FE2"/>
              </w:rPr>
              <w:t>(2)</w:t>
            </w:r>
          </w:p>
        </w:tc>
        <w:tc>
          <w:tcPr>
            <w:tcW w:w="1560" w:type="dxa"/>
            <w:vAlign w:val="bottom"/>
          </w:tcPr>
          <w:p>
            <w:pPr>
              <w:jc w:val="center"/>
              <w:ind w:right="116"/>
              <w:spacing w:after="0"/>
              <w:rPr>
                <w:sz w:val="20"/>
                <w:szCs w:val="20"/>
                <w:color w:val="auto"/>
              </w:rPr>
            </w:pPr>
            <w:r>
              <w:rPr>
                <w:rFonts w:ascii="Verdana" w:cs="Verdana" w:eastAsia="Verdana" w:hAnsi="Verdana"/>
                <w:sz w:val="13"/>
                <w:szCs w:val="13"/>
                <w:b w:val="1"/>
                <w:bCs w:val="1"/>
                <w:color w:val="307FE2"/>
              </w:rPr>
              <w:t>Distributions</w:t>
            </w:r>
          </w:p>
        </w:tc>
        <w:tc>
          <w:tcPr>
            <w:tcW w:w="1420" w:type="dxa"/>
            <w:vAlign w:val="bottom"/>
          </w:tcPr>
          <w:p>
            <w:pPr>
              <w:jc w:val="center"/>
              <w:spacing w:after="0"/>
              <w:rPr>
                <w:sz w:val="20"/>
                <w:szCs w:val="20"/>
                <w:color w:val="auto"/>
              </w:rPr>
            </w:pPr>
            <w:r>
              <w:rPr>
                <w:rFonts w:ascii="Verdana" w:cs="Verdana" w:eastAsia="Verdana" w:hAnsi="Verdana"/>
                <w:sz w:val="13"/>
                <w:szCs w:val="13"/>
                <w:b w:val="1"/>
                <w:bCs w:val="1"/>
                <w:color w:val="307FE2"/>
              </w:rPr>
              <w:t>FYE</w:t>
            </w:r>
            <w:r>
              <w:rPr>
                <w:rFonts w:ascii="Verdana" w:cs="Verdana" w:eastAsia="Verdana" w:hAnsi="Verdana"/>
                <w:sz w:val="8"/>
                <w:szCs w:val="8"/>
                <w:b w:val="1"/>
                <w:bCs w:val="1"/>
                <w:color w:val="307FE2"/>
              </w:rPr>
              <w:t>(3)(4)(5)</w:t>
            </w:r>
          </w:p>
        </w:tc>
      </w:tr>
      <w:tr>
        <w:trPr>
          <w:trHeight w:val="237"/>
        </w:trPr>
        <w:tc>
          <w:tcPr>
            <w:tcW w:w="1560" w:type="dxa"/>
            <w:vAlign w:val="bottom"/>
            <w:tcBorders>
              <w:bottom w:val="single" w:sz="8" w:color="307FE2"/>
            </w:tcBorders>
          </w:tcPr>
          <w:p>
            <w:pPr>
              <w:ind w:left="680"/>
              <w:spacing w:after="0"/>
              <w:rPr>
                <w:sz w:val="20"/>
                <w:szCs w:val="20"/>
                <w:color w:val="auto"/>
              </w:rPr>
            </w:pPr>
            <w:r>
              <w:rPr>
                <w:rFonts w:ascii="Verdana" w:cs="Verdana" w:eastAsia="Verdana" w:hAnsi="Verdana"/>
                <w:sz w:val="13"/>
                <w:szCs w:val="13"/>
                <w:b w:val="1"/>
                <w:bCs w:val="1"/>
                <w:color w:val="307FE2"/>
              </w:rPr>
              <w:t>Name</w:t>
            </w:r>
          </w:p>
        </w:tc>
        <w:tc>
          <w:tcPr>
            <w:tcW w:w="1960" w:type="dxa"/>
            <w:vAlign w:val="bottom"/>
            <w:tcBorders>
              <w:bottom w:val="single" w:sz="8" w:color="307FE2"/>
            </w:tcBorders>
          </w:tcPr>
          <w:p>
            <w:pPr>
              <w:ind w:left="240"/>
              <w:spacing w:after="0"/>
              <w:rPr>
                <w:sz w:val="20"/>
                <w:szCs w:val="20"/>
                <w:color w:val="auto"/>
              </w:rPr>
            </w:pPr>
            <w:r>
              <w:rPr>
                <w:rFonts w:ascii="Verdana" w:cs="Verdana" w:eastAsia="Verdana" w:hAnsi="Verdana"/>
                <w:sz w:val="13"/>
                <w:szCs w:val="13"/>
                <w:b w:val="1"/>
                <w:bCs w:val="1"/>
                <w:color w:val="307FE2"/>
              </w:rPr>
              <w:t>Plan Name</w:t>
            </w:r>
          </w:p>
        </w:tc>
        <w:tc>
          <w:tcPr>
            <w:tcW w:w="1700" w:type="dxa"/>
            <w:vAlign w:val="bottom"/>
            <w:tcBorders>
              <w:bottom w:val="single" w:sz="8" w:color="307FE2"/>
            </w:tcBorders>
          </w:tcPr>
          <w:p>
            <w:pPr>
              <w:jc w:val="center"/>
              <w:ind w:left="116"/>
              <w:spacing w:after="0"/>
              <w:rPr>
                <w:sz w:val="20"/>
                <w:szCs w:val="20"/>
                <w:color w:val="auto"/>
              </w:rPr>
            </w:pPr>
            <w:r>
              <w:rPr>
                <w:rFonts w:ascii="Verdana" w:cs="Verdana" w:eastAsia="Verdana" w:hAnsi="Verdana"/>
                <w:sz w:val="13"/>
                <w:szCs w:val="13"/>
                <w:b w:val="1"/>
                <w:bCs w:val="1"/>
                <w:color w:val="307FE2"/>
              </w:rPr>
              <w:t>($)</w:t>
            </w:r>
          </w:p>
        </w:tc>
        <w:tc>
          <w:tcPr>
            <w:tcW w:w="1460" w:type="dxa"/>
            <w:vAlign w:val="bottom"/>
            <w:tcBorders>
              <w:bottom w:val="single" w:sz="8" w:color="307FE2"/>
            </w:tcBorders>
          </w:tcPr>
          <w:p>
            <w:pPr>
              <w:jc w:val="center"/>
              <w:spacing w:after="0"/>
              <w:rPr>
                <w:sz w:val="20"/>
                <w:szCs w:val="20"/>
                <w:color w:val="auto"/>
              </w:rPr>
            </w:pPr>
            <w:r>
              <w:rPr>
                <w:rFonts w:ascii="Verdana" w:cs="Verdana" w:eastAsia="Verdana" w:hAnsi="Verdana"/>
                <w:sz w:val="13"/>
                <w:szCs w:val="13"/>
                <w:b w:val="1"/>
                <w:bCs w:val="1"/>
                <w:color w:val="307FE2"/>
              </w:rPr>
              <w:t>($)</w:t>
            </w:r>
          </w:p>
        </w:tc>
        <w:tc>
          <w:tcPr>
            <w:tcW w:w="1580" w:type="dxa"/>
            <w:vAlign w:val="bottom"/>
            <w:tcBorders>
              <w:bottom w:val="single" w:sz="8" w:color="307FE2"/>
            </w:tcBorders>
          </w:tcPr>
          <w:p>
            <w:pPr>
              <w:jc w:val="center"/>
              <w:ind w:right="116"/>
              <w:spacing w:after="0"/>
              <w:rPr>
                <w:sz w:val="20"/>
                <w:szCs w:val="20"/>
                <w:color w:val="auto"/>
              </w:rPr>
            </w:pPr>
            <w:r>
              <w:rPr>
                <w:rFonts w:ascii="Verdana" w:cs="Verdana" w:eastAsia="Verdana" w:hAnsi="Verdana"/>
                <w:sz w:val="13"/>
                <w:szCs w:val="13"/>
                <w:b w:val="1"/>
                <w:bCs w:val="1"/>
                <w:color w:val="307FE2"/>
              </w:rPr>
              <w:t>($)</w:t>
            </w:r>
          </w:p>
        </w:tc>
        <w:tc>
          <w:tcPr>
            <w:tcW w:w="1560" w:type="dxa"/>
            <w:vAlign w:val="bottom"/>
            <w:tcBorders>
              <w:bottom w:val="single" w:sz="8" w:color="307FE2"/>
            </w:tcBorders>
          </w:tcPr>
          <w:p>
            <w:pPr>
              <w:jc w:val="center"/>
              <w:ind w:right="136"/>
              <w:spacing w:after="0"/>
              <w:rPr>
                <w:sz w:val="20"/>
                <w:szCs w:val="20"/>
                <w:color w:val="auto"/>
              </w:rPr>
            </w:pPr>
            <w:r>
              <w:rPr>
                <w:rFonts w:ascii="Verdana" w:cs="Verdana" w:eastAsia="Verdana" w:hAnsi="Verdana"/>
                <w:sz w:val="13"/>
                <w:szCs w:val="13"/>
                <w:b w:val="1"/>
                <w:bCs w:val="1"/>
                <w:color w:val="307FE2"/>
              </w:rPr>
              <w:t>($)</w:t>
            </w:r>
          </w:p>
        </w:tc>
        <w:tc>
          <w:tcPr>
            <w:tcW w:w="1420" w:type="dxa"/>
            <w:vAlign w:val="bottom"/>
            <w:tcBorders>
              <w:bottom w:val="single" w:sz="8" w:color="307FE2"/>
            </w:tcBorders>
          </w:tcPr>
          <w:p>
            <w:pPr>
              <w:jc w:val="center"/>
              <w:spacing w:after="0"/>
              <w:rPr>
                <w:sz w:val="20"/>
                <w:szCs w:val="20"/>
                <w:color w:val="auto"/>
              </w:rPr>
            </w:pPr>
            <w:r>
              <w:rPr>
                <w:rFonts w:ascii="Verdana" w:cs="Verdana" w:eastAsia="Verdana" w:hAnsi="Verdana"/>
                <w:sz w:val="13"/>
                <w:szCs w:val="13"/>
                <w:b w:val="1"/>
                <w:bCs w:val="1"/>
                <w:color w:val="307FE2"/>
              </w:rPr>
              <w:t>($)</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Raymond E. Scott</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291,560</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749,046</w:t>
            </w:r>
          </w:p>
        </w:tc>
        <w:tc>
          <w:tcPr>
            <w:tcW w:w="1580" w:type="dxa"/>
            <w:vAlign w:val="bottom"/>
          </w:tcPr>
          <w:p>
            <w:pPr>
              <w:jc w:val="right"/>
              <w:ind w:right="156"/>
              <w:spacing w:after="0"/>
              <w:rPr>
                <w:sz w:val="20"/>
                <w:szCs w:val="20"/>
                <w:color w:val="auto"/>
              </w:rPr>
            </w:pPr>
            <w:r>
              <w:rPr>
                <w:rFonts w:ascii="Verdana" w:cs="Verdana" w:eastAsia="Verdana" w:hAnsi="Verdana"/>
                <w:sz w:val="13"/>
                <w:szCs w:val="13"/>
                <w:color w:val="auto"/>
              </w:rPr>
              <w:t>1,214,166</w:t>
            </w:r>
          </w:p>
        </w:tc>
        <w:tc>
          <w:tcPr>
            <w:tcW w:w="1560" w:type="dxa"/>
            <w:vAlign w:val="bottom"/>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11,140,263</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439,251</w:t>
            </w:r>
          </w:p>
        </w:tc>
        <w:tc>
          <w:tcPr>
            <w:tcW w:w="158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(1,877,417)</w:t>
            </w:r>
          </w:p>
        </w:tc>
        <w:tc>
          <w:tcPr>
            <w:tcW w:w="1560" w:type="dxa"/>
            <w:vAlign w:val="bottom"/>
            <w:tcBorders>
              <w:bottom w:val="single" w:sz="8" w:color="696158"/>
            </w:tcBorders>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5,511,643</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Jason M. Cardew</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138,300</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327,581</w:t>
            </w:r>
          </w:p>
        </w:tc>
        <w:tc>
          <w:tcPr>
            <w:tcW w:w="1580" w:type="dxa"/>
            <w:vAlign w:val="bottom"/>
          </w:tcPr>
          <w:p>
            <w:pPr>
              <w:jc w:val="right"/>
              <w:ind w:right="156"/>
              <w:spacing w:after="0"/>
              <w:rPr>
                <w:sz w:val="20"/>
                <w:szCs w:val="20"/>
                <w:color w:val="auto"/>
              </w:rPr>
            </w:pPr>
            <w:r>
              <w:rPr>
                <w:rFonts w:ascii="Verdana" w:cs="Verdana" w:eastAsia="Verdana" w:hAnsi="Verdana"/>
                <w:sz w:val="13"/>
                <w:szCs w:val="13"/>
                <w:color w:val="auto"/>
              </w:rPr>
              <w:t>568,785</w:t>
            </w:r>
          </w:p>
        </w:tc>
        <w:tc>
          <w:tcPr>
            <w:tcW w:w="1560" w:type="dxa"/>
            <w:vAlign w:val="bottom"/>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4,275,701</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146,381</w:t>
            </w:r>
          </w:p>
        </w:tc>
        <w:tc>
          <w:tcPr>
            <w:tcW w:w="158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(731,783)</w:t>
            </w:r>
          </w:p>
        </w:tc>
        <w:tc>
          <w:tcPr>
            <w:tcW w:w="1560" w:type="dxa"/>
            <w:vAlign w:val="bottom"/>
            <w:tcBorders>
              <w:bottom w:val="single" w:sz="8" w:color="696158"/>
            </w:tcBorders>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2,129,143</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Frank C. Orsini</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138,700</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328,681</w:t>
            </w:r>
          </w:p>
        </w:tc>
        <w:tc>
          <w:tcPr>
            <w:tcW w:w="1580" w:type="dxa"/>
            <w:vAlign w:val="bottom"/>
          </w:tcPr>
          <w:p>
            <w:pPr>
              <w:jc w:val="right"/>
              <w:ind w:right="156"/>
              <w:spacing w:after="0"/>
              <w:rPr>
                <w:sz w:val="20"/>
                <w:szCs w:val="20"/>
                <w:color w:val="auto"/>
              </w:rPr>
            </w:pPr>
            <w:r>
              <w:rPr>
                <w:rFonts w:ascii="Verdana" w:cs="Verdana" w:eastAsia="Verdana" w:hAnsi="Verdana"/>
                <w:sz w:val="13"/>
                <w:szCs w:val="13"/>
                <w:color w:val="auto"/>
              </w:rPr>
              <w:t>714,934</w:t>
            </w:r>
          </w:p>
        </w:tc>
        <w:tc>
          <w:tcPr>
            <w:tcW w:w="1560" w:type="dxa"/>
            <w:vAlign w:val="bottom"/>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5,875,915</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146,381</w:t>
            </w:r>
          </w:p>
        </w:tc>
        <w:tc>
          <w:tcPr>
            <w:tcW w:w="158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(1,042,470)</w:t>
            </w:r>
          </w:p>
        </w:tc>
        <w:tc>
          <w:tcPr>
            <w:tcW w:w="1560" w:type="dxa"/>
            <w:vAlign w:val="bottom"/>
            <w:tcBorders>
              <w:bottom w:val="single" w:sz="8" w:color="696158"/>
            </w:tcBorders>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2,974,193</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Carl A. Esposito</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812,846</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185,552</w:t>
            </w:r>
          </w:p>
        </w:tc>
        <w:tc>
          <w:tcPr>
            <w:tcW w:w="1580" w:type="dxa"/>
            <w:vAlign w:val="bottom"/>
          </w:tcPr>
          <w:p>
            <w:pPr>
              <w:jc w:val="right"/>
              <w:ind w:right="156"/>
              <w:spacing w:after="0"/>
              <w:rPr>
                <w:sz w:val="20"/>
                <w:szCs w:val="20"/>
                <w:color w:val="auto"/>
              </w:rPr>
            </w:pPr>
            <w:r>
              <w:rPr>
                <w:rFonts w:ascii="Verdana" w:cs="Verdana" w:eastAsia="Verdana" w:hAnsi="Verdana"/>
                <w:sz w:val="13"/>
                <w:szCs w:val="13"/>
                <w:color w:val="auto"/>
              </w:rPr>
              <w:t>700,886</w:t>
            </w:r>
          </w:p>
        </w:tc>
        <w:tc>
          <w:tcPr>
            <w:tcW w:w="1560" w:type="dxa"/>
            <w:vAlign w:val="bottom"/>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6,405,724</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146,381</w:t>
            </w:r>
          </w:p>
        </w:tc>
        <w:tc>
          <w:tcPr>
            <w:tcW w:w="158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(278,049)</w:t>
            </w:r>
          </w:p>
        </w:tc>
        <w:tc>
          <w:tcPr>
            <w:tcW w:w="1560" w:type="dxa"/>
            <w:vAlign w:val="bottom"/>
            <w:tcBorders>
              <w:bottom w:val="single" w:sz="8" w:color="696158"/>
            </w:tcBorders>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852,194</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Harry A. Kemp</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43,000</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146,565</w:t>
            </w:r>
          </w:p>
        </w:tc>
        <w:tc>
          <w:tcPr>
            <w:tcW w:w="1580" w:type="dxa"/>
            <w:vAlign w:val="bottom"/>
          </w:tcPr>
          <w:p>
            <w:pPr>
              <w:jc w:val="right"/>
              <w:ind w:right="156"/>
              <w:spacing w:after="0"/>
              <w:rPr>
                <w:sz w:val="20"/>
                <w:szCs w:val="20"/>
                <w:color w:val="auto"/>
              </w:rPr>
            </w:pPr>
            <w:r>
              <w:rPr>
                <w:rFonts w:ascii="Verdana" w:cs="Verdana" w:eastAsia="Verdana" w:hAnsi="Verdana"/>
                <w:sz w:val="13"/>
                <w:szCs w:val="13"/>
                <w:color w:val="auto"/>
              </w:rPr>
              <w:t>149,191</w:t>
            </w:r>
          </w:p>
        </w:tc>
        <w:tc>
          <w:tcPr>
            <w:tcW w:w="1560" w:type="dxa"/>
            <w:vAlign w:val="bottom"/>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1,607,182</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117,126</w:t>
            </w:r>
          </w:p>
        </w:tc>
        <w:tc>
          <w:tcPr>
            <w:tcW w:w="158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(202,688)</w:t>
            </w:r>
          </w:p>
        </w:tc>
        <w:tc>
          <w:tcPr>
            <w:tcW w:w="1560" w:type="dxa"/>
            <w:vAlign w:val="bottom"/>
            <w:tcBorders>
              <w:bottom w:val="single" w:sz="8" w:color="696158"/>
            </w:tcBorders>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632,444</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Alicia J. Davis</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5"/>
        </w:trPr>
        <w:tc>
          <w:tcPr>
            <w:tcW w:w="156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78,480</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115,560</w:t>
            </w:r>
          </w:p>
        </w:tc>
        <w:tc>
          <w:tcPr>
            <w:tcW w:w="1580" w:type="dxa"/>
            <w:vAlign w:val="bottom"/>
          </w:tcPr>
          <w:p>
            <w:pPr>
              <w:jc w:val="right"/>
              <w:ind w:right="156"/>
              <w:spacing w:after="0"/>
              <w:rPr>
                <w:sz w:val="20"/>
                <w:szCs w:val="20"/>
                <w:color w:val="auto"/>
              </w:rPr>
            </w:pPr>
            <w:r>
              <w:rPr>
                <w:rFonts w:ascii="Verdana" w:cs="Verdana" w:eastAsia="Verdana" w:hAnsi="Verdana"/>
                <w:sz w:val="13"/>
                <w:szCs w:val="13"/>
                <w:color w:val="auto"/>
              </w:rPr>
              <w:t>66,803</w:t>
            </w:r>
          </w:p>
        </w:tc>
        <w:tc>
          <w:tcPr>
            <w:tcW w:w="1560" w:type="dxa"/>
            <w:vAlign w:val="bottom"/>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771,335</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117,126</w:t>
            </w:r>
          </w:p>
        </w:tc>
        <w:tc>
          <w:tcPr>
            <w:tcW w:w="158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(202,688)</w:t>
            </w:r>
          </w:p>
        </w:tc>
        <w:tc>
          <w:tcPr>
            <w:tcW w:w="1560" w:type="dxa"/>
            <w:vAlign w:val="bottom"/>
            <w:tcBorders>
              <w:bottom w:val="single" w:sz="8" w:color="696158"/>
            </w:tcBorders>
          </w:tcPr>
          <w:p>
            <w:pPr>
              <w:ind w:left="132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632,444</w:t>
            </w:r>
          </w:p>
        </w:tc>
      </w:tr>
    </w:tbl>
    <w:p>
      <w:pPr>
        <w:spacing w:after="0" w:line="193" w:lineRule="exact"/>
        <w:rPr>
          <w:sz w:val="20"/>
          <w:szCs w:val="20"/>
          <w:color w:val="auto"/>
        </w:rPr>
      </w:pPr>
    </w:p>
    <w:p>
      <w:pPr>
        <w:ind w:left="340" w:right="640" w:hanging="332"/>
        <w:spacing w:after="0" w:line="238" w:lineRule="auto"/>
        <w:tabs>
          <w:tab w:leader="none" w:pos="332" w:val="left"/>
        </w:tabs>
        <w:numPr>
          <w:ilvl w:val="0"/>
          <w:numId w:val="107"/>
        </w:numPr>
        <w:rPr>
          <w:rFonts w:ascii="Verdana" w:cs="Verdana" w:eastAsia="Verdana" w:hAnsi="Verdana"/>
          <w:sz w:val="13"/>
          <w:szCs w:val="13"/>
          <w:color w:val="auto"/>
        </w:rPr>
      </w:pPr>
      <w:r>
        <w:rPr>
          <w:rFonts w:ascii="Verdana" w:cs="Verdana" w:eastAsia="Verdana" w:hAnsi="Verdana"/>
          <w:sz w:val="14"/>
          <w:szCs w:val="14"/>
          <w:color w:val="auto"/>
        </w:rPr>
        <w:t>Salaried Retirement Restoration Program amounts are included in column (i) of the Summary Compensation Table. For vested Career Shares, amounts reflect the value of the vested Career Shares (and accrued dividend equivalents) on November 21, 2024, the vesting date.</w:t>
      </w:r>
    </w:p>
    <w:p>
      <w:pPr>
        <w:ind w:left="320" w:hanging="312"/>
        <w:spacing w:after="0"/>
        <w:tabs>
          <w:tab w:leader="none" w:pos="320" w:val="left"/>
        </w:tabs>
        <w:numPr>
          <w:ilvl w:val="0"/>
          <w:numId w:val="107"/>
        </w:numPr>
        <w:rPr>
          <w:rFonts w:ascii="Verdana" w:cs="Verdana" w:eastAsia="Verdana" w:hAnsi="Verdana"/>
          <w:sz w:val="13"/>
          <w:szCs w:val="13"/>
          <w:color w:val="auto"/>
        </w:rPr>
      </w:pPr>
      <w:r>
        <w:rPr>
          <w:rFonts w:ascii="Verdana" w:cs="Verdana" w:eastAsia="Verdana" w:hAnsi="Verdana"/>
          <w:sz w:val="14"/>
          <w:szCs w:val="14"/>
          <w:color w:val="auto"/>
        </w:rPr>
        <w:t>For vested Career Shares, amounts reflect accrued dividend equivalents plus stock price appreciation or depreciation.</w:t>
      </w:r>
    </w:p>
    <w:p>
      <w:pPr>
        <w:spacing w:after="0" w:line="5" w:lineRule="exact"/>
        <w:rPr>
          <w:rFonts w:ascii="Verdana" w:cs="Verdana" w:eastAsia="Verdana" w:hAnsi="Verdana"/>
          <w:sz w:val="13"/>
          <w:szCs w:val="13"/>
          <w:color w:val="auto"/>
        </w:rPr>
      </w:pPr>
    </w:p>
    <w:p>
      <w:pPr>
        <w:ind w:left="340" w:right="140" w:hanging="332"/>
        <w:spacing w:after="0" w:line="247" w:lineRule="auto"/>
        <w:tabs>
          <w:tab w:leader="none" w:pos="332" w:val="left"/>
        </w:tabs>
        <w:numPr>
          <w:ilvl w:val="0"/>
          <w:numId w:val="107"/>
        </w:numPr>
        <w:rPr>
          <w:rFonts w:ascii="Verdana" w:cs="Verdana" w:eastAsia="Verdana" w:hAnsi="Verdana"/>
          <w:sz w:val="13"/>
          <w:szCs w:val="13"/>
          <w:color w:val="auto"/>
        </w:rPr>
      </w:pPr>
      <w:r>
        <w:rPr>
          <w:rFonts w:ascii="Verdana" w:cs="Verdana" w:eastAsia="Verdana" w:hAnsi="Verdana"/>
          <w:sz w:val="14"/>
          <w:szCs w:val="14"/>
          <w:color w:val="auto"/>
        </w:rPr>
        <w:t>For vested Career Shares, amounts reflect the closing price of the Company’s common stock on the last trading day in 2024, which was $94.70, and accrued dividend equivalents and interest on these awards.</w:t>
      </w:r>
    </w:p>
    <w:p>
      <w:pPr>
        <w:ind w:left="320" w:hanging="312"/>
        <w:spacing w:after="0" w:line="228" w:lineRule="auto"/>
        <w:tabs>
          <w:tab w:leader="none" w:pos="320" w:val="left"/>
        </w:tabs>
        <w:numPr>
          <w:ilvl w:val="0"/>
          <w:numId w:val="107"/>
        </w:numPr>
        <w:rPr>
          <w:rFonts w:ascii="Verdana" w:cs="Verdana" w:eastAsia="Verdana" w:hAnsi="Verdana"/>
          <w:sz w:val="13"/>
          <w:szCs w:val="13"/>
          <w:color w:val="auto"/>
        </w:rPr>
      </w:pPr>
      <w:r>
        <w:rPr>
          <w:rFonts w:ascii="Verdana" w:cs="Verdana" w:eastAsia="Verdana" w:hAnsi="Verdana"/>
          <w:sz w:val="14"/>
          <w:szCs w:val="14"/>
          <w:color w:val="auto"/>
        </w:rPr>
        <w:t>All amounts reflected in this table are vested.</w:t>
      </w:r>
    </w:p>
    <w:p>
      <w:pPr>
        <w:ind w:left="340" w:right="100" w:hanging="332"/>
        <w:spacing w:after="0" w:line="259" w:lineRule="auto"/>
        <w:tabs>
          <w:tab w:leader="none" w:pos="332" w:val="left"/>
        </w:tabs>
        <w:numPr>
          <w:ilvl w:val="0"/>
          <w:numId w:val="107"/>
        </w:numPr>
        <w:rPr>
          <w:rFonts w:ascii="Verdana" w:cs="Verdana" w:eastAsia="Verdana" w:hAnsi="Verdana"/>
          <w:sz w:val="13"/>
          <w:szCs w:val="13"/>
          <w:color w:val="auto"/>
        </w:rPr>
      </w:pPr>
      <w:r>
        <w:rPr>
          <w:rFonts w:ascii="Verdana" w:cs="Verdana" w:eastAsia="Verdana" w:hAnsi="Verdana"/>
          <w:sz w:val="14"/>
          <w:szCs w:val="14"/>
          <w:color w:val="auto"/>
        </w:rPr>
        <w:t>The following amounts have been included in the Summary Compensation Table in prior years: Mr. Scott ($5,549,963 for SRRP and $7,459,458 for Career Shares), Mr. Cardew ($1,259,983 for SRRP and $2,213,733 for Career Shares), Mr. Orsini ($2,741,479 for SRRP and $3,426,522 for Career Shares), Mr. Esposito ($4,071,345 for SRRP and $1,564,578 for Career Shares) and Mr. Kemp ($184,853 for SRRP and $249,895 for Career Shares).</w:t>
      </w:r>
    </w:p>
    <w:p>
      <w:pPr>
        <w:spacing w:after="0" w:line="11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Salaried Retirement Restoration Program</w:t>
      </w:r>
    </w:p>
    <w:p>
      <w:pPr>
        <w:spacing w:after="0" w:line="137" w:lineRule="exact"/>
        <w:rPr>
          <w:sz w:val="20"/>
          <w:szCs w:val="20"/>
          <w:color w:val="auto"/>
        </w:rPr>
      </w:pPr>
    </w:p>
    <w:p>
      <w:pPr>
        <w:ind w:right="320"/>
        <w:spacing w:after="0" w:line="270" w:lineRule="auto"/>
        <w:rPr>
          <w:sz w:val="20"/>
          <w:szCs w:val="20"/>
          <w:color w:val="auto"/>
        </w:rPr>
      </w:pPr>
      <w:r>
        <w:rPr>
          <w:rFonts w:ascii="Verdana" w:cs="Verdana" w:eastAsia="Verdana" w:hAnsi="Verdana"/>
          <w:sz w:val="16"/>
          <w:szCs w:val="16"/>
          <w:color w:val="auto"/>
        </w:rPr>
        <w:t>The defined contribution element of the Salaried Retirement Restoration Program is described in the narrative following the Summary Compensation Table.</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Vested Career Shares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Vested Career Shares are included in the 2024 Nonqualified Deferred Compensation table because such awards vested in previous years</w:t>
      </w:r>
    </w:p>
    <w:p>
      <w:pPr>
        <w:spacing w:after="0" w:line="8" w:lineRule="exact"/>
        <w:rPr>
          <w:sz w:val="20"/>
          <w:szCs w:val="20"/>
          <w:color w:val="auto"/>
        </w:rPr>
      </w:pPr>
    </w:p>
    <w:p>
      <w:pPr>
        <w:ind w:right="580"/>
        <w:spacing w:after="0" w:line="253" w:lineRule="auto"/>
        <w:rPr>
          <w:sz w:val="20"/>
          <w:szCs w:val="20"/>
          <w:color w:val="auto"/>
        </w:rPr>
      </w:pPr>
      <w:r>
        <w:rPr>
          <w:rFonts w:ascii="Verdana" w:cs="Verdana" w:eastAsia="Verdana" w:hAnsi="Verdana"/>
          <w:sz w:val="16"/>
          <w:szCs w:val="16"/>
          <w:color w:val="auto"/>
        </w:rPr>
        <w:t>but distribution of the underlying shares of common stock is deferred, as described in the narrative on the Career Shares program accompanying the 2024 Grants of Plan-Based Awards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65</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Potential Payments Upon Termination or Change in Control</w:t>
      </w:r>
    </w:p>
    <w:p>
      <w:pPr>
        <w:spacing w:after="0" w:line="13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table below shows estimates of the compensation payable to each of our NEOs upon their termination of employment with the Company. The amount payable is shown for each of six categories of termination triggers. All amounts are calculated as if the executive</w:t>
      </w:r>
    </w:p>
    <w:p>
      <w:pPr>
        <w:spacing w:after="0" w:line="1"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terminated effective December 31, 2024. Values of accelerated equity awards are based on the closing price of the Company's common stock on the last trading day in 2024, which was $94.70. The actual amounts due to any one of the NEOs upon termination of employment can only be determined at the time, and depending on the circumstances, of the termination. There can be no assurance</w:t>
      </w:r>
    </w:p>
    <w:p>
      <w:pPr>
        <w:spacing w:after="0" w:line="2"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that a termination or change in control would produce the same or similar results as those described below if it occurs on any other date or at any other stock price, or if any assumption is not, in fact, correct.</w:t>
      </w:r>
    </w:p>
    <w:p>
      <w:pPr>
        <w:spacing w:after="0" w:line="90"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Accrued amounts under the Company’s pension and deferred compensation plans are not included in this table. For these amounts, see the 2024 Pension Benefits table and the 2024 Nonqualified Deferred Compensation table above.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Borders>
              <w:top w:val="single" w:sz="8" w:color="696158"/>
            </w:tcBorders>
          </w:tcPr>
          <w:p>
            <w:pPr>
              <w:spacing w:after="0"/>
              <w:rPr>
                <w:sz w:val="16"/>
                <w:szCs w:val="16"/>
                <w:color w:val="auto"/>
              </w:rPr>
            </w:pPr>
          </w:p>
        </w:tc>
        <w:tc>
          <w:tcPr>
            <w:tcW w:w="1820" w:type="dxa"/>
            <w:vAlign w:val="bottom"/>
            <w:tcBorders>
              <w:top w:val="single" w:sz="8" w:color="696158"/>
            </w:tcBorders>
          </w:tcPr>
          <w:p>
            <w:pPr>
              <w:spacing w:after="0"/>
              <w:rPr>
                <w:sz w:val="16"/>
                <w:szCs w:val="16"/>
                <w:color w:val="auto"/>
              </w:rPr>
            </w:pPr>
          </w:p>
        </w:tc>
        <w:tc>
          <w:tcPr>
            <w:tcW w:w="172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6"/>
              </w:rPr>
              <w:t>Continuation of Medical/</w:t>
            </w:r>
          </w:p>
        </w:tc>
        <w:tc>
          <w:tcPr>
            <w:tcW w:w="1840" w:type="dxa"/>
            <w:vAlign w:val="bottom"/>
            <w:tcBorders>
              <w:top w:val="single" w:sz="8" w:color="696158"/>
            </w:tcBorders>
          </w:tcPr>
          <w:p>
            <w:pPr>
              <w:spacing w:after="0"/>
              <w:rPr>
                <w:sz w:val="16"/>
                <w:szCs w:val="16"/>
                <w:color w:val="auto"/>
              </w:rPr>
            </w:pPr>
          </w:p>
        </w:tc>
        <w:tc>
          <w:tcPr>
            <w:tcW w:w="1580" w:type="dxa"/>
            <w:vAlign w:val="bottom"/>
            <w:tcBorders>
              <w:top w:val="single" w:sz="8" w:color="696158"/>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Welfare Benefits</w:t>
            </w:r>
          </w:p>
        </w:tc>
        <w:tc>
          <w:tcPr>
            <w:tcW w:w="1840" w:type="dxa"/>
            <w:vAlign w:val="bottom"/>
          </w:tcPr>
          <w:p>
            <w:pPr>
              <w:jc w:val="center"/>
              <w:ind w:right="82"/>
              <w:spacing w:after="0" w:line="135" w:lineRule="exact"/>
              <w:rPr>
                <w:sz w:val="20"/>
                <w:szCs w:val="20"/>
                <w:color w:val="auto"/>
              </w:rPr>
            </w:pPr>
            <w:r>
              <w:rPr>
                <w:rFonts w:ascii="Verdana" w:cs="Verdana" w:eastAsia="Verdana" w:hAnsi="Verdana"/>
                <w:sz w:val="12"/>
                <w:szCs w:val="12"/>
                <w:b w:val="1"/>
                <w:bCs w:val="1"/>
                <w:color w:val="307FE2"/>
                <w:w w:val="98"/>
              </w:rPr>
              <w:t>Accelerated Vesting or</w:t>
            </w:r>
          </w:p>
        </w:tc>
        <w:tc>
          <w:tcPr>
            <w:tcW w:w="1580" w:type="dxa"/>
            <w:vAlign w:val="bottom"/>
          </w:tcPr>
          <w:p>
            <w:pPr>
              <w:jc w:val="center"/>
              <w:ind w:right="82"/>
              <w:spacing w:after="0" w:line="135" w:lineRule="exact"/>
              <w:rPr>
                <w:sz w:val="20"/>
                <w:szCs w:val="20"/>
                <w:color w:val="auto"/>
              </w:rPr>
            </w:pPr>
            <w:r>
              <w:rPr>
                <w:rFonts w:ascii="Verdana" w:cs="Verdana" w:eastAsia="Verdana" w:hAnsi="Verdana"/>
                <w:sz w:val="12"/>
                <w:szCs w:val="12"/>
                <w:b w:val="1"/>
                <w:bCs w:val="1"/>
                <w:color w:val="307FE2"/>
                <w:w w:val="96"/>
              </w:rPr>
              <w:t>Total Termination</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20" w:type="dxa"/>
            <w:vAlign w:val="bottom"/>
          </w:tcPr>
          <w:p>
            <w:pPr>
              <w:jc w:val="right"/>
              <w:ind w:right="222"/>
              <w:spacing w:after="0" w:line="149" w:lineRule="exact"/>
              <w:rPr>
                <w:sz w:val="20"/>
                <w:szCs w:val="20"/>
                <w:color w:val="auto"/>
              </w:rPr>
            </w:pPr>
            <w:r>
              <w:rPr>
                <w:rFonts w:ascii="Verdana" w:cs="Verdana" w:eastAsia="Verdana" w:hAnsi="Verdana"/>
                <w:sz w:val="12"/>
                <w:szCs w:val="12"/>
                <w:b w:val="1"/>
                <w:bCs w:val="1"/>
                <w:color w:val="307FE2"/>
              </w:rPr>
              <w:t>Cash Severance</w:t>
            </w:r>
            <w:r>
              <w:rPr>
                <w:rFonts w:ascii="Verdana" w:cs="Verdana" w:eastAsia="Verdana" w:hAnsi="Verdana"/>
                <w:sz w:val="15"/>
                <w:szCs w:val="15"/>
                <w:b w:val="1"/>
                <w:bCs w:val="1"/>
                <w:color w:val="307FE2"/>
                <w:vertAlign w:val="superscript"/>
              </w:rPr>
              <w:t>(1)</w:t>
            </w:r>
          </w:p>
        </w:tc>
        <w:tc>
          <w:tcPr>
            <w:tcW w:w="1720" w:type="dxa"/>
            <w:vAlign w:val="bottom"/>
          </w:tcPr>
          <w:p>
            <w:pPr>
              <w:jc w:val="center"/>
              <w:spacing w:after="0" w:line="149" w:lineRule="exact"/>
              <w:rPr>
                <w:sz w:val="20"/>
                <w:szCs w:val="20"/>
                <w:color w:val="auto"/>
              </w:rPr>
            </w:pPr>
            <w:r>
              <w:rPr>
                <w:rFonts w:ascii="Verdana" w:cs="Verdana" w:eastAsia="Verdana" w:hAnsi="Verdana"/>
                <w:sz w:val="12"/>
                <w:szCs w:val="12"/>
                <w:b w:val="1"/>
                <w:bCs w:val="1"/>
                <w:color w:val="307FE2"/>
                <w:w w:val="94"/>
              </w:rPr>
              <w:t>(Present Value)</w:t>
            </w:r>
            <w:r>
              <w:rPr>
                <w:rFonts w:ascii="Verdana" w:cs="Verdana" w:eastAsia="Verdana" w:hAnsi="Verdana"/>
                <w:sz w:val="15"/>
                <w:szCs w:val="15"/>
                <w:b w:val="1"/>
                <w:bCs w:val="1"/>
                <w:color w:val="307FE2"/>
                <w:w w:val="94"/>
                <w:vertAlign w:val="superscript"/>
              </w:rPr>
              <w:t>(2)</w:t>
            </w:r>
          </w:p>
        </w:tc>
        <w:tc>
          <w:tcPr>
            <w:tcW w:w="1840" w:type="dxa"/>
            <w:vAlign w:val="bottom"/>
          </w:tcPr>
          <w:p>
            <w:pPr>
              <w:jc w:val="center"/>
              <w:ind w:right="82"/>
              <w:spacing w:after="0"/>
              <w:rPr>
                <w:sz w:val="20"/>
                <w:szCs w:val="20"/>
                <w:color w:val="auto"/>
              </w:rPr>
            </w:pPr>
            <w:r>
              <w:rPr>
                <w:rFonts w:ascii="Verdana" w:cs="Verdana" w:eastAsia="Verdana" w:hAnsi="Verdana"/>
                <w:sz w:val="12"/>
                <w:szCs w:val="12"/>
                <w:b w:val="1"/>
                <w:bCs w:val="1"/>
                <w:color w:val="307FE2"/>
                <w:w w:val="97"/>
              </w:rPr>
              <w:t>Payout of Equity Awards</w:t>
            </w:r>
          </w:p>
        </w:tc>
        <w:tc>
          <w:tcPr>
            <w:tcW w:w="1580" w:type="dxa"/>
            <w:vAlign w:val="bottom"/>
          </w:tcPr>
          <w:p>
            <w:pPr>
              <w:jc w:val="center"/>
              <w:ind w:right="62"/>
              <w:spacing w:after="0"/>
              <w:rPr>
                <w:sz w:val="20"/>
                <w:szCs w:val="20"/>
                <w:color w:val="auto"/>
              </w:rPr>
            </w:pPr>
            <w:r>
              <w:rPr>
                <w:rFonts w:ascii="Verdana" w:cs="Verdana" w:eastAsia="Verdana" w:hAnsi="Verdana"/>
                <w:sz w:val="12"/>
                <w:szCs w:val="12"/>
                <w:b w:val="1"/>
                <w:bCs w:val="1"/>
                <w:color w:val="307FE2"/>
                <w:w w:val="97"/>
              </w:rPr>
              <w:t>Benefits</w:t>
            </w:r>
          </w:p>
        </w:tc>
        <w:tc>
          <w:tcPr>
            <w:tcW w:w="0" w:type="dxa"/>
            <w:vAlign w:val="bottom"/>
          </w:tcPr>
          <w:p>
            <w:pPr>
              <w:spacing w:after="0"/>
              <w:rPr>
                <w:sz w:val="1"/>
                <w:szCs w:val="1"/>
                <w:color w:val="auto"/>
              </w:rPr>
            </w:pPr>
          </w:p>
        </w:tc>
      </w:tr>
      <w:tr>
        <w:trPr>
          <w:trHeight w:val="165"/>
        </w:trPr>
        <w:tc>
          <w:tcPr>
            <w:tcW w:w="4280" w:type="dxa"/>
            <w:vAlign w:val="bottom"/>
            <w:tcBorders>
              <w:bottom w:val="single" w:sz="8" w:color="1D428A"/>
            </w:tcBorders>
          </w:tcPr>
          <w:p>
            <w:pPr>
              <w:ind w:left="1340"/>
              <w:spacing w:after="0"/>
              <w:rPr>
                <w:sz w:val="20"/>
                <w:szCs w:val="20"/>
                <w:color w:val="auto"/>
              </w:rPr>
            </w:pPr>
            <w:r>
              <w:rPr>
                <w:rFonts w:ascii="Verdana" w:cs="Verdana" w:eastAsia="Verdana" w:hAnsi="Verdana"/>
                <w:sz w:val="12"/>
                <w:szCs w:val="12"/>
                <w:b w:val="1"/>
                <w:bCs w:val="1"/>
                <w:color w:val="307FE2"/>
              </w:rPr>
              <w:t>NEO and Triggering Event</w:t>
            </w:r>
          </w:p>
        </w:tc>
        <w:tc>
          <w:tcPr>
            <w:tcW w:w="1820" w:type="dxa"/>
            <w:vAlign w:val="bottom"/>
            <w:tcBorders>
              <w:bottom w:val="single" w:sz="8" w:color="1D428A"/>
            </w:tcBorders>
          </w:tcPr>
          <w:p>
            <w:pPr>
              <w:jc w:val="right"/>
              <w:ind w:right="702"/>
              <w:spacing w:after="0"/>
              <w:rPr>
                <w:sz w:val="20"/>
                <w:szCs w:val="20"/>
                <w:color w:val="auto"/>
              </w:rPr>
            </w:pPr>
            <w:r>
              <w:rPr>
                <w:rFonts w:ascii="Verdana" w:cs="Verdana" w:eastAsia="Verdana" w:hAnsi="Verdana"/>
                <w:sz w:val="12"/>
                <w:szCs w:val="12"/>
                <w:b w:val="1"/>
                <w:bCs w:val="1"/>
                <w:color w:val="307FE2"/>
              </w:rPr>
              <w:t>($)</w:t>
            </w:r>
          </w:p>
        </w:tc>
        <w:tc>
          <w:tcPr>
            <w:tcW w:w="172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rPr>
              <w:t>($)</w:t>
            </w:r>
          </w:p>
        </w:tc>
        <w:tc>
          <w:tcPr>
            <w:tcW w:w="1840" w:type="dxa"/>
            <w:vAlign w:val="bottom"/>
            <w:tcBorders>
              <w:bottom w:val="single" w:sz="8" w:color="1D428A"/>
            </w:tcBorders>
          </w:tcPr>
          <w:p>
            <w:pPr>
              <w:jc w:val="center"/>
              <w:ind w:right="82"/>
              <w:spacing w:after="0"/>
              <w:rPr>
                <w:sz w:val="20"/>
                <w:szCs w:val="20"/>
                <w:color w:val="auto"/>
              </w:rPr>
            </w:pPr>
            <w:r>
              <w:rPr>
                <w:rFonts w:ascii="Verdana" w:cs="Verdana" w:eastAsia="Verdana" w:hAnsi="Verdana"/>
                <w:sz w:val="12"/>
                <w:szCs w:val="12"/>
                <w:b w:val="1"/>
                <w:bCs w:val="1"/>
                <w:color w:val="307FE2"/>
              </w:rPr>
              <w:t>($)</w:t>
            </w:r>
          </w:p>
        </w:tc>
        <w:tc>
          <w:tcPr>
            <w:tcW w:w="1580" w:type="dxa"/>
            <w:vAlign w:val="bottom"/>
            <w:tcBorders>
              <w:bottom w:val="single" w:sz="8" w:color="1D428A"/>
            </w:tcBorders>
          </w:tcPr>
          <w:p>
            <w:pPr>
              <w:jc w:val="center"/>
              <w:ind w:right="82"/>
              <w:spacing w:after="0"/>
              <w:rPr>
                <w:sz w:val="20"/>
                <w:szCs w:val="20"/>
                <w:color w:val="auto"/>
              </w:rPr>
            </w:pPr>
            <w:r>
              <w:rPr>
                <w:rFonts w:ascii="Verdana" w:cs="Verdana" w:eastAsia="Verdana" w:hAnsi="Verdana"/>
                <w:sz w:val="12"/>
                <w:szCs w:val="12"/>
                <w:b w:val="1"/>
                <w:bCs w:val="1"/>
                <w:color w:val="307FE2"/>
                <w:w w:val="92"/>
              </w:rPr>
              <w:t>($)</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Raymond E. Scott</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7,124,000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88,672</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21,099,363</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28,312,035</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7,124,000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88,672</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13,789,469</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21,002,141</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r>
              <w:rPr>
                <w:rFonts w:ascii="Verdana" w:cs="Verdana" w:eastAsia="Verdana" w:hAnsi="Verdana"/>
                <w:sz w:val="15"/>
                <w:szCs w:val="15"/>
                <w:color w:val="auto"/>
                <w:vertAlign w:val="superscript"/>
              </w:rPr>
              <w:t>(3)</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50,250</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13,789,469</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13,839,719</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Disability</w:t>
            </w:r>
            <w:r>
              <w:rPr>
                <w:rFonts w:ascii="Verdana" w:cs="Verdana" w:eastAsia="Verdana" w:hAnsi="Verdana"/>
                <w:sz w:val="15"/>
                <w:szCs w:val="15"/>
                <w:color w:val="auto"/>
                <w:vertAlign w:val="superscript"/>
              </w:rPr>
              <w:t>(4)</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50,250</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14,656,816</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14,707,066</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14,656,816</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14,656,816</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Jason M. Cardew</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3,520,000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35,225</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7,109,306</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10,664,531</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3,520,000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35,225</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4,486,286</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8,041,511</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 Disability or 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5,375,297</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5,375,297</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Frank C. Orsini</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3,600,000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35,225</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7,983,706</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11,618,931</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3,600,000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35,225</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4,777,753</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8,412,978</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 Disability or 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6,249,696</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6,249,696</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Carl A. Esposito</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2,851,425</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38,422</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4,066,597</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6,956,444</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2,851,425</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38,422</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2,729,521</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5,619,368</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 Disability or 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2,984,617</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2,984,617</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Harry A. Kemp</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2,850,000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33,946</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3,334,670</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6,218,616</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2,850,000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33,946</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2,169,250</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5,053,196</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 Disability or 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2,424,347</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2,424,347</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Alicia J. Davis</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2,088,000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35,225</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2,497,439</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4,620,664</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2,088,000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35,225</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1,592,189</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3,715,414</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696158"/>
            </w:tcBorders>
          </w:tcPr>
          <w:p>
            <w:pPr>
              <w:ind w:left="20"/>
              <w:spacing w:after="0"/>
              <w:rPr>
                <w:sz w:val="20"/>
                <w:szCs w:val="20"/>
                <w:color w:val="auto"/>
              </w:rPr>
            </w:pPr>
            <w:r>
              <w:rPr>
                <w:rFonts w:ascii="Arial" w:cs="Arial" w:eastAsia="Arial" w:hAnsi="Arial"/>
                <w:sz w:val="12"/>
                <w:szCs w:val="12"/>
                <w:color w:val="auto"/>
              </w:rPr>
              <w:t>Disability or Death</w:t>
            </w:r>
            <w:r>
              <w:rPr>
                <w:rFonts w:ascii="Verdana" w:cs="Verdana" w:eastAsia="Verdana" w:hAnsi="Verdana"/>
                <w:sz w:val="15"/>
                <w:szCs w:val="15"/>
                <w:color w:val="auto"/>
                <w:vertAlign w:val="superscript"/>
              </w:rPr>
              <w:t>(5)</w:t>
            </w:r>
          </w:p>
        </w:tc>
        <w:tc>
          <w:tcPr>
            <w:tcW w:w="1820" w:type="dxa"/>
            <w:vAlign w:val="bottom"/>
            <w:tcBorders>
              <w:bottom w:val="single" w:sz="8" w:color="696158"/>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696158"/>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696158"/>
            </w:tcBorders>
          </w:tcPr>
          <w:p>
            <w:pPr>
              <w:jc w:val="right"/>
              <w:ind w:right="142"/>
              <w:spacing w:after="0"/>
              <w:rPr>
                <w:sz w:val="20"/>
                <w:szCs w:val="20"/>
                <w:color w:val="auto"/>
              </w:rPr>
            </w:pPr>
            <w:r>
              <w:rPr>
                <w:rFonts w:ascii="Arial" w:cs="Arial" w:eastAsia="Arial" w:hAnsi="Arial"/>
                <w:sz w:val="12"/>
                <w:szCs w:val="12"/>
                <w:color w:val="auto"/>
              </w:rPr>
              <w:t>1,796,209</w:t>
            </w:r>
          </w:p>
        </w:tc>
        <w:tc>
          <w:tcPr>
            <w:tcW w:w="1580" w:type="dxa"/>
            <w:vAlign w:val="bottom"/>
            <w:tcBorders>
              <w:bottom w:val="single" w:sz="8" w:color="696158"/>
            </w:tcBorders>
          </w:tcPr>
          <w:p>
            <w:pPr>
              <w:jc w:val="right"/>
              <w:ind w:right="2"/>
              <w:spacing w:after="0"/>
              <w:rPr>
                <w:sz w:val="20"/>
                <w:szCs w:val="20"/>
                <w:color w:val="auto"/>
              </w:rPr>
            </w:pPr>
            <w:r>
              <w:rPr>
                <w:rFonts w:ascii="Arial" w:cs="Arial" w:eastAsia="Arial" w:hAnsi="Arial"/>
                <w:sz w:val="12"/>
                <w:szCs w:val="12"/>
                <w:color w:val="auto"/>
              </w:rPr>
              <w:t>1,796,209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560" w:hanging="534"/>
        <w:spacing w:after="0"/>
        <w:tabs>
          <w:tab w:leader="none" w:pos="560" w:val="left"/>
        </w:tabs>
        <w:numPr>
          <w:ilvl w:val="0"/>
          <w:numId w:val="108"/>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8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288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80" w:hanging="332"/>
        <w:spacing w:after="0" w:line="242" w:lineRule="auto"/>
        <w:tabs>
          <w:tab w:leader="none" w:pos="332" w:val="left"/>
        </w:tabs>
        <w:numPr>
          <w:ilvl w:val="0"/>
          <w:numId w:val="109"/>
        </w:numPr>
        <w:rPr>
          <w:rFonts w:ascii="Verdana" w:cs="Verdana" w:eastAsia="Verdana" w:hAnsi="Verdana"/>
          <w:sz w:val="13"/>
          <w:szCs w:val="13"/>
          <w:color w:val="auto"/>
        </w:rPr>
      </w:pPr>
      <w:r>
        <w:rPr>
          <w:rFonts w:ascii="Verdana" w:cs="Verdana" w:eastAsia="Verdana" w:hAnsi="Verdana"/>
          <w:sz w:val="14"/>
          <w:szCs w:val="14"/>
          <w:color w:val="auto"/>
        </w:rPr>
        <w:t>Cash severance (in an amount equal to two times the sum of base salary plus target annual incentive bonus amount) is paid in a lump sum to each NEO. In addition to the amounts shown in the table, the executive would receive any accrued salary, bonus and all other amounts to which he or she is entitled under the terms of any compensation or benefit plans of the Company upon termination for any reason and would receive the 2024 AIP payment in the event of termination without “cause” or for “good reason” since the table assumes a December 31, 2024 termination date.</w:t>
      </w:r>
    </w:p>
    <w:p>
      <w:pPr>
        <w:spacing w:after="0" w:line="2" w:lineRule="exact"/>
        <w:rPr>
          <w:rFonts w:ascii="Verdana" w:cs="Verdana" w:eastAsia="Verdana" w:hAnsi="Verdana"/>
          <w:sz w:val="13"/>
          <w:szCs w:val="13"/>
          <w:color w:val="auto"/>
        </w:rPr>
      </w:pPr>
    </w:p>
    <w:p>
      <w:pPr>
        <w:ind w:left="340" w:hanging="332"/>
        <w:spacing w:after="0" w:line="247" w:lineRule="auto"/>
        <w:tabs>
          <w:tab w:leader="none" w:pos="332" w:val="left"/>
        </w:tabs>
        <w:numPr>
          <w:ilvl w:val="0"/>
          <w:numId w:val="109"/>
        </w:numPr>
        <w:rPr>
          <w:rFonts w:ascii="Verdana" w:cs="Verdana" w:eastAsia="Verdana" w:hAnsi="Verdana"/>
          <w:sz w:val="13"/>
          <w:szCs w:val="13"/>
          <w:color w:val="auto"/>
        </w:rPr>
      </w:pPr>
      <w:r>
        <w:rPr>
          <w:rFonts w:ascii="Verdana" w:cs="Verdana" w:eastAsia="Verdana" w:hAnsi="Verdana"/>
          <w:sz w:val="14"/>
          <w:szCs w:val="14"/>
          <w:color w:val="auto"/>
        </w:rPr>
        <w:t>Consists of continuation of health insurance, life insurance premium, imputed income amounts, and for Mr. Scott who is retirement eligible, the present value of expected future payments under the Executive Retiree Health Reimbursement Account Plan assuming a 5.5% discount rate, 18 years of expected payments and reimbursement of 50% of the available benefit.</w:t>
      </w:r>
    </w:p>
    <w:p>
      <w:pPr>
        <w:spacing w:after="0" w:line="1" w:lineRule="exact"/>
        <w:rPr>
          <w:rFonts w:ascii="Verdana" w:cs="Verdana" w:eastAsia="Verdana" w:hAnsi="Verdana"/>
          <w:sz w:val="13"/>
          <w:szCs w:val="13"/>
          <w:color w:val="auto"/>
        </w:rPr>
      </w:pPr>
    </w:p>
    <w:p>
      <w:pPr>
        <w:ind w:left="340" w:right="20" w:hanging="332"/>
        <w:spacing w:after="0" w:line="238" w:lineRule="auto"/>
        <w:tabs>
          <w:tab w:leader="none" w:pos="332" w:val="left"/>
        </w:tabs>
        <w:numPr>
          <w:ilvl w:val="0"/>
          <w:numId w:val="109"/>
        </w:numPr>
        <w:rPr>
          <w:rFonts w:ascii="Verdana" w:cs="Verdana" w:eastAsia="Verdana" w:hAnsi="Verdana"/>
          <w:sz w:val="13"/>
          <w:szCs w:val="13"/>
          <w:color w:val="auto"/>
        </w:rPr>
      </w:pPr>
      <w:r>
        <w:rPr>
          <w:rFonts w:ascii="Verdana" w:cs="Verdana" w:eastAsia="Verdana" w:hAnsi="Verdana"/>
          <w:sz w:val="14"/>
          <w:szCs w:val="14"/>
          <w:color w:val="auto"/>
        </w:rPr>
        <w:t>As of December 31, 2024, Mr. Scott is retirement-eligible, and therefore, qualifies for accelerated vesting of certain incentive awards upon retirement. The Company does not provide for enhanced early retirement benefits under its pension programs.</w:t>
      </w:r>
    </w:p>
    <w:p>
      <w:pPr>
        <w:ind w:left="340" w:right="280" w:hanging="332"/>
        <w:spacing w:after="0" w:line="247" w:lineRule="auto"/>
        <w:tabs>
          <w:tab w:leader="none" w:pos="332" w:val="left"/>
        </w:tabs>
        <w:numPr>
          <w:ilvl w:val="0"/>
          <w:numId w:val="109"/>
        </w:numPr>
        <w:rPr>
          <w:rFonts w:ascii="Verdana" w:cs="Verdana" w:eastAsia="Verdana" w:hAnsi="Verdana"/>
          <w:sz w:val="13"/>
          <w:szCs w:val="13"/>
          <w:color w:val="auto"/>
        </w:rPr>
      </w:pPr>
      <w:r>
        <w:rPr>
          <w:rFonts w:ascii="Verdana" w:cs="Verdana" w:eastAsia="Verdana" w:hAnsi="Verdana"/>
          <w:sz w:val="14"/>
          <w:szCs w:val="14"/>
          <w:color w:val="auto"/>
        </w:rPr>
        <w:t>As of December 31, 2024, Mr. Scott is retirement-eligible, and therefore, qualifies for coverage under the Executive Retiree Health Reimbursement Account Plan if his termination of service were due to disability.</w:t>
      </w:r>
    </w:p>
    <w:p>
      <w:pPr>
        <w:ind w:left="340" w:right="20" w:hanging="332"/>
        <w:spacing w:after="0" w:line="252" w:lineRule="auto"/>
        <w:tabs>
          <w:tab w:leader="none" w:pos="332" w:val="left"/>
        </w:tabs>
        <w:numPr>
          <w:ilvl w:val="0"/>
          <w:numId w:val="109"/>
        </w:numPr>
        <w:rPr>
          <w:rFonts w:ascii="Verdana" w:cs="Verdana" w:eastAsia="Verdana" w:hAnsi="Verdana"/>
          <w:sz w:val="13"/>
          <w:szCs w:val="13"/>
          <w:color w:val="auto"/>
        </w:rPr>
      </w:pPr>
      <w:r>
        <w:rPr>
          <w:rFonts w:ascii="Verdana" w:cs="Verdana" w:eastAsia="Verdana" w:hAnsi="Verdana"/>
          <w:sz w:val="14"/>
          <w:szCs w:val="14"/>
          <w:color w:val="auto"/>
        </w:rPr>
        <w:t>Messrs. Scott, Cardew and Orsini are fully vested in their pension benefits, and as such, there would be no pension vesting enhancement with respect to death benefits. Messrs. Esposito and Kemp and Ms. Davis do not participate in the Pension Plan, and as such, are not eligible for such death benefits.</w:t>
      </w:r>
    </w:p>
    <w:p>
      <w:pPr>
        <w:spacing w:after="0" w:line="300"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Executive Retiree Health Reimbursement Account Plan</w:t>
      </w:r>
    </w:p>
    <w:p>
      <w:pPr>
        <w:spacing w:after="0" w:line="143"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The Executive Retiree Health Reimbursement Account Plan (Retiree HRA) was adopted effective January 1, 2023, to provide a limited class of eligible retirees the means to obtain reimbursement of eligible health care expenses incurred by the eligible retiree, subject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an annual maximum of $10,000. Benefits, if any, are provided by the Company out of its general assets.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Termination or Change in Control</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Payments and benefits to an NEO upon termination or a change in control of the Company are determined according to the terms of his</w:t>
      </w:r>
    </w:p>
    <w:p>
      <w:pPr>
        <w:spacing w:after="0" w:line="8"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or her employment agreement and equity or incentive awards and the Company’s compensation and incentive plans. The severance benefit payments shown in the table and discussed below are generally available to our executive officers, including NEOs, who currently</w:t>
      </w:r>
    </w:p>
    <w:p>
      <w:pPr>
        <w:spacing w:after="0" w:line="1"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have employment agreements with the Company. The amounts due to an executive upon his or her termination of employment depend largely on the circumstances of his or her termination, as described below.</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Change in Control</w:t>
      </w:r>
    </w:p>
    <w:p>
      <w:pPr>
        <w:spacing w:after="0" w:line="143" w:lineRule="exact"/>
        <w:rPr>
          <w:sz w:val="20"/>
          <w:szCs w:val="20"/>
          <w:color w:val="auto"/>
        </w:rPr>
      </w:pPr>
    </w:p>
    <w:p>
      <w:pPr>
        <w:jc w:val="both"/>
        <w:ind w:right="80"/>
        <w:spacing w:after="0" w:line="241" w:lineRule="auto"/>
        <w:rPr>
          <w:sz w:val="20"/>
          <w:szCs w:val="20"/>
          <w:color w:val="auto"/>
        </w:rPr>
      </w:pPr>
      <w:r>
        <w:rPr>
          <w:rFonts w:ascii="Verdana" w:cs="Verdana" w:eastAsia="Verdana" w:hAnsi="Verdana"/>
          <w:sz w:val="16"/>
          <w:szCs w:val="16"/>
          <w:color w:val="auto"/>
        </w:rPr>
        <w:t>The employment agreements do not provide benefits solely upon a change in control. The LTI provides for accelerated vesting or payout of awards immediately upon a “change in control” (as defined in the LTI) only if the successor company does not agree to assume or</w:t>
      </w:r>
    </w:p>
    <w:p>
      <w:pPr>
        <w:spacing w:after="0" w:line="1"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replace such existing awards with an equivalent award upon the change in control. Otherwise, awards will only receive accelerated vesting if a change in control occurs and, within 24 months thereafter, the executive is terminated by the Company without “cause” (as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defined in the LTI) or resigns for “good reason” (as defined in the executive’s employment agreement, if applicable).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Involuntary Termination (or for “Good Reason”) with a Change in Control</w:t>
      </w:r>
    </w:p>
    <w:p>
      <w:pPr>
        <w:spacing w:after="0" w:line="138" w:lineRule="exact"/>
        <w:rPr>
          <w:sz w:val="20"/>
          <w:szCs w:val="20"/>
          <w:color w:val="auto"/>
        </w:rPr>
      </w:pPr>
    </w:p>
    <w:p>
      <w:pPr>
        <w:spacing w:after="0"/>
        <w:rPr>
          <w:sz w:val="20"/>
          <w:szCs w:val="20"/>
          <w:color w:val="auto"/>
        </w:rPr>
      </w:pPr>
      <w:r>
        <w:rPr>
          <w:rFonts w:ascii="Verdana" w:cs="Verdana" w:eastAsia="Verdana" w:hAnsi="Verdana"/>
          <w:sz w:val="16"/>
          <w:szCs w:val="16"/>
          <w:color w:val="auto"/>
        </w:rPr>
        <w:t>If a change in control occurs, the awards are assumed or replaced with equivalent awards, and the NEO is terminated by the Company</w:t>
      </w:r>
    </w:p>
    <w:p>
      <w:pPr>
        <w:spacing w:after="0" w:line="233" w:lineRule="auto"/>
        <w:rPr>
          <w:sz w:val="20"/>
          <w:szCs w:val="20"/>
          <w:color w:val="auto"/>
        </w:rPr>
      </w:pPr>
      <w:r>
        <w:rPr>
          <w:rFonts w:ascii="Verdana" w:cs="Verdana" w:eastAsia="Verdana" w:hAnsi="Verdana"/>
          <w:sz w:val="16"/>
          <w:szCs w:val="16"/>
          <w:color w:val="auto"/>
        </w:rPr>
        <w:t>without “cause” (as defined in the LTI) or resigns for “good reason” (as defined in the NEO’s employment agreement) within 24 months</w:t>
      </w:r>
    </w:p>
    <w:p>
      <w:pPr>
        <w:spacing w:after="0"/>
        <w:rPr>
          <w:sz w:val="20"/>
          <w:szCs w:val="20"/>
          <w:color w:val="auto"/>
        </w:rPr>
      </w:pPr>
      <w:r>
        <w:rPr>
          <w:rFonts w:ascii="Verdana" w:cs="Verdana" w:eastAsia="Verdana" w:hAnsi="Verdana"/>
          <w:sz w:val="16"/>
          <w:szCs w:val="16"/>
          <w:color w:val="auto"/>
        </w:rPr>
        <w:t>of such change in control, the NEO will receive accelerated vesting with respect to outstanding and unvested equity awards, as disclosed</w:t>
      </w:r>
    </w:p>
    <w:p>
      <w:pPr>
        <w:spacing w:after="0" w:line="8"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in the table above. Unvested Performance Shares will vest at target, any unvested RSUs (other than Career Shares) and unvested stock options that were granted less than 12 months prior to the NEO’s termination of employment will vest on a pro rata basis. Vested stock</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options will remain exercisable for 60 days post-termination.</w:t>
      </w:r>
    </w:p>
    <w:p>
      <w:pPr>
        <w:spacing w:after="0" w:line="103"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None of our NEOs are entitled to an excise tax gross-up if they become subject to the "golden parachute" tax under Section 4999 of the Internal Revenue Code upon a change in control. Instead, their employment agreements contain a provision that reduces their change in</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control benefits below the level at which an excise tax is triggered, but only if the reduction results in greater after-tax proceeds to the executive.</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Involuntary Termination (or for “Good Reason”)</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Upon termination of employment by the executive for “good reason” (as defined in the employment agreements) or by the Company</w:t>
      </w:r>
    </w:p>
    <w:p>
      <w:pPr>
        <w:spacing w:after="0" w:line="8"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If the executive executes a release relating to his or her employment, he</w:t>
      </w:r>
    </w:p>
    <w:p>
      <w:pPr>
        <w:spacing w:after="0" w:line="2" w:lineRule="exact"/>
        <w:rPr>
          <w:sz w:val="20"/>
          <w:szCs w:val="20"/>
          <w:color w:val="auto"/>
        </w:rPr>
      </w:pPr>
    </w:p>
    <w:p>
      <w:pPr>
        <w:ind w:right="220"/>
        <w:spacing w:after="0" w:line="253" w:lineRule="auto"/>
        <w:rPr>
          <w:sz w:val="20"/>
          <w:szCs w:val="20"/>
          <w:color w:val="auto"/>
        </w:rPr>
      </w:pPr>
      <w:r>
        <w:rPr>
          <w:rFonts w:ascii="Verdana" w:cs="Verdana" w:eastAsia="Verdana" w:hAnsi="Verdana"/>
          <w:sz w:val="16"/>
          <w:szCs w:val="16"/>
          <w:color w:val="auto"/>
        </w:rPr>
        <w:t>or she will also receive a lump sum payment equal to two times the sum of his or her annual base salary rate and annual target bonus amount, each as in effect as of the termination date.</w:t>
      </w:r>
    </w:p>
    <w:p>
      <w:pPr>
        <w:spacing w:after="0" w:line="90"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In the event of an involuntary termination for any reason other than cause, or by the executive for good reason, the award agreements under the LTI provide that (i) all unvested RSUs (other than Career Shares) and stock options that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67</w:t>
            </w:r>
          </w:p>
        </w:tc>
      </w:tr>
      <w:tr>
        <w:trPr>
          <w:trHeight w:val="318"/>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were granted at least 12 months prior to the termination of employment become vested in their entirety, (ii) all unvested RSUs (other than Career Shares) and stock options that were granted less than 12 months prior to the termination of employment vest on a pro rata</w:t>
      </w:r>
    </w:p>
    <w:p>
      <w:pPr>
        <w:spacing w:after="0" w:line="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basis, and (iii) a pro rata amount of Performance Shares may be earned through the termination date if actual performance during the performance period meets the pre-established performance requirements. Each NEO’s employment agreement provides more favorable</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treatment than items (i) and (ii) in the foregoing sentence, and instead, any unvested awards (including Career Shares) that vest based on the passage of time would immediately vest in their entirety upon a termination by the NEO for good reason or by the Company for incapacity or other than for cause. In addition, executives would receive all dividend equivalents with interest associated with the</w:t>
      </w:r>
    </w:p>
    <w:p>
      <w:pPr>
        <w:spacing w:after="0" w:line="2" w:lineRule="exact"/>
        <w:rPr>
          <w:sz w:val="20"/>
          <w:szCs w:val="20"/>
          <w:color w:val="auto"/>
        </w:rPr>
      </w:pPr>
    </w:p>
    <w:p>
      <w:pPr>
        <w:ind w:right="220"/>
        <w:spacing w:after="0" w:line="253" w:lineRule="auto"/>
        <w:rPr>
          <w:sz w:val="20"/>
          <w:szCs w:val="20"/>
          <w:color w:val="auto"/>
        </w:rPr>
      </w:pPr>
      <w:r>
        <w:rPr>
          <w:rFonts w:ascii="Verdana" w:cs="Verdana" w:eastAsia="Verdana" w:hAnsi="Verdana"/>
          <w:sz w:val="16"/>
          <w:szCs w:val="16"/>
          <w:color w:val="auto"/>
        </w:rPr>
        <w:t>accelerated RSUs and any prorated Performance Shares earned at the time of vesting. Vested stock options will remain exercisable for 60 days post-termination.</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Retirement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The employment agreements do not distinguish between retirement and voluntary termination for other reasons, but under the LTI, an</w:t>
      </w:r>
    </w:p>
    <w:p>
      <w:pPr>
        <w:spacing w:after="0" w:line="8" w:lineRule="exact"/>
        <w:rPr>
          <w:sz w:val="20"/>
          <w:szCs w:val="20"/>
          <w:color w:val="auto"/>
        </w:rPr>
      </w:pPr>
    </w:p>
    <w:p>
      <w:pPr>
        <w:ind w:right="220"/>
        <w:spacing w:after="0" w:line="238" w:lineRule="auto"/>
        <w:rPr>
          <w:sz w:val="20"/>
          <w:szCs w:val="20"/>
          <w:color w:val="auto"/>
        </w:rPr>
      </w:pPr>
      <w:r>
        <w:rPr>
          <w:rFonts w:ascii="Verdana" w:cs="Verdana" w:eastAsia="Verdana" w:hAnsi="Verdana"/>
          <w:sz w:val="16"/>
          <w:szCs w:val="16"/>
          <w:color w:val="auto"/>
        </w:rPr>
        <w:t>executive who retires with a combined number of age and years of service of at least 65, with a minimum age of 55 and minimum service of five years when he or she terminates, is entitled to additional vesting credit for RSU and stock option awards. The executive will be entitled to receive the shares underlying the RSUs and will be entitled to exercise the portion of any stock option, in each case,</w:t>
      </w:r>
    </w:p>
    <w:p>
      <w:pPr>
        <w:spacing w:after="0" w:line="2"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that would have vested if the date of termination had been 24 months later than it actually occurred. A pro rata amount of Performance Shares may be earned through the retirement date if actual performance during the performance period meets the pre-established</w:t>
      </w:r>
    </w:p>
    <w:p>
      <w:pPr>
        <w:spacing w:after="0" w:line="1" w:lineRule="exact"/>
        <w:rPr>
          <w:sz w:val="20"/>
          <w:szCs w:val="20"/>
          <w:color w:val="auto"/>
        </w:rPr>
      </w:pPr>
    </w:p>
    <w:p>
      <w:pPr>
        <w:ind w:right="240"/>
        <w:spacing w:after="0" w:line="243" w:lineRule="auto"/>
        <w:rPr>
          <w:sz w:val="20"/>
          <w:szCs w:val="20"/>
          <w:color w:val="auto"/>
        </w:rPr>
      </w:pPr>
      <w:r>
        <w:rPr>
          <w:rFonts w:ascii="Verdana" w:cs="Verdana" w:eastAsia="Verdana" w:hAnsi="Verdana"/>
          <w:sz w:val="16"/>
          <w:szCs w:val="16"/>
          <w:color w:val="auto"/>
        </w:rPr>
        <w:t>performance requirements. In addition, executives would receive all dividend equivalents with interest associated with the accelerated RSUs and any Performance Shares earned at the time of vesting. Each vested stock option will remain exercisable until its normal expiration date.</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Voluntary Termination (or for “Cause”)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An executive who voluntarily resigns or whose employment is terminated by the Company for “cause” (as defined in the employment</w:t>
      </w:r>
    </w:p>
    <w:p>
      <w:pPr>
        <w:spacing w:after="0" w:line="8"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agreement) will receive unpaid salary and benefits, if any, he or she has accrued through the effective date of his or her termination. If an executive terminates voluntarily and has not attained a combined number of age and years of service of at least 65, with a minimum</w:t>
      </w:r>
    </w:p>
    <w:p>
      <w:pPr>
        <w:spacing w:after="0" w:line="1" w:lineRule="exact"/>
        <w:rPr>
          <w:sz w:val="20"/>
          <w:szCs w:val="20"/>
          <w:color w:val="auto"/>
        </w:rPr>
      </w:pPr>
    </w:p>
    <w:p>
      <w:pPr>
        <w:jc w:val="both"/>
        <w:ind w:right="40"/>
        <w:spacing w:after="0" w:line="238" w:lineRule="auto"/>
        <w:rPr>
          <w:sz w:val="20"/>
          <w:szCs w:val="20"/>
          <w:color w:val="auto"/>
        </w:rPr>
      </w:pPr>
      <w:r>
        <w:rPr>
          <w:rFonts w:ascii="Verdana" w:cs="Verdana" w:eastAsia="Verdana" w:hAnsi="Verdana"/>
          <w:sz w:val="16"/>
          <w:szCs w:val="16"/>
          <w:color w:val="auto"/>
        </w:rPr>
        <w:t>age of 55 and minimum service of five years, he or she will be entitled to receive all of the shares underlying his or her vested RSUs and associated dividend equivalents with interest and will be entitled to exercise any then-vested stock options for 60 days post-termination, but all unvested RSUs and Performance Shares and any associated dividend equivalents with interest, and any unvested stock options,</w:t>
      </w:r>
    </w:p>
    <w:p>
      <w:pPr>
        <w:spacing w:after="0" w:line="2"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will be forfeited. If an executive is terminated for cause, he or she will forfeit all RSUs, stock options, and Performance Shares along with any associated dividend equivalents with interest (if applicable).</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Termination for Disability</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Following termination of the executive’s employment for disability, the executive will receive all base salary and other accrued amounts</w:t>
      </w:r>
    </w:p>
    <w:p>
      <w:pPr>
        <w:spacing w:after="0" w:line="8"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then payable through the date of termination. The executive will also receive compensation payable under the Company’s disability and medical plans. In the event of the executive’s termination for disability, all unvested RSUs and stock options become vested in their entirety upon termination and a pro rata amount of Performance Shares may be earned through the termination date if actual</w:t>
      </w:r>
    </w:p>
    <w:p>
      <w:pPr>
        <w:spacing w:after="0" w:line="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performance during the performance period meets the pre-established performance requirements. In addition, executives would receive all dividend equivalents with interest associated with the accelerated RSUs and any Performance Shares earned at the time of</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distribution. Each vested stock option will remain exercisable until 12 months following the termination of employment.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Treatment of Career Shares</w:t>
      </w:r>
    </w:p>
    <w:p>
      <w:pPr>
        <w:spacing w:after="0" w:line="143"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All Career Shares (vested and unvested) are forfeited by the executive upon a voluntary termination by the executive prior to the Career Share qualifying retirement date (i.e., age 62 or the date that the executive attains a combined number of age and years of service of 65, with a minimum age of 55 and minimum service of five years) or for violating non-competition and non-solicitation covenants prior</w:t>
      </w:r>
    </w:p>
    <w:p>
      <w:pPr>
        <w:spacing w:after="0" w:line="2"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to distribution of the shares. If the executive has a Career Share qualifying retirement or is terminated without “cause” or resigns for “good reason,” in each case within 24 months of the vesting date, any Career Shares will continue to vest as originally scheduled,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subject to achievement of any applicable performance goals for the Performance-Based Career Shares.</w:t>
      </w:r>
    </w:p>
    <w:p>
      <w:pPr>
        <w:spacing w:after="0" w:line="103"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In general, the underlying shares of common stock for vested Career Shares are not distributed until the later of (i) age 62 or (ii) the vesting date. If the executive terminates due to a qualifying retirement or is terminated without "cause" or for "good reason" after</w:t>
      </w:r>
    </w:p>
    <w:p>
      <w:pPr>
        <w:spacing w:after="0" w:line="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having become retirement eligible, the underlying shares of common stock for vested Career Shares are not distributed until the earlier of (i) age 62 (or such later vesting date) or (ii) three years after the executive’s qualifying retirement/termination.</w:t>
      </w:r>
    </w:p>
    <w:p>
      <w:pPr>
        <w:spacing w:after="0" w:line="90" w:lineRule="exact"/>
        <w:rPr>
          <w:sz w:val="20"/>
          <w:szCs w:val="20"/>
          <w:color w:val="auto"/>
        </w:rPr>
      </w:pPr>
    </w:p>
    <w:p>
      <w:pPr>
        <w:jc w:val="both"/>
        <w:ind w:right="260"/>
        <w:spacing w:after="0" w:line="243" w:lineRule="auto"/>
        <w:rPr>
          <w:sz w:val="20"/>
          <w:szCs w:val="20"/>
          <w:color w:val="auto"/>
        </w:rPr>
      </w:pPr>
      <w:r>
        <w:rPr>
          <w:rFonts w:ascii="Verdana" w:cs="Verdana" w:eastAsia="Verdana" w:hAnsi="Verdana"/>
          <w:sz w:val="16"/>
          <w:szCs w:val="16"/>
          <w:color w:val="auto"/>
        </w:rPr>
        <w:t>Unvested Career Shares become vested (subject to achievement of any applicable performance goals) and the underlying shares are immediately distributed (along with those for vested Career Shares) upon the executive’s (i) death, (ii) disability or (iii) involuntary or “good reason” termination of employment within 24 months following a</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 w:hanging="534"/>
        <w:spacing w:after="0"/>
        <w:tabs>
          <w:tab w:leader="none" w:pos="560" w:val="left"/>
        </w:tabs>
        <w:numPr>
          <w:ilvl w:val="0"/>
          <w:numId w:val="110"/>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8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28850"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change in control. The Career Shares do not automatically vest nor are the underlying shares distributed upon a change in control unless the successor company does not assume or replace the awards with awards of equivalent terms and value.</w:t>
      </w:r>
    </w:p>
    <w:p>
      <w:pPr>
        <w:spacing w:after="0" w:line="198"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Death</w:t>
      </w:r>
    </w:p>
    <w:p>
      <w:pPr>
        <w:spacing w:after="0" w:line="143"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Following the death of the executive, we will pay to his or her estate or designated beneficiary a pro rata portion of any bonus earned prior to the date of death. In the event of the executive’s death, all unvested RSUs and stock options become vested in their entirety and</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a pro rata amount of Performance Shares may be earned through the date of death if actual performance during the performance period meets the pre-established performance requirements. In addition, the estate or designated beneficiary would receive all dividend equivalents with interest associated with the accelerated RSUs and any Performance Shares earned at the time of vesting. Each vested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stock option will remain exercisable for 12 months following the termination of employment.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Conditions and Obligations of the Executive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Each executive who has entered into an employment agreement with the Company is obligated to:</w:t>
      </w:r>
    </w:p>
    <w:p>
      <w:pPr>
        <w:spacing w:after="0" w:line="103" w:lineRule="exact"/>
        <w:rPr>
          <w:sz w:val="20"/>
          <w:szCs w:val="20"/>
          <w:color w:val="auto"/>
        </w:rPr>
      </w:pPr>
    </w:p>
    <w:p>
      <w:pPr>
        <w:ind w:left="660" w:right="80" w:hanging="328"/>
        <w:spacing w:after="0" w:line="251" w:lineRule="auto"/>
        <w:tabs>
          <w:tab w:leader="none" w:pos="654" w:val="left"/>
        </w:tabs>
        <w:numPr>
          <w:ilvl w:val="0"/>
          <w:numId w:val="111"/>
        </w:numPr>
        <w:rPr>
          <w:rFonts w:ascii="Verdana" w:cs="Verdana" w:eastAsia="Verdana" w:hAnsi="Verdana"/>
          <w:sz w:val="16"/>
          <w:szCs w:val="16"/>
          <w:color w:val="auto"/>
        </w:rPr>
      </w:pPr>
      <w:r>
        <w:rPr>
          <w:rFonts w:ascii="Verdana" w:cs="Verdana" w:eastAsia="Verdana" w:hAnsi="Verdana"/>
          <w:sz w:val="16"/>
          <w:szCs w:val="16"/>
          <w:color w:val="auto"/>
        </w:rPr>
        <w:t>comply with non-competition and non-solicitation covenants during employment and for one year thereafter (extended to two years in the case of termination upon disability, termination by the Company without “cause” or termination by the executive for “good reason”);</w:t>
      </w:r>
    </w:p>
    <w:p>
      <w:pPr>
        <w:spacing w:after="0" w:line="78" w:lineRule="exact"/>
        <w:rPr>
          <w:rFonts w:ascii="Verdana" w:cs="Verdana" w:eastAsia="Verdana" w:hAnsi="Verdana"/>
          <w:sz w:val="16"/>
          <w:szCs w:val="16"/>
          <w:color w:val="auto"/>
        </w:rPr>
      </w:pPr>
    </w:p>
    <w:p>
      <w:pPr>
        <w:ind w:left="660" w:right="860" w:hanging="328"/>
        <w:spacing w:after="0" w:line="270" w:lineRule="auto"/>
        <w:tabs>
          <w:tab w:leader="none" w:pos="654" w:val="left"/>
        </w:tabs>
        <w:numPr>
          <w:ilvl w:val="0"/>
          <w:numId w:val="111"/>
        </w:numPr>
        <w:rPr>
          <w:rFonts w:ascii="Verdana" w:cs="Verdana" w:eastAsia="Verdana" w:hAnsi="Verdana"/>
          <w:sz w:val="16"/>
          <w:szCs w:val="16"/>
          <w:color w:val="auto"/>
        </w:rPr>
      </w:pPr>
      <w:r>
        <w:rPr>
          <w:rFonts w:ascii="Verdana" w:cs="Verdana" w:eastAsia="Verdana" w:hAnsi="Verdana"/>
          <w:sz w:val="16"/>
          <w:szCs w:val="16"/>
          <w:color w:val="auto"/>
        </w:rPr>
        <w:t>sign a general release of claims relating to his or her employment in order to receive severance under the employment agreement;</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111"/>
        </w:numPr>
        <w:rPr>
          <w:rFonts w:ascii="Verdana" w:cs="Verdana" w:eastAsia="Verdana" w:hAnsi="Verdana"/>
          <w:sz w:val="16"/>
          <w:szCs w:val="16"/>
          <w:color w:val="auto"/>
        </w:rPr>
      </w:pPr>
      <w:r>
        <w:rPr>
          <w:rFonts w:ascii="Verdana" w:cs="Verdana" w:eastAsia="Verdana" w:hAnsi="Verdana"/>
          <w:sz w:val="16"/>
          <w:szCs w:val="16"/>
          <w:color w:val="auto"/>
        </w:rPr>
        <w:t>return Company data and materials;</w:t>
      </w:r>
    </w:p>
    <w:p>
      <w:pPr>
        <w:spacing w:after="0" w:line="116" w:lineRule="exact"/>
        <w:rPr>
          <w:rFonts w:ascii="Verdana" w:cs="Verdana" w:eastAsia="Verdana" w:hAnsi="Verdana"/>
          <w:sz w:val="16"/>
          <w:szCs w:val="16"/>
          <w:color w:val="auto"/>
        </w:rPr>
      </w:pPr>
    </w:p>
    <w:p>
      <w:pPr>
        <w:ind w:left="660" w:right="40" w:hanging="328"/>
        <w:spacing w:after="0" w:line="253" w:lineRule="auto"/>
        <w:tabs>
          <w:tab w:leader="none" w:pos="654" w:val="left"/>
        </w:tabs>
        <w:numPr>
          <w:ilvl w:val="0"/>
          <w:numId w:val="111"/>
        </w:numPr>
        <w:rPr>
          <w:rFonts w:ascii="Verdana" w:cs="Verdana" w:eastAsia="Verdana" w:hAnsi="Verdana"/>
          <w:sz w:val="16"/>
          <w:szCs w:val="16"/>
          <w:color w:val="auto"/>
        </w:rPr>
      </w:pPr>
      <w:r>
        <w:rPr>
          <w:rFonts w:ascii="Verdana" w:cs="Verdana" w:eastAsia="Verdana" w:hAnsi="Verdana"/>
          <w:sz w:val="16"/>
          <w:szCs w:val="16"/>
          <w:color w:val="auto"/>
        </w:rPr>
        <w:t>make himself or herself reasonably available to respond to periodic requests for information regarding the Company or his or her employment; and</w:t>
      </w:r>
    </w:p>
    <w:p>
      <w:pPr>
        <w:spacing w:after="0" w:line="76" w:lineRule="exact"/>
        <w:rPr>
          <w:rFonts w:ascii="Verdana" w:cs="Verdana" w:eastAsia="Verdana" w:hAnsi="Verdana"/>
          <w:sz w:val="16"/>
          <w:szCs w:val="16"/>
          <w:color w:val="auto"/>
        </w:rPr>
      </w:pPr>
    </w:p>
    <w:p>
      <w:pPr>
        <w:ind w:left="640" w:hanging="308"/>
        <w:spacing w:after="0"/>
        <w:tabs>
          <w:tab w:leader="none" w:pos="640" w:val="left"/>
        </w:tabs>
        <w:numPr>
          <w:ilvl w:val="0"/>
          <w:numId w:val="111"/>
        </w:numPr>
        <w:rPr>
          <w:rFonts w:ascii="Verdana" w:cs="Verdana" w:eastAsia="Verdana" w:hAnsi="Verdana"/>
          <w:sz w:val="16"/>
          <w:szCs w:val="16"/>
          <w:color w:val="auto"/>
        </w:rPr>
      </w:pPr>
      <w:r>
        <w:rPr>
          <w:rFonts w:ascii="Verdana" w:cs="Verdana" w:eastAsia="Verdana" w:hAnsi="Verdana"/>
          <w:sz w:val="16"/>
          <w:szCs w:val="16"/>
          <w:color w:val="auto"/>
        </w:rPr>
        <w:t>cooperate with litigation matters or investigations.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CEO Pay Ratio</w:t>
      </w:r>
    </w:p>
    <w:p>
      <w:pPr>
        <w:spacing w:after="0" w:line="144"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Under the Dodd-Frank Wall Street Reform and Consumer Protection Act, we are required to disclose the median of the annual total compensation of all employees, the annual total compensation of our principal executive officer, Raymond E. Scott, and the ratio of these two amounts. Lear's global employee population is approximately 173,700 employees, with 10,400 employees located in the United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States and 163,300 employees located in countries outside of the United States.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We identified the median employee in 2023 and used the same median employee to calculate the CEO pay ratio for 2024, as permitted</w:t>
      </w:r>
    </w:p>
    <w:p>
      <w:pPr>
        <w:spacing w:after="0" w:line="8"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by SEC rules, because there were no changes to our employee population or compensation arrangements that would significantly change our pay ratio disclosure. To identify the median employee in 2023, we used the following methodology:</w:t>
      </w:r>
    </w:p>
    <w:p>
      <w:pPr>
        <w:spacing w:after="0" w:line="76" w:lineRule="exact"/>
        <w:rPr>
          <w:sz w:val="20"/>
          <w:szCs w:val="20"/>
          <w:color w:val="auto"/>
        </w:rPr>
      </w:pPr>
    </w:p>
    <w:p>
      <w:pPr>
        <w:ind w:left="660" w:right="220" w:hanging="328"/>
        <w:spacing w:after="0" w:line="270" w:lineRule="auto"/>
        <w:tabs>
          <w:tab w:leader="none" w:pos="654" w:val="left"/>
        </w:tabs>
        <w:numPr>
          <w:ilvl w:val="0"/>
          <w:numId w:val="112"/>
        </w:numPr>
        <w:rPr>
          <w:rFonts w:ascii="Verdana" w:cs="Verdana" w:eastAsia="Verdana" w:hAnsi="Verdana"/>
          <w:sz w:val="16"/>
          <w:szCs w:val="16"/>
          <w:color w:val="1D428A"/>
        </w:rPr>
      </w:pPr>
      <w:r>
        <w:rPr>
          <w:rFonts w:ascii="Verdana" w:cs="Verdana" w:eastAsia="Verdana" w:hAnsi="Verdana"/>
          <w:sz w:val="16"/>
          <w:szCs w:val="16"/>
          <w:color w:val="auto"/>
        </w:rPr>
        <w:t>Calculated annualized base salaries (our consistently applied compensation measure) as of October 1, 2023, for all employees, excluding the CEO;</w:t>
      </w:r>
    </w:p>
    <w:p>
      <w:pPr>
        <w:spacing w:after="0" w:line="61" w:lineRule="exact"/>
        <w:rPr>
          <w:rFonts w:ascii="Verdana" w:cs="Verdana" w:eastAsia="Verdana" w:hAnsi="Verdana"/>
          <w:sz w:val="16"/>
          <w:szCs w:val="16"/>
          <w:color w:val="1D428A"/>
        </w:rPr>
      </w:pPr>
    </w:p>
    <w:p>
      <w:pPr>
        <w:ind w:left="660" w:right="1040" w:hanging="328"/>
        <w:spacing w:after="0" w:line="270" w:lineRule="auto"/>
        <w:tabs>
          <w:tab w:leader="none" w:pos="654" w:val="left"/>
        </w:tabs>
        <w:numPr>
          <w:ilvl w:val="0"/>
          <w:numId w:val="112"/>
        </w:numPr>
        <w:rPr>
          <w:rFonts w:ascii="Verdana" w:cs="Verdana" w:eastAsia="Verdana" w:hAnsi="Verdana"/>
          <w:sz w:val="16"/>
          <w:szCs w:val="16"/>
          <w:color w:val="1D428A"/>
        </w:rPr>
      </w:pPr>
      <w:r>
        <w:rPr>
          <w:rFonts w:ascii="Verdana" w:cs="Verdana" w:eastAsia="Verdana" w:hAnsi="Verdana"/>
          <w:sz w:val="16"/>
          <w:szCs w:val="16"/>
          <w:color w:val="auto"/>
        </w:rPr>
        <w:t>Identified the middle 51 employees using annualized base salaries converted to U.S. dollars as a consistently applied compensation measure;</w:t>
      </w:r>
    </w:p>
    <w:p>
      <w:pPr>
        <w:spacing w:after="0" w:line="61" w:lineRule="exact"/>
        <w:rPr>
          <w:rFonts w:ascii="Verdana" w:cs="Verdana" w:eastAsia="Verdana" w:hAnsi="Verdana"/>
          <w:sz w:val="16"/>
          <w:szCs w:val="16"/>
          <w:color w:val="1D428A"/>
        </w:rPr>
      </w:pPr>
    </w:p>
    <w:p>
      <w:pPr>
        <w:ind w:left="660" w:right="340" w:hanging="328"/>
        <w:spacing w:after="0" w:line="253" w:lineRule="auto"/>
        <w:tabs>
          <w:tab w:leader="none" w:pos="654" w:val="left"/>
        </w:tabs>
        <w:numPr>
          <w:ilvl w:val="0"/>
          <w:numId w:val="112"/>
        </w:numPr>
        <w:rPr>
          <w:rFonts w:ascii="Verdana" w:cs="Verdana" w:eastAsia="Verdana" w:hAnsi="Verdana"/>
          <w:sz w:val="16"/>
          <w:szCs w:val="16"/>
          <w:color w:val="1D428A"/>
        </w:rPr>
      </w:pPr>
      <w:r>
        <w:rPr>
          <w:rFonts w:ascii="Verdana" w:cs="Verdana" w:eastAsia="Verdana" w:hAnsi="Verdana"/>
          <w:sz w:val="16"/>
          <w:szCs w:val="16"/>
          <w:color w:val="auto"/>
        </w:rPr>
        <w:t>Calculated annual total compensation for the 51 middle employees using the same SEC requirements used to determine total compensation in the Summary Compensation Table; and</w:t>
      </w:r>
    </w:p>
    <w:p>
      <w:pPr>
        <w:spacing w:after="0" w:line="89" w:lineRule="exact"/>
        <w:rPr>
          <w:rFonts w:ascii="Verdana" w:cs="Verdana" w:eastAsia="Verdana" w:hAnsi="Verdana"/>
          <w:sz w:val="16"/>
          <w:szCs w:val="16"/>
          <w:color w:val="1D428A"/>
        </w:rPr>
      </w:pPr>
    </w:p>
    <w:p>
      <w:pPr>
        <w:ind w:left="660" w:right="60" w:hanging="328"/>
        <w:spacing w:after="0" w:line="253" w:lineRule="auto"/>
        <w:tabs>
          <w:tab w:leader="none" w:pos="654" w:val="left"/>
        </w:tabs>
        <w:numPr>
          <w:ilvl w:val="0"/>
          <w:numId w:val="112"/>
        </w:numPr>
        <w:rPr>
          <w:rFonts w:ascii="Verdana" w:cs="Verdana" w:eastAsia="Verdana" w:hAnsi="Verdana"/>
          <w:sz w:val="16"/>
          <w:szCs w:val="16"/>
          <w:color w:val="1D428A"/>
        </w:rPr>
      </w:pPr>
      <w:r>
        <w:rPr>
          <w:rFonts w:ascii="Verdana" w:cs="Verdana" w:eastAsia="Verdana" w:hAnsi="Verdana"/>
          <w:sz w:val="16"/>
          <w:szCs w:val="16"/>
          <w:color w:val="auto"/>
        </w:rPr>
        <w:t>Re-ranked the middle 51 employees based on annual total compensation and selected the median employee. Using this methodology, we determined that the estimated median employee was an hourly employee located outside of the United States.</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We determined the 2024 CEO Pay Ratio using the same employee as was used in 2023 based on the following:</w:t>
      </w:r>
    </w:p>
    <w:p>
      <w:pPr>
        <w:spacing w:after="0" w:line="103" w:lineRule="exact"/>
        <w:rPr>
          <w:sz w:val="20"/>
          <w:szCs w:val="20"/>
          <w:color w:val="auto"/>
        </w:rPr>
      </w:pPr>
    </w:p>
    <w:p>
      <w:pPr>
        <w:ind w:left="640" w:hanging="308"/>
        <w:spacing w:after="0"/>
        <w:tabs>
          <w:tab w:leader="none" w:pos="640" w:val="left"/>
        </w:tabs>
        <w:numPr>
          <w:ilvl w:val="0"/>
          <w:numId w:val="113"/>
        </w:numPr>
        <w:rPr>
          <w:rFonts w:ascii="Verdana" w:cs="Verdana" w:eastAsia="Verdana" w:hAnsi="Verdana"/>
          <w:sz w:val="16"/>
          <w:szCs w:val="16"/>
          <w:color w:val="1D428A"/>
        </w:rPr>
      </w:pPr>
      <w:r>
        <w:rPr>
          <w:rFonts w:ascii="Verdana" w:cs="Verdana" w:eastAsia="Verdana" w:hAnsi="Verdana"/>
          <w:sz w:val="16"/>
          <w:szCs w:val="16"/>
          <w:color w:val="auto"/>
        </w:rPr>
        <w:t>The median of the annual total compensation of all employees, excluding the CEO, was $10,606; and</w:t>
      </w:r>
    </w:p>
    <w:p>
      <w:pPr>
        <w:spacing w:after="0" w:line="102" w:lineRule="exact"/>
        <w:rPr>
          <w:rFonts w:ascii="Verdana" w:cs="Verdana" w:eastAsia="Verdana" w:hAnsi="Verdana"/>
          <w:sz w:val="16"/>
          <w:szCs w:val="16"/>
          <w:color w:val="1D428A"/>
        </w:rPr>
      </w:pPr>
    </w:p>
    <w:p>
      <w:pPr>
        <w:ind w:left="640" w:hanging="308"/>
        <w:spacing w:after="0"/>
        <w:tabs>
          <w:tab w:leader="none" w:pos="640" w:val="left"/>
        </w:tabs>
        <w:numPr>
          <w:ilvl w:val="0"/>
          <w:numId w:val="113"/>
        </w:numPr>
        <w:rPr>
          <w:rFonts w:ascii="Verdana" w:cs="Verdana" w:eastAsia="Verdana" w:hAnsi="Verdana"/>
          <w:sz w:val="16"/>
          <w:szCs w:val="16"/>
          <w:color w:val="1D428A"/>
        </w:rPr>
      </w:pPr>
      <w:r>
        <w:rPr>
          <w:rFonts w:ascii="Verdana" w:cs="Verdana" w:eastAsia="Verdana" w:hAnsi="Verdana"/>
          <w:sz w:val="16"/>
          <w:szCs w:val="16"/>
          <w:color w:val="auto"/>
        </w:rPr>
        <w:t>The annual total compensation of our CEO was $17,441,535.</w:t>
      </w:r>
    </w:p>
    <w:p>
      <w:pPr>
        <w:spacing w:after="0" w:line="116" w:lineRule="exact"/>
        <w:rPr>
          <w:sz w:val="20"/>
          <w:szCs w:val="20"/>
          <w:color w:val="auto"/>
        </w:rPr>
      </w:pPr>
    </w:p>
    <w:p>
      <w:pPr>
        <w:ind w:right="640"/>
        <w:spacing w:after="0" w:line="253" w:lineRule="auto"/>
        <w:rPr>
          <w:sz w:val="20"/>
          <w:szCs w:val="20"/>
          <w:color w:val="auto"/>
        </w:rPr>
      </w:pPr>
      <w:r>
        <w:rPr>
          <w:rFonts w:ascii="Verdana" w:cs="Verdana" w:eastAsia="Verdana" w:hAnsi="Verdana"/>
          <w:sz w:val="16"/>
          <w:szCs w:val="16"/>
          <w:color w:val="auto"/>
        </w:rPr>
        <w:t>Based on this information, for 2024, our CEO’s annual total compensation was approximately 1,645 times that of the annual total compensation of the median employee.</w:t>
      </w:r>
    </w:p>
    <w:p>
      <w:pPr>
        <w:spacing w:after="0" w:line="90" w:lineRule="exact"/>
        <w:rPr>
          <w:sz w:val="20"/>
          <w:szCs w:val="20"/>
          <w:color w:val="auto"/>
        </w:rPr>
      </w:pPr>
    </w:p>
    <w:p>
      <w:pPr>
        <w:ind w:right="180"/>
        <w:spacing w:after="0" w:line="238" w:lineRule="auto"/>
        <w:rPr>
          <w:sz w:val="20"/>
          <w:szCs w:val="20"/>
          <w:color w:val="auto"/>
        </w:rPr>
      </w:pPr>
      <w:r>
        <w:rPr>
          <w:rFonts w:ascii="Verdana" w:cs="Verdana" w:eastAsia="Verdana" w:hAnsi="Verdana"/>
          <w:sz w:val="16"/>
          <w:szCs w:val="16"/>
          <w:color w:val="auto"/>
        </w:rPr>
        <w:t>The majority of Mr. Scott's 2024 total compensation is directly linked to the performance of the Company, as discussed in the "Compensation Discussion and Analysis" above. Our CEO pay ratio is a reasonable estimate calculated in a manner consistent with SEC rules. SEC rules for identifying the median employee and calculating the CEO pay ratio based on that employee’s annual total</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compensation allow companies to adopt a variety of methodologies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69</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identify the median employee. SEC rules also allow companies to exclude up to 5% of their total employees who are located in a particular country or countries outside of the United States and to make reasonable estimates and assumptions regarding their employee</w:t>
      </w:r>
    </w:p>
    <w:p>
      <w:pPr>
        <w:spacing w:after="0" w:line="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populations. As a result, the CEO pay ratio reported by other companies may not be comparable to the CEO pay ratio reported above. Other companies may have different employee populations and compensation practices and utilize different methodologies, exclusions,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estimates and assumptions in calculating their own CEO pay ratios.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 Versus Performance ("PVP") Disclosures</w:t>
      </w:r>
    </w:p>
    <w:p>
      <w:pPr>
        <w:spacing w:after="0" w:line="13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As required by the Dodd-Frank Wall Street Reform and Consumer Protection Act, we have calculated Compensation Actually Paid ("CAP") and the relationship of CAP to certain financial performance metrics of the Company.</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Background</w:t>
      </w:r>
    </w:p>
    <w:p>
      <w:pPr>
        <w:spacing w:after="0" w:line="137"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amounts set forth below in the required table are calculated pursuant to SEC rules but do not represent amounts that have actually been earned or realized by our NEOs, including Performance Share awards. For many of these awards, performance conditions have not</w:t>
      </w:r>
    </w:p>
    <w:p>
      <w:pPr>
        <w:spacing w:after="0" w:line="1" w:lineRule="exact"/>
        <w:rPr>
          <w:sz w:val="20"/>
          <w:szCs w:val="20"/>
          <w:color w:val="auto"/>
        </w:rPr>
      </w:pPr>
    </w:p>
    <w:p>
      <w:pPr>
        <w:ind w:right="840"/>
        <w:spacing w:after="0" w:line="253" w:lineRule="auto"/>
        <w:rPr>
          <w:sz w:val="20"/>
          <w:szCs w:val="20"/>
          <w:color w:val="auto"/>
        </w:rPr>
      </w:pPr>
      <w:r>
        <w:rPr>
          <w:rFonts w:ascii="Verdana" w:cs="Verdana" w:eastAsia="Verdana" w:hAnsi="Verdana"/>
          <w:sz w:val="16"/>
          <w:szCs w:val="16"/>
          <w:color w:val="auto"/>
        </w:rPr>
        <w:t xml:space="preserve">yet been satisfied and the applicable performance period is not yet complete. </w:t>
      </w:r>
      <w:r>
        <w:rPr>
          <w:rFonts w:ascii="Verdana" w:cs="Verdana" w:eastAsia="Verdana" w:hAnsi="Verdana"/>
          <w:sz w:val="16"/>
          <w:szCs w:val="16"/>
          <w:b w:val="1"/>
          <w:bCs w:val="1"/>
          <w:color w:val="auto"/>
        </w:rPr>
        <w:t>As a result, this information does not reflect</w:t>
      </w:r>
      <w:r>
        <w:rPr>
          <w:rFonts w:ascii="Verdana" w:cs="Verdana" w:eastAsia="Verdana" w:hAnsi="Verdana"/>
          <w:sz w:val="16"/>
          <w:szCs w:val="16"/>
          <w:color w:val="auto"/>
        </w:rPr>
        <w:t xml:space="preserve"> </w:t>
      </w:r>
      <w:r>
        <w:rPr>
          <w:rFonts w:ascii="Verdana" w:cs="Verdana" w:eastAsia="Verdana" w:hAnsi="Verdana"/>
          <w:sz w:val="16"/>
          <w:szCs w:val="16"/>
          <w:b w:val="1"/>
          <w:bCs w:val="1"/>
          <w:color w:val="auto"/>
        </w:rPr>
        <w:t>compensation that has actually been paid or realized.</w:t>
      </w:r>
    </w:p>
    <w:p>
      <w:pPr>
        <w:spacing w:after="0" w:line="90"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To calculate the CAP for the CEO and the Average CAP for the non-CEO NEOs, adjustments are made to total compensation reported in the Summary Compensation Table for the applicable years. These adjustments are described in the tables below the PVP Table.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does not use CAP or Average CAP as a basis for making compensation decisions, nor does it use the performance</w:t>
      </w:r>
    </w:p>
    <w:p>
      <w:pPr>
        <w:spacing w:after="0" w:line="8" w:lineRule="exact"/>
        <w:rPr>
          <w:sz w:val="20"/>
          <w:szCs w:val="20"/>
          <w:color w:val="auto"/>
        </w:rPr>
      </w:pPr>
    </w:p>
    <w:p>
      <w:pPr>
        <w:ind w:right="220"/>
        <w:spacing w:after="0" w:line="238" w:lineRule="auto"/>
        <w:rPr>
          <w:sz w:val="20"/>
          <w:szCs w:val="20"/>
          <w:color w:val="auto"/>
        </w:rPr>
      </w:pPr>
      <w:r>
        <w:rPr>
          <w:rFonts w:ascii="Verdana" w:cs="Verdana" w:eastAsia="Verdana" w:hAnsi="Verdana"/>
          <w:sz w:val="16"/>
          <w:szCs w:val="16"/>
          <w:color w:val="auto"/>
        </w:rPr>
        <w:t>measures defined by the SEC for the PVP Table to measure performance for incentive plan purposes. Paying for performance is a key element of both our compensation philosophy and compensation principles. As detailed in the "Compensation Discussion and Analysis" above, the P&amp;C Committee places substantial importance on the assessment of Company performance when determining NEO</w:t>
      </w:r>
    </w:p>
    <w:p>
      <w:pPr>
        <w:spacing w:after="0" w:line="2"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compensation. We believe that the structure of our equity-based awards, including our heavy weighting of performance-based equity, provides an intrinsic link to the Company's longer-term performance. Through the use of Performance Shares, the amounts ultimately</w:t>
      </w:r>
    </w:p>
    <w:p>
      <w:pPr>
        <w:spacing w:after="0" w:line="1"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realized by our NEOs with respect to compensation are subject to ongoing performance measures and are further tied to the Company's longer-term performance through stock price.</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Pay Versus Performance Table</w:t>
      </w:r>
    </w:p>
    <w:p>
      <w:pPr>
        <w:spacing w:after="0" w:line="137"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Our long-term incentive award mix is heavily weighted toward Performance Shares, resulting in more compensation at risk. These awards are impacted directly by the Company’s performance and stock price. See the “Compensation Discussion and Analysis” for details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regarding the equity award mix.</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CAP and Average CAP amounts can vary significantly from year-to-year. The key drivers of this volatility for Lear include:</w:t>
      </w:r>
    </w:p>
    <w:p>
      <w:pPr>
        <w:spacing w:after="0" w:line="103" w:lineRule="exact"/>
        <w:rPr>
          <w:sz w:val="20"/>
          <w:szCs w:val="20"/>
          <w:color w:val="auto"/>
        </w:rPr>
      </w:pPr>
    </w:p>
    <w:p>
      <w:pPr>
        <w:ind w:left="640" w:hanging="308"/>
        <w:spacing w:after="0"/>
        <w:tabs>
          <w:tab w:leader="none" w:pos="640" w:val="left"/>
        </w:tabs>
        <w:numPr>
          <w:ilvl w:val="0"/>
          <w:numId w:val="114"/>
        </w:numPr>
        <w:rPr>
          <w:rFonts w:ascii="Verdana" w:cs="Verdana" w:eastAsia="Verdana" w:hAnsi="Verdana"/>
          <w:sz w:val="16"/>
          <w:szCs w:val="16"/>
          <w:color w:val="auto"/>
        </w:rPr>
      </w:pPr>
      <w:r>
        <w:rPr>
          <w:rFonts w:ascii="Verdana" w:cs="Verdana" w:eastAsia="Verdana" w:hAnsi="Verdana"/>
          <w:sz w:val="16"/>
          <w:szCs w:val="16"/>
          <w:color w:val="auto"/>
        </w:rPr>
        <w:t>Point in time measurements, reflecting value only on certain specific and required dates;</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114"/>
        </w:numPr>
        <w:rPr>
          <w:rFonts w:ascii="Verdana" w:cs="Verdana" w:eastAsia="Verdana" w:hAnsi="Verdana"/>
          <w:sz w:val="16"/>
          <w:szCs w:val="16"/>
          <w:color w:val="auto"/>
        </w:rPr>
      </w:pPr>
      <w:r>
        <w:rPr>
          <w:rFonts w:ascii="Verdana" w:cs="Verdana" w:eastAsia="Verdana" w:hAnsi="Verdana"/>
          <w:sz w:val="16"/>
          <w:szCs w:val="16"/>
          <w:color w:val="auto"/>
        </w:rPr>
        <w:t>Changes in expected performance year-over-year (to a lesser extent); and</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114"/>
        </w:numPr>
        <w:rPr>
          <w:rFonts w:ascii="Verdana" w:cs="Verdana" w:eastAsia="Verdana" w:hAnsi="Verdana"/>
          <w:sz w:val="16"/>
          <w:szCs w:val="16"/>
          <w:color w:val="auto"/>
        </w:rPr>
      </w:pPr>
      <w:r>
        <w:rPr>
          <w:rFonts w:ascii="Verdana" w:cs="Verdana" w:eastAsia="Verdana" w:hAnsi="Verdana"/>
          <w:sz w:val="16"/>
          <w:szCs w:val="16"/>
          <w:color w:val="auto"/>
        </w:rPr>
        <w:t>Stock price volatility.</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Base salary, annual bonus, non-equity incentive plan compensation and all other compensation are each calculated in the same manner</w:t>
      </w:r>
    </w:p>
    <w:p>
      <w:pPr>
        <w:spacing w:after="0" w:line="8" w:lineRule="exact"/>
        <w:rPr>
          <w:sz w:val="20"/>
          <w:szCs w:val="20"/>
          <w:color w:val="auto"/>
        </w:rPr>
      </w:pPr>
    </w:p>
    <w:p>
      <w:pPr>
        <w:jc w:val="both"/>
        <w:ind w:right="140"/>
        <w:spacing w:after="0" w:line="241" w:lineRule="auto"/>
        <w:rPr>
          <w:sz w:val="20"/>
          <w:szCs w:val="20"/>
          <w:color w:val="auto"/>
        </w:rPr>
      </w:pPr>
      <w:r>
        <w:rPr>
          <w:rFonts w:ascii="Verdana" w:cs="Verdana" w:eastAsia="Verdana" w:hAnsi="Verdana"/>
          <w:sz w:val="16"/>
          <w:szCs w:val="16"/>
          <w:color w:val="auto"/>
        </w:rPr>
        <w:t>for both Summary Compensation Table (“SCT”) and CAP purposes. The difference between SCT and CAP total compensation is due primarily to changes in the fair value of equity awards and changes in the expected or actual performance of performance-based equity</w:t>
      </w:r>
    </w:p>
    <w:p>
      <w:pPr>
        <w:spacing w:after="0" w:line="1" w:lineRule="exact"/>
        <w:rPr>
          <w:sz w:val="20"/>
          <w:szCs w:val="20"/>
          <w:color w:val="auto"/>
        </w:rPr>
      </w:pPr>
    </w:p>
    <w:p>
      <w:pPr>
        <w:jc w:val="both"/>
        <w:ind w:right="160"/>
        <w:spacing w:after="0" w:line="243" w:lineRule="auto"/>
        <w:rPr>
          <w:sz w:val="20"/>
          <w:szCs w:val="20"/>
          <w:color w:val="auto"/>
        </w:rPr>
      </w:pPr>
      <w:r>
        <w:rPr>
          <w:rFonts w:ascii="Verdana" w:cs="Verdana" w:eastAsia="Verdana" w:hAnsi="Verdana"/>
          <w:sz w:val="16"/>
          <w:szCs w:val="16"/>
          <w:color w:val="auto"/>
        </w:rPr>
        <w:t>awards. The CAP table includes changes in the fair value of equity awards and does not represent the CEO’s and non-CEO NEOs’ actual compensation received or earned. The difference between SCT and CAP total compensation reflects differences in the value assigned to equity awards under each calculation as described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hanging="534"/>
        <w:spacing w:after="0"/>
        <w:tabs>
          <w:tab w:leader="none" w:pos="560" w:val="left"/>
        </w:tabs>
        <w:numPr>
          <w:ilvl w:val="0"/>
          <w:numId w:val="115"/>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288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67722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Arial" w:cs="Arial" w:eastAsia="Arial" w:hAnsi="Arial"/>
          <w:sz w:val="13"/>
          <w:szCs w:val="13"/>
          <w:b w:val="1"/>
          <w:bCs w:val="1"/>
          <w:color w:val="307FE2"/>
        </w:rPr>
        <w:t>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25400</wp:posOffset>
            </wp:positionV>
            <wp:extent cx="19202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00" w:type="dxa"/>
            <w:vAlign w:val="bottom"/>
            <w:vMerge w:val="restart"/>
          </w:tcPr>
          <w:p>
            <w:pPr>
              <w:spacing w:after="0"/>
              <w:rPr>
                <w:sz w:val="20"/>
                <w:szCs w:val="20"/>
                <w:color w:val="auto"/>
              </w:rPr>
            </w:pPr>
            <w:r>
              <w:rPr>
                <w:rFonts w:ascii="Arial" w:cs="Arial" w:eastAsia="Arial" w:hAnsi="Arial"/>
                <w:sz w:val="13"/>
                <w:szCs w:val="13"/>
                <w:b w:val="1"/>
                <w:bCs w:val="1"/>
                <w:color w:val="auto"/>
              </w:rPr>
              <w:t>Equity Awards</w:t>
            </w:r>
          </w:p>
        </w:tc>
        <w:tc>
          <w:tcPr>
            <w:tcW w:w="2900" w:type="dxa"/>
            <w:vAlign w:val="bottom"/>
          </w:tcPr>
          <w:p>
            <w:pPr>
              <w:ind w:left="320"/>
              <w:spacing w:after="0"/>
              <w:rPr>
                <w:sz w:val="20"/>
                <w:szCs w:val="20"/>
                <w:color w:val="auto"/>
              </w:rPr>
            </w:pPr>
            <w:r>
              <w:rPr>
                <w:rFonts w:ascii="Verdana" w:cs="Verdana" w:eastAsia="Verdana" w:hAnsi="Verdana"/>
                <w:sz w:val="13"/>
                <w:szCs w:val="13"/>
                <w:color w:val="auto"/>
              </w:rPr>
              <w:t>Grant date fair value of equity awards</w:t>
            </w:r>
          </w:p>
        </w:tc>
        <w:tc>
          <w:tcPr>
            <w:tcW w:w="0" w:type="dxa"/>
            <w:vAlign w:val="bottom"/>
          </w:tcPr>
          <w:p>
            <w:pPr>
              <w:spacing w:after="0"/>
              <w:rPr>
                <w:sz w:val="1"/>
                <w:szCs w:val="1"/>
                <w:color w:val="auto"/>
              </w:rPr>
            </w:pPr>
          </w:p>
        </w:tc>
      </w:tr>
      <w:tr>
        <w:trPr>
          <w:trHeight w:val="95"/>
        </w:trPr>
        <w:tc>
          <w:tcPr>
            <w:tcW w:w="1400" w:type="dxa"/>
            <w:vAlign w:val="bottom"/>
            <w:vMerge w:val="continue"/>
          </w:tcPr>
          <w:p>
            <w:pPr>
              <w:spacing w:after="0"/>
              <w:rPr>
                <w:sz w:val="8"/>
                <w:szCs w:val="8"/>
                <w:color w:val="auto"/>
              </w:rPr>
            </w:pPr>
          </w:p>
        </w:tc>
        <w:tc>
          <w:tcPr>
            <w:tcW w:w="2900" w:type="dxa"/>
            <w:vAlign w:val="bottom"/>
            <w:vMerge w:val="restart"/>
          </w:tcPr>
          <w:p>
            <w:pPr>
              <w:ind w:left="320"/>
              <w:spacing w:after="0"/>
              <w:rPr>
                <w:sz w:val="20"/>
                <w:szCs w:val="20"/>
                <w:color w:val="auto"/>
              </w:rPr>
            </w:pPr>
            <w:r>
              <w:rPr>
                <w:rFonts w:ascii="Verdana" w:cs="Verdana" w:eastAsia="Verdana" w:hAnsi="Verdana"/>
                <w:sz w:val="13"/>
                <w:szCs w:val="13"/>
                <w:color w:val="auto"/>
              </w:rPr>
              <w:t>granted during the current year</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0"/>
        <w:spacing w:after="0"/>
        <w:rPr>
          <w:sz w:val="20"/>
          <w:szCs w:val="20"/>
          <w:color w:val="auto"/>
        </w:rPr>
      </w:pPr>
      <w:r>
        <w:rPr>
          <w:rFonts w:ascii="Arial" w:cs="Arial" w:eastAsia="Arial" w:hAnsi="Arial"/>
          <w:sz w:val="13"/>
          <w:szCs w:val="13"/>
          <w:b w:val="1"/>
          <w:bCs w:val="1"/>
          <w:color w:val="307FE2"/>
        </w:rPr>
        <w:t>CAP</w:t>
      </w:r>
      <w:r>
        <w:rPr>
          <w:rFonts w:ascii="Verdana" w:cs="Verdana" w:eastAsia="Verdana" w:hAnsi="Verdana"/>
          <w:sz w:val="8"/>
          <w:szCs w:val="8"/>
          <w:b w:val="1"/>
          <w:bCs w:val="1"/>
          <w:color w:val="307FE2"/>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36258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60" w:lineRule="exact"/>
        <w:rPr>
          <w:sz w:val="20"/>
          <w:szCs w:val="20"/>
          <w:color w:val="auto"/>
        </w:rPr>
      </w:pPr>
    </w:p>
    <w:p>
      <w:pPr>
        <w:ind w:right="620"/>
        <w:spacing w:after="0" w:line="246" w:lineRule="auto"/>
        <w:rPr>
          <w:sz w:val="20"/>
          <w:szCs w:val="20"/>
          <w:color w:val="auto"/>
        </w:rPr>
      </w:pPr>
      <w:r>
        <w:rPr>
          <w:rFonts w:ascii="Verdana" w:cs="Verdana" w:eastAsia="Verdana" w:hAnsi="Verdana"/>
          <w:sz w:val="13"/>
          <w:szCs w:val="13"/>
          <w:color w:val="auto"/>
        </w:rPr>
        <w:t>SCT and CAP calculations use the same methodologies to determine the fair value of equity awards. However, CAP total compensation includes changes in the fair value of equity awards during each year as a result of changes in stock price and expected or actual performance of each equity award (which is not included in SCT total compensation).</w:t>
      </w:r>
    </w:p>
    <w:p>
      <w:pPr>
        <w:ind w:left="320" w:right="900" w:hanging="323"/>
        <w:spacing w:after="0" w:line="245" w:lineRule="auto"/>
        <w:rPr>
          <w:sz w:val="20"/>
          <w:szCs w:val="20"/>
          <w:color w:val="auto"/>
        </w:rPr>
      </w:pPr>
      <w:r>
        <w:rPr>
          <w:rFonts w:ascii="Verdana" w:cs="Verdana" w:eastAsia="Verdana" w:hAnsi="Verdana"/>
          <w:sz w:val="13"/>
          <w:szCs w:val="13"/>
          <w:color w:val="auto"/>
        </w:rPr>
        <w:t>1.</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Granted During the Year</w:t>
      </w:r>
      <w:r>
        <w:rPr>
          <w:rFonts w:ascii="Arial" w:cs="Arial" w:eastAsia="Arial" w:hAnsi="Arial"/>
          <w:sz w:val="13"/>
          <w:szCs w:val="13"/>
          <w:b w:val="1"/>
          <w:bCs w:val="1"/>
          <w:color w:val="auto"/>
        </w:rPr>
        <w:t>:</w:t>
      </w:r>
      <w:r>
        <w:rPr>
          <w:rFonts w:ascii="Verdana" w:cs="Verdana" w:eastAsia="Verdana" w:hAnsi="Verdana"/>
          <w:sz w:val="13"/>
          <w:szCs w:val="13"/>
          <w:color w:val="auto"/>
        </w:rPr>
        <w:t xml:space="preserve"> End of year fair value of equity awards outstanding at the end of the year and/or vesting date fair value of equity awards that vested during the year</w:t>
      </w:r>
    </w:p>
    <w:p>
      <w:pPr>
        <w:spacing w:after="0" w:line="2" w:lineRule="exact"/>
        <w:rPr>
          <w:sz w:val="20"/>
          <w:szCs w:val="20"/>
          <w:color w:val="auto"/>
        </w:rPr>
      </w:pPr>
    </w:p>
    <w:p>
      <w:pPr>
        <w:ind w:left="320" w:right="720" w:hanging="323"/>
        <w:spacing w:after="0" w:line="245" w:lineRule="auto"/>
        <w:rPr>
          <w:sz w:val="20"/>
          <w:szCs w:val="20"/>
          <w:color w:val="auto"/>
        </w:rPr>
      </w:pPr>
      <w:r>
        <w:rPr>
          <w:rFonts w:ascii="Verdana" w:cs="Verdana" w:eastAsia="Verdana" w:hAnsi="Verdana"/>
          <w:sz w:val="13"/>
          <w:szCs w:val="13"/>
          <w:color w:val="auto"/>
        </w:rPr>
        <w:t>2.</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Prior Awards that Remain Outstanding</w:t>
      </w:r>
      <w:r>
        <w:rPr>
          <w:rFonts w:ascii="Arial" w:cs="Arial" w:eastAsia="Arial" w:hAnsi="Arial"/>
          <w:sz w:val="13"/>
          <w:szCs w:val="13"/>
          <w:b w:val="1"/>
          <w:bCs w:val="1"/>
          <w:color w:val="auto"/>
        </w:rPr>
        <w:t>:</w:t>
      </w:r>
      <w:r>
        <w:rPr>
          <w:rFonts w:ascii="Verdana" w:cs="Verdana" w:eastAsia="Verdana" w:hAnsi="Verdana"/>
          <w:sz w:val="13"/>
          <w:szCs w:val="13"/>
          <w:color w:val="auto"/>
        </w:rPr>
        <w:t xml:space="preserve"> Change in fair value during the year of equity awards that are unvested at both end of prior year and end of current year</w:t>
      </w:r>
    </w:p>
    <w:p>
      <w:pPr>
        <w:spacing w:after="0" w:line="2" w:lineRule="exact"/>
        <w:rPr>
          <w:sz w:val="20"/>
          <w:szCs w:val="20"/>
          <w:color w:val="auto"/>
        </w:rPr>
      </w:pPr>
    </w:p>
    <w:p>
      <w:pPr>
        <w:ind w:left="320" w:right="660" w:hanging="323"/>
        <w:spacing w:after="0" w:line="272" w:lineRule="auto"/>
        <w:rPr>
          <w:sz w:val="20"/>
          <w:szCs w:val="20"/>
          <w:color w:val="auto"/>
        </w:rPr>
      </w:pPr>
      <w:r>
        <w:rPr>
          <w:rFonts w:ascii="Verdana" w:cs="Verdana" w:eastAsia="Verdana" w:hAnsi="Verdana"/>
          <w:sz w:val="13"/>
          <w:szCs w:val="13"/>
          <w:color w:val="auto"/>
        </w:rPr>
        <w:t>3.</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Prior Awards that Vested During the Year</w:t>
      </w:r>
      <w:r>
        <w:rPr>
          <w:rFonts w:ascii="Arial" w:cs="Arial" w:eastAsia="Arial" w:hAnsi="Arial"/>
          <w:sz w:val="13"/>
          <w:szCs w:val="13"/>
          <w:b w:val="1"/>
          <w:bCs w:val="1"/>
          <w:color w:val="auto"/>
        </w:rPr>
        <w:t>:</w:t>
      </w:r>
      <w:r>
        <w:rPr>
          <w:rFonts w:ascii="Verdana" w:cs="Verdana" w:eastAsia="Verdana" w:hAnsi="Verdana"/>
          <w:sz w:val="13"/>
          <w:szCs w:val="13"/>
          <w:color w:val="auto"/>
        </w:rPr>
        <w:t xml:space="preserve"> Change in fair value of equity awards that vested during the year from end of prior year to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4445</wp:posOffset>
            </wp:positionV>
            <wp:extent cx="67722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660"/>
            <w:col w:w="6260"/>
          </w:cols>
          <w:pgMar w:left="320" w:top="117" w:right="339" w:bottom="1440" w:gutter="0" w:footer="0" w:header="0"/>
          <w:type w:val="continuous"/>
        </w:sectPr>
      </w:pPr>
    </w:p>
    <w:p>
      <w:pPr>
        <w:spacing w:after="0" w:line="13" w:lineRule="exact"/>
        <w:rPr>
          <w:sz w:val="20"/>
          <w:szCs w:val="20"/>
          <w:color w:val="auto"/>
        </w:rPr>
      </w:pPr>
    </w:p>
    <w:p>
      <w:pPr>
        <w:ind w:left="340" w:right="20" w:hanging="332"/>
        <w:spacing w:after="0" w:line="251" w:lineRule="auto"/>
        <w:tabs>
          <w:tab w:leader="none" w:pos="289" w:val="left"/>
        </w:tabs>
        <w:numPr>
          <w:ilvl w:val="0"/>
          <w:numId w:val="116"/>
        </w:numPr>
        <w:rPr>
          <w:rFonts w:ascii="Verdana" w:cs="Verdana" w:eastAsia="Verdana" w:hAnsi="Verdana"/>
          <w:sz w:val="14"/>
          <w:szCs w:val="14"/>
          <w:color w:val="auto"/>
        </w:rPr>
      </w:pPr>
      <w:r>
        <w:rPr>
          <w:rFonts w:ascii="Verdana" w:cs="Verdana" w:eastAsia="Verdana" w:hAnsi="Verdana"/>
          <w:sz w:val="14"/>
          <w:szCs w:val="14"/>
          <w:color w:val="auto"/>
        </w:rPr>
        <w:t>CAP reflects the end of year and/or vesting date fair value of the current year award (1.) as summarized in the right column above. CAP also adds two other categories of equity awards that are not part of the SCT (2. and 3.) as summarized above.</w:t>
      </w:r>
    </w:p>
    <w:p>
      <w:pPr>
        <w:spacing w:after="0" w:line="85" w:lineRule="exact"/>
        <w:rPr>
          <w:sz w:val="20"/>
          <w:szCs w:val="20"/>
          <w:color w:val="auto"/>
        </w:rPr>
      </w:pPr>
    </w:p>
    <w:p>
      <w:pPr>
        <w:spacing w:after="0"/>
        <w:rPr>
          <w:sz w:val="20"/>
          <w:szCs w:val="20"/>
          <w:color w:val="auto"/>
        </w:rPr>
      </w:pPr>
      <w:r>
        <w:rPr>
          <w:rFonts w:ascii="Verdana" w:cs="Verdana" w:eastAsia="Verdana" w:hAnsi="Verdana"/>
          <w:sz w:val="16"/>
          <w:szCs w:val="16"/>
          <w:color w:val="auto"/>
        </w:rPr>
        <w:t>The table below reflects CAP in accordance with the PVP disclosure rule for the previous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03770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146"/>
        </w:trPr>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gridSpan w:val="2"/>
          </w:tcPr>
          <w:p>
            <w:pPr>
              <w:jc w:val="center"/>
              <w:spacing w:after="0"/>
              <w:rPr>
                <w:sz w:val="20"/>
                <w:szCs w:val="20"/>
                <w:color w:val="auto"/>
              </w:rPr>
            </w:pPr>
            <w:r>
              <w:rPr>
                <w:rFonts w:ascii="Verdana" w:cs="Verdana" w:eastAsia="Verdana" w:hAnsi="Verdana"/>
                <w:sz w:val="12"/>
                <w:szCs w:val="12"/>
                <w:b w:val="1"/>
                <w:bCs w:val="1"/>
                <w:color w:val="307FE2"/>
                <w:w w:val="96"/>
              </w:rPr>
              <w:t>Value of Initial Fixed</w:t>
            </w:r>
          </w:p>
        </w:tc>
      </w:tr>
      <w:tr>
        <w:trPr>
          <w:trHeight w:val="185"/>
        </w:trPr>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Borders>
              <w:bottom w:val="single" w:sz="8" w:color="1D428A"/>
            </w:tcBorders>
            <w:gridSpan w:val="2"/>
          </w:tcPr>
          <w:p>
            <w:pPr>
              <w:jc w:val="center"/>
              <w:spacing w:after="0"/>
              <w:rPr>
                <w:sz w:val="20"/>
                <w:szCs w:val="20"/>
                <w:color w:val="auto"/>
              </w:rPr>
            </w:pPr>
            <w:r>
              <w:rPr>
                <w:rFonts w:ascii="Verdana" w:cs="Verdana" w:eastAsia="Verdana" w:hAnsi="Verdana"/>
                <w:sz w:val="12"/>
                <w:szCs w:val="12"/>
                <w:b w:val="1"/>
                <w:bCs w:val="1"/>
                <w:color w:val="307FE2"/>
                <w:w w:val="95"/>
              </w:rPr>
              <w:t>$100 Investment Based on</w:t>
            </w:r>
            <w:r>
              <w:rPr>
                <w:rFonts w:ascii="Verdana" w:cs="Verdana" w:eastAsia="Verdana" w:hAnsi="Verdana"/>
                <w:sz w:val="15"/>
                <w:szCs w:val="15"/>
                <w:b w:val="1"/>
                <w:bCs w:val="1"/>
                <w:color w:val="307FE2"/>
                <w:w w:val="95"/>
                <w:vertAlign w:val="superscript"/>
              </w:rPr>
              <w:t>(4)</w:t>
            </w:r>
            <w:r>
              <w:rPr>
                <w:rFonts w:ascii="Verdana" w:cs="Verdana" w:eastAsia="Verdana" w:hAnsi="Verdana"/>
                <w:sz w:val="12"/>
                <w:szCs w:val="12"/>
                <w:b w:val="1"/>
                <w:bCs w:val="1"/>
                <w:color w:val="307FE2"/>
                <w:w w:val="95"/>
              </w:rPr>
              <w:t>:</w:t>
            </w:r>
          </w:p>
        </w:tc>
      </w:tr>
      <w:tr>
        <w:trPr>
          <w:trHeight w:val="133"/>
        </w:trPr>
        <w:tc>
          <w:tcPr>
            <w:tcW w:w="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Verdana" w:cs="Verdana" w:eastAsia="Verdana" w:hAnsi="Verdana"/>
                <w:sz w:val="12"/>
                <w:szCs w:val="12"/>
                <w:b w:val="1"/>
                <w:bCs w:val="1"/>
                <w:color w:val="307FE2"/>
                <w:w w:val="97"/>
              </w:rPr>
              <w:t>Average</w:t>
            </w:r>
          </w:p>
        </w:tc>
        <w:tc>
          <w:tcPr>
            <w:tcW w:w="1200" w:type="dxa"/>
            <w:vAlign w:val="bottom"/>
          </w:tcPr>
          <w:p>
            <w:pPr>
              <w:jc w:val="center"/>
              <w:ind w:right="2"/>
              <w:spacing w:after="0" w:line="133" w:lineRule="exact"/>
              <w:rPr>
                <w:sz w:val="20"/>
                <w:szCs w:val="20"/>
                <w:color w:val="auto"/>
              </w:rPr>
            </w:pPr>
            <w:r>
              <w:rPr>
                <w:rFonts w:ascii="Verdana" w:cs="Verdana" w:eastAsia="Verdana" w:hAnsi="Verdana"/>
                <w:sz w:val="12"/>
                <w:szCs w:val="12"/>
                <w:b w:val="1"/>
                <w:bCs w:val="1"/>
                <w:color w:val="307FE2"/>
                <w:w w:val="97"/>
              </w:rPr>
              <w:t>Average</w:t>
            </w:r>
          </w:p>
        </w:tc>
        <w:tc>
          <w:tcPr>
            <w:tcW w:w="128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tcPr>
          <w:p>
            <w:pPr>
              <w:jc w:val="center"/>
              <w:ind w:left="22"/>
              <w:spacing w:after="0" w:line="135" w:lineRule="exact"/>
              <w:rPr>
                <w:sz w:val="20"/>
                <w:szCs w:val="20"/>
                <w:color w:val="auto"/>
              </w:rPr>
            </w:pPr>
            <w:r>
              <w:rPr>
                <w:rFonts w:ascii="Verdana" w:cs="Verdana" w:eastAsia="Verdana" w:hAnsi="Verdana"/>
                <w:sz w:val="12"/>
                <w:szCs w:val="12"/>
                <w:b w:val="1"/>
                <w:bCs w:val="1"/>
                <w:color w:val="307FE2"/>
                <w:w w:val="97"/>
              </w:rPr>
              <w:t>SCT Total</w:t>
            </w:r>
          </w:p>
        </w:tc>
        <w:tc>
          <w:tcPr>
            <w:tcW w:w="12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CAP to</w:t>
            </w:r>
          </w:p>
        </w:tc>
        <w:tc>
          <w:tcPr>
            <w:tcW w:w="1280" w:type="dxa"/>
            <w:vAlign w:val="bottom"/>
          </w:tcPr>
          <w:p>
            <w:pPr>
              <w:jc w:val="center"/>
              <w:ind w:left="2"/>
              <w:spacing w:after="0" w:line="135" w:lineRule="exact"/>
              <w:rPr>
                <w:sz w:val="20"/>
                <w:szCs w:val="20"/>
                <w:color w:val="auto"/>
              </w:rPr>
            </w:pPr>
            <w:r>
              <w:rPr>
                <w:rFonts w:ascii="Verdana" w:cs="Verdana" w:eastAsia="Verdana" w:hAnsi="Verdana"/>
                <w:sz w:val="12"/>
                <w:szCs w:val="12"/>
                <w:b w:val="1"/>
                <w:bCs w:val="1"/>
                <w:color w:val="307FE2"/>
                <w:w w:val="99"/>
              </w:rPr>
              <w:t>Total</w:t>
            </w:r>
          </w:p>
        </w:tc>
        <w:tc>
          <w:tcPr>
            <w:tcW w:w="1400" w:type="dxa"/>
            <w:vAlign w:val="bottom"/>
          </w:tcPr>
          <w:p>
            <w:pPr>
              <w:jc w:val="center"/>
              <w:ind w:left="8"/>
              <w:spacing w:after="0" w:line="135" w:lineRule="exact"/>
              <w:rPr>
                <w:sz w:val="20"/>
                <w:szCs w:val="20"/>
                <w:color w:val="auto"/>
              </w:rPr>
            </w:pPr>
            <w:r>
              <w:rPr>
                <w:rFonts w:ascii="Verdana" w:cs="Verdana" w:eastAsia="Verdana" w:hAnsi="Verdana"/>
                <w:sz w:val="12"/>
                <w:szCs w:val="12"/>
                <w:b w:val="1"/>
                <w:bCs w:val="1"/>
                <w:color w:val="307FE2"/>
                <w:w w:val="96"/>
              </w:rPr>
              <w:t>Peer Group Total</w:t>
            </w:r>
          </w:p>
        </w:tc>
      </w:tr>
      <w:tr>
        <w:trPr>
          <w:trHeight w:val="135"/>
        </w:trPr>
        <w:tc>
          <w:tcPr>
            <w:tcW w:w="660" w:type="dxa"/>
            <w:vAlign w:val="bottom"/>
          </w:tcPr>
          <w:p>
            <w:pPr>
              <w:spacing w:after="0"/>
              <w:rPr>
                <w:sz w:val="11"/>
                <w:szCs w:val="11"/>
                <w:color w:val="auto"/>
              </w:rPr>
            </w:pPr>
          </w:p>
        </w:tc>
        <w:tc>
          <w:tcPr>
            <w:tcW w:w="1360" w:type="dxa"/>
            <w:vAlign w:val="bottom"/>
          </w:tcPr>
          <w:p>
            <w:pPr>
              <w:jc w:val="center"/>
              <w:ind w:right="22"/>
              <w:spacing w:after="0" w:line="135" w:lineRule="exact"/>
              <w:rPr>
                <w:sz w:val="20"/>
                <w:szCs w:val="20"/>
                <w:color w:val="auto"/>
              </w:rPr>
            </w:pPr>
            <w:r>
              <w:rPr>
                <w:rFonts w:ascii="Verdana" w:cs="Verdana" w:eastAsia="Verdana" w:hAnsi="Verdana"/>
                <w:sz w:val="12"/>
                <w:szCs w:val="12"/>
                <w:b w:val="1"/>
                <w:bCs w:val="1"/>
                <w:color w:val="307FE2"/>
                <w:w w:val="96"/>
              </w:rPr>
              <w:t>SCT Total for</w:t>
            </w:r>
          </w:p>
        </w:tc>
        <w:tc>
          <w:tcPr>
            <w:tcW w:w="10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CAP to</w:t>
            </w:r>
          </w:p>
        </w:tc>
        <w:tc>
          <w:tcPr>
            <w:tcW w:w="138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for non-CEO</w:t>
            </w:r>
          </w:p>
        </w:tc>
        <w:tc>
          <w:tcPr>
            <w:tcW w:w="12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non-CEO</w:t>
            </w:r>
          </w:p>
        </w:tc>
        <w:tc>
          <w:tcPr>
            <w:tcW w:w="1280" w:type="dxa"/>
            <w:vAlign w:val="bottom"/>
          </w:tcPr>
          <w:p>
            <w:pPr>
              <w:jc w:val="center"/>
              <w:ind w:left="22"/>
              <w:spacing w:after="0" w:line="135" w:lineRule="exact"/>
              <w:rPr>
                <w:sz w:val="20"/>
                <w:szCs w:val="20"/>
                <w:color w:val="auto"/>
              </w:rPr>
            </w:pPr>
            <w:r>
              <w:rPr>
                <w:rFonts w:ascii="Verdana" w:cs="Verdana" w:eastAsia="Verdana" w:hAnsi="Verdana"/>
                <w:sz w:val="12"/>
                <w:szCs w:val="12"/>
                <w:b w:val="1"/>
                <w:bCs w:val="1"/>
                <w:color w:val="307FE2"/>
                <w:w w:val="97"/>
              </w:rPr>
              <w:t>Shareholder</w:t>
            </w:r>
          </w:p>
        </w:tc>
        <w:tc>
          <w:tcPr>
            <w:tcW w:w="1400" w:type="dxa"/>
            <w:vAlign w:val="bottom"/>
          </w:tcPr>
          <w:p>
            <w:pPr>
              <w:jc w:val="center"/>
              <w:ind w:left="28"/>
              <w:spacing w:after="0" w:line="135" w:lineRule="exact"/>
              <w:rPr>
                <w:sz w:val="20"/>
                <w:szCs w:val="20"/>
                <w:color w:val="auto"/>
              </w:rPr>
            </w:pPr>
            <w:r>
              <w:rPr>
                <w:rFonts w:ascii="Verdana" w:cs="Verdana" w:eastAsia="Verdana" w:hAnsi="Verdana"/>
                <w:sz w:val="12"/>
                <w:szCs w:val="12"/>
                <w:b w:val="1"/>
                <w:bCs w:val="1"/>
                <w:color w:val="307FE2"/>
                <w:w w:val="97"/>
              </w:rPr>
              <w:t>Shareholder</w:t>
            </w:r>
          </w:p>
        </w:tc>
      </w:tr>
      <w:tr>
        <w:trPr>
          <w:trHeight w:val="148"/>
        </w:trPr>
        <w:tc>
          <w:tcPr>
            <w:tcW w:w="6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Verdana" w:cs="Verdana" w:eastAsia="Verdana" w:hAnsi="Verdana"/>
                <w:sz w:val="12"/>
                <w:szCs w:val="12"/>
                <w:b w:val="1"/>
                <w:bCs w:val="1"/>
                <w:color w:val="307FE2"/>
              </w:rPr>
              <w:t>CEO</w:t>
            </w:r>
          </w:p>
        </w:tc>
        <w:tc>
          <w:tcPr>
            <w:tcW w:w="1060" w:type="dxa"/>
            <w:vAlign w:val="bottom"/>
          </w:tcPr>
          <w:p>
            <w:pPr>
              <w:jc w:val="center"/>
              <w:spacing w:after="0" w:line="149" w:lineRule="exact"/>
              <w:rPr>
                <w:sz w:val="20"/>
                <w:szCs w:val="20"/>
                <w:color w:val="auto"/>
              </w:rPr>
            </w:pPr>
            <w:r>
              <w:rPr>
                <w:rFonts w:ascii="Verdana" w:cs="Verdana" w:eastAsia="Verdana" w:hAnsi="Verdana"/>
                <w:sz w:val="12"/>
                <w:szCs w:val="12"/>
                <w:b w:val="1"/>
                <w:bCs w:val="1"/>
                <w:color w:val="307FE2"/>
                <w:w w:val="88"/>
              </w:rPr>
              <w:t>CEO</w:t>
            </w:r>
            <w:r>
              <w:rPr>
                <w:rFonts w:ascii="Verdana" w:cs="Verdana" w:eastAsia="Verdana" w:hAnsi="Verdana"/>
                <w:sz w:val="15"/>
                <w:szCs w:val="15"/>
                <w:b w:val="1"/>
                <w:bCs w:val="1"/>
                <w:color w:val="307FE2"/>
                <w:w w:val="88"/>
                <w:vertAlign w:val="superscript"/>
              </w:rPr>
              <w:t>(2)</w:t>
            </w:r>
          </w:p>
        </w:tc>
        <w:tc>
          <w:tcPr>
            <w:tcW w:w="1380" w:type="dxa"/>
            <w:vAlign w:val="bottom"/>
          </w:tcPr>
          <w:p>
            <w:pPr>
              <w:jc w:val="center"/>
              <w:ind w:left="2"/>
              <w:spacing w:after="0" w:line="149" w:lineRule="exact"/>
              <w:rPr>
                <w:sz w:val="20"/>
                <w:szCs w:val="20"/>
                <w:color w:val="auto"/>
              </w:rPr>
            </w:pPr>
            <w:r>
              <w:rPr>
                <w:rFonts w:ascii="Verdana" w:cs="Verdana" w:eastAsia="Verdana" w:hAnsi="Verdana"/>
                <w:sz w:val="12"/>
                <w:szCs w:val="12"/>
                <w:b w:val="1"/>
                <w:bCs w:val="1"/>
                <w:color w:val="307FE2"/>
                <w:w w:val="89"/>
              </w:rPr>
              <w:t>NEOs</w:t>
            </w:r>
            <w:r>
              <w:rPr>
                <w:rFonts w:ascii="Verdana" w:cs="Verdana" w:eastAsia="Verdana" w:hAnsi="Verdana"/>
                <w:sz w:val="15"/>
                <w:szCs w:val="15"/>
                <w:b w:val="1"/>
                <w:bCs w:val="1"/>
                <w:color w:val="307FE2"/>
                <w:w w:val="89"/>
                <w:vertAlign w:val="superscript"/>
              </w:rPr>
              <w:t>(3)</w:t>
            </w:r>
          </w:p>
        </w:tc>
        <w:tc>
          <w:tcPr>
            <w:tcW w:w="1200" w:type="dxa"/>
            <w:vAlign w:val="bottom"/>
          </w:tcPr>
          <w:p>
            <w:pPr>
              <w:jc w:val="center"/>
              <w:spacing w:after="0" w:line="149" w:lineRule="exact"/>
              <w:rPr>
                <w:sz w:val="20"/>
                <w:szCs w:val="20"/>
                <w:color w:val="auto"/>
              </w:rPr>
            </w:pPr>
            <w:r>
              <w:rPr>
                <w:rFonts w:ascii="Verdana" w:cs="Verdana" w:eastAsia="Verdana" w:hAnsi="Verdana"/>
                <w:sz w:val="12"/>
                <w:szCs w:val="12"/>
                <w:b w:val="1"/>
                <w:bCs w:val="1"/>
                <w:color w:val="307FE2"/>
                <w:w w:val="89"/>
              </w:rPr>
              <w:t>NEOs</w:t>
            </w:r>
            <w:r>
              <w:rPr>
                <w:rFonts w:ascii="Verdana" w:cs="Verdana" w:eastAsia="Verdana" w:hAnsi="Verdana"/>
                <w:sz w:val="15"/>
                <w:szCs w:val="15"/>
                <w:b w:val="1"/>
                <w:bCs w:val="1"/>
                <w:color w:val="307FE2"/>
                <w:w w:val="89"/>
                <w:vertAlign w:val="superscript"/>
              </w:rPr>
              <w:t>(2)</w:t>
            </w:r>
          </w:p>
        </w:tc>
        <w:tc>
          <w:tcPr>
            <w:tcW w:w="1280" w:type="dxa"/>
            <w:vAlign w:val="bottom"/>
          </w:tcPr>
          <w:p>
            <w:pPr>
              <w:jc w:val="center"/>
              <w:ind w:left="42"/>
              <w:spacing w:after="0" w:line="149" w:lineRule="exact"/>
              <w:rPr>
                <w:sz w:val="20"/>
                <w:szCs w:val="20"/>
                <w:color w:val="auto"/>
              </w:rPr>
            </w:pPr>
            <w:r>
              <w:rPr>
                <w:rFonts w:ascii="Verdana" w:cs="Verdana" w:eastAsia="Verdana" w:hAnsi="Verdana"/>
                <w:sz w:val="12"/>
                <w:szCs w:val="12"/>
                <w:b w:val="1"/>
                <w:bCs w:val="1"/>
                <w:color w:val="307FE2"/>
                <w:w w:val="90"/>
              </w:rPr>
              <w:t>Return</w:t>
            </w:r>
            <w:r>
              <w:rPr>
                <w:rFonts w:ascii="Verdana" w:cs="Verdana" w:eastAsia="Verdana" w:hAnsi="Verdana"/>
                <w:sz w:val="15"/>
                <w:szCs w:val="15"/>
                <w:b w:val="1"/>
                <w:bCs w:val="1"/>
                <w:color w:val="307FE2"/>
                <w:w w:val="90"/>
                <w:vertAlign w:val="superscript"/>
              </w:rPr>
              <w:t>(4)</w:t>
            </w:r>
          </w:p>
        </w:tc>
        <w:tc>
          <w:tcPr>
            <w:tcW w:w="1400" w:type="dxa"/>
            <w:vAlign w:val="bottom"/>
          </w:tcPr>
          <w:p>
            <w:pPr>
              <w:jc w:val="center"/>
              <w:ind w:left="28"/>
              <w:spacing w:after="0" w:line="149" w:lineRule="exact"/>
              <w:rPr>
                <w:sz w:val="20"/>
                <w:szCs w:val="20"/>
                <w:color w:val="auto"/>
              </w:rPr>
            </w:pPr>
            <w:r>
              <w:rPr>
                <w:rFonts w:ascii="Verdana" w:cs="Verdana" w:eastAsia="Verdana" w:hAnsi="Verdana"/>
                <w:sz w:val="16"/>
                <w:szCs w:val="16"/>
                <w:b w:val="1"/>
                <w:bCs w:val="1"/>
                <w:color w:val="307FE2"/>
                <w:vertAlign w:val="subscript"/>
              </w:rPr>
              <w:t>Return</w:t>
            </w:r>
            <w:r>
              <w:rPr>
                <w:rFonts w:ascii="Verdana" w:cs="Verdana" w:eastAsia="Verdana" w:hAnsi="Verdana"/>
                <w:sz w:val="6"/>
                <w:szCs w:val="6"/>
                <w:b w:val="1"/>
                <w:bCs w:val="1"/>
                <w:color w:val="307FE2"/>
              </w:rPr>
              <w:t>(4)(5)</w:t>
            </w:r>
          </w:p>
        </w:tc>
      </w:tr>
      <w:tr>
        <w:trPr>
          <w:trHeight w:val="185"/>
        </w:trPr>
        <w:tc>
          <w:tcPr>
            <w:tcW w:w="660" w:type="dxa"/>
            <w:vAlign w:val="bottom"/>
          </w:tcPr>
          <w:p>
            <w:pPr>
              <w:spacing w:after="0"/>
              <w:rPr>
                <w:sz w:val="20"/>
                <w:szCs w:val="20"/>
                <w:color w:val="auto"/>
              </w:rPr>
            </w:pPr>
            <w:r>
              <w:rPr>
                <w:rFonts w:ascii="Verdana" w:cs="Verdana" w:eastAsia="Verdana" w:hAnsi="Verdana"/>
                <w:sz w:val="12"/>
                <w:szCs w:val="12"/>
                <w:b w:val="1"/>
                <w:bCs w:val="1"/>
                <w:color w:val="307FE2"/>
              </w:rPr>
              <w:t>Year</w:t>
            </w:r>
            <w:r>
              <w:rPr>
                <w:rFonts w:ascii="Verdana" w:cs="Verdana" w:eastAsia="Verdana" w:hAnsi="Verdana"/>
                <w:sz w:val="15"/>
                <w:szCs w:val="15"/>
                <w:b w:val="1"/>
                <w:bCs w:val="1"/>
                <w:color w:val="307FE2"/>
                <w:vertAlign w:val="superscript"/>
              </w:rPr>
              <w:t>(1)</w:t>
            </w:r>
          </w:p>
        </w:tc>
        <w:tc>
          <w:tcPr>
            <w:tcW w:w="1360" w:type="dxa"/>
            <w:vAlign w:val="bottom"/>
          </w:tcPr>
          <w:p>
            <w:pPr>
              <w:jc w:val="center"/>
              <w:ind w:right="22"/>
              <w:spacing w:after="0"/>
              <w:rPr>
                <w:sz w:val="20"/>
                <w:szCs w:val="20"/>
                <w:color w:val="auto"/>
              </w:rPr>
            </w:pPr>
            <w:r>
              <w:rPr>
                <w:rFonts w:ascii="Verdana" w:cs="Verdana" w:eastAsia="Verdana" w:hAnsi="Verdana"/>
                <w:sz w:val="12"/>
                <w:szCs w:val="12"/>
                <w:b w:val="1"/>
                <w:bCs w:val="1"/>
                <w:color w:val="307FE2"/>
                <w:w w:val="92"/>
              </w:rPr>
              <w:t>($)</w:t>
            </w:r>
          </w:p>
        </w:tc>
        <w:tc>
          <w:tcPr>
            <w:tcW w:w="106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38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200" w:type="dxa"/>
            <w:vAlign w:val="bottom"/>
          </w:tcPr>
          <w:p>
            <w:pPr>
              <w:jc w:val="center"/>
              <w:ind w:right="2"/>
              <w:spacing w:after="0"/>
              <w:rPr>
                <w:sz w:val="20"/>
                <w:szCs w:val="20"/>
                <w:color w:val="auto"/>
              </w:rPr>
            </w:pPr>
            <w:r>
              <w:rPr>
                <w:rFonts w:ascii="Verdana" w:cs="Verdana" w:eastAsia="Verdana" w:hAnsi="Verdana"/>
                <w:sz w:val="12"/>
                <w:szCs w:val="12"/>
                <w:b w:val="1"/>
                <w:bCs w:val="1"/>
                <w:color w:val="307FE2"/>
              </w:rPr>
              <w:t>($)</w:t>
            </w:r>
          </w:p>
        </w:tc>
        <w:tc>
          <w:tcPr>
            <w:tcW w:w="1280" w:type="dxa"/>
            <w:vAlign w:val="bottom"/>
          </w:tcPr>
          <w:p>
            <w:pPr>
              <w:jc w:val="center"/>
              <w:ind w:left="2"/>
              <w:spacing w:after="0"/>
              <w:rPr>
                <w:sz w:val="20"/>
                <w:szCs w:val="20"/>
                <w:color w:val="auto"/>
              </w:rPr>
            </w:pPr>
            <w:r>
              <w:rPr>
                <w:rFonts w:ascii="Verdana" w:cs="Verdana" w:eastAsia="Verdana" w:hAnsi="Verdana"/>
                <w:sz w:val="12"/>
                <w:szCs w:val="12"/>
                <w:b w:val="1"/>
                <w:bCs w:val="1"/>
                <w:color w:val="307FE2"/>
              </w:rPr>
              <w:t>($)</w:t>
            </w:r>
          </w:p>
        </w:tc>
        <w:tc>
          <w:tcPr>
            <w:tcW w:w="1400" w:type="dxa"/>
            <w:vAlign w:val="bottom"/>
          </w:tcPr>
          <w:p>
            <w:pPr>
              <w:jc w:val="center"/>
              <w:ind w:left="8"/>
              <w:spacing w:after="0"/>
              <w:rPr>
                <w:sz w:val="20"/>
                <w:szCs w:val="20"/>
                <w:color w:val="auto"/>
              </w:rPr>
            </w:pPr>
            <w:r>
              <w:rPr>
                <w:rFonts w:ascii="Verdana" w:cs="Verdana" w:eastAsia="Verdana" w:hAnsi="Verdana"/>
                <w:sz w:val="12"/>
                <w:szCs w:val="12"/>
                <w:b w:val="1"/>
                <w:bCs w:val="1"/>
                <w:color w:val="307FE2"/>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080" w:type="dxa"/>
            <w:vAlign w:val="bottom"/>
          </w:tcPr>
          <w:p>
            <w:pPr>
              <w:spacing w:after="0"/>
              <w:rPr>
                <w:sz w:val="12"/>
                <w:szCs w:val="12"/>
                <w:color w:val="auto"/>
              </w:rPr>
            </w:pPr>
          </w:p>
        </w:tc>
        <w:tc>
          <w:tcPr>
            <w:tcW w:w="1080" w:type="dxa"/>
            <w:vAlign w:val="bottom"/>
          </w:tcPr>
          <w:p>
            <w:pPr>
              <w:jc w:val="center"/>
              <w:ind w:left="122"/>
              <w:spacing w:after="0"/>
              <w:rPr>
                <w:sz w:val="20"/>
                <w:szCs w:val="20"/>
                <w:color w:val="auto"/>
              </w:rPr>
            </w:pPr>
            <w:r>
              <w:rPr>
                <w:rFonts w:ascii="Verdana" w:cs="Verdana" w:eastAsia="Verdana" w:hAnsi="Verdana"/>
                <w:sz w:val="12"/>
                <w:szCs w:val="12"/>
                <w:b w:val="1"/>
                <w:bCs w:val="1"/>
                <w:color w:val="307FE2"/>
                <w:w w:val="96"/>
              </w:rPr>
              <w:t>Adjusted</w:t>
            </w:r>
          </w:p>
        </w:tc>
      </w:tr>
      <w:tr>
        <w:trPr>
          <w:trHeight w:val="135"/>
        </w:trPr>
        <w:tc>
          <w:tcPr>
            <w:tcW w:w="1080" w:type="dxa"/>
            <w:vAlign w:val="bottom"/>
          </w:tcPr>
          <w:p>
            <w:pPr>
              <w:spacing w:after="0"/>
              <w:rPr>
                <w:sz w:val="11"/>
                <w:szCs w:val="11"/>
                <w:color w:val="auto"/>
              </w:rPr>
            </w:pPr>
          </w:p>
        </w:tc>
        <w:tc>
          <w:tcPr>
            <w:tcW w:w="1080" w:type="dxa"/>
            <w:vAlign w:val="bottom"/>
          </w:tcPr>
          <w:p>
            <w:pPr>
              <w:jc w:val="center"/>
              <w:ind w:left="162"/>
              <w:spacing w:after="0" w:line="135" w:lineRule="exact"/>
              <w:rPr>
                <w:sz w:val="20"/>
                <w:szCs w:val="20"/>
                <w:color w:val="auto"/>
              </w:rPr>
            </w:pPr>
            <w:r>
              <w:rPr>
                <w:rFonts w:ascii="Verdana" w:cs="Verdana" w:eastAsia="Verdana" w:hAnsi="Verdana"/>
                <w:sz w:val="12"/>
                <w:szCs w:val="12"/>
                <w:b w:val="1"/>
                <w:bCs w:val="1"/>
                <w:color w:val="307FE2"/>
                <w:w w:val="98"/>
              </w:rPr>
              <w:t>Operating</w:t>
            </w:r>
          </w:p>
        </w:tc>
      </w:tr>
      <w:tr>
        <w:trPr>
          <w:trHeight w:val="148"/>
        </w:trPr>
        <w:tc>
          <w:tcPr>
            <w:tcW w:w="1080" w:type="dxa"/>
            <w:vAlign w:val="bottom"/>
          </w:tcPr>
          <w:p>
            <w:pPr>
              <w:jc w:val="center"/>
              <w:ind w:right="102"/>
              <w:spacing w:after="0"/>
              <w:rPr>
                <w:sz w:val="20"/>
                <w:szCs w:val="20"/>
                <w:color w:val="auto"/>
              </w:rPr>
            </w:pPr>
            <w:r>
              <w:rPr>
                <w:rFonts w:ascii="Verdana" w:cs="Verdana" w:eastAsia="Verdana" w:hAnsi="Verdana"/>
                <w:sz w:val="12"/>
                <w:szCs w:val="12"/>
                <w:b w:val="1"/>
                <w:bCs w:val="1"/>
                <w:color w:val="307FE2"/>
                <w:w w:val="96"/>
              </w:rPr>
              <w:t>Net Income</w:t>
            </w:r>
          </w:p>
        </w:tc>
        <w:tc>
          <w:tcPr>
            <w:tcW w:w="1080" w:type="dxa"/>
            <w:vAlign w:val="bottom"/>
          </w:tcPr>
          <w:p>
            <w:pPr>
              <w:jc w:val="center"/>
              <w:ind w:left="142"/>
              <w:spacing w:after="0" w:line="149" w:lineRule="exact"/>
              <w:rPr>
                <w:sz w:val="20"/>
                <w:szCs w:val="20"/>
                <w:color w:val="auto"/>
              </w:rPr>
            </w:pPr>
            <w:r>
              <w:rPr>
                <w:rFonts w:ascii="Verdana" w:cs="Verdana" w:eastAsia="Verdana" w:hAnsi="Verdana"/>
                <w:sz w:val="12"/>
                <w:szCs w:val="12"/>
                <w:b w:val="1"/>
                <w:bCs w:val="1"/>
                <w:color w:val="307FE2"/>
                <w:w w:val="92"/>
              </w:rPr>
              <w:t>Income</w:t>
            </w:r>
            <w:r>
              <w:rPr>
                <w:rFonts w:ascii="Verdana" w:cs="Verdana" w:eastAsia="Verdana" w:hAnsi="Verdana"/>
                <w:sz w:val="15"/>
                <w:szCs w:val="15"/>
                <w:b w:val="1"/>
                <w:bCs w:val="1"/>
                <w:color w:val="307FE2"/>
                <w:w w:val="92"/>
                <w:vertAlign w:val="superscript"/>
              </w:rPr>
              <w:t>(6)</w:t>
            </w:r>
          </w:p>
        </w:tc>
      </w:tr>
      <w:tr>
        <w:trPr>
          <w:trHeight w:val="151"/>
        </w:trPr>
        <w:tc>
          <w:tcPr>
            <w:tcW w:w="1080" w:type="dxa"/>
            <w:vAlign w:val="bottom"/>
          </w:tcPr>
          <w:p>
            <w:pPr>
              <w:jc w:val="center"/>
              <w:ind w:right="102"/>
              <w:spacing w:after="0"/>
              <w:rPr>
                <w:sz w:val="20"/>
                <w:szCs w:val="20"/>
                <w:color w:val="auto"/>
              </w:rPr>
            </w:pPr>
            <w:r>
              <w:rPr>
                <w:rFonts w:ascii="Verdana" w:cs="Verdana" w:eastAsia="Verdana" w:hAnsi="Verdana"/>
                <w:sz w:val="12"/>
                <w:szCs w:val="12"/>
                <w:b w:val="1"/>
                <w:bCs w:val="1"/>
                <w:color w:val="307FE2"/>
                <w:w w:val="96"/>
              </w:rPr>
              <w:t>($) in millions</w:t>
            </w:r>
          </w:p>
        </w:tc>
        <w:tc>
          <w:tcPr>
            <w:tcW w:w="1080" w:type="dxa"/>
            <w:vAlign w:val="bottom"/>
          </w:tcPr>
          <w:p>
            <w:pPr>
              <w:jc w:val="center"/>
              <w:ind w:left="102"/>
              <w:spacing w:after="0"/>
              <w:rPr>
                <w:sz w:val="20"/>
                <w:szCs w:val="20"/>
                <w:color w:val="auto"/>
              </w:rPr>
            </w:pPr>
            <w:r>
              <w:rPr>
                <w:rFonts w:ascii="Verdana" w:cs="Verdana" w:eastAsia="Verdana" w:hAnsi="Verdana"/>
                <w:sz w:val="12"/>
                <w:szCs w:val="12"/>
                <w:b w:val="1"/>
                <w:bCs w:val="1"/>
                <w:color w:val="307FE2"/>
                <w:w w:val="96"/>
              </w:rPr>
              <w:t>($) in millions</w:t>
            </w:r>
          </w:p>
        </w:tc>
      </w:tr>
    </w:tbl>
    <w:p>
      <w:pPr>
        <w:spacing w:after="0" w:line="47" w:lineRule="exact"/>
        <w:rPr>
          <w:sz w:val="20"/>
          <w:szCs w:val="20"/>
          <w:color w:val="auto"/>
        </w:rPr>
      </w:pPr>
    </w:p>
    <w:p>
      <w:pPr>
        <w:sectPr>
          <w:pgSz w:w="11900" w:h="16838" w:orient="portrait"/>
          <w:cols w:equalWidth="0" w:num="2">
            <w:col w:w="8600" w:space="160"/>
            <w:col w:w="24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80" w:type="dxa"/>
            <w:vAlign w:val="bottom"/>
            <w:tcBorders>
              <w:top w:val="single" w:sz="8" w:color="1D428A"/>
            </w:tcBorders>
            <w:shd w:val="clear" w:color="auto" w:fill="D6E5F9"/>
          </w:tcPr>
          <w:p>
            <w:pPr>
              <w:jc w:val="right"/>
              <w:ind w:right="273"/>
              <w:spacing w:after="0"/>
              <w:rPr>
                <w:sz w:val="20"/>
                <w:szCs w:val="20"/>
                <w:color w:val="auto"/>
              </w:rPr>
            </w:pPr>
            <w:r>
              <w:rPr>
                <w:rFonts w:ascii="Verdana" w:cs="Verdana" w:eastAsia="Verdana" w:hAnsi="Verdana"/>
                <w:sz w:val="13"/>
                <w:szCs w:val="13"/>
                <w:color w:val="auto"/>
              </w:rPr>
              <w:t>2024</w:t>
            </w:r>
          </w:p>
        </w:tc>
        <w:tc>
          <w:tcPr>
            <w:tcW w:w="1360" w:type="dxa"/>
            <w:vAlign w:val="bottom"/>
            <w:tcBorders>
              <w:top w:val="single" w:sz="8" w:color="1D428A"/>
            </w:tcBorders>
            <w:shd w:val="clear" w:color="auto" w:fill="D6E5F9"/>
          </w:tcPr>
          <w:p>
            <w:pPr>
              <w:jc w:val="right"/>
              <w:ind w:right="173"/>
              <w:spacing w:after="0"/>
              <w:rPr>
                <w:sz w:val="20"/>
                <w:szCs w:val="20"/>
                <w:color w:val="auto"/>
              </w:rPr>
            </w:pPr>
            <w:r>
              <w:rPr>
                <w:rFonts w:ascii="Verdana" w:cs="Verdana" w:eastAsia="Verdana" w:hAnsi="Verdana"/>
                <w:sz w:val="13"/>
                <w:szCs w:val="13"/>
                <w:color w:val="auto"/>
              </w:rPr>
              <w:t>17,441,535</w:t>
            </w:r>
          </w:p>
        </w:tc>
        <w:tc>
          <w:tcPr>
            <w:tcW w:w="1280" w:type="dxa"/>
            <w:vAlign w:val="bottom"/>
            <w:tcBorders>
              <w:top w:val="single" w:sz="8" w:color="1D428A"/>
            </w:tcBorders>
            <w:shd w:val="clear" w:color="auto" w:fill="D6E5F9"/>
          </w:tcPr>
          <w:p>
            <w:pPr>
              <w:jc w:val="right"/>
              <w:ind w:right="213"/>
              <w:spacing w:after="0"/>
              <w:rPr>
                <w:sz w:val="20"/>
                <w:szCs w:val="20"/>
                <w:color w:val="auto"/>
              </w:rPr>
            </w:pPr>
            <w:r>
              <w:rPr>
                <w:rFonts w:ascii="Verdana" w:cs="Verdana" w:eastAsia="Verdana" w:hAnsi="Verdana"/>
                <w:sz w:val="13"/>
                <w:szCs w:val="13"/>
                <w:color w:val="auto"/>
              </w:rPr>
              <w:t>3,762,974</w:t>
            </w:r>
          </w:p>
        </w:tc>
        <w:tc>
          <w:tcPr>
            <w:tcW w:w="1240" w:type="dxa"/>
            <w:vAlign w:val="bottom"/>
            <w:tcBorders>
              <w:top w:val="single" w:sz="8" w:color="1D428A"/>
            </w:tcBorders>
            <w:shd w:val="clear" w:color="auto" w:fill="D6E5F9"/>
          </w:tcPr>
          <w:p>
            <w:pPr>
              <w:jc w:val="right"/>
              <w:ind w:right="193"/>
              <w:spacing w:after="0"/>
              <w:rPr>
                <w:sz w:val="20"/>
                <w:szCs w:val="20"/>
                <w:color w:val="auto"/>
              </w:rPr>
            </w:pPr>
            <w:r>
              <w:rPr>
                <w:rFonts w:ascii="Verdana" w:cs="Verdana" w:eastAsia="Verdana" w:hAnsi="Verdana"/>
                <w:sz w:val="13"/>
                <w:szCs w:val="13"/>
                <w:color w:val="auto"/>
              </w:rPr>
              <w:t>5,099,892</w:t>
            </w:r>
          </w:p>
        </w:tc>
        <w:tc>
          <w:tcPr>
            <w:tcW w:w="1520" w:type="dxa"/>
            <w:vAlign w:val="bottom"/>
            <w:tcBorders>
              <w:top w:val="single" w:sz="8" w:color="1D428A"/>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1,275,429</w:t>
            </w:r>
          </w:p>
        </w:tc>
        <w:tc>
          <w:tcPr>
            <w:tcW w:w="1340" w:type="dxa"/>
            <w:vAlign w:val="bottom"/>
            <w:tcBorders>
              <w:top w:val="single" w:sz="8" w:color="1D428A"/>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75</w:t>
            </w:r>
          </w:p>
        </w:tc>
        <w:tc>
          <w:tcPr>
            <w:tcW w:w="1300" w:type="dxa"/>
            <w:vAlign w:val="bottom"/>
            <w:tcBorders>
              <w:top w:val="single" w:sz="8" w:color="1D428A"/>
            </w:tcBorders>
            <w:shd w:val="clear" w:color="auto" w:fill="D6E5F9"/>
          </w:tcPr>
          <w:p>
            <w:pPr>
              <w:jc w:val="right"/>
              <w:ind w:right="433"/>
              <w:spacing w:after="0"/>
              <w:rPr>
                <w:sz w:val="20"/>
                <w:szCs w:val="20"/>
                <w:color w:val="auto"/>
              </w:rPr>
            </w:pPr>
            <w:r>
              <w:rPr>
                <w:rFonts w:ascii="Verdana" w:cs="Verdana" w:eastAsia="Verdana" w:hAnsi="Verdana"/>
                <w:sz w:val="13"/>
                <w:szCs w:val="13"/>
                <w:color w:val="auto"/>
              </w:rPr>
              <w:t>72</w:t>
            </w:r>
          </w:p>
        </w:tc>
        <w:tc>
          <w:tcPr>
            <w:tcW w:w="1180" w:type="dxa"/>
            <w:vAlign w:val="bottom"/>
            <w:tcBorders>
              <w:top w:val="single" w:sz="8" w:color="1D428A"/>
            </w:tcBorders>
            <w:shd w:val="clear" w:color="auto" w:fill="D6E5F9"/>
          </w:tcPr>
          <w:p>
            <w:pPr>
              <w:jc w:val="right"/>
              <w:ind w:right="373"/>
              <w:spacing w:after="0"/>
              <w:rPr>
                <w:sz w:val="20"/>
                <w:szCs w:val="20"/>
                <w:color w:val="auto"/>
              </w:rPr>
            </w:pPr>
            <w:r>
              <w:rPr>
                <w:rFonts w:ascii="Verdana" w:cs="Verdana" w:eastAsia="Verdana" w:hAnsi="Verdana"/>
                <w:sz w:val="13"/>
                <w:szCs w:val="13"/>
                <w:color w:val="auto"/>
              </w:rPr>
              <w:t>507</w:t>
            </w:r>
          </w:p>
        </w:tc>
        <w:tc>
          <w:tcPr>
            <w:tcW w:w="900" w:type="dxa"/>
            <w:vAlign w:val="bottom"/>
            <w:tcBorders>
              <w:top w:val="single" w:sz="8" w:color="1D428A"/>
            </w:tcBorders>
            <w:shd w:val="clear" w:color="auto" w:fill="D6E5F9"/>
          </w:tcPr>
          <w:p>
            <w:pPr>
              <w:jc w:val="right"/>
              <w:ind w:right="13"/>
              <w:spacing w:after="0"/>
              <w:rPr>
                <w:sz w:val="20"/>
                <w:szCs w:val="20"/>
                <w:color w:val="auto"/>
              </w:rPr>
            </w:pPr>
            <w:r>
              <w:rPr>
                <w:rFonts w:ascii="Verdana" w:cs="Verdana" w:eastAsia="Verdana" w:hAnsi="Verdana"/>
                <w:sz w:val="13"/>
                <w:szCs w:val="13"/>
                <w:color w:val="auto"/>
              </w:rPr>
              <w:t>1,091</w:t>
            </w:r>
          </w:p>
        </w:tc>
      </w:tr>
      <w:tr>
        <w:trPr>
          <w:trHeight w:val="209"/>
        </w:trPr>
        <w:tc>
          <w:tcPr>
            <w:tcW w:w="980" w:type="dxa"/>
            <w:vAlign w:val="bottom"/>
          </w:tcPr>
          <w:p>
            <w:pPr>
              <w:jc w:val="right"/>
              <w:ind w:right="273"/>
              <w:spacing w:after="0"/>
              <w:rPr>
                <w:sz w:val="20"/>
                <w:szCs w:val="20"/>
                <w:color w:val="auto"/>
              </w:rPr>
            </w:pPr>
            <w:r>
              <w:rPr>
                <w:rFonts w:ascii="Verdana" w:cs="Verdana" w:eastAsia="Verdana" w:hAnsi="Verdana"/>
                <w:sz w:val="13"/>
                <w:szCs w:val="13"/>
                <w:color w:val="auto"/>
              </w:rPr>
              <w:t>2023</w:t>
            </w:r>
          </w:p>
        </w:tc>
        <w:tc>
          <w:tcPr>
            <w:tcW w:w="1360" w:type="dxa"/>
            <w:vAlign w:val="bottom"/>
          </w:tcPr>
          <w:p>
            <w:pPr>
              <w:jc w:val="right"/>
              <w:ind w:right="173"/>
              <w:spacing w:after="0"/>
              <w:rPr>
                <w:sz w:val="20"/>
                <w:szCs w:val="20"/>
                <w:color w:val="auto"/>
              </w:rPr>
            </w:pPr>
            <w:r>
              <w:rPr>
                <w:rFonts w:ascii="Verdana" w:cs="Verdana" w:eastAsia="Verdana" w:hAnsi="Verdana"/>
                <w:sz w:val="13"/>
                <w:szCs w:val="13"/>
                <w:color w:val="auto"/>
              </w:rPr>
              <w:t>18,891,372</w:t>
            </w:r>
          </w:p>
        </w:tc>
        <w:tc>
          <w:tcPr>
            <w:tcW w:w="1280" w:type="dxa"/>
            <w:vAlign w:val="bottom"/>
          </w:tcPr>
          <w:p>
            <w:pPr>
              <w:jc w:val="right"/>
              <w:ind w:right="213"/>
              <w:spacing w:after="0"/>
              <w:rPr>
                <w:sz w:val="20"/>
                <w:szCs w:val="20"/>
                <w:color w:val="auto"/>
              </w:rPr>
            </w:pPr>
            <w:r>
              <w:rPr>
                <w:rFonts w:ascii="Verdana" w:cs="Verdana" w:eastAsia="Verdana" w:hAnsi="Verdana"/>
                <w:sz w:val="13"/>
                <w:szCs w:val="13"/>
                <w:color w:val="auto"/>
              </w:rPr>
              <w:t>25,295,686</w:t>
            </w:r>
          </w:p>
        </w:tc>
        <w:tc>
          <w:tcPr>
            <w:tcW w:w="1240" w:type="dxa"/>
            <w:vAlign w:val="bottom"/>
          </w:tcPr>
          <w:p>
            <w:pPr>
              <w:jc w:val="right"/>
              <w:ind w:right="193"/>
              <w:spacing w:after="0"/>
              <w:rPr>
                <w:sz w:val="20"/>
                <w:szCs w:val="20"/>
                <w:color w:val="auto"/>
              </w:rPr>
            </w:pPr>
            <w:r>
              <w:rPr>
                <w:rFonts w:ascii="Verdana" w:cs="Verdana" w:eastAsia="Verdana" w:hAnsi="Verdana"/>
                <w:sz w:val="13"/>
                <w:szCs w:val="13"/>
                <w:color w:val="auto"/>
              </w:rPr>
              <w:t>5,368,345</w:t>
            </w:r>
          </w:p>
        </w:tc>
        <w:tc>
          <w:tcPr>
            <w:tcW w:w="1520" w:type="dxa"/>
            <w:vAlign w:val="bottom"/>
          </w:tcPr>
          <w:p>
            <w:pPr>
              <w:jc w:val="right"/>
              <w:ind w:right="473"/>
              <w:spacing w:after="0"/>
              <w:rPr>
                <w:sz w:val="20"/>
                <w:szCs w:val="20"/>
                <w:color w:val="auto"/>
              </w:rPr>
            </w:pPr>
            <w:r>
              <w:rPr>
                <w:rFonts w:ascii="Verdana" w:cs="Verdana" w:eastAsia="Verdana" w:hAnsi="Verdana"/>
                <w:sz w:val="13"/>
                <w:szCs w:val="13"/>
                <w:color w:val="auto"/>
              </w:rPr>
              <w:t>7,211,982</w:t>
            </w:r>
          </w:p>
        </w:tc>
        <w:tc>
          <w:tcPr>
            <w:tcW w:w="1340" w:type="dxa"/>
            <w:vAlign w:val="bottom"/>
          </w:tcPr>
          <w:p>
            <w:pPr>
              <w:jc w:val="right"/>
              <w:ind w:right="473"/>
              <w:spacing w:after="0"/>
              <w:rPr>
                <w:sz w:val="20"/>
                <w:szCs w:val="20"/>
                <w:color w:val="auto"/>
              </w:rPr>
            </w:pPr>
            <w:r>
              <w:rPr>
                <w:rFonts w:ascii="Verdana" w:cs="Verdana" w:eastAsia="Verdana" w:hAnsi="Verdana"/>
                <w:sz w:val="13"/>
                <w:szCs w:val="13"/>
                <w:color w:val="auto"/>
              </w:rPr>
              <w:t>110</w:t>
            </w:r>
          </w:p>
        </w:tc>
        <w:tc>
          <w:tcPr>
            <w:tcW w:w="1300" w:type="dxa"/>
            <w:vAlign w:val="bottom"/>
          </w:tcPr>
          <w:p>
            <w:pPr>
              <w:jc w:val="right"/>
              <w:ind w:right="433"/>
              <w:spacing w:after="0"/>
              <w:rPr>
                <w:sz w:val="20"/>
                <w:szCs w:val="20"/>
                <w:color w:val="auto"/>
              </w:rPr>
            </w:pPr>
            <w:r>
              <w:rPr>
                <w:rFonts w:ascii="Verdana" w:cs="Verdana" w:eastAsia="Verdana" w:hAnsi="Verdana"/>
                <w:sz w:val="13"/>
                <w:szCs w:val="13"/>
                <w:color w:val="auto"/>
              </w:rPr>
              <w:t>95</w:t>
            </w:r>
          </w:p>
        </w:tc>
        <w:tc>
          <w:tcPr>
            <w:tcW w:w="1180" w:type="dxa"/>
            <w:vAlign w:val="bottom"/>
          </w:tcPr>
          <w:p>
            <w:pPr>
              <w:jc w:val="right"/>
              <w:ind w:right="373"/>
              <w:spacing w:after="0"/>
              <w:rPr>
                <w:sz w:val="20"/>
                <w:szCs w:val="20"/>
                <w:color w:val="auto"/>
              </w:rPr>
            </w:pPr>
            <w:r>
              <w:rPr>
                <w:rFonts w:ascii="Verdana" w:cs="Verdana" w:eastAsia="Verdana" w:hAnsi="Verdana"/>
                <w:sz w:val="13"/>
                <w:szCs w:val="13"/>
                <w:color w:val="auto"/>
              </w:rPr>
              <w:t>573</w:t>
            </w:r>
          </w:p>
        </w:tc>
        <w:tc>
          <w:tcPr>
            <w:tcW w:w="900" w:type="dxa"/>
            <w:vAlign w:val="bottom"/>
          </w:tcPr>
          <w:p>
            <w:pPr>
              <w:jc w:val="right"/>
              <w:ind w:right="13"/>
              <w:spacing w:after="0"/>
              <w:rPr>
                <w:sz w:val="20"/>
                <w:szCs w:val="20"/>
                <w:color w:val="auto"/>
              </w:rPr>
            </w:pPr>
            <w:r>
              <w:rPr>
                <w:rFonts w:ascii="Verdana" w:cs="Verdana" w:eastAsia="Verdana" w:hAnsi="Verdana"/>
                <w:sz w:val="13"/>
                <w:szCs w:val="13"/>
                <w:color w:val="auto"/>
              </w:rPr>
              <w:t>1,115</w:t>
            </w:r>
          </w:p>
        </w:tc>
      </w:tr>
      <w:tr>
        <w:trPr>
          <w:trHeight w:val="223"/>
        </w:trPr>
        <w:tc>
          <w:tcPr>
            <w:tcW w:w="980" w:type="dxa"/>
            <w:vAlign w:val="bottom"/>
            <w:shd w:val="clear" w:color="auto" w:fill="D6E5F9"/>
          </w:tcPr>
          <w:p>
            <w:pPr>
              <w:jc w:val="right"/>
              <w:ind w:right="273"/>
              <w:spacing w:after="0"/>
              <w:rPr>
                <w:sz w:val="20"/>
                <w:szCs w:val="20"/>
                <w:color w:val="auto"/>
              </w:rPr>
            </w:pPr>
            <w:r>
              <w:rPr>
                <w:rFonts w:ascii="Verdana" w:cs="Verdana" w:eastAsia="Verdana" w:hAnsi="Verdana"/>
                <w:sz w:val="13"/>
                <w:szCs w:val="13"/>
                <w:color w:val="auto"/>
              </w:rPr>
              <w:t>2022</w:t>
            </w:r>
          </w:p>
        </w:tc>
        <w:tc>
          <w:tcPr>
            <w:tcW w:w="1360" w:type="dxa"/>
            <w:vAlign w:val="bottom"/>
            <w:shd w:val="clear" w:color="auto" w:fill="D6E5F9"/>
          </w:tcPr>
          <w:p>
            <w:pPr>
              <w:jc w:val="right"/>
              <w:ind w:right="173"/>
              <w:spacing w:after="0"/>
              <w:rPr>
                <w:sz w:val="20"/>
                <w:szCs w:val="20"/>
                <w:color w:val="auto"/>
              </w:rPr>
            </w:pPr>
            <w:r>
              <w:rPr>
                <w:rFonts w:ascii="Verdana" w:cs="Verdana" w:eastAsia="Verdana" w:hAnsi="Verdana"/>
                <w:sz w:val="13"/>
                <w:szCs w:val="13"/>
                <w:color w:val="auto"/>
              </w:rPr>
              <w:t>15,376,344</w:t>
            </w:r>
          </w:p>
        </w:tc>
        <w:tc>
          <w:tcPr>
            <w:tcW w:w="1280" w:type="dxa"/>
            <w:vAlign w:val="bottom"/>
            <w:shd w:val="clear" w:color="auto" w:fill="D6E5F9"/>
          </w:tcPr>
          <w:p>
            <w:pPr>
              <w:jc w:val="right"/>
              <w:ind w:right="213"/>
              <w:spacing w:after="0"/>
              <w:rPr>
                <w:sz w:val="20"/>
                <w:szCs w:val="20"/>
                <w:color w:val="auto"/>
              </w:rPr>
            </w:pPr>
            <w:r>
              <w:rPr>
                <w:rFonts w:ascii="Verdana" w:cs="Verdana" w:eastAsia="Verdana" w:hAnsi="Verdana"/>
                <w:sz w:val="13"/>
                <w:szCs w:val="13"/>
                <w:color w:val="auto"/>
              </w:rPr>
              <w:t>4,822,793</w:t>
            </w:r>
          </w:p>
        </w:tc>
        <w:tc>
          <w:tcPr>
            <w:tcW w:w="1240" w:type="dxa"/>
            <w:vAlign w:val="bottom"/>
            <w:shd w:val="clear" w:color="auto" w:fill="D6E5F9"/>
          </w:tcPr>
          <w:p>
            <w:pPr>
              <w:jc w:val="right"/>
              <w:ind w:right="193"/>
              <w:spacing w:after="0"/>
              <w:rPr>
                <w:sz w:val="20"/>
                <w:szCs w:val="20"/>
                <w:color w:val="auto"/>
              </w:rPr>
            </w:pPr>
            <w:r>
              <w:rPr>
                <w:rFonts w:ascii="Verdana" w:cs="Verdana" w:eastAsia="Verdana" w:hAnsi="Verdana"/>
                <w:sz w:val="13"/>
                <w:szCs w:val="13"/>
                <w:color w:val="auto"/>
              </w:rPr>
              <w:t>4,550,657</w:t>
            </w:r>
          </w:p>
        </w:tc>
        <w:tc>
          <w:tcPr>
            <w:tcW w:w="1520" w:type="dxa"/>
            <w:vAlign w:val="bottom"/>
            <w:shd w:val="clear" w:color="auto" w:fill="D6E5F9"/>
          </w:tcPr>
          <w:p>
            <w:pPr>
              <w:jc w:val="right"/>
              <w:ind w:right="473"/>
              <w:spacing w:after="0"/>
              <w:rPr>
                <w:sz w:val="20"/>
                <w:szCs w:val="20"/>
                <w:color w:val="auto"/>
              </w:rPr>
            </w:pPr>
            <w:r>
              <w:rPr>
                <w:rFonts w:ascii="Verdana" w:cs="Verdana" w:eastAsia="Verdana" w:hAnsi="Verdana"/>
                <w:sz w:val="13"/>
                <w:szCs w:val="13"/>
                <w:color w:val="auto"/>
              </w:rPr>
              <w:t>530,131</w:t>
            </w:r>
          </w:p>
        </w:tc>
        <w:tc>
          <w:tcPr>
            <w:tcW w:w="1340" w:type="dxa"/>
            <w:vAlign w:val="bottom"/>
            <w:shd w:val="clear" w:color="auto" w:fill="D6E5F9"/>
          </w:tcPr>
          <w:p>
            <w:pPr>
              <w:jc w:val="right"/>
              <w:ind w:right="473"/>
              <w:spacing w:after="0"/>
              <w:rPr>
                <w:sz w:val="20"/>
                <w:szCs w:val="20"/>
                <w:color w:val="auto"/>
              </w:rPr>
            </w:pPr>
            <w:r>
              <w:rPr>
                <w:rFonts w:ascii="Verdana" w:cs="Verdana" w:eastAsia="Verdana" w:hAnsi="Verdana"/>
                <w:sz w:val="13"/>
                <w:szCs w:val="13"/>
                <w:color w:val="auto"/>
              </w:rPr>
              <w:t>94</w:t>
            </w:r>
          </w:p>
        </w:tc>
        <w:tc>
          <w:tcPr>
            <w:tcW w:w="1300" w:type="dxa"/>
            <w:vAlign w:val="bottom"/>
            <w:shd w:val="clear" w:color="auto" w:fill="D6E5F9"/>
          </w:tcPr>
          <w:p>
            <w:pPr>
              <w:jc w:val="right"/>
              <w:ind w:right="433"/>
              <w:spacing w:after="0"/>
              <w:rPr>
                <w:sz w:val="20"/>
                <w:szCs w:val="20"/>
                <w:color w:val="auto"/>
              </w:rPr>
            </w:pPr>
            <w:r>
              <w:rPr>
                <w:rFonts w:ascii="Verdana" w:cs="Verdana" w:eastAsia="Verdana" w:hAnsi="Verdana"/>
                <w:sz w:val="13"/>
                <w:szCs w:val="13"/>
                <w:color w:val="auto"/>
              </w:rPr>
              <w:t>86</w:t>
            </w:r>
          </w:p>
        </w:tc>
        <w:tc>
          <w:tcPr>
            <w:tcW w:w="1180" w:type="dxa"/>
            <w:vAlign w:val="bottom"/>
            <w:shd w:val="clear" w:color="auto" w:fill="D6E5F9"/>
          </w:tcPr>
          <w:p>
            <w:pPr>
              <w:jc w:val="right"/>
              <w:ind w:right="373"/>
              <w:spacing w:after="0"/>
              <w:rPr>
                <w:sz w:val="20"/>
                <w:szCs w:val="20"/>
                <w:color w:val="auto"/>
              </w:rPr>
            </w:pPr>
            <w:r>
              <w:rPr>
                <w:rFonts w:ascii="Verdana" w:cs="Verdana" w:eastAsia="Verdana" w:hAnsi="Verdana"/>
                <w:sz w:val="13"/>
                <w:szCs w:val="13"/>
                <w:color w:val="auto"/>
              </w:rPr>
              <w:t>328</w:t>
            </w:r>
          </w:p>
        </w:tc>
        <w:tc>
          <w:tcPr>
            <w:tcW w:w="900" w:type="dxa"/>
            <w:vAlign w:val="bottom"/>
            <w:shd w:val="clear" w:color="auto" w:fill="D6E5F9"/>
          </w:tcPr>
          <w:p>
            <w:pPr>
              <w:jc w:val="right"/>
              <w:ind w:right="13"/>
              <w:spacing w:after="0"/>
              <w:rPr>
                <w:sz w:val="20"/>
                <w:szCs w:val="20"/>
                <w:color w:val="auto"/>
              </w:rPr>
            </w:pPr>
            <w:r>
              <w:rPr>
                <w:rFonts w:ascii="Verdana" w:cs="Verdana" w:eastAsia="Verdana" w:hAnsi="Verdana"/>
                <w:sz w:val="13"/>
                <w:szCs w:val="13"/>
                <w:color w:val="auto"/>
              </w:rPr>
              <w:t>886</w:t>
            </w:r>
          </w:p>
        </w:tc>
      </w:tr>
      <w:tr>
        <w:trPr>
          <w:trHeight w:val="209"/>
        </w:trPr>
        <w:tc>
          <w:tcPr>
            <w:tcW w:w="980" w:type="dxa"/>
            <w:vAlign w:val="bottom"/>
          </w:tcPr>
          <w:p>
            <w:pPr>
              <w:jc w:val="right"/>
              <w:ind w:right="273"/>
              <w:spacing w:after="0"/>
              <w:rPr>
                <w:sz w:val="20"/>
                <w:szCs w:val="20"/>
                <w:color w:val="auto"/>
              </w:rPr>
            </w:pPr>
            <w:r>
              <w:rPr>
                <w:rFonts w:ascii="Verdana" w:cs="Verdana" w:eastAsia="Verdana" w:hAnsi="Verdana"/>
                <w:sz w:val="13"/>
                <w:szCs w:val="13"/>
                <w:color w:val="auto"/>
              </w:rPr>
              <w:t>2021</w:t>
            </w:r>
          </w:p>
        </w:tc>
        <w:tc>
          <w:tcPr>
            <w:tcW w:w="1360" w:type="dxa"/>
            <w:vAlign w:val="bottom"/>
          </w:tcPr>
          <w:p>
            <w:pPr>
              <w:jc w:val="right"/>
              <w:ind w:right="173"/>
              <w:spacing w:after="0"/>
              <w:rPr>
                <w:sz w:val="20"/>
                <w:szCs w:val="20"/>
                <w:color w:val="auto"/>
              </w:rPr>
            </w:pPr>
            <w:r>
              <w:rPr>
                <w:rFonts w:ascii="Verdana" w:cs="Verdana" w:eastAsia="Verdana" w:hAnsi="Verdana"/>
                <w:sz w:val="13"/>
                <w:szCs w:val="13"/>
                <w:color w:val="auto"/>
              </w:rPr>
              <w:t>13,306,375</w:t>
            </w:r>
          </w:p>
        </w:tc>
        <w:tc>
          <w:tcPr>
            <w:tcW w:w="1280" w:type="dxa"/>
            <w:vAlign w:val="bottom"/>
          </w:tcPr>
          <w:p>
            <w:pPr>
              <w:jc w:val="right"/>
              <w:ind w:right="213"/>
              <w:spacing w:after="0"/>
              <w:rPr>
                <w:sz w:val="20"/>
                <w:szCs w:val="20"/>
                <w:color w:val="auto"/>
              </w:rPr>
            </w:pPr>
            <w:r>
              <w:rPr>
                <w:rFonts w:ascii="Verdana" w:cs="Verdana" w:eastAsia="Verdana" w:hAnsi="Verdana"/>
                <w:sz w:val="13"/>
                <w:szCs w:val="13"/>
                <w:color w:val="auto"/>
              </w:rPr>
              <w:t>23,444,040</w:t>
            </w:r>
          </w:p>
        </w:tc>
        <w:tc>
          <w:tcPr>
            <w:tcW w:w="1240" w:type="dxa"/>
            <w:vAlign w:val="bottom"/>
          </w:tcPr>
          <w:p>
            <w:pPr>
              <w:jc w:val="right"/>
              <w:ind w:right="193"/>
              <w:spacing w:after="0"/>
              <w:rPr>
                <w:sz w:val="20"/>
                <w:szCs w:val="20"/>
                <w:color w:val="auto"/>
              </w:rPr>
            </w:pPr>
            <w:r>
              <w:rPr>
                <w:rFonts w:ascii="Verdana" w:cs="Verdana" w:eastAsia="Verdana" w:hAnsi="Verdana"/>
                <w:sz w:val="13"/>
                <w:szCs w:val="13"/>
                <w:color w:val="auto"/>
              </w:rPr>
              <w:t>4,073,394</w:t>
            </w:r>
          </w:p>
        </w:tc>
        <w:tc>
          <w:tcPr>
            <w:tcW w:w="1520" w:type="dxa"/>
            <w:vAlign w:val="bottom"/>
          </w:tcPr>
          <w:p>
            <w:pPr>
              <w:jc w:val="right"/>
              <w:ind w:right="473"/>
              <w:spacing w:after="0"/>
              <w:rPr>
                <w:sz w:val="20"/>
                <w:szCs w:val="20"/>
                <w:color w:val="auto"/>
              </w:rPr>
            </w:pPr>
            <w:r>
              <w:rPr>
                <w:rFonts w:ascii="Verdana" w:cs="Verdana" w:eastAsia="Verdana" w:hAnsi="Verdana"/>
                <w:sz w:val="13"/>
                <w:szCs w:val="13"/>
                <w:color w:val="auto"/>
              </w:rPr>
              <w:t>6,711,337</w:t>
            </w:r>
          </w:p>
        </w:tc>
        <w:tc>
          <w:tcPr>
            <w:tcW w:w="1340" w:type="dxa"/>
            <w:vAlign w:val="bottom"/>
          </w:tcPr>
          <w:p>
            <w:pPr>
              <w:jc w:val="right"/>
              <w:ind w:right="473"/>
              <w:spacing w:after="0"/>
              <w:rPr>
                <w:sz w:val="20"/>
                <w:szCs w:val="20"/>
                <w:color w:val="auto"/>
              </w:rPr>
            </w:pPr>
            <w:r>
              <w:rPr>
                <w:rFonts w:ascii="Verdana" w:cs="Verdana" w:eastAsia="Verdana" w:hAnsi="Verdana"/>
                <w:sz w:val="13"/>
                <w:szCs w:val="13"/>
                <w:color w:val="auto"/>
              </w:rPr>
              <w:t>136</w:t>
            </w:r>
          </w:p>
        </w:tc>
        <w:tc>
          <w:tcPr>
            <w:tcW w:w="1300" w:type="dxa"/>
            <w:vAlign w:val="bottom"/>
          </w:tcPr>
          <w:p>
            <w:pPr>
              <w:jc w:val="right"/>
              <w:ind w:right="433"/>
              <w:spacing w:after="0"/>
              <w:rPr>
                <w:sz w:val="20"/>
                <w:szCs w:val="20"/>
                <w:color w:val="auto"/>
              </w:rPr>
            </w:pPr>
            <w:r>
              <w:rPr>
                <w:rFonts w:ascii="Verdana" w:cs="Verdana" w:eastAsia="Verdana" w:hAnsi="Verdana"/>
                <w:sz w:val="13"/>
                <w:szCs w:val="13"/>
                <w:color w:val="auto"/>
              </w:rPr>
              <w:t>128</w:t>
            </w:r>
          </w:p>
        </w:tc>
        <w:tc>
          <w:tcPr>
            <w:tcW w:w="1180" w:type="dxa"/>
            <w:vAlign w:val="bottom"/>
          </w:tcPr>
          <w:p>
            <w:pPr>
              <w:jc w:val="right"/>
              <w:ind w:right="373"/>
              <w:spacing w:after="0"/>
              <w:rPr>
                <w:sz w:val="20"/>
                <w:szCs w:val="20"/>
                <w:color w:val="auto"/>
              </w:rPr>
            </w:pPr>
            <w:r>
              <w:rPr>
                <w:rFonts w:ascii="Verdana" w:cs="Verdana" w:eastAsia="Verdana" w:hAnsi="Verdana"/>
                <w:sz w:val="13"/>
                <w:szCs w:val="13"/>
                <w:color w:val="auto"/>
              </w:rPr>
              <w:t>374</w:t>
            </w:r>
          </w:p>
        </w:tc>
        <w:tc>
          <w:tcPr>
            <w:tcW w:w="900" w:type="dxa"/>
            <w:vAlign w:val="bottom"/>
          </w:tcPr>
          <w:p>
            <w:pPr>
              <w:jc w:val="right"/>
              <w:ind w:right="13"/>
              <w:spacing w:after="0"/>
              <w:rPr>
                <w:sz w:val="20"/>
                <w:szCs w:val="20"/>
                <w:color w:val="auto"/>
              </w:rPr>
            </w:pPr>
            <w:r>
              <w:rPr>
                <w:rFonts w:ascii="Verdana" w:cs="Verdana" w:eastAsia="Verdana" w:hAnsi="Verdana"/>
                <w:sz w:val="13"/>
                <w:szCs w:val="13"/>
                <w:color w:val="auto"/>
              </w:rPr>
              <w:t>958</w:t>
            </w:r>
          </w:p>
        </w:tc>
      </w:tr>
      <w:tr>
        <w:trPr>
          <w:trHeight w:val="216"/>
        </w:trPr>
        <w:tc>
          <w:tcPr>
            <w:tcW w:w="980" w:type="dxa"/>
            <w:vAlign w:val="bottom"/>
            <w:tcBorders>
              <w:bottom w:val="single" w:sz="8" w:color="auto"/>
            </w:tcBorders>
            <w:shd w:val="clear" w:color="auto" w:fill="D6E5F9"/>
          </w:tcPr>
          <w:p>
            <w:pPr>
              <w:jc w:val="right"/>
              <w:ind w:right="273"/>
              <w:spacing w:after="0"/>
              <w:rPr>
                <w:sz w:val="20"/>
                <w:szCs w:val="20"/>
                <w:color w:val="auto"/>
              </w:rPr>
            </w:pPr>
            <w:r>
              <w:rPr>
                <w:rFonts w:ascii="Verdana" w:cs="Verdana" w:eastAsia="Verdana" w:hAnsi="Verdana"/>
                <w:sz w:val="13"/>
                <w:szCs w:val="13"/>
                <w:color w:val="auto"/>
              </w:rPr>
              <w:t>2020</w:t>
            </w:r>
          </w:p>
        </w:tc>
        <w:tc>
          <w:tcPr>
            <w:tcW w:w="1360" w:type="dxa"/>
            <w:vAlign w:val="bottom"/>
            <w:tcBorders>
              <w:bottom w:val="single" w:sz="8" w:color="auto"/>
            </w:tcBorders>
            <w:shd w:val="clear" w:color="auto" w:fill="D6E5F9"/>
          </w:tcPr>
          <w:p>
            <w:pPr>
              <w:jc w:val="right"/>
              <w:ind w:right="173"/>
              <w:spacing w:after="0"/>
              <w:rPr>
                <w:sz w:val="20"/>
                <w:szCs w:val="20"/>
                <w:color w:val="auto"/>
              </w:rPr>
            </w:pPr>
            <w:r>
              <w:rPr>
                <w:rFonts w:ascii="Verdana" w:cs="Verdana" w:eastAsia="Verdana" w:hAnsi="Verdana"/>
                <w:sz w:val="13"/>
                <w:szCs w:val="13"/>
                <w:color w:val="auto"/>
              </w:rPr>
              <w:t>14,714,769</w:t>
            </w:r>
          </w:p>
        </w:tc>
        <w:tc>
          <w:tcPr>
            <w:tcW w:w="1280" w:type="dxa"/>
            <w:vAlign w:val="bottom"/>
            <w:tcBorders>
              <w:bottom w:val="single" w:sz="8" w:color="auto"/>
            </w:tcBorders>
            <w:shd w:val="clear" w:color="auto" w:fill="D6E5F9"/>
          </w:tcPr>
          <w:p>
            <w:pPr>
              <w:jc w:val="right"/>
              <w:ind w:right="213"/>
              <w:spacing w:after="0"/>
              <w:rPr>
                <w:sz w:val="20"/>
                <w:szCs w:val="20"/>
                <w:color w:val="auto"/>
              </w:rPr>
            </w:pPr>
            <w:r>
              <w:rPr>
                <w:rFonts w:ascii="Verdana" w:cs="Verdana" w:eastAsia="Verdana" w:hAnsi="Verdana"/>
                <w:sz w:val="13"/>
                <w:szCs w:val="13"/>
                <w:color w:val="auto"/>
              </w:rPr>
              <w:t>16,162,189</w:t>
            </w:r>
          </w:p>
        </w:tc>
        <w:tc>
          <w:tcPr>
            <w:tcW w:w="1240" w:type="dxa"/>
            <w:vAlign w:val="bottom"/>
            <w:tcBorders>
              <w:bottom w:val="single" w:sz="8" w:color="auto"/>
            </w:tcBorders>
            <w:shd w:val="clear" w:color="auto" w:fill="D6E5F9"/>
          </w:tcPr>
          <w:p>
            <w:pPr>
              <w:jc w:val="right"/>
              <w:ind w:right="193"/>
              <w:spacing w:after="0"/>
              <w:rPr>
                <w:sz w:val="20"/>
                <w:szCs w:val="20"/>
                <w:color w:val="auto"/>
              </w:rPr>
            </w:pPr>
            <w:r>
              <w:rPr>
                <w:rFonts w:ascii="Verdana" w:cs="Verdana" w:eastAsia="Verdana" w:hAnsi="Verdana"/>
                <w:sz w:val="13"/>
                <w:szCs w:val="13"/>
                <w:color w:val="auto"/>
              </w:rPr>
              <w:t>4,507,854</w:t>
            </w:r>
          </w:p>
        </w:tc>
        <w:tc>
          <w:tcPr>
            <w:tcW w:w="1520" w:type="dxa"/>
            <w:vAlign w:val="bottom"/>
            <w:tcBorders>
              <w:bottom w:val="single" w:sz="8" w:color="auto"/>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5,697,177</w:t>
            </w:r>
          </w:p>
        </w:tc>
        <w:tc>
          <w:tcPr>
            <w:tcW w:w="1340" w:type="dxa"/>
            <w:vAlign w:val="bottom"/>
            <w:tcBorders>
              <w:bottom w:val="single" w:sz="8" w:color="auto"/>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117</w:t>
            </w:r>
          </w:p>
        </w:tc>
        <w:tc>
          <w:tcPr>
            <w:tcW w:w="1300" w:type="dxa"/>
            <w:vAlign w:val="bottom"/>
            <w:tcBorders>
              <w:bottom w:val="single" w:sz="8" w:color="auto"/>
            </w:tcBorders>
            <w:shd w:val="clear" w:color="auto" w:fill="D6E5F9"/>
          </w:tcPr>
          <w:p>
            <w:pPr>
              <w:jc w:val="right"/>
              <w:ind w:right="433"/>
              <w:spacing w:after="0"/>
              <w:rPr>
                <w:sz w:val="20"/>
                <w:szCs w:val="20"/>
                <w:color w:val="auto"/>
              </w:rPr>
            </w:pPr>
            <w:r>
              <w:rPr>
                <w:rFonts w:ascii="Verdana" w:cs="Verdana" w:eastAsia="Verdana" w:hAnsi="Verdana"/>
                <w:sz w:val="13"/>
                <w:szCs w:val="13"/>
                <w:color w:val="auto"/>
              </w:rPr>
              <w:t>117</w:t>
            </w:r>
          </w:p>
        </w:tc>
        <w:tc>
          <w:tcPr>
            <w:tcW w:w="1180" w:type="dxa"/>
            <w:vAlign w:val="bottom"/>
            <w:tcBorders>
              <w:bottom w:val="single" w:sz="8" w:color="auto"/>
            </w:tcBorders>
            <w:shd w:val="clear" w:color="auto" w:fill="D6E5F9"/>
          </w:tcPr>
          <w:p>
            <w:pPr>
              <w:jc w:val="right"/>
              <w:ind w:right="373"/>
              <w:spacing w:after="0"/>
              <w:rPr>
                <w:sz w:val="20"/>
                <w:szCs w:val="20"/>
                <w:color w:val="auto"/>
              </w:rPr>
            </w:pPr>
            <w:r>
              <w:rPr>
                <w:rFonts w:ascii="Verdana" w:cs="Verdana" w:eastAsia="Verdana" w:hAnsi="Verdana"/>
                <w:sz w:val="13"/>
                <w:szCs w:val="13"/>
                <w:color w:val="auto"/>
              </w:rPr>
              <w:t>159</w:t>
            </w:r>
          </w:p>
        </w:tc>
        <w:tc>
          <w:tcPr>
            <w:tcW w:w="900" w:type="dxa"/>
            <w:vAlign w:val="bottom"/>
            <w:tcBorders>
              <w:bottom w:val="single" w:sz="8" w:color="auto"/>
            </w:tcBorders>
            <w:shd w:val="clear" w:color="auto" w:fill="D6E5F9"/>
          </w:tcPr>
          <w:p>
            <w:pPr>
              <w:jc w:val="right"/>
              <w:ind w:right="13"/>
              <w:spacing w:after="0"/>
              <w:rPr>
                <w:sz w:val="20"/>
                <w:szCs w:val="20"/>
                <w:color w:val="auto"/>
              </w:rPr>
            </w:pPr>
            <w:r>
              <w:rPr>
                <w:rFonts w:ascii="Verdana" w:cs="Verdana" w:eastAsia="Verdana" w:hAnsi="Verdana"/>
                <w:sz w:val="13"/>
                <w:szCs w:val="13"/>
                <w:color w:val="auto"/>
              </w:rPr>
              <w:t>614</w:t>
            </w:r>
          </w:p>
        </w:tc>
      </w:tr>
    </w:tbl>
    <w:p>
      <w:pPr>
        <w:spacing w:after="0" w:line="179" w:lineRule="exact"/>
        <w:rPr>
          <w:sz w:val="20"/>
          <w:szCs w:val="20"/>
          <w:color w:val="auto"/>
        </w:rPr>
      </w:pPr>
    </w:p>
    <w:p>
      <w:pPr>
        <w:ind w:left="340" w:right="80" w:hanging="332"/>
        <w:spacing w:after="0" w:line="247" w:lineRule="auto"/>
        <w:tabs>
          <w:tab w:leader="none" w:pos="289" w:val="left"/>
        </w:tabs>
        <w:numPr>
          <w:ilvl w:val="0"/>
          <w:numId w:val="117"/>
        </w:numPr>
        <w:rPr>
          <w:rFonts w:ascii="Verdana" w:cs="Verdana" w:eastAsia="Verdana" w:hAnsi="Verdana"/>
          <w:sz w:val="14"/>
          <w:szCs w:val="14"/>
          <w:color w:val="auto"/>
        </w:rPr>
      </w:pPr>
      <w:r>
        <w:rPr>
          <w:rFonts w:ascii="Verdana" w:cs="Verdana" w:eastAsia="Verdana" w:hAnsi="Verdana"/>
          <w:sz w:val="14"/>
          <w:szCs w:val="14"/>
          <w:color w:val="auto"/>
        </w:rPr>
        <w:t>Mr. Scott served as the CEO for each year in the table, and Messrs. Cardew, Orsini and Esposito served as non-CEO NEOs for each year in the table. Mr. Kemp served as a non-CEO NEO for 2023 and 2024, Ms. Davis served as a non-CEO NEO for 2024 and Mr. DiDonato, who retired in 2023, served as a non-CEO NEO for 2020, 2021 and 2022.</w:t>
      </w:r>
    </w:p>
    <w:p>
      <w:pPr>
        <w:spacing w:after="0" w:line="1" w:lineRule="exact"/>
        <w:rPr>
          <w:rFonts w:ascii="Verdana" w:cs="Verdana" w:eastAsia="Verdana" w:hAnsi="Verdana"/>
          <w:sz w:val="14"/>
          <w:szCs w:val="14"/>
          <w:color w:val="auto"/>
        </w:rPr>
      </w:pPr>
    </w:p>
    <w:p>
      <w:pPr>
        <w:ind w:left="340" w:right="320" w:hanging="332"/>
        <w:spacing w:after="0" w:line="238" w:lineRule="auto"/>
        <w:tabs>
          <w:tab w:leader="none" w:pos="289" w:val="left"/>
        </w:tabs>
        <w:numPr>
          <w:ilvl w:val="0"/>
          <w:numId w:val="117"/>
        </w:numPr>
        <w:rPr>
          <w:rFonts w:ascii="Verdana" w:cs="Verdana" w:eastAsia="Verdana" w:hAnsi="Verdana"/>
          <w:sz w:val="14"/>
          <w:szCs w:val="14"/>
          <w:color w:val="auto"/>
        </w:rPr>
      </w:pPr>
      <w:r>
        <w:rPr>
          <w:rFonts w:ascii="Verdana" w:cs="Verdana" w:eastAsia="Verdana" w:hAnsi="Verdana"/>
          <w:sz w:val="14"/>
          <w:szCs w:val="14"/>
          <w:color w:val="auto"/>
        </w:rPr>
        <w:t>Represents CAP for our CEO and Average CAP for our non-CEO NEOs as a group, as determined in accordance with Item 402(v) of Regulation S-K, and does not reflect the compensation ultimately earned or realized by our CEO or non-CEO NEOs.</w:t>
      </w:r>
    </w:p>
    <w:p>
      <w:pPr>
        <w:ind w:left="280" w:hanging="272"/>
        <w:spacing w:after="0"/>
        <w:tabs>
          <w:tab w:leader="none" w:pos="280" w:val="left"/>
        </w:tabs>
        <w:numPr>
          <w:ilvl w:val="0"/>
          <w:numId w:val="117"/>
        </w:numPr>
        <w:rPr>
          <w:rFonts w:ascii="Verdana" w:cs="Verdana" w:eastAsia="Verdana" w:hAnsi="Verdana"/>
          <w:sz w:val="14"/>
          <w:szCs w:val="14"/>
          <w:color w:val="auto"/>
        </w:rPr>
      </w:pPr>
      <w:r>
        <w:rPr>
          <w:rFonts w:ascii="Verdana" w:cs="Verdana" w:eastAsia="Verdana" w:hAnsi="Verdana"/>
          <w:sz w:val="14"/>
          <w:szCs w:val="14"/>
          <w:color w:val="auto"/>
        </w:rPr>
        <w:t>Reflects the average SCT total of our non-CEO NEOs (determined as set forth below).</w:t>
      </w:r>
    </w:p>
    <w:p>
      <w:pPr>
        <w:spacing w:after="0" w:line="5" w:lineRule="exact"/>
        <w:rPr>
          <w:rFonts w:ascii="Verdana" w:cs="Verdana" w:eastAsia="Verdana" w:hAnsi="Verdana"/>
          <w:sz w:val="14"/>
          <w:szCs w:val="14"/>
          <w:color w:val="auto"/>
        </w:rPr>
      </w:pPr>
    </w:p>
    <w:p>
      <w:pPr>
        <w:ind w:left="340" w:right="20" w:hanging="332"/>
        <w:spacing w:after="0" w:line="242" w:lineRule="auto"/>
        <w:tabs>
          <w:tab w:leader="none" w:pos="289" w:val="left"/>
        </w:tabs>
        <w:numPr>
          <w:ilvl w:val="0"/>
          <w:numId w:val="117"/>
        </w:numPr>
        <w:rPr>
          <w:rFonts w:ascii="Verdana" w:cs="Verdana" w:eastAsia="Verdana" w:hAnsi="Verdana"/>
          <w:sz w:val="14"/>
          <w:szCs w:val="14"/>
          <w:color w:val="auto"/>
        </w:rPr>
      </w:pPr>
      <w:r>
        <w:rPr>
          <w:rFonts w:ascii="Verdana" w:cs="Verdana" w:eastAsia="Verdana" w:hAnsi="Verdana"/>
          <w:sz w:val="14"/>
          <w:szCs w:val="14"/>
          <w:color w:val="auto"/>
        </w:rPr>
        <w:t>Reflects our Cumulative TSR and our Peer Group Cumulative TSR for each measurement period from December 31, 2019 through December 31, 2024. Dividends are assumed to be reinvested, and the returns of each company in our PVP Peer Group are weighted to reflect relative stock market capitalization. Results assume that $100 was invested on December 31, 2019, in each of our common stock and the stocks comprising our PVP Peer Group.</w:t>
      </w:r>
    </w:p>
    <w:p>
      <w:pPr>
        <w:spacing w:after="0" w:line="2" w:lineRule="exact"/>
        <w:rPr>
          <w:rFonts w:ascii="Verdana" w:cs="Verdana" w:eastAsia="Verdana" w:hAnsi="Verdana"/>
          <w:sz w:val="14"/>
          <w:szCs w:val="14"/>
          <w:color w:val="auto"/>
        </w:rPr>
      </w:pPr>
    </w:p>
    <w:p>
      <w:pPr>
        <w:ind w:left="340" w:right="100" w:hanging="332"/>
        <w:spacing w:after="0" w:line="245" w:lineRule="auto"/>
        <w:tabs>
          <w:tab w:leader="none" w:pos="289" w:val="left"/>
        </w:tabs>
        <w:numPr>
          <w:ilvl w:val="0"/>
          <w:numId w:val="117"/>
        </w:numPr>
        <w:rPr>
          <w:rFonts w:ascii="Verdana" w:cs="Verdana" w:eastAsia="Verdana" w:hAnsi="Verdana"/>
          <w:sz w:val="14"/>
          <w:szCs w:val="14"/>
          <w:color w:val="auto"/>
        </w:rPr>
      </w:pPr>
      <w:r>
        <w:rPr>
          <w:rFonts w:ascii="Verdana" w:cs="Verdana" w:eastAsia="Verdana" w:hAnsi="Verdana"/>
          <w:sz w:val="14"/>
          <w:szCs w:val="14"/>
          <w:color w:val="auto"/>
        </w:rPr>
        <w:t>Our PVP Peer Group is the same peer group used in the Performance Graph for purposes of Item 201(e)(1)(ii) of Regulation S-K in our Annual Report on Form 10-K (“10-K Peer Group”). Our 10-K Peer Group was selected because we do not believe that there is a single published industry or line of business index that is appropriate for comparing total shareholder returns. As a result, our selected 10-K Peer Group is comprised of representative independent automotive suppliers whose common stock is publicly traded. For 2024, 2023, 2022, 2021 and 2020, this column reflects the five-year, four-year, three-year, two-year and one-year Peer Group Cumulative TSR, respectively, of our 2024 10-K Peer Group, which is comprised of the following companies: Adient plc, American Axle &amp; Manufacturing Holdings Inc., Aptiv PLC, Autoliv, Inc., BorgWarner Inc., Continental AG, Dana Incorporated, Forvia SE (formerly known as Faurecia SE), Gentex Corporation, Gentherm Incorporated, Magna International Inc., Valeo and Visteon Corporation.</w:t>
      </w:r>
    </w:p>
    <w:p>
      <w:pPr>
        <w:ind w:left="340" w:right="20" w:hanging="332"/>
        <w:spacing w:after="0" w:line="248" w:lineRule="auto"/>
        <w:tabs>
          <w:tab w:leader="none" w:pos="289" w:val="left"/>
        </w:tabs>
        <w:numPr>
          <w:ilvl w:val="0"/>
          <w:numId w:val="117"/>
        </w:numPr>
        <w:rPr>
          <w:rFonts w:ascii="Verdana" w:cs="Verdana" w:eastAsia="Verdana" w:hAnsi="Verdana"/>
          <w:sz w:val="14"/>
          <w:szCs w:val="14"/>
          <w:color w:val="auto"/>
        </w:rPr>
      </w:pPr>
      <w:r>
        <w:rPr>
          <w:rFonts w:ascii="Verdana" w:cs="Verdana" w:eastAsia="Verdana" w:hAnsi="Verdana"/>
          <w:sz w:val="14"/>
          <w:szCs w:val="14"/>
          <w:color w:val="auto"/>
        </w:rPr>
        <w:t xml:space="preserve">Adjusted Operating Income is a performance measure in the AIP and highly correlated to the other financial measures used in the annual and long-term incentive plans. See the “Compensation Discussion and Analysis” above for a description of how this measure was determined in 2024 and the “Compensation Discussion and Analysis” in our 2023, 2022, 2021 and 2020 proxy statements for descriptions of how this measure was determined in 2023, 2022, 2021 and 2020, respectively. Adjusted Operating Income is a Non-GAAP financial measure. See pages </w:t>
      </w:r>
      <w:r>
        <w:rPr>
          <w:rFonts w:ascii="Verdana" w:cs="Verdana" w:eastAsia="Verdana" w:hAnsi="Verdana"/>
          <w:sz w:val="14"/>
          <w:szCs w:val="14"/>
          <w:u w:val="single" w:color="auto"/>
          <w:color w:val="0000FF"/>
        </w:rPr>
        <w:t>43</w:t>
      </w:r>
      <w:r>
        <w:rPr>
          <w:rFonts w:ascii="Verdana" w:cs="Verdana" w:eastAsia="Verdana" w:hAnsi="Verdana"/>
          <w:sz w:val="14"/>
          <w:szCs w:val="14"/>
          <w:color w:val="auto"/>
        </w:rPr>
        <w:t xml:space="preserve"> and </w:t>
      </w:r>
      <w:r>
        <w:rPr>
          <w:rFonts w:ascii="Verdana" w:cs="Verdana" w:eastAsia="Verdana" w:hAnsi="Verdana"/>
          <w:sz w:val="14"/>
          <w:szCs w:val="14"/>
          <w:u w:val="single" w:color="auto"/>
          <w:color w:val="0000FF"/>
        </w:rPr>
        <w:t>47</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90</w:t>
      </w:r>
      <w:r>
        <w:rPr>
          <w:rFonts w:ascii="Verdana" w:cs="Verdana" w:eastAsia="Verdana" w:hAnsi="Verdana"/>
          <w:sz w:val="14"/>
          <w:szCs w:val="14"/>
          <w:color w:val="auto"/>
        </w:rPr>
        <w:t xml:space="preserve"> for more information on this financial measure and how it is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71</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940"/>
        <w:spacing w:after="0" w:line="270" w:lineRule="auto"/>
        <w:rPr>
          <w:sz w:val="20"/>
          <w:szCs w:val="20"/>
          <w:color w:val="auto"/>
        </w:rPr>
      </w:pPr>
      <w:r>
        <w:rPr>
          <w:rFonts w:ascii="Verdana" w:cs="Verdana" w:eastAsia="Verdana" w:hAnsi="Verdana"/>
          <w:sz w:val="14"/>
          <w:szCs w:val="14"/>
          <w:color w:val="auto"/>
        </w:rPr>
        <w:t>Reconciliations of SCT Total Compensation to CAP Total Compensation for our CEO and Average SCT Total Compensation to Average CAP Total Compensation for our non-CEO NEOs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0628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jc w:val="center"/>
              <w:ind w:right="19"/>
              <w:spacing w:after="0"/>
              <w:rPr>
                <w:sz w:val="20"/>
                <w:szCs w:val="20"/>
                <w:color w:val="auto"/>
              </w:rPr>
            </w:pPr>
            <w:r>
              <w:rPr>
                <w:rFonts w:ascii="Verdana" w:cs="Verdana" w:eastAsia="Verdana" w:hAnsi="Verdana"/>
                <w:sz w:val="13"/>
                <w:szCs w:val="13"/>
                <w:b w:val="1"/>
                <w:bCs w:val="1"/>
                <w:color w:val="307FE2"/>
                <w:w w:val="96"/>
              </w:rPr>
              <w:t>Pension</w:t>
            </w: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Verdana" w:cs="Verdana" w:eastAsia="Verdana" w:hAnsi="Verdana"/>
                <w:sz w:val="13"/>
                <w:szCs w:val="13"/>
                <w:b w:val="1"/>
                <w:bCs w:val="1"/>
                <w:color w:val="307FE2"/>
                <w:w w:val="94"/>
              </w:rPr>
              <w:t>Valuation</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Borders>
              <w:bottom w:val="single" w:sz="8" w:color="1D428A"/>
            </w:tcBorders>
          </w:tcPr>
          <w:p>
            <w:pPr>
              <w:jc w:val="center"/>
              <w:ind w:right="39"/>
              <w:spacing w:after="0"/>
              <w:rPr>
                <w:sz w:val="20"/>
                <w:szCs w:val="20"/>
                <w:color w:val="auto"/>
              </w:rPr>
            </w:pPr>
            <w:r>
              <w:rPr>
                <w:rFonts w:ascii="Verdana" w:cs="Verdana" w:eastAsia="Verdana" w:hAnsi="Verdana"/>
                <w:sz w:val="13"/>
                <w:szCs w:val="13"/>
                <w:b w:val="1"/>
                <w:bCs w:val="1"/>
                <w:color w:val="307FE2"/>
                <w:w w:val="97"/>
              </w:rPr>
              <w:t>Adjustments</w:t>
            </w:r>
          </w:p>
        </w:tc>
        <w:tc>
          <w:tcPr>
            <w:tcW w:w="1300" w:type="dxa"/>
            <w:vAlign w:val="bottom"/>
            <w:tcBorders>
              <w:bottom w:val="single" w:sz="8" w:color="1D428A"/>
            </w:tcBorders>
          </w:tcPr>
          <w:p>
            <w:pPr>
              <w:spacing w:after="0"/>
              <w:rPr>
                <w:sz w:val="16"/>
                <w:szCs w:val="16"/>
                <w:color w:val="auto"/>
              </w:rPr>
            </w:pPr>
          </w:p>
        </w:tc>
        <w:tc>
          <w:tcPr>
            <w:tcW w:w="4140" w:type="dxa"/>
            <w:vAlign w:val="bottom"/>
            <w:tcBorders>
              <w:bottom w:val="single" w:sz="8" w:color="1D428A"/>
            </w:tcBorders>
            <w:gridSpan w:val="3"/>
          </w:tcPr>
          <w:p>
            <w:pPr>
              <w:jc w:val="center"/>
              <w:spacing w:after="0"/>
              <w:rPr>
                <w:sz w:val="20"/>
                <w:szCs w:val="20"/>
                <w:color w:val="auto"/>
              </w:rPr>
            </w:pPr>
            <w:r>
              <w:rPr>
                <w:rFonts w:ascii="Verdana" w:cs="Verdana" w:eastAsia="Verdana" w:hAnsi="Verdana"/>
                <w:sz w:val="13"/>
                <w:szCs w:val="13"/>
                <w:b w:val="1"/>
                <w:bCs w:val="1"/>
                <w:color w:val="307FE2"/>
                <w:w w:val="95"/>
              </w:rPr>
              <w:t>Equity Award Adjustments</w:t>
            </w:r>
            <w:r>
              <w:rPr>
                <w:rFonts w:ascii="Verdana" w:cs="Verdana" w:eastAsia="Verdana" w:hAnsi="Verdana"/>
                <w:sz w:val="16"/>
                <w:szCs w:val="16"/>
                <w:b w:val="1"/>
                <w:bCs w:val="1"/>
                <w:color w:val="307FE2"/>
                <w:w w:val="95"/>
                <w:vertAlign w:val="superscript"/>
              </w:rPr>
              <w:t>(2)</w:t>
            </w:r>
          </w:p>
        </w:tc>
        <w:tc>
          <w:tcPr>
            <w:tcW w:w="1400" w:type="dxa"/>
            <w:vAlign w:val="bottom"/>
            <w:tcBorders>
              <w:bottom w:val="single" w:sz="8" w:color="1D428A"/>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Change in Value of</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Add Year-End</w:t>
            </w:r>
          </w:p>
        </w:tc>
        <w:tc>
          <w:tcPr>
            <w:tcW w:w="1400" w:type="dxa"/>
            <w:vAlign w:val="bottom"/>
          </w:tcPr>
          <w:p>
            <w:pPr>
              <w:jc w:val="right"/>
              <w:spacing w:after="0" w:line="149" w:lineRule="exact"/>
              <w:rPr>
                <w:sz w:val="20"/>
                <w:szCs w:val="20"/>
                <w:color w:val="auto"/>
              </w:rPr>
            </w:pPr>
            <w:r>
              <w:rPr>
                <w:rFonts w:ascii="Verdana" w:cs="Verdana" w:eastAsia="Verdana" w:hAnsi="Verdana"/>
                <w:sz w:val="13"/>
                <w:szCs w:val="13"/>
                <w:b w:val="1"/>
                <w:bCs w:val="1"/>
                <w:color w:val="307FE2"/>
                <w:w w:val="97"/>
              </w:rPr>
              <w:t>Change in Value of</w:t>
            </w:r>
          </w:p>
        </w:tc>
        <w:tc>
          <w:tcPr>
            <w:tcW w:w="138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Equity Awards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Value of Unvested</w:t>
            </w:r>
          </w:p>
        </w:tc>
        <w:tc>
          <w:tcPr>
            <w:tcW w:w="14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7"/>
              </w:rPr>
              <w:t>Unvested Equity</w:t>
            </w:r>
          </w:p>
        </w:tc>
        <w:tc>
          <w:tcPr>
            <w:tcW w:w="138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7"/>
              </w:rPr>
              <w:t>Granted in Prior</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Reported SCT</w:t>
            </w:r>
          </w:p>
        </w:tc>
        <w:tc>
          <w:tcPr>
            <w:tcW w:w="1320" w:type="dxa"/>
            <w:vAlign w:val="bottom"/>
          </w:tcPr>
          <w:p>
            <w:pPr>
              <w:jc w:val="center"/>
              <w:ind w:right="39"/>
              <w:spacing w:after="0" w:line="149" w:lineRule="exact"/>
              <w:rPr>
                <w:sz w:val="20"/>
                <w:szCs w:val="20"/>
                <w:color w:val="auto"/>
              </w:rPr>
            </w:pPr>
            <w:r>
              <w:rPr>
                <w:rFonts w:ascii="Verdana" w:cs="Verdana" w:eastAsia="Verdana" w:hAnsi="Verdana"/>
                <w:sz w:val="13"/>
                <w:szCs w:val="13"/>
                <w:b w:val="1"/>
                <w:bCs w:val="1"/>
                <w:color w:val="307FE2"/>
                <w:w w:val="96"/>
              </w:rPr>
              <w:t>Deduct Change</w:t>
            </w:r>
          </w:p>
        </w:tc>
        <w:tc>
          <w:tcPr>
            <w:tcW w:w="1300" w:type="dxa"/>
            <w:vAlign w:val="bottom"/>
          </w:tcPr>
          <w:p>
            <w:pPr>
              <w:jc w:val="center"/>
              <w:ind w:right="57"/>
              <w:spacing w:after="0" w:line="149" w:lineRule="exact"/>
              <w:rPr>
                <w:sz w:val="20"/>
                <w:szCs w:val="20"/>
                <w:color w:val="auto"/>
              </w:rPr>
            </w:pPr>
            <w:r>
              <w:rPr>
                <w:rFonts w:ascii="Verdana" w:cs="Verdana" w:eastAsia="Verdana" w:hAnsi="Verdana"/>
                <w:sz w:val="13"/>
                <w:szCs w:val="13"/>
                <w:b w:val="1"/>
                <w:bCs w:val="1"/>
                <w:color w:val="307FE2"/>
                <w:w w:val="97"/>
              </w:rPr>
              <w:t>Deduct Stock</w:t>
            </w: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Equity Awards</w:t>
            </w:r>
          </w:p>
        </w:tc>
        <w:tc>
          <w:tcPr>
            <w:tcW w:w="1400" w:type="dxa"/>
            <w:vAlign w:val="bottom"/>
          </w:tcPr>
          <w:p>
            <w:pPr>
              <w:jc w:val="right"/>
              <w:spacing w:after="0" w:line="149" w:lineRule="exact"/>
              <w:rPr>
                <w:sz w:val="20"/>
                <w:szCs w:val="20"/>
                <w:color w:val="auto"/>
              </w:rPr>
            </w:pPr>
            <w:r>
              <w:rPr>
                <w:rFonts w:ascii="Verdana" w:cs="Verdana" w:eastAsia="Verdana" w:hAnsi="Verdana"/>
                <w:sz w:val="13"/>
                <w:szCs w:val="13"/>
                <w:b w:val="1"/>
                <w:bCs w:val="1"/>
                <w:color w:val="307FE2"/>
                <w:w w:val="98"/>
              </w:rPr>
              <w:t>Awards Granted in</w:t>
            </w:r>
          </w:p>
        </w:tc>
        <w:tc>
          <w:tcPr>
            <w:tcW w:w="138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Years Which</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7"/>
              </w:rPr>
              <w:t>Total</w:t>
            </w:r>
          </w:p>
        </w:tc>
        <w:tc>
          <w:tcPr>
            <w:tcW w:w="1320" w:type="dxa"/>
            <w:vAlign w:val="bottom"/>
          </w:tcPr>
          <w:p>
            <w:pPr>
              <w:jc w:val="center"/>
              <w:ind w:right="39"/>
              <w:spacing w:after="0" w:line="149" w:lineRule="exact"/>
              <w:rPr>
                <w:sz w:val="20"/>
                <w:szCs w:val="20"/>
                <w:color w:val="auto"/>
              </w:rPr>
            </w:pPr>
            <w:r>
              <w:rPr>
                <w:rFonts w:ascii="Verdana" w:cs="Verdana" w:eastAsia="Verdana" w:hAnsi="Verdana"/>
                <w:sz w:val="13"/>
                <w:szCs w:val="13"/>
                <w:b w:val="1"/>
                <w:bCs w:val="1"/>
                <w:color w:val="307FE2"/>
                <w:w w:val="97"/>
              </w:rPr>
              <w:t>in Pension Value</w:t>
            </w:r>
          </w:p>
        </w:tc>
        <w:tc>
          <w:tcPr>
            <w:tcW w:w="1300" w:type="dxa"/>
            <w:vAlign w:val="bottom"/>
          </w:tcPr>
          <w:p>
            <w:pPr>
              <w:jc w:val="center"/>
              <w:ind w:right="37"/>
              <w:spacing w:after="0" w:line="149" w:lineRule="exact"/>
              <w:rPr>
                <w:sz w:val="20"/>
                <w:szCs w:val="20"/>
                <w:color w:val="auto"/>
              </w:rPr>
            </w:pPr>
            <w:r>
              <w:rPr>
                <w:rFonts w:ascii="Verdana" w:cs="Verdana" w:eastAsia="Verdana" w:hAnsi="Verdana"/>
                <w:sz w:val="13"/>
                <w:szCs w:val="13"/>
                <w:b w:val="1"/>
                <w:bCs w:val="1"/>
                <w:color w:val="307FE2"/>
                <w:w w:val="94"/>
              </w:rPr>
              <w:t>Awards</w:t>
            </w: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5"/>
              </w:rPr>
              <w:t>Granted in Year</w:t>
            </w:r>
          </w:p>
        </w:tc>
        <w:tc>
          <w:tcPr>
            <w:tcW w:w="14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8"/>
              </w:rPr>
              <w:t>Prior Years</w:t>
            </w:r>
          </w:p>
        </w:tc>
        <w:tc>
          <w:tcPr>
            <w:tcW w:w="138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Vested in Year</w:t>
            </w:r>
          </w:p>
        </w:tc>
        <w:tc>
          <w:tcPr>
            <w:tcW w:w="1400" w:type="dxa"/>
            <w:vAlign w:val="bottom"/>
          </w:tcPr>
          <w:p>
            <w:pPr>
              <w:jc w:val="right"/>
              <w:ind w:right="297"/>
              <w:spacing w:after="0" w:line="149" w:lineRule="exact"/>
              <w:rPr>
                <w:sz w:val="20"/>
                <w:szCs w:val="20"/>
                <w:color w:val="auto"/>
              </w:rPr>
            </w:pPr>
            <w:r>
              <w:rPr>
                <w:rFonts w:ascii="Verdana" w:cs="Verdana" w:eastAsia="Verdana" w:hAnsi="Verdana"/>
                <w:sz w:val="13"/>
                <w:szCs w:val="13"/>
                <w:b w:val="1"/>
                <w:bCs w:val="1"/>
                <w:color w:val="307FE2"/>
              </w:rPr>
              <w:t>CAP Total</w:t>
            </w:r>
          </w:p>
        </w:tc>
        <w:tc>
          <w:tcPr>
            <w:tcW w:w="0" w:type="dxa"/>
            <w:vAlign w:val="bottom"/>
          </w:tcPr>
          <w:p>
            <w:pPr>
              <w:spacing w:after="0"/>
              <w:rPr>
                <w:sz w:val="1"/>
                <w:szCs w:val="1"/>
                <w:color w:val="auto"/>
              </w:rPr>
            </w:pPr>
          </w:p>
        </w:tc>
      </w:tr>
      <w:tr>
        <w:trPr>
          <w:trHeight w:val="194"/>
        </w:trPr>
        <w:tc>
          <w:tcPr>
            <w:tcW w:w="660" w:type="dxa"/>
            <w:vAlign w:val="bottom"/>
            <w:tcBorders>
              <w:bottom w:val="single" w:sz="8" w:color="1D428A"/>
            </w:tcBorders>
          </w:tcPr>
          <w:p>
            <w:pPr>
              <w:jc w:val="right"/>
              <w:ind w:right="97"/>
              <w:spacing w:after="0"/>
              <w:rPr>
                <w:sz w:val="20"/>
                <w:szCs w:val="20"/>
                <w:color w:val="auto"/>
              </w:rPr>
            </w:pPr>
            <w:r>
              <w:rPr>
                <w:rFonts w:ascii="Verdana" w:cs="Verdana" w:eastAsia="Verdana" w:hAnsi="Verdana"/>
                <w:sz w:val="13"/>
                <w:szCs w:val="13"/>
                <w:b w:val="1"/>
                <w:bCs w:val="1"/>
                <w:color w:val="307FE2"/>
              </w:rPr>
              <w:t>Year</w:t>
            </w:r>
          </w:p>
        </w:tc>
        <w:tc>
          <w:tcPr>
            <w:tcW w:w="1180" w:type="dxa"/>
            <w:vAlign w:val="bottom"/>
            <w:tcBorders>
              <w:bottom w:val="single" w:sz="8" w:color="1D428A"/>
            </w:tcBorders>
          </w:tcPr>
          <w:p>
            <w:pPr>
              <w:ind w:left="160"/>
              <w:spacing w:after="0"/>
              <w:rPr>
                <w:sz w:val="20"/>
                <w:szCs w:val="20"/>
                <w:color w:val="auto"/>
              </w:rPr>
            </w:pPr>
            <w:r>
              <w:rPr>
                <w:rFonts w:ascii="Verdana" w:cs="Verdana" w:eastAsia="Verdana" w:hAnsi="Verdana"/>
                <w:sz w:val="13"/>
                <w:szCs w:val="13"/>
                <w:b w:val="1"/>
                <w:bCs w:val="1"/>
                <w:color w:val="307FE2"/>
              </w:rPr>
              <w:t>Executive(s)</w:t>
            </w:r>
          </w:p>
        </w:tc>
        <w:tc>
          <w:tcPr>
            <w:tcW w:w="120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320" w:type="dxa"/>
            <w:vAlign w:val="bottom"/>
            <w:tcBorders>
              <w:bottom w:val="single" w:sz="8" w:color="1D428A"/>
            </w:tcBorders>
          </w:tcPr>
          <w:p>
            <w:pPr>
              <w:jc w:val="center"/>
              <w:ind w:right="39"/>
              <w:spacing w:after="0" w:line="194" w:lineRule="exact"/>
              <w:rPr>
                <w:sz w:val="20"/>
                <w:szCs w:val="20"/>
                <w:color w:val="auto"/>
              </w:rPr>
            </w:pPr>
            <w:r>
              <w:rPr>
                <w:rFonts w:ascii="Verdana" w:cs="Verdana" w:eastAsia="Verdana" w:hAnsi="Verdana"/>
                <w:sz w:val="21"/>
                <w:szCs w:val="21"/>
                <w:b w:val="1"/>
                <w:bCs w:val="1"/>
                <w:color w:val="307FE2"/>
                <w:w w:val="95"/>
                <w:vertAlign w:val="subscript"/>
              </w:rPr>
              <w:t>($)</w:t>
            </w:r>
            <w:r>
              <w:rPr>
                <w:rFonts w:ascii="Verdana" w:cs="Verdana" w:eastAsia="Verdana" w:hAnsi="Verdana"/>
                <w:sz w:val="8"/>
                <w:szCs w:val="8"/>
                <w:b w:val="1"/>
                <w:bCs w:val="1"/>
                <w:color w:val="307FE2"/>
                <w:w w:val="95"/>
              </w:rPr>
              <w:t>(1)</w:t>
            </w:r>
          </w:p>
        </w:tc>
        <w:tc>
          <w:tcPr>
            <w:tcW w:w="1300" w:type="dxa"/>
            <w:vAlign w:val="bottom"/>
            <w:tcBorders>
              <w:bottom w:val="single" w:sz="8" w:color="1D428A"/>
            </w:tcBorders>
          </w:tcPr>
          <w:p>
            <w:pPr>
              <w:jc w:val="center"/>
              <w:ind w:right="57"/>
              <w:spacing w:after="0"/>
              <w:rPr>
                <w:sz w:val="20"/>
                <w:szCs w:val="20"/>
                <w:color w:val="auto"/>
              </w:rPr>
            </w:pPr>
            <w:r>
              <w:rPr>
                <w:rFonts w:ascii="Verdana" w:cs="Verdana" w:eastAsia="Verdana" w:hAnsi="Verdana"/>
                <w:sz w:val="13"/>
                <w:szCs w:val="13"/>
                <w:b w:val="1"/>
                <w:bCs w:val="1"/>
                <w:color w:val="307FE2"/>
                <w:w w:val="93"/>
              </w:rPr>
              <w:t>($)</w:t>
            </w:r>
          </w:p>
        </w:tc>
        <w:tc>
          <w:tcPr>
            <w:tcW w:w="13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40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38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400" w:type="dxa"/>
            <w:vAlign w:val="bottom"/>
            <w:tcBorders>
              <w:bottom w:val="single" w:sz="8" w:color="1D428A"/>
            </w:tcBorders>
          </w:tcPr>
          <w:p>
            <w:pPr>
              <w:jc w:val="right"/>
              <w:ind w:right="517"/>
              <w:spacing w:after="0"/>
              <w:rPr>
                <w:sz w:val="20"/>
                <w:szCs w:val="20"/>
                <w:color w:val="auto"/>
              </w:rPr>
            </w:pPr>
            <w:r>
              <w:rPr>
                <w:rFonts w:ascii="Verdana" w:cs="Verdana" w:eastAsia="Verdana" w:hAnsi="Verdana"/>
                <w:sz w:val="13"/>
                <w:szCs w:val="13"/>
                <w:b w:val="1"/>
                <w:bCs w:val="1"/>
                <w:color w:val="307FE2"/>
              </w:rPr>
              <w:t>($)</w:t>
            </w:r>
          </w:p>
        </w:tc>
        <w:tc>
          <w:tcPr>
            <w:tcW w:w="0" w:type="dxa"/>
            <w:vAlign w:val="bottom"/>
          </w:tcPr>
          <w:p>
            <w:pPr>
              <w:spacing w:after="0"/>
              <w:rPr>
                <w:sz w:val="1"/>
                <w:szCs w:val="1"/>
                <w:color w:val="auto"/>
              </w:rPr>
            </w:pPr>
          </w:p>
        </w:tc>
      </w:tr>
      <w:tr>
        <w:trPr>
          <w:trHeight w:val="196"/>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2024</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17,441,535</w:t>
            </w:r>
          </w:p>
        </w:tc>
        <w:tc>
          <w:tcPr>
            <w:tcW w:w="1320" w:type="dxa"/>
            <w:vAlign w:val="bottom"/>
            <w:shd w:val="clear" w:color="auto" w:fill="D6E5F9"/>
          </w:tcPr>
          <w:p>
            <w:pPr>
              <w:jc w:val="right"/>
              <w:ind w:right="59"/>
              <w:spacing w:after="0"/>
              <w:rPr>
                <w:sz w:val="20"/>
                <w:szCs w:val="20"/>
                <w:color w:val="auto"/>
              </w:rPr>
            </w:pPr>
            <w:r>
              <w:rPr>
                <w:rFonts w:ascii="Verdana" w:cs="Verdana" w:eastAsia="Verdana" w:hAnsi="Verdana"/>
                <w:sz w:val="13"/>
                <w:szCs w:val="13"/>
                <w:color w:val="auto"/>
              </w:rPr>
              <w:t>(44,310)</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(13,263,959)</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7,670,699</w:t>
            </w:r>
          </w:p>
        </w:tc>
        <w:tc>
          <w:tcPr>
            <w:tcW w:w="14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(4,988,058)</w:t>
            </w:r>
          </w:p>
        </w:tc>
        <w:tc>
          <w:tcPr>
            <w:tcW w:w="138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(3,052,932)</w:t>
            </w:r>
          </w:p>
        </w:tc>
        <w:tc>
          <w:tcPr>
            <w:tcW w:w="1400" w:type="dxa"/>
            <w:vAlign w:val="bottom"/>
            <w:tcBorders>
              <w:bottom w:val="single" w:sz="8" w:color="1D428A"/>
            </w:tcBorders>
            <w:shd w:val="clear" w:color="auto" w:fill="D6E5F9"/>
          </w:tcPr>
          <w:p>
            <w:pPr>
              <w:jc w:val="right"/>
              <w:ind w:right="17"/>
              <w:spacing w:after="0"/>
              <w:rPr>
                <w:sz w:val="20"/>
                <w:szCs w:val="20"/>
                <w:color w:val="auto"/>
              </w:rPr>
            </w:pPr>
            <w:r>
              <w:rPr>
                <w:rFonts w:ascii="Verdana" w:cs="Verdana" w:eastAsia="Verdana" w:hAnsi="Verdana"/>
                <w:sz w:val="13"/>
                <w:szCs w:val="13"/>
                <w:color w:val="auto"/>
              </w:rPr>
              <w:t>3,762,974</w:t>
            </w:r>
          </w:p>
        </w:tc>
        <w:tc>
          <w:tcPr>
            <w:tcW w:w="0" w:type="dxa"/>
            <w:vAlign w:val="bottom"/>
          </w:tcPr>
          <w:p>
            <w:pPr>
              <w:spacing w:after="0"/>
              <w:rPr>
                <w:sz w:val="1"/>
                <w:szCs w:val="1"/>
                <w:color w:val="auto"/>
              </w:rPr>
            </w:pPr>
          </w:p>
        </w:tc>
      </w:tr>
      <w:tr>
        <w:trPr>
          <w:trHeight w:val="72"/>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5,099,892</w:t>
            </w:r>
          </w:p>
        </w:tc>
        <w:tc>
          <w:tcPr>
            <w:tcW w:w="1320" w:type="dxa"/>
            <w:vAlign w:val="bottom"/>
            <w:vMerge w:val="restart"/>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(3,423,975)</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2,207,171</w:t>
            </w:r>
          </w:p>
        </w:tc>
        <w:tc>
          <w:tcPr>
            <w:tcW w:w="1400" w:type="dxa"/>
            <w:vAlign w:val="bottom"/>
            <w:vMerge w:val="restart"/>
          </w:tcPr>
          <w:p>
            <w:pPr>
              <w:jc w:val="right"/>
              <w:spacing w:after="0"/>
              <w:rPr>
                <w:sz w:val="20"/>
                <w:szCs w:val="20"/>
                <w:color w:val="auto"/>
              </w:rPr>
            </w:pPr>
            <w:r>
              <w:rPr>
                <w:rFonts w:ascii="Verdana" w:cs="Verdana" w:eastAsia="Verdana" w:hAnsi="Verdana"/>
                <w:sz w:val="13"/>
                <w:szCs w:val="13"/>
                <w:color w:val="auto"/>
              </w:rPr>
              <w:t>(2,088,040)</w:t>
            </w:r>
          </w:p>
        </w:tc>
        <w:tc>
          <w:tcPr>
            <w:tcW w:w="1380" w:type="dxa"/>
            <w:vAlign w:val="bottom"/>
            <w:vMerge w:val="restart"/>
          </w:tcPr>
          <w:p>
            <w:pPr>
              <w:jc w:val="right"/>
              <w:spacing w:after="0"/>
              <w:rPr>
                <w:sz w:val="20"/>
                <w:szCs w:val="20"/>
                <w:color w:val="auto"/>
              </w:rPr>
            </w:pPr>
            <w:r>
              <w:rPr>
                <w:rFonts w:ascii="Verdana" w:cs="Verdana" w:eastAsia="Verdana" w:hAnsi="Verdana"/>
                <w:sz w:val="13"/>
                <w:szCs w:val="13"/>
                <w:color w:val="auto"/>
              </w:rPr>
              <w:t>(519,618)</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1,275,429</w:t>
            </w:r>
          </w:p>
        </w:tc>
        <w:tc>
          <w:tcPr>
            <w:tcW w:w="0" w:type="dxa"/>
            <w:vAlign w:val="bottom"/>
          </w:tcPr>
          <w:p>
            <w:pPr>
              <w:spacing w:after="0"/>
              <w:rPr>
                <w:sz w:val="1"/>
                <w:szCs w:val="1"/>
                <w:color w:val="auto"/>
              </w:rPr>
            </w:pPr>
          </w:p>
        </w:tc>
      </w:tr>
      <w:tr>
        <w:trPr>
          <w:trHeight w:val="117"/>
        </w:trPr>
        <w:tc>
          <w:tcPr>
            <w:tcW w:w="660" w:type="dxa"/>
            <w:vAlign w:val="bottom"/>
            <w:tcBorders>
              <w:bottom w:val="single" w:sz="8" w:color="B3B0AC"/>
            </w:tcBorders>
          </w:tcPr>
          <w:p>
            <w:pPr>
              <w:spacing w:after="0"/>
              <w:rPr>
                <w:sz w:val="10"/>
                <w:szCs w:val="10"/>
                <w:color w:val="auto"/>
              </w:rPr>
            </w:pPr>
          </w:p>
        </w:tc>
        <w:tc>
          <w:tcPr>
            <w:tcW w:w="1180" w:type="dxa"/>
            <w:vAlign w:val="bottom"/>
            <w:tcBorders>
              <w:bottom w:val="single" w:sz="8" w:color="B3B0AC"/>
            </w:tcBorders>
            <w:vMerge w:val="continue"/>
          </w:tcPr>
          <w:p>
            <w:pPr>
              <w:spacing w:after="0"/>
              <w:rPr>
                <w:sz w:val="10"/>
                <w:szCs w:val="10"/>
                <w:color w:val="auto"/>
              </w:rPr>
            </w:pPr>
          </w:p>
        </w:tc>
        <w:tc>
          <w:tcPr>
            <w:tcW w:w="1200" w:type="dxa"/>
            <w:vAlign w:val="bottom"/>
            <w:tcBorders>
              <w:bottom w:val="single" w:sz="8" w:color="B3B0AC"/>
            </w:tcBorders>
            <w:vMerge w:val="continue"/>
          </w:tcPr>
          <w:p>
            <w:pPr>
              <w:spacing w:after="0"/>
              <w:rPr>
                <w:sz w:val="10"/>
                <w:szCs w:val="10"/>
                <w:color w:val="auto"/>
              </w:rPr>
            </w:pPr>
          </w:p>
        </w:tc>
        <w:tc>
          <w:tcPr>
            <w:tcW w:w="1320" w:type="dxa"/>
            <w:vAlign w:val="bottom"/>
            <w:tcBorders>
              <w:bottom w:val="single" w:sz="8" w:color="B3B0AC"/>
            </w:tcBorders>
            <w:vMerge w:val="continue"/>
          </w:tcPr>
          <w:p>
            <w:pPr>
              <w:spacing w:after="0"/>
              <w:rPr>
                <w:sz w:val="10"/>
                <w:szCs w:val="10"/>
                <w:color w:val="auto"/>
              </w:rPr>
            </w:pPr>
          </w:p>
        </w:tc>
        <w:tc>
          <w:tcPr>
            <w:tcW w:w="1300" w:type="dxa"/>
            <w:vAlign w:val="bottom"/>
            <w:tcBorders>
              <w:bottom w:val="single" w:sz="8" w:color="B3B0AC"/>
            </w:tcBorders>
            <w:vMerge w:val="continue"/>
          </w:tcPr>
          <w:p>
            <w:pPr>
              <w:spacing w:after="0"/>
              <w:rPr>
                <w:sz w:val="10"/>
                <w:szCs w:val="10"/>
                <w:color w:val="auto"/>
              </w:rPr>
            </w:pPr>
          </w:p>
        </w:tc>
        <w:tc>
          <w:tcPr>
            <w:tcW w:w="136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B3B0AC"/>
            </w:tcBorders>
            <w:vMerge w:val="continue"/>
          </w:tcPr>
          <w:p>
            <w:pPr>
              <w:spacing w:after="0"/>
              <w:rPr>
                <w:sz w:val="10"/>
                <w:szCs w:val="10"/>
                <w:color w:val="auto"/>
              </w:rPr>
            </w:pPr>
          </w:p>
        </w:tc>
        <w:tc>
          <w:tcPr>
            <w:tcW w:w="138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1D428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2023</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18,891,372</w:t>
            </w:r>
          </w:p>
        </w:tc>
        <w:tc>
          <w:tcPr>
            <w:tcW w:w="1320" w:type="dxa"/>
            <w:vAlign w:val="bottom"/>
            <w:shd w:val="clear" w:color="auto" w:fill="D6E5F9"/>
          </w:tcPr>
          <w:p>
            <w:pPr>
              <w:jc w:val="right"/>
              <w:ind w:right="59"/>
              <w:spacing w:after="0"/>
              <w:rPr>
                <w:sz w:val="20"/>
                <w:szCs w:val="20"/>
                <w:color w:val="auto"/>
              </w:rPr>
            </w:pPr>
            <w:r>
              <w:rPr>
                <w:rFonts w:ascii="Verdana" w:cs="Verdana" w:eastAsia="Verdana" w:hAnsi="Verdana"/>
                <w:sz w:val="13"/>
                <w:szCs w:val="13"/>
                <w:color w:val="auto"/>
              </w:rPr>
              <w:t>(41,649)</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(13,349,215)</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17,035,840</w:t>
            </w:r>
          </w:p>
        </w:tc>
        <w:tc>
          <w:tcPr>
            <w:tcW w:w="14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1,363,813</w:t>
            </w:r>
          </w:p>
        </w:tc>
        <w:tc>
          <w:tcPr>
            <w:tcW w:w="138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1,395,525</w:t>
            </w:r>
          </w:p>
        </w:tc>
        <w:tc>
          <w:tcPr>
            <w:tcW w:w="1400" w:type="dxa"/>
            <w:vAlign w:val="bottom"/>
            <w:tcBorders>
              <w:bottom w:val="single" w:sz="8" w:color="1D428A"/>
            </w:tcBorders>
            <w:shd w:val="clear" w:color="auto" w:fill="D6E5F9"/>
          </w:tcPr>
          <w:p>
            <w:pPr>
              <w:jc w:val="right"/>
              <w:ind w:right="17"/>
              <w:spacing w:after="0"/>
              <w:rPr>
                <w:sz w:val="20"/>
                <w:szCs w:val="20"/>
                <w:color w:val="auto"/>
              </w:rPr>
            </w:pPr>
            <w:r>
              <w:rPr>
                <w:rFonts w:ascii="Verdana" w:cs="Verdana" w:eastAsia="Verdana" w:hAnsi="Verdana"/>
                <w:sz w:val="13"/>
                <w:szCs w:val="13"/>
                <w:color w:val="auto"/>
              </w:rPr>
              <w:t>25,295,686</w:t>
            </w:r>
          </w:p>
        </w:tc>
        <w:tc>
          <w:tcPr>
            <w:tcW w:w="0" w:type="dxa"/>
            <w:vAlign w:val="bottom"/>
          </w:tcPr>
          <w:p>
            <w:pPr>
              <w:spacing w:after="0"/>
              <w:rPr>
                <w:sz w:val="1"/>
                <w:szCs w:val="1"/>
                <w:color w:val="auto"/>
              </w:rPr>
            </w:pPr>
          </w:p>
        </w:tc>
      </w:tr>
      <w:tr>
        <w:trPr>
          <w:trHeight w:val="72"/>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5,368,345</w:t>
            </w:r>
          </w:p>
        </w:tc>
        <w:tc>
          <w:tcPr>
            <w:tcW w:w="1320" w:type="dxa"/>
            <w:vAlign w:val="bottom"/>
            <w:vMerge w:val="restart"/>
          </w:tcPr>
          <w:p>
            <w:pPr>
              <w:jc w:val="right"/>
              <w:ind w:right="59"/>
              <w:spacing w:after="0"/>
              <w:rPr>
                <w:sz w:val="20"/>
                <w:szCs w:val="20"/>
                <w:color w:val="auto"/>
              </w:rPr>
            </w:pPr>
            <w:r>
              <w:rPr>
                <w:rFonts w:ascii="Verdana" w:cs="Verdana" w:eastAsia="Verdana" w:hAnsi="Verdana"/>
                <w:sz w:val="13"/>
                <w:szCs w:val="13"/>
                <w:color w:val="auto"/>
              </w:rPr>
              <w:t>(16,970)</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(3,096,481)</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3,904,657</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670,357</w:t>
            </w:r>
          </w:p>
        </w:tc>
        <w:tc>
          <w:tcPr>
            <w:tcW w:w="1380" w:type="dxa"/>
            <w:vAlign w:val="bottom"/>
            <w:vMerge w:val="restart"/>
          </w:tcPr>
          <w:p>
            <w:pPr>
              <w:jc w:val="right"/>
              <w:spacing w:after="0"/>
              <w:rPr>
                <w:sz w:val="20"/>
                <w:szCs w:val="20"/>
                <w:color w:val="auto"/>
              </w:rPr>
            </w:pPr>
            <w:r>
              <w:rPr>
                <w:rFonts w:ascii="Verdana" w:cs="Verdana" w:eastAsia="Verdana" w:hAnsi="Verdana"/>
                <w:sz w:val="13"/>
                <w:szCs w:val="13"/>
                <w:color w:val="auto"/>
              </w:rPr>
              <w:t>382,074</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7,211,982</w:t>
            </w:r>
          </w:p>
        </w:tc>
        <w:tc>
          <w:tcPr>
            <w:tcW w:w="0" w:type="dxa"/>
            <w:vAlign w:val="bottom"/>
          </w:tcPr>
          <w:p>
            <w:pPr>
              <w:spacing w:after="0"/>
              <w:rPr>
                <w:sz w:val="1"/>
                <w:szCs w:val="1"/>
                <w:color w:val="auto"/>
              </w:rPr>
            </w:pPr>
          </w:p>
        </w:tc>
      </w:tr>
      <w:tr>
        <w:trPr>
          <w:trHeight w:val="118"/>
        </w:trPr>
        <w:tc>
          <w:tcPr>
            <w:tcW w:w="660" w:type="dxa"/>
            <w:vAlign w:val="bottom"/>
            <w:tcBorders>
              <w:bottom w:val="single" w:sz="8" w:color="B3B0AC"/>
            </w:tcBorders>
          </w:tcPr>
          <w:p>
            <w:pPr>
              <w:spacing w:after="0"/>
              <w:rPr>
                <w:sz w:val="10"/>
                <w:szCs w:val="10"/>
                <w:color w:val="auto"/>
              </w:rPr>
            </w:pPr>
          </w:p>
        </w:tc>
        <w:tc>
          <w:tcPr>
            <w:tcW w:w="1180" w:type="dxa"/>
            <w:vAlign w:val="bottom"/>
            <w:tcBorders>
              <w:bottom w:val="single" w:sz="8" w:color="B3B0AC"/>
            </w:tcBorders>
            <w:vMerge w:val="continue"/>
          </w:tcPr>
          <w:p>
            <w:pPr>
              <w:spacing w:after="0"/>
              <w:rPr>
                <w:sz w:val="10"/>
                <w:szCs w:val="10"/>
                <w:color w:val="auto"/>
              </w:rPr>
            </w:pPr>
          </w:p>
        </w:tc>
        <w:tc>
          <w:tcPr>
            <w:tcW w:w="1200" w:type="dxa"/>
            <w:vAlign w:val="bottom"/>
            <w:tcBorders>
              <w:bottom w:val="single" w:sz="8" w:color="B3B0AC"/>
            </w:tcBorders>
            <w:vMerge w:val="continue"/>
          </w:tcPr>
          <w:p>
            <w:pPr>
              <w:spacing w:after="0"/>
              <w:rPr>
                <w:sz w:val="10"/>
                <w:szCs w:val="10"/>
                <w:color w:val="auto"/>
              </w:rPr>
            </w:pPr>
          </w:p>
        </w:tc>
        <w:tc>
          <w:tcPr>
            <w:tcW w:w="1320" w:type="dxa"/>
            <w:vAlign w:val="bottom"/>
            <w:tcBorders>
              <w:bottom w:val="single" w:sz="8" w:color="B3B0AC"/>
            </w:tcBorders>
            <w:vMerge w:val="continue"/>
          </w:tcPr>
          <w:p>
            <w:pPr>
              <w:spacing w:after="0"/>
              <w:rPr>
                <w:sz w:val="10"/>
                <w:szCs w:val="10"/>
                <w:color w:val="auto"/>
              </w:rPr>
            </w:pPr>
          </w:p>
        </w:tc>
        <w:tc>
          <w:tcPr>
            <w:tcW w:w="1300" w:type="dxa"/>
            <w:vAlign w:val="bottom"/>
            <w:tcBorders>
              <w:bottom w:val="single" w:sz="8" w:color="B3B0AC"/>
            </w:tcBorders>
            <w:vMerge w:val="continue"/>
          </w:tcPr>
          <w:p>
            <w:pPr>
              <w:spacing w:after="0"/>
              <w:rPr>
                <w:sz w:val="10"/>
                <w:szCs w:val="10"/>
                <w:color w:val="auto"/>
              </w:rPr>
            </w:pPr>
          </w:p>
        </w:tc>
        <w:tc>
          <w:tcPr>
            <w:tcW w:w="136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B3B0AC"/>
            </w:tcBorders>
            <w:vMerge w:val="continue"/>
          </w:tcPr>
          <w:p>
            <w:pPr>
              <w:spacing w:after="0"/>
              <w:rPr>
                <w:sz w:val="10"/>
                <w:szCs w:val="10"/>
                <w:color w:val="auto"/>
              </w:rPr>
            </w:pPr>
          </w:p>
        </w:tc>
        <w:tc>
          <w:tcPr>
            <w:tcW w:w="138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1D428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2022</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15,376,344</w:t>
            </w:r>
          </w:p>
        </w:tc>
        <w:tc>
          <w:tcPr>
            <w:tcW w:w="1320" w:type="dxa"/>
            <w:vAlign w:val="bottom"/>
            <w:shd w:val="clear" w:color="auto" w:fill="D6E5F9"/>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(11,118,747)</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7,283,518</w:t>
            </w:r>
          </w:p>
        </w:tc>
        <w:tc>
          <w:tcPr>
            <w:tcW w:w="14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(3,867,535)</w:t>
            </w:r>
          </w:p>
        </w:tc>
        <w:tc>
          <w:tcPr>
            <w:tcW w:w="138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(2,850,787)</w:t>
            </w:r>
          </w:p>
        </w:tc>
        <w:tc>
          <w:tcPr>
            <w:tcW w:w="1400" w:type="dxa"/>
            <w:vAlign w:val="bottom"/>
            <w:tcBorders>
              <w:bottom w:val="single" w:sz="8" w:color="1D428A"/>
            </w:tcBorders>
            <w:shd w:val="clear" w:color="auto" w:fill="D6E5F9"/>
          </w:tcPr>
          <w:p>
            <w:pPr>
              <w:jc w:val="right"/>
              <w:ind w:right="17"/>
              <w:spacing w:after="0"/>
              <w:rPr>
                <w:sz w:val="20"/>
                <w:szCs w:val="20"/>
                <w:color w:val="auto"/>
              </w:rPr>
            </w:pPr>
            <w:r>
              <w:rPr>
                <w:rFonts w:ascii="Verdana" w:cs="Verdana" w:eastAsia="Verdana" w:hAnsi="Verdana"/>
                <w:sz w:val="13"/>
                <w:szCs w:val="13"/>
                <w:color w:val="auto"/>
              </w:rPr>
              <w:t>4,822,793</w:t>
            </w:r>
          </w:p>
        </w:tc>
        <w:tc>
          <w:tcPr>
            <w:tcW w:w="0" w:type="dxa"/>
            <w:vAlign w:val="bottom"/>
          </w:tcPr>
          <w:p>
            <w:pPr>
              <w:spacing w:after="0"/>
              <w:rPr>
                <w:sz w:val="1"/>
                <w:szCs w:val="1"/>
                <w:color w:val="auto"/>
              </w:rPr>
            </w:pPr>
          </w:p>
        </w:tc>
      </w:tr>
      <w:tr>
        <w:trPr>
          <w:trHeight w:val="72"/>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4,550,657</w:t>
            </w:r>
          </w:p>
        </w:tc>
        <w:tc>
          <w:tcPr>
            <w:tcW w:w="1320" w:type="dxa"/>
            <w:vAlign w:val="bottom"/>
            <w:vMerge w:val="restart"/>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(2,631,326)</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1,730,867</w:t>
            </w:r>
          </w:p>
        </w:tc>
        <w:tc>
          <w:tcPr>
            <w:tcW w:w="1400" w:type="dxa"/>
            <w:vAlign w:val="bottom"/>
            <w:vMerge w:val="restart"/>
          </w:tcPr>
          <w:p>
            <w:pPr>
              <w:jc w:val="right"/>
              <w:spacing w:after="0"/>
              <w:rPr>
                <w:sz w:val="20"/>
                <w:szCs w:val="20"/>
                <w:color w:val="auto"/>
              </w:rPr>
            </w:pPr>
            <w:r>
              <w:rPr>
                <w:rFonts w:ascii="Verdana" w:cs="Verdana" w:eastAsia="Verdana" w:hAnsi="Verdana"/>
                <w:sz w:val="13"/>
                <w:szCs w:val="13"/>
                <w:color w:val="auto"/>
              </w:rPr>
              <w:t>(2,238,827)</w:t>
            </w:r>
          </w:p>
        </w:tc>
        <w:tc>
          <w:tcPr>
            <w:tcW w:w="1380" w:type="dxa"/>
            <w:vAlign w:val="bottom"/>
            <w:vMerge w:val="restart"/>
          </w:tcPr>
          <w:p>
            <w:pPr>
              <w:jc w:val="right"/>
              <w:spacing w:after="0"/>
              <w:rPr>
                <w:sz w:val="20"/>
                <w:szCs w:val="20"/>
                <w:color w:val="auto"/>
              </w:rPr>
            </w:pPr>
            <w:r>
              <w:rPr>
                <w:rFonts w:ascii="Verdana" w:cs="Verdana" w:eastAsia="Verdana" w:hAnsi="Verdana"/>
                <w:sz w:val="13"/>
                <w:szCs w:val="13"/>
                <w:color w:val="auto"/>
              </w:rPr>
              <w:t>(881,241)</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530,130</w:t>
            </w:r>
          </w:p>
        </w:tc>
        <w:tc>
          <w:tcPr>
            <w:tcW w:w="0" w:type="dxa"/>
            <w:vAlign w:val="bottom"/>
          </w:tcPr>
          <w:p>
            <w:pPr>
              <w:spacing w:after="0"/>
              <w:rPr>
                <w:sz w:val="1"/>
                <w:szCs w:val="1"/>
                <w:color w:val="auto"/>
              </w:rPr>
            </w:pPr>
          </w:p>
        </w:tc>
      </w:tr>
      <w:tr>
        <w:trPr>
          <w:trHeight w:val="118"/>
        </w:trPr>
        <w:tc>
          <w:tcPr>
            <w:tcW w:w="660" w:type="dxa"/>
            <w:vAlign w:val="bottom"/>
            <w:tcBorders>
              <w:bottom w:val="single" w:sz="8" w:color="B3B0AC"/>
            </w:tcBorders>
          </w:tcPr>
          <w:p>
            <w:pPr>
              <w:spacing w:after="0"/>
              <w:rPr>
                <w:sz w:val="10"/>
                <w:szCs w:val="10"/>
                <w:color w:val="auto"/>
              </w:rPr>
            </w:pPr>
          </w:p>
        </w:tc>
        <w:tc>
          <w:tcPr>
            <w:tcW w:w="1180" w:type="dxa"/>
            <w:vAlign w:val="bottom"/>
            <w:tcBorders>
              <w:bottom w:val="single" w:sz="8" w:color="B3B0AC"/>
            </w:tcBorders>
            <w:vMerge w:val="continue"/>
          </w:tcPr>
          <w:p>
            <w:pPr>
              <w:spacing w:after="0"/>
              <w:rPr>
                <w:sz w:val="10"/>
                <w:szCs w:val="10"/>
                <w:color w:val="auto"/>
              </w:rPr>
            </w:pPr>
          </w:p>
        </w:tc>
        <w:tc>
          <w:tcPr>
            <w:tcW w:w="1200" w:type="dxa"/>
            <w:vAlign w:val="bottom"/>
            <w:tcBorders>
              <w:bottom w:val="single" w:sz="8" w:color="B3B0AC"/>
            </w:tcBorders>
            <w:vMerge w:val="continue"/>
          </w:tcPr>
          <w:p>
            <w:pPr>
              <w:spacing w:after="0"/>
              <w:rPr>
                <w:sz w:val="10"/>
                <w:szCs w:val="10"/>
                <w:color w:val="auto"/>
              </w:rPr>
            </w:pPr>
          </w:p>
        </w:tc>
        <w:tc>
          <w:tcPr>
            <w:tcW w:w="1320" w:type="dxa"/>
            <w:vAlign w:val="bottom"/>
            <w:tcBorders>
              <w:bottom w:val="single" w:sz="8" w:color="B3B0AC"/>
            </w:tcBorders>
            <w:vMerge w:val="continue"/>
          </w:tcPr>
          <w:p>
            <w:pPr>
              <w:spacing w:after="0"/>
              <w:rPr>
                <w:sz w:val="10"/>
                <w:szCs w:val="10"/>
                <w:color w:val="auto"/>
              </w:rPr>
            </w:pPr>
          </w:p>
        </w:tc>
        <w:tc>
          <w:tcPr>
            <w:tcW w:w="1300" w:type="dxa"/>
            <w:vAlign w:val="bottom"/>
            <w:tcBorders>
              <w:bottom w:val="single" w:sz="8" w:color="B3B0AC"/>
            </w:tcBorders>
            <w:vMerge w:val="continue"/>
          </w:tcPr>
          <w:p>
            <w:pPr>
              <w:spacing w:after="0"/>
              <w:rPr>
                <w:sz w:val="10"/>
                <w:szCs w:val="10"/>
                <w:color w:val="auto"/>
              </w:rPr>
            </w:pPr>
          </w:p>
        </w:tc>
        <w:tc>
          <w:tcPr>
            <w:tcW w:w="136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B3B0AC"/>
            </w:tcBorders>
            <w:vMerge w:val="continue"/>
          </w:tcPr>
          <w:p>
            <w:pPr>
              <w:spacing w:after="0"/>
              <w:rPr>
                <w:sz w:val="10"/>
                <w:szCs w:val="10"/>
                <w:color w:val="auto"/>
              </w:rPr>
            </w:pPr>
          </w:p>
        </w:tc>
        <w:tc>
          <w:tcPr>
            <w:tcW w:w="138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1D428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2021</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13,306,375</w:t>
            </w:r>
          </w:p>
        </w:tc>
        <w:tc>
          <w:tcPr>
            <w:tcW w:w="1320" w:type="dxa"/>
            <w:vAlign w:val="bottom"/>
            <w:shd w:val="clear" w:color="auto" w:fill="D6E5F9"/>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(9,737,072)</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12,089,428</w:t>
            </w:r>
          </w:p>
        </w:tc>
        <w:tc>
          <w:tcPr>
            <w:tcW w:w="14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1,757,058</w:t>
            </w:r>
          </w:p>
        </w:tc>
        <w:tc>
          <w:tcPr>
            <w:tcW w:w="138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6,028,251</w:t>
            </w:r>
          </w:p>
        </w:tc>
        <w:tc>
          <w:tcPr>
            <w:tcW w:w="1400" w:type="dxa"/>
            <w:vAlign w:val="bottom"/>
            <w:tcBorders>
              <w:bottom w:val="single" w:sz="8" w:color="1D428A"/>
            </w:tcBorders>
            <w:shd w:val="clear" w:color="auto" w:fill="D6E5F9"/>
          </w:tcPr>
          <w:p>
            <w:pPr>
              <w:jc w:val="right"/>
              <w:ind w:right="17"/>
              <w:spacing w:after="0"/>
              <w:rPr>
                <w:sz w:val="20"/>
                <w:szCs w:val="20"/>
                <w:color w:val="auto"/>
              </w:rPr>
            </w:pPr>
            <w:r>
              <w:rPr>
                <w:rFonts w:ascii="Verdana" w:cs="Verdana" w:eastAsia="Verdana" w:hAnsi="Verdana"/>
                <w:sz w:val="13"/>
                <w:szCs w:val="13"/>
                <w:color w:val="auto"/>
              </w:rPr>
              <w:t>23,444,040</w:t>
            </w:r>
          </w:p>
        </w:tc>
        <w:tc>
          <w:tcPr>
            <w:tcW w:w="0" w:type="dxa"/>
            <w:vAlign w:val="bottom"/>
          </w:tcPr>
          <w:p>
            <w:pPr>
              <w:spacing w:after="0"/>
              <w:rPr>
                <w:sz w:val="1"/>
                <w:szCs w:val="1"/>
                <w:color w:val="auto"/>
              </w:rPr>
            </w:pPr>
          </w:p>
        </w:tc>
      </w:tr>
      <w:tr>
        <w:trPr>
          <w:trHeight w:val="72"/>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4,073,394</w:t>
            </w:r>
          </w:p>
        </w:tc>
        <w:tc>
          <w:tcPr>
            <w:tcW w:w="1320" w:type="dxa"/>
            <w:vAlign w:val="bottom"/>
            <w:vMerge w:val="restart"/>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(2,431,458)</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3,009,472</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1,110,158</w:t>
            </w:r>
          </w:p>
        </w:tc>
        <w:tc>
          <w:tcPr>
            <w:tcW w:w="1380" w:type="dxa"/>
            <w:vAlign w:val="bottom"/>
            <w:vMerge w:val="restart"/>
          </w:tcPr>
          <w:p>
            <w:pPr>
              <w:jc w:val="right"/>
              <w:spacing w:after="0"/>
              <w:rPr>
                <w:sz w:val="20"/>
                <w:szCs w:val="20"/>
                <w:color w:val="auto"/>
              </w:rPr>
            </w:pPr>
            <w:r>
              <w:rPr>
                <w:rFonts w:ascii="Verdana" w:cs="Verdana" w:eastAsia="Verdana" w:hAnsi="Verdana"/>
                <w:sz w:val="13"/>
                <w:szCs w:val="13"/>
                <w:color w:val="auto"/>
              </w:rPr>
              <w:t>949,771</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6,711,337</w:t>
            </w:r>
          </w:p>
        </w:tc>
        <w:tc>
          <w:tcPr>
            <w:tcW w:w="0" w:type="dxa"/>
            <w:vAlign w:val="bottom"/>
          </w:tcPr>
          <w:p>
            <w:pPr>
              <w:spacing w:after="0"/>
              <w:rPr>
                <w:sz w:val="1"/>
                <w:szCs w:val="1"/>
                <w:color w:val="auto"/>
              </w:rPr>
            </w:pPr>
          </w:p>
        </w:tc>
      </w:tr>
      <w:tr>
        <w:trPr>
          <w:trHeight w:val="117"/>
        </w:trPr>
        <w:tc>
          <w:tcPr>
            <w:tcW w:w="660" w:type="dxa"/>
            <w:vAlign w:val="bottom"/>
            <w:tcBorders>
              <w:bottom w:val="single" w:sz="8" w:color="B3B0AC"/>
            </w:tcBorders>
          </w:tcPr>
          <w:p>
            <w:pPr>
              <w:spacing w:after="0"/>
              <w:rPr>
                <w:sz w:val="10"/>
                <w:szCs w:val="10"/>
                <w:color w:val="auto"/>
              </w:rPr>
            </w:pPr>
          </w:p>
        </w:tc>
        <w:tc>
          <w:tcPr>
            <w:tcW w:w="1180" w:type="dxa"/>
            <w:vAlign w:val="bottom"/>
            <w:tcBorders>
              <w:bottom w:val="single" w:sz="8" w:color="B3B0AC"/>
            </w:tcBorders>
            <w:vMerge w:val="continue"/>
          </w:tcPr>
          <w:p>
            <w:pPr>
              <w:spacing w:after="0"/>
              <w:rPr>
                <w:sz w:val="10"/>
                <w:szCs w:val="10"/>
                <w:color w:val="auto"/>
              </w:rPr>
            </w:pPr>
          </w:p>
        </w:tc>
        <w:tc>
          <w:tcPr>
            <w:tcW w:w="1200" w:type="dxa"/>
            <w:vAlign w:val="bottom"/>
            <w:tcBorders>
              <w:bottom w:val="single" w:sz="8" w:color="B3B0AC"/>
            </w:tcBorders>
            <w:vMerge w:val="continue"/>
          </w:tcPr>
          <w:p>
            <w:pPr>
              <w:spacing w:after="0"/>
              <w:rPr>
                <w:sz w:val="10"/>
                <w:szCs w:val="10"/>
                <w:color w:val="auto"/>
              </w:rPr>
            </w:pPr>
          </w:p>
        </w:tc>
        <w:tc>
          <w:tcPr>
            <w:tcW w:w="1320" w:type="dxa"/>
            <w:vAlign w:val="bottom"/>
            <w:tcBorders>
              <w:bottom w:val="single" w:sz="8" w:color="B3B0AC"/>
            </w:tcBorders>
            <w:vMerge w:val="continue"/>
          </w:tcPr>
          <w:p>
            <w:pPr>
              <w:spacing w:after="0"/>
              <w:rPr>
                <w:sz w:val="10"/>
                <w:szCs w:val="10"/>
                <w:color w:val="auto"/>
              </w:rPr>
            </w:pPr>
          </w:p>
        </w:tc>
        <w:tc>
          <w:tcPr>
            <w:tcW w:w="1300" w:type="dxa"/>
            <w:vAlign w:val="bottom"/>
            <w:tcBorders>
              <w:bottom w:val="single" w:sz="8" w:color="B3B0AC"/>
            </w:tcBorders>
            <w:vMerge w:val="continue"/>
          </w:tcPr>
          <w:p>
            <w:pPr>
              <w:spacing w:after="0"/>
              <w:rPr>
                <w:sz w:val="10"/>
                <w:szCs w:val="10"/>
                <w:color w:val="auto"/>
              </w:rPr>
            </w:pPr>
          </w:p>
        </w:tc>
        <w:tc>
          <w:tcPr>
            <w:tcW w:w="136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B3B0AC"/>
            </w:tcBorders>
            <w:vMerge w:val="continue"/>
          </w:tcPr>
          <w:p>
            <w:pPr>
              <w:spacing w:after="0"/>
              <w:rPr>
                <w:sz w:val="10"/>
                <w:szCs w:val="10"/>
                <w:color w:val="auto"/>
              </w:rPr>
            </w:pPr>
          </w:p>
        </w:tc>
        <w:tc>
          <w:tcPr>
            <w:tcW w:w="138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1D428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2020</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14,714,769</w:t>
            </w:r>
          </w:p>
        </w:tc>
        <w:tc>
          <w:tcPr>
            <w:tcW w:w="1320" w:type="dxa"/>
            <w:vAlign w:val="bottom"/>
            <w:shd w:val="clear" w:color="auto" w:fill="D6E5F9"/>
          </w:tcPr>
          <w:p>
            <w:pPr>
              <w:jc w:val="right"/>
              <w:ind w:right="59"/>
              <w:spacing w:after="0"/>
              <w:rPr>
                <w:sz w:val="20"/>
                <w:szCs w:val="20"/>
                <w:color w:val="auto"/>
              </w:rPr>
            </w:pPr>
            <w:r>
              <w:rPr>
                <w:rFonts w:ascii="Verdana" w:cs="Verdana" w:eastAsia="Verdana" w:hAnsi="Verdana"/>
                <w:sz w:val="13"/>
                <w:szCs w:val="13"/>
                <w:color w:val="auto"/>
              </w:rPr>
              <w:t>(366,594)</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(11,700,831)</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14,420,251</w:t>
            </w:r>
          </w:p>
        </w:tc>
        <w:tc>
          <w:tcPr>
            <w:tcW w:w="14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126,205</w:t>
            </w:r>
          </w:p>
        </w:tc>
        <w:tc>
          <w:tcPr>
            <w:tcW w:w="138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(1,031,611)</w:t>
            </w:r>
          </w:p>
        </w:tc>
        <w:tc>
          <w:tcPr>
            <w:tcW w:w="1400" w:type="dxa"/>
            <w:vAlign w:val="bottom"/>
            <w:tcBorders>
              <w:bottom w:val="single" w:sz="8" w:color="1D428A"/>
            </w:tcBorders>
            <w:shd w:val="clear" w:color="auto" w:fill="D6E5F9"/>
          </w:tcPr>
          <w:p>
            <w:pPr>
              <w:jc w:val="right"/>
              <w:ind w:right="17"/>
              <w:spacing w:after="0"/>
              <w:rPr>
                <w:sz w:val="20"/>
                <w:szCs w:val="20"/>
                <w:color w:val="auto"/>
              </w:rPr>
            </w:pPr>
            <w:r>
              <w:rPr>
                <w:rFonts w:ascii="Verdana" w:cs="Verdana" w:eastAsia="Verdana" w:hAnsi="Verdana"/>
                <w:sz w:val="13"/>
                <w:szCs w:val="13"/>
                <w:color w:val="auto"/>
              </w:rPr>
              <w:t>16,162,189</w:t>
            </w:r>
          </w:p>
        </w:tc>
        <w:tc>
          <w:tcPr>
            <w:tcW w:w="0" w:type="dxa"/>
            <w:vAlign w:val="bottom"/>
          </w:tcPr>
          <w:p>
            <w:pPr>
              <w:spacing w:after="0"/>
              <w:rPr>
                <w:sz w:val="1"/>
                <w:szCs w:val="1"/>
                <w:color w:val="auto"/>
              </w:rPr>
            </w:pPr>
          </w:p>
        </w:tc>
      </w:tr>
      <w:tr>
        <w:trPr>
          <w:trHeight w:val="72"/>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4,507,854</w:t>
            </w:r>
          </w:p>
        </w:tc>
        <w:tc>
          <w:tcPr>
            <w:tcW w:w="1320" w:type="dxa"/>
            <w:vAlign w:val="bottom"/>
            <w:vMerge w:val="restart"/>
          </w:tcPr>
          <w:p>
            <w:pPr>
              <w:jc w:val="right"/>
              <w:ind w:right="59"/>
              <w:spacing w:after="0"/>
              <w:rPr>
                <w:sz w:val="20"/>
                <w:szCs w:val="20"/>
                <w:color w:val="auto"/>
              </w:rPr>
            </w:pPr>
            <w:r>
              <w:rPr>
                <w:rFonts w:ascii="Verdana" w:cs="Verdana" w:eastAsia="Verdana" w:hAnsi="Verdana"/>
                <w:sz w:val="13"/>
                <w:szCs w:val="13"/>
                <w:color w:val="auto"/>
              </w:rPr>
              <w:t>(65,707)</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(3,194,013)</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3,909,610</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506,184</w:t>
            </w:r>
          </w:p>
        </w:tc>
        <w:tc>
          <w:tcPr>
            <w:tcW w:w="1380" w:type="dxa"/>
            <w:vAlign w:val="bottom"/>
            <w:vMerge w:val="restart"/>
          </w:tcPr>
          <w:p>
            <w:pPr>
              <w:jc w:val="right"/>
              <w:spacing w:after="0"/>
              <w:rPr>
                <w:sz w:val="20"/>
                <w:szCs w:val="20"/>
                <w:color w:val="auto"/>
              </w:rPr>
            </w:pPr>
            <w:r>
              <w:rPr>
                <w:rFonts w:ascii="Verdana" w:cs="Verdana" w:eastAsia="Verdana" w:hAnsi="Verdana"/>
                <w:sz w:val="13"/>
                <w:szCs w:val="13"/>
                <w:color w:val="auto"/>
              </w:rPr>
              <w:t>33,249</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5,697,177</w:t>
            </w:r>
          </w:p>
        </w:tc>
        <w:tc>
          <w:tcPr>
            <w:tcW w:w="0" w:type="dxa"/>
            <w:vAlign w:val="bottom"/>
          </w:tcPr>
          <w:p>
            <w:pPr>
              <w:spacing w:after="0"/>
              <w:rPr>
                <w:sz w:val="1"/>
                <w:szCs w:val="1"/>
                <w:color w:val="auto"/>
              </w:rPr>
            </w:pPr>
          </w:p>
        </w:tc>
      </w:tr>
      <w:tr>
        <w:trPr>
          <w:trHeight w:val="131"/>
        </w:trPr>
        <w:tc>
          <w:tcPr>
            <w:tcW w:w="660" w:type="dxa"/>
            <w:vAlign w:val="bottom"/>
            <w:tcBorders>
              <w:bottom w:val="single" w:sz="8" w:color="B3B0AC"/>
            </w:tcBorders>
          </w:tcPr>
          <w:p>
            <w:pPr>
              <w:spacing w:after="0"/>
              <w:rPr>
                <w:sz w:val="11"/>
                <w:szCs w:val="11"/>
                <w:color w:val="auto"/>
              </w:rPr>
            </w:pPr>
          </w:p>
        </w:tc>
        <w:tc>
          <w:tcPr>
            <w:tcW w:w="1180" w:type="dxa"/>
            <w:vAlign w:val="bottom"/>
            <w:tcBorders>
              <w:bottom w:val="single" w:sz="8" w:color="B3B0AC"/>
            </w:tcBorders>
            <w:vMerge w:val="continue"/>
          </w:tcPr>
          <w:p>
            <w:pPr>
              <w:spacing w:after="0"/>
              <w:rPr>
                <w:sz w:val="11"/>
                <w:szCs w:val="11"/>
                <w:color w:val="auto"/>
              </w:rPr>
            </w:pPr>
          </w:p>
        </w:tc>
        <w:tc>
          <w:tcPr>
            <w:tcW w:w="1200" w:type="dxa"/>
            <w:vAlign w:val="bottom"/>
            <w:tcBorders>
              <w:bottom w:val="single" w:sz="8" w:color="B3B0AC"/>
            </w:tcBorders>
            <w:vMerge w:val="continue"/>
          </w:tcPr>
          <w:p>
            <w:pPr>
              <w:spacing w:after="0"/>
              <w:rPr>
                <w:sz w:val="11"/>
                <w:szCs w:val="11"/>
                <w:color w:val="auto"/>
              </w:rPr>
            </w:pPr>
          </w:p>
        </w:tc>
        <w:tc>
          <w:tcPr>
            <w:tcW w:w="1320" w:type="dxa"/>
            <w:vAlign w:val="bottom"/>
            <w:tcBorders>
              <w:bottom w:val="single" w:sz="8" w:color="B3B0AC"/>
            </w:tcBorders>
            <w:vMerge w:val="continue"/>
          </w:tcPr>
          <w:p>
            <w:pPr>
              <w:spacing w:after="0"/>
              <w:rPr>
                <w:sz w:val="11"/>
                <w:szCs w:val="11"/>
                <w:color w:val="auto"/>
              </w:rPr>
            </w:pPr>
          </w:p>
        </w:tc>
        <w:tc>
          <w:tcPr>
            <w:tcW w:w="1300" w:type="dxa"/>
            <w:vAlign w:val="bottom"/>
            <w:tcBorders>
              <w:bottom w:val="single" w:sz="8" w:color="B3B0AC"/>
            </w:tcBorders>
            <w:vMerge w:val="continue"/>
          </w:tcPr>
          <w:p>
            <w:pPr>
              <w:spacing w:after="0"/>
              <w:rPr>
                <w:sz w:val="11"/>
                <w:szCs w:val="11"/>
                <w:color w:val="auto"/>
              </w:rPr>
            </w:pPr>
          </w:p>
        </w:tc>
        <w:tc>
          <w:tcPr>
            <w:tcW w:w="1360" w:type="dxa"/>
            <w:vAlign w:val="bottom"/>
            <w:tcBorders>
              <w:bottom w:val="single" w:sz="8" w:color="B3B0AC"/>
            </w:tcBorders>
            <w:vMerge w:val="continue"/>
          </w:tcPr>
          <w:p>
            <w:pPr>
              <w:spacing w:after="0"/>
              <w:rPr>
                <w:sz w:val="11"/>
                <w:szCs w:val="11"/>
                <w:color w:val="auto"/>
              </w:rPr>
            </w:pPr>
          </w:p>
        </w:tc>
        <w:tc>
          <w:tcPr>
            <w:tcW w:w="1400" w:type="dxa"/>
            <w:vAlign w:val="bottom"/>
            <w:tcBorders>
              <w:bottom w:val="single" w:sz="8" w:color="B3B0AC"/>
            </w:tcBorders>
            <w:vMerge w:val="continue"/>
          </w:tcPr>
          <w:p>
            <w:pPr>
              <w:spacing w:after="0"/>
              <w:rPr>
                <w:sz w:val="11"/>
                <w:szCs w:val="11"/>
                <w:color w:val="auto"/>
              </w:rPr>
            </w:pPr>
          </w:p>
        </w:tc>
        <w:tc>
          <w:tcPr>
            <w:tcW w:w="1380" w:type="dxa"/>
            <w:vAlign w:val="bottom"/>
            <w:tcBorders>
              <w:bottom w:val="single" w:sz="8" w:color="B3B0AC"/>
            </w:tcBorders>
            <w:vMerge w:val="continue"/>
          </w:tcPr>
          <w:p>
            <w:pPr>
              <w:spacing w:after="0"/>
              <w:rPr>
                <w:sz w:val="11"/>
                <w:szCs w:val="11"/>
                <w:color w:val="auto"/>
              </w:rPr>
            </w:pPr>
          </w:p>
        </w:tc>
        <w:tc>
          <w:tcPr>
            <w:tcW w:w="1400" w:type="dxa"/>
            <w:vAlign w:val="bottom"/>
            <w:tcBorders>
              <w:bottom w:val="single" w:sz="8" w:color="B3B0AC"/>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40" w:hanging="332"/>
        <w:spacing w:after="0" w:line="244" w:lineRule="auto"/>
        <w:tabs>
          <w:tab w:leader="none" w:pos="332" w:val="left"/>
        </w:tabs>
        <w:numPr>
          <w:ilvl w:val="0"/>
          <w:numId w:val="118"/>
        </w:numPr>
        <w:rPr>
          <w:rFonts w:ascii="Verdana" w:cs="Verdana" w:eastAsia="Verdana" w:hAnsi="Verdana"/>
          <w:sz w:val="14"/>
          <w:szCs w:val="14"/>
          <w:color w:val="auto"/>
        </w:rPr>
      </w:pPr>
      <w:r>
        <w:rPr>
          <w:rFonts w:ascii="Verdana" w:cs="Verdana" w:eastAsia="Verdana" w:hAnsi="Verdana"/>
          <w:sz w:val="14"/>
          <w:szCs w:val="14"/>
          <w:color w:val="auto"/>
        </w:rPr>
        <w:t>Reflects a deduction for the aggregate change in the actuarial present value of the amounts reported in the “Change in Pension Value and Nonqualified Deferred Compensation Earnings” column of the Summary Compensation Table. For all years, there was no pension value attributable to “service cost” or “prior service cost,” so no adjustments are reflected for these values required to be added as part of the CAP pension valuation adjustments.</w:t>
      </w:r>
    </w:p>
    <w:p>
      <w:pPr>
        <w:spacing w:after="0" w:line="169" w:lineRule="exact"/>
        <w:rPr>
          <w:rFonts w:ascii="Verdana" w:cs="Verdana" w:eastAsia="Verdana" w:hAnsi="Verdana"/>
          <w:sz w:val="14"/>
          <w:szCs w:val="14"/>
          <w:color w:val="auto"/>
        </w:rPr>
      </w:pPr>
    </w:p>
    <w:p>
      <w:pPr>
        <w:ind w:left="340" w:right="80" w:hanging="332"/>
        <w:spacing w:after="0" w:line="253" w:lineRule="auto"/>
        <w:tabs>
          <w:tab w:leader="none" w:pos="332" w:val="left"/>
        </w:tabs>
        <w:numPr>
          <w:ilvl w:val="0"/>
          <w:numId w:val="118"/>
        </w:numPr>
        <w:rPr>
          <w:rFonts w:ascii="Verdana" w:cs="Verdana" w:eastAsia="Verdana" w:hAnsi="Verdana"/>
          <w:sz w:val="14"/>
          <w:szCs w:val="14"/>
          <w:color w:val="auto"/>
        </w:rPr>
      </w:pPr>
      <w:r>
        <w:rPr>
          <w:rFonts w:ascii="Verdana" w:cs="Verdana" w:eastAsia="Verdana" w:hAnsi="Verdana"/>
          <w:sz w:val="14"/>
          <w:szCs w:val="14"/>
          <w:color w:val="auto"/>
        </w:rPr>
        <w:t>For all years, (a) no equity awards vested in the year of grant, (b) no equity awards granted in prior years were forfeited, (c) no equity awards were modified during the year, and (d) no dividends or other earnings were paid prior to the applicable vesting date that were not otherwise accounted for in total compensation for the year, so no adjustments are reflected for these values required to be added as part of the CAP equity award adjustments. The fair value of option and stock awards is determined in accordance with ASC 718, “Compensation – Stock Compensation.” The fair value of outstanding performance-based stock awards reflects the expected performance results as of year-end.</w:t>
      </w:r>
    </w:p>
    <w:p>
      <w:pPr>
        <w:spacing w:after="0" w:line="71" w:lineRule="exact"/>
        <w:rPr>
          <w:sz w:val="20"/>
          <w:szCs w:val="20"/>
          <w:color w:val="auto"/>
        </w:rPr>
      </w:pPr>
    </w:p>
    <w:p>
      <w:pPr>
        <w:spacing w:after="0"/>
        <w:rPr>
          <w:sz w:val="20"/>
          <w:szCs w:val="20"/>
          <w:color w:val="auto"/>
        </w:rPr>
      </w:pPr>
      <w:r>
        <w:rPr>
          <w:rFonts w:ascii="Verdana" w:cs="Verdana" w:eastAsia="Verdana" w:hAnsi="Verdana"/>
          <w:sz w:val="16"/>
          <w:szCs w:val="16"/>
          <w:color w:val="auto"/>
        </w:rPr>
        <w:t>In the tables above, changes in our stock price following the grant date of an equity award impact reported CAP values. The values</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reported above in each year, and over the five-year cumulative period, reflect how the awarded compensation can fluctuate year-over-year, largely as a result of the measurement date stock price, among other factors. This illustrates our pay-for-performance philosophy,</w:t>
      </w:r>
    </w:p>
    <w:p>
      <w:pPr>
        <w:spacing w:after="0" w:line="1"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as well as the design of our compensation program. The values in the table above reflect that the compensation of our CEO and our non-CEO NEOs is higher when our stock price increases and lower when the stock price decreases, demonstrating the clear alignment of the interests of our CEO and non-CEO NEOs and our shareholders.</w:t>
      </w:r>
    </w:p>
    <w:p>
      <w:pPr>
        <w:spacing w:after="0" w:line="98"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The values in the table above are based on the measurement date stock price, as required under the PVP disclosure rule. Since 2020, most industries including automotive have been significantly impacted by the ongoing challenges of the COVID-19 pandemic and supply</w:t>
      </w:r>
    </w:p>
    <w:p>
      <w:pPr>
        <w:spacing w:after="0" w:line="1" w:lineRule="exact"/>
        <w:rPr>
          <w:sz w:val="20"/>
          <w:szCs w:val="20"/>
          <w:color w:val="auto"/>
        </w:rPr>
      </w:pPr>
    </w:p>
    <w:p>
      <w:pPr>
        <w:ind w:right="240"/>
        <w:spacing w:after="0" w:line="253" w:lineRule="auto"/>
        <w:rPr>
          <w:sz w:val="20"/>
          <w:szCs w:val="20"/>
          <w:color w:val="auto"/>
        </w:rPr>
      </w:pPr>
      <w:r>
        <w:rPr>
          <w:rFonts w:ascii="Verdana" w:cs="Verdana" w:eastAsia="Verdana" w:hAnsi="Verdana"/>
          <w:sz w:val="16"/>
          <w:szCs w:val="16"/>
          <w:color w:val="auto"/>
        </w:rPr>
        <w:t>chain disruptions, and our stock price fluctuated significantly during this period with the low stock price, high stock price and year-end stock price during each applicable year shown in the table below:</w:t>
      </w:r>
    </w:p>
    <w:p>
      <w:pPr>
        <w:spacing w:after="0" w:line="97" w:lineRule="exact"/>
        <w:rPr>
          <w:sz w:val="20"/>
          <w:szCs w:val="20"/>
          <w:color w:val="auto"/>
        </w:rPr>
      </w:pPr>
    </w:p>
    <w:tbl>
      <w:tblPr>
        <w:tblLayout w:type="fixed"/>
        <w:tblInd w:w="3040" w:type="dxa"/>
        <w:tblCellMar>
          <w:top w:w="0" w:type="dxa"/>
          <w:left w:w="0" w:type="dxa"/>
          <w:bottom w:w="0" w:type="dxa"/>
          <w:right w:w="0" w:type="dxa"/>
        </w:tblCellMar>
      </w:tblPr>
      <w:tr>
        <w:trPr>
          <w:trHeight w:val="220"/>
        </w:trPr>
        <w:tc>
          <w:tcPr>
            <w:tcW w:w="820" w:type="dxa"/>
            <w:vAlign w:val="bottom"/>
            <w:tcBorders>
              <w:top w:val="single" w:sz="8" w:color="696158"/>
            </w:tcBorders>
          </w:tcPr>
          <w:p>
            <w:pPr>
              <w:spacing w:after="0"/>
              <w:rPr>
                <w:sz w:val="19"/>
                <w:szCs w:val="19"/>
                <w:color w:val="auto"/>
              </w:rPr>
            </w:pPr>
          </w:p>
        </w:tc>
        <w:tc>
          <w:tcPr>
            <w:tcW w:w="1580" w:type="dxa"/>
            <w:vAlign w:val="bottom"/>
            <w:tcBorders>
              <w:top w:val="single" w:sz="8" w:color="696158"/>
            </w:tcBorders>
          </w:tcPr>
          <w:p>
            <w:pPr>
              <w:jc w:val="right"/>
              <w:ind w:right="248"/>
              <w:spacing w:after="0"/>
              <w:rPr>
                <w:sz w:val="20"/>
                <w:szCs w:val="20"/>
                <w:color w:val="auto"/>
              </w:rPr>
            </w:pPr>
            <w:r>
              <w:rPr>
                <w:rFonts w:ascii="Verdana" w:cs="Verdana" w:eastAsia="Verdana" w:hAnsi="Verdana"/>
                <w:sz w:val="14"/>
                <w:szCs w:val="14"/>
                <w:b w:val="1"/>
                <w:bCs w:val="1"/>
                <w:color w:val="307FE2"/>
              </w:rPr>
              <w:t>Stock Price</w:t>
            </w:r>
          </w:p>
        </w:tc>
        <w:tc>
          <w:tcPr>
            <w:tcW w:w="1420" w:type="dxa"/>
            <w:vAlign w:val="bottom"/>
            <w:tcBorders>
              <w:top w:val="single" w:sz="8" w:color="696158"/>
            </w:tcBorders>
          </w:tcPr>
          <w:p>
            <w:pPr>
              <w:jc w:val="right"/>
              <w:ind w:right="128"/>
              <w:spacing w:after="0"/>
              <w:rPr>
                <w:sz w:val="20"/>
                <w:szCs w:val="20"/>
                <w:color w:val="auto"/>
              </w:rPr>
            </w:pPr>
            <w:r>
              <w:rPr>
                <w:rFonts w:ascii="Verdana" w:cs="Verdana" w:eastAsia="Verdana" w:hAnsi="Verdana"/>
                <w:sz w:val="14"/>
                <w:szCs w:val="14"/>
                <w:b w:val="1"/>
                <w:bCs w:val="1"/>
                <w:color w:val="307FE2"/>
              </w:rPr>
              <w:t>Stock Price</w:t>
            </w:r>
          </w:p>
        </w:tc>
        <w:tc>
          <w:tcPr>
            <w:tcW w:w="1360" w:type="dxa"/>
            <w:vAlign w:val="bottom"/>
            <w:tcBorders>
              <w:top w:val="single" w:sz="8" w:color="696158"/>
            </w:tcBorders>
          </w:tcPr>
          <w:p>
            <w:pPr>
              <w:jc w:val="right"/>
              <w:spacing w:after="0"/>
              <w:rPr>
                <w:sz w:val="20"/>
                <w:szCs w:val="20"/>
                <w:color w:val="auto"/>
              </w:rPr>
            </w:pPr>
            <w:r>
              <w:rPr>
                <w:rFonts w:ascii="Verdana" w:cs="Verdana" w:eastAsia="Verdana" w:hAnsi="Verdana"/>
                <w:sz w:val="14"/>
                <w:szCs w:val="14"/>
                <w:b w:val="1"/>
                <w:bCs w:val="1"/>
                <w:color w:val="307FE2"/>
              </w:rPr>
              <w:t>Stock Price at</w:t>
            </w:r>
          </w:p>
        </w:tc>
        <w:tc>
          <w:tcPr>
            <w:tcW w:w="0" w:type="dxa"/>
            <w:vAlign w:val="bottom"/>
          </w:tcPr>
          <w:p>
            <w:pPr>
              <w:spacing w:after="0"/>
              <w:rPr>
                <w:sz w:val="1"/>
                <w:szCs w:val="1"/>
                <w:color w:val="auto"/>
              </w:rPr>
            </w:pPr>
          </w:p>
        </w:tc>
      </w:tr>
      <w:tr>
        <w:trPr>
          <w:trHeight w:val="176"/>
        </w:trPr>
        <w:tc>
          <w:tcPr>
            <w:tcW w:w="820" w:type="dxa"/>
            <w:vAlign w:val="bottom"/>
            <w:vMerge w:val="restart"/>
          </w:tcPr>
          <w:p>
            <w:pPr>
              <w:ind w:left="100"/>
              <w:spacing w:after="0"/>
              <w:rPr>
                <w:sz w:val="20"/>
                <w:szCs w:val="20"/>
                <w:color w:val="auto"/>
              </w:rPr>
            </w:pPr>
            <w:r>
              <w:rPr>
                <w:rFonts w:ascii="Verdana" w:cs="Verdana" w:eastAsia="Verdana" w:hAnsi="Verdana"/>
                <w:sz w:val="14"/>
                <w:szCs w:val="14"/>
                <w:b w:val="1"/>
                <w:bCs w:val="1"/>
                <w:color w:val="307FE2"/>
              </w:rPr>
              <w:t>Year</w:t>
            </w:r>
          </w:p>
        </w:tc>
        <w:tc>
          <w:tcPr>
            <w:tcW w:w="1580" w:type="dxa"/>
            <w:vAlign w:val="bottom"/>
          </w:tcPr>
          <w:p>
            <w:pPr>
              <w:jc w:val="right"/>
              <w:ind w:right="248"/>
              <w:spacing w:after="0"/>
              <w:rPr>
                <w:sz w:val="20"/>
                <w:szCs w:val="20"/>
                <w:color w:val="auto"/>
              </w:rPr>
            </w:pPr>
            <w:r>
              <w:rPr>
                <w:rFonts w:ascii="Verdana" w:cs="Verdana" w:eastAsia="Verdana" w:hAnsi="Verdana"/>
                <w:sz w:val="14"/>
                <w:szCs w:val="14"/>
                <w:b w:val="1"/>
                <w:bCs w:val="1"/>
                <w:color w:val="307FE2"/>
              </w:rPr>
              <w:t>Low</w:t>
            </w:r>
          </w:p>
        </w:tc>
        <w:tc>
          <w:tcPr>
            <w:tcW w:w="1420" w:type="dxa"/>
            <w:vAlign w:val="bottom"/>
          </w:tcPr>
          <w:p>
            <w:pPr>
              <w:jc w:val="right"/>
              <w:ind w:right="128"/>
              <w:spacing w:after="0"/>
              <w:rPr>
                <w:sz w:val="20"/>
                <w:szCs w:val="20"/>
                <w:color w:val="auto"/>
              </w:rPr>
            </w:pPr>
            <w:r>
              <w:rPr>
                <w:rFonts w:ascii="Verdana" w:cs="Verdana" w:eastAsia="Verdana" w:hAnsi="Verdana"/>
                <w:sz w:val="14"/>
                <w:szCs w:val="14"/>
                <w:b w:val="1"/>
                <w:bCs w:val="1"/>
                <w:color w:val="307FE2"/>
              </w:rPr>
              <w:t>High</w:t>
            </w:r>
          </w:p>
        </w:tc>
        <w:tc>
          <w:tcPr>
            <w:tcW w:w="1360" w:type="dxa"/>
            <w:vAlign w:val="bottom"/>
          </w:tcPr>
          <w:p>
            <w:pPr>
              <w:jc w:val="right"/>
              <w:spacing w:after="0"/>
              <w:rPr>
                <w:sz w:val="20"/>
                <w:szCs w:val="20"/>
                <w:color w:val="auto"/>
              </w:rPr>
            </w:pPr>
            <w:r>
              <w:rPr>
                <w:rFonts w:ascii="Verdana" w:cs="Verdana" w:eastAsia="Verdana" w:hAnsi="Verdana"/>
                <w:sz w:val="14"/>
                <w:szCs w:val="14"/>
                <w:b w:val="1"/>
                <w:bCs w:val="1"/>
                <w:color w:val="307FE2"/>
              </w:rPr>
              <w:t>Year-End</w:t>
            </w:r>
          </w:p>
        </w:tc>
        <w:tc>
          <w:tcPr>
            <w:tcW w:w="0" w:type="dxa"/>
            <w:vAlign w:val="bottom"/>
          </w:tcPr>
          <w:p>
            <w:pPr>
              <w:spacing w:after="0"/>
              <w:rPr>
                <w:sz w:val="1"/>
                <w:szCs w:val="1"/>
                <w:color w:val="auto"/>
              </w:rPr>
            </w:pPr>
          </w:p>
        </w:tc>
      </w:tr>
      <w:tr>
        <w:trPr>
          <w:trHeight w:val="193"/>
        </w:trPr>
        <w:tc>
          <w:tcPr>
            <w:tcW w:w="820" w:type="dxa"/>
            <w:vAlign w:val="bottom"/>
            <w:tcBorders>
              <w:bottom w:val="single" w:sz="8" w:color="1D428A"/>
            </w:tcBorders>
            <w:vMerge w:val="continue"/>
          </w:tcPr>
          <w:p>
            <w:pPr>
              <w:spacing w:after="0"/>
              <w:rPr>
                <w:sz w:val="16"/>
                <w:szCs w:val="16"/>
                <w:color w:val="auto"/>
              </w:rPr>
            </w:pPr>
          </w:p>
        </w:tc>
        <w:tc>
          <w:tcPr>
            <w:tcW w:w="1580" w:type="dxa"/>
            <w:vAlign w:val="bottom"/>
            <w:tcBorders>
              <w:bottom w:val="single" w:sz="8" w:color="1D428A"/>
            </w:tcBorders>
          </w:tcPr>
          <w:p>
            <w:pPr>
              <w:jc w:val="right"/>
              <w:ind w:right="248"/>
              <w:spacing w:after="0"/>
              <w:rPr>
                <w:sz w:val="20"/>
                <w:szCs w:val="20"/>
                <w:color w:val="auto"/>
              </w:rPr>
            </w:pPr>
            <w:r>
              <w:rPr>
                <w:rFonts w:ascii="Verdana" w:cs="Verdana" w:eastAsia="Verdana" w:hAnsi="Verdana"/>
                <w:sz w:val="14"/>
                <w:szCs w:val="14"/>
                <w:b w:val="1"/>
                <w:bCs w:val="1"/>
                <w:color w:val="307FE2"/>
              </w:rPr>
              <w:t>($)</w:t>
            </w:r>
          </w:p>
        </w:tc>
        <w:tc>
          <w:tcPr>
            <w:tcW w:w="1420" w:type="dxa"/>
            <w:vAlign w:val="bottom"/>
            <w:tcBorders>
              <w:bottom w:val="single" w:sz="8" w:color="1D428A"/>
            </w:tcBorders>
          </w:tcPr>
          <w:p>
            <w:pPr>
              <w:jc w:val="right"/>
              <w:ind w:right="128"/>
              <w:spacing w:after="0"/>
              <w:rPr>
                <w:sz w:val="20"/>
                <w:szCs w:val="20"/>
                <w:color w:val="auto"/>
              </w:rPr>
            </w:pPr>
            <w:r>
              <w:rPr>
                <w:rFonts w:ascii="Verdana" w:cs="Verdana" w:eastAsia="Verdana" w:hAnsi="Verdana"/>
                <w:sz w:val="14"/>
                <w:szCs w:val="14"/>
                <w:b w:val="1"/>
                <w:bCs w:val="1"/>
                <w:color w:val="307FE2"/>
              </w:rPr>
              <w:t>($)</w:t>
            </w:r>
          </w:p>
        </w:tc>
        <w:tc>
          <w:tcPr>
            <w:tcW w:w="1360" w:type="dxa"/>
            <w:vAlign w:val="bottom"/>
            <w:tcBorders>
              <w:bottom w:val="single" w:sz="8" w:color="1D428A"/>
            </w:tcBorders>
          </w:tcPr>
          <w:p>
            <w:pPr>
              <w:jc w:val="right"/>
              <w:spacing w:after="0"/>
              <w:rPr>
                <w:sz w:val="20"/>
                <w:szCs w:val="20"/>
                <w:color w:val="auto"/>
              </w:rPr>
            </w:pPr>
            <w:r>
              <w:rPr>
                <w:rFonts w:ascii="Verdana" w:cs="Verdana" w:eastAsia="Verdana" w:hAnsi="Verdana"/>
                <w:sz w:val="14"/>
                <w:szCs w:val="14"/>
                <w:b w:val="1"/>
                <w:bCs w:val="1"/>
                <w:color w:val="307FE2"/>
              </w:rPr>
              <w:t>($)</w:t>
            </w:r>
          </w:p>
        </w:tc>
        <w:tc>
          <w:tcPr>
            <w:tcW w:w="0" w:type="dxa"/>
            <w:vAlign w:val="bottom"/>
          </w:tcPr>
          <w:p>
            <w:pPr>
              <w:spacing w:after="0"/>
              <w:rPr>
                <w:sz w:val="1"/>
                <w:szCs w:val="1"/>
                <w:color w:val="auto"/>
              </w:rPr>
            </w:pPr>
          </w:p>
        </w:tc>
      </w:tr>
      <w:tr>
        <w:trPr>
          <w:trHeight w:val="203"/>
        </w:trPr>
        <w:tc>
          <w:tcPr>
            <w:tcW w:w="820" w:type="dxa"/>
            <w:vAlign w:val="bottom"/>
          </w:tcPr>
          <w:p>
            <w:pPr>
              <w:ind w:left="100"/>
              <w:spacing w:after="0"/>
              <w:rPr>
                <w:sz w:val="20"/>
                <w:szCs w:val="20"/>
                <w:color w:val="auto"/>
              </w:rPr>
            </w:pPr>
            <w:r>
              <w:rPr>
                <w:rFonts w:ascii="Verdana" w:cs="Verdana" w:eastAsia="Verdana" w:hAnsi="Verdana"/>
                <w:sz w:val="14"/>
                <w:szCs w:val="14"/>
                <w:color w:val="auto"/>
              </w:rPr>
              <w:t>2024</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92.95</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146.07</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94.70</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2023</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118.96</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155.51</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141.21</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2022</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119.69</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192.81</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124.02</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2021</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146.17</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203.13</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182.95</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2020</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70.00</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164.99</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159.03</w:t>
            </w:r>
          </w:p>
        </w:tc>
        <w:tc>
          <w:tcPr>
            <w:tcW w:w="0" w:type="dxa"/>
            <w:vAlign w:val="bottom"/>
          </w:tcPr>
          <w:p>
            <w:pPr>
              <w:spacing w:after="0"/>
              <w:rPr>
                <w:sz w:val="1"/>
                <w:szCs w:val="1"/>
                <w:color w:val="auto"/>
              </w:rPr>
            </w:pPr>
          </w:p>
        </w:tc>
      </w:tr>
      <w:tr>
        <w:trPr>
          <w:trHeight w:val="33"/>
        </w:trPr>
        <w:tc>
          <w:tcPr>
            <w:tcW w:w="820" w:type="dxa"/>
            <w:vAlign w:val="bottom"/>
            <w:tcBorders>
              <w:bottom w:val="single" w:sz="8" w:color="696158"/>
            </w:tcBorders>
          </w:tcPr>
          <w:p>
            <w:pPr>
              <w:spacing w:after="0"/>
              <w:rPr>
                <w:sz w:val="2"/>
                <w:szCs w:val="2"/>
                <w:color w:val="auto"/>
              </w:rPr>
            </w:pPr>
          </w:p>
        </w:tc>
        <w:tc>
          <w:tcPr>
            <w:tcW w:w="1580" w:type="dxa"/>
            <w:vAlign w:val="bottom"/>
            <w:tcBorders>
              <w:bottom w:val="single" w:sz="8" w:color="696158"/>
            </w:tcBorders>
          </w:tcPr>
          <w:p>
            <w:pPr>
              <w:spacing w:after="0"/>
              <w:rPr>
                <w:sz w:val="2"/>
                <w:szCs w:val="2"/>
                <w:color w:val="auto"/>
              </w:rPr>
            </w:pPr>
          </w:p>
        </w:tc>
        <w:tc>
          <w:tcPr>
            <w:tcW w:w="1420" w:type="dxa"/>
            <w:vAlign w:val="bottom"/>
            <w:tcBorders>
              <w:bottom w:val="single" w:sz="8" w:color="696158"/>
            </w:tcBorders>
          </w:tcPr>
          <w:p>
            <w:pPr>
              <w:spacing w:after="0"/>
              <w:rPr>
                <w:sz w:val="2"/>
                <w:szCs w:val="2"/>
                <w:color w:val="auto"/>
              </w:rPr>
            </w:pPr>
          </w:p>
        </w:tc>
        <w:tc>
          <w:tcPr>
            <w:tcW w:w="136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Accordingly, CAP for our CEO and Average CAP for our non-CEO NEOs could have been significantly different if other dates were used to value our stock or if our stock price happened to be higher or lower on the last day of the applicable year.</w:t>
      </w:r>
    </w:p>
    <w:p>
      <w:pPr>
        <w:spacing w:after="0" w:line="90"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Additionally, the value of performance-based stock awards is impacted by the expected performance results which may vary from year to year and from actual performance at the completion of the performance periods.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119"/>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288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Most Important Measures Used to Determine 2024 CAP</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four items listed below represent the most important measures used to determine CAP for 2024. While we utilize several financial</w:t>
      </w:r>
    </w:p>
    <w:p>
      <w:pPr>
        <w:spacing w:after="0" w:line="8"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 xml:space="preserve">performance measures to align executive compensation with Lear’s performance, not all of those measures are represented in the table below. For further information on these measures, see the “Compensation Discussion and Analysis” on page </w:t>
      </w:r>
      <w:r>
        <w:rPr>
          <w:rFonts w:ascii="Verdana" w:cs="Verdana" w:eastAsia="Verdana" w:hAnsi="Verdana"/>
          <w:sz w:val="16"/>
          <w:szCs w:val="16"/>
          <w:u w:val="single" w:color="auto"/>
          <w:color w:val="0000FF"/>
        </w:rPr>
        <w:t>33</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74295</wp:posOffset>
            </wp:positionV>
            <wp:extent cx="280289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307FE2"/>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Adjusted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Adjusted ROIC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242" w:lineRule="exact"/>
        <w:rPr>
          <w:sz w:val="20"/>
          <w:szCs w:val="20"/>
          <w:color w:val="auto"/>
        </w:rPr>
      </w:pPr>
    </w:p>
    <w:p>
      <w:pPr>
        <w:ind w:left="340" w:right="720" w:hanging="332"/>
        <w:spacing w:after="0" w:line="270" w:lineRule="auto"/>
        <w:tabs>
          <w:tab w:leader="none" w:pos="337" w:val="left"/>
        </w:tabs>
        <w:numPr>
          <w:ilvl w:val="0"/>
          <w:numId w:val="120"/>
        </w:numPr>
        <w:rPr>
          <w:rFonts w:ascii="Verdana" w:cs="Verdana" w:eastAsia="Verdana" w:hAnsi="Verdana"/>
          <w:sz w:val="14"/>
          <w:szCs w:val="14"/>
          <w:color w:val="auto"/>
        </w:rPr>
      </w:pPr>
      <w:r>
        <w:rPr>
          <w:rFonts w:ascii="Verdana" w:cs="Verdana" w:eastAsia="Verdana" w:hAnsi="Verdana"/>
          <w:sz w:val="14"/>
          <w:szCs w:val="14"/>
          <w:color w:val="auto"/>
        </w:rPr>
        <w:t xml:space="preserve">See page </w:t>
      </w:r>
      <w:r>
        <w:rPr>
          <w:rFonts w:ascii="Verdana" w:cs="Verdana" w:eastAsia="Verdana" w:hAnsi="Verdana"/>
          <w:sz w:val="14"/>
          <w:szCs w:val="14"/>
          <w:u w:val="single" w:color="auto"/>
          <w:color w:val="0000FF"/>
        </w:rPr>
        <w:t>43</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90</w:t>
      </w:r>
      <w:r>
        <w:rPr>
          <w:rFonts w:ascii="Verdana" w:cs="Verdana" w:eastAsia="Verdana" w:hAnsi="Verdana"/>
          <w:sz w:val="14"/>
          <w:szCs w:val="14"/>
          <w:color w:val="auto"/>
        </w:rPr>
        <w:t xml:space="preserve"> for more information on these non-GAAP financial measures and how they are used.</w:t>
      </w:r>
    </w:p>
    <w:p>
      <w:pPr>
        <w:spacing w:after="0" w:line="71"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For the performance period beginning January 1, 2024, the P&amp;C Committee reintroduced a three-year Adjusted ROIC Improvement measure to the long-term incentive plan. ROIC is strongly correlated to long-term shareholder value creation and multi-year TSR, and</w:t>
      </w:r>
    </w:p>
    <w:p>
      <w:pPr>
        <w:spacing w:after="0" w:line="1" w:lineRule="exact"/>
        <w:rPr>
          <w:sz w:val="20"/>
          <w:szCs w:val="20"/>
          <w:color w:val="auto"/>
        </w:rPr>
      </w:pPr>
    </w:p>
    <w:p>
      <w:pPr>
        <w:ind w:right="160"/>
        <w:spacing w:after="0" w:line="243" w:lineRule="auto"/>
        <w:rPr>
          <w:sz w:val="20"/>
          <w:szCs w:val="20"/>
          <w:color w:val="auto"/>
        </w:rPr>
      </w:pPr>
      <w:r>
        <w:rPr>
          <w:rFonts w:ascii="Verdana" w:cs="Verdana" w:eastAsia="Verdana" w:hAnsi="Verdana"/>
          <w:sz w:val="16"/>
          <w:szCs w:val="16"/>
          <w:color w:val="auto"/>
        </w:rPr>
        <w:t xml:space="preserve">our Board, management team and many shareholders view ROIC as a key financial measure. As such, Adjusted ROIC Improvement is included in the above list of Most Important Performance Measures. For more information on the financial measures in our 2024 annual and long-term incentive plans, see pages </w:t>
      </w:r>
      <w:r>
        <w:rPr>
          <w:rFonts w:ascii="Verdana" w:cs="Verdana" w:eastAsia="Verdana" w:hAnsi="Verdana"/>
          <w:sz w:val="16"/>
          <w:szCs w:val="16"/>
          <w:u w:val="single" w:color="auto"/>
          <w:color w:val="0000FF"/>
        </w:rPr>
        <w:t>45</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0000FF"/>
        </w:rPr>
        <w:t>49</w:t>
      </w:r>
      <w:r>
        <w:rPr>
          <w:rFonts w:ascii="Verdana" w:cs="Verdana" w:eastAsia="Verdana" w:hAnsi="Verdana"/>
          <w:sz w:val="16"/>
          <w:szCs w:val="16"/>
          <w:color w:val="auto"/>
        </w:rPr>
        <w:t xml:space="preserve"> in the “Compensation Discussion and Analysis.”</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Discussion of the PVP Table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An overview of our compensation philosophy, pay-for-performance alignment, and other key features of our compensation program is</w:t>
      </w:r>
    </w:p>
    <w:p>
      <w:pPr>
        <w:spacing w:after="0" w:line="8"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below. For more detailed descriptions, as well as data that our P&amp;C Committee finds most valuable in designing and administering our executive compensation program, see the “Compensation Discussion and Analysis.”</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Compensation Philosophy and Pay-for-Performance Alignment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The executive compensation program is designed to drive execution of our business strategy by strongly aligning pay opportunities with</w:t>
      </w:r>
    </w:p>
    <w:p>
      <w:pPr>
        <w:spacing w:after="0" w:line="8"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performance outcomes. Both our annual and long-term incentive plans consist only of key objective financial measures that are selected to achieve our primary objectives including:</w:t>
      </w:r>
    </w:p>
    <w:p>
      <w:pPr>
        <w:spacing w:after="0" w:line="76" w:lineRule="exact"/>
        <w:rPr>
          <w:sz w:val="20"/>
          <w:szCs w:val="20"/>
          <w:color w:val="auto"/>
        </w:rPr>
      </w:pPr>
    </w:p>
    <w:p>
      <w:pPr>
        <w:ind w:left="640" w:hanging="308"/>
        <w:spacing w:after="0"/>
        <w:tabs>
          <w:tab w:leader="none" w:pos="640" w:val="left"/>
        </w:tabs>
        <w:numPr>
          <w:ilvl w:val="0"/>
          <w:numId w:val="121"/>
        </w:numPr>
        <w:rPr>
          <w:rFonts w:ascii="Verdana" w:cs="Verdana" w:eastAsia="Verdana" w:hAnsi="Verdana"/>
          <w:sz w:val="16"/>
          <w:szCs w:val="16"/>
          <w:color w:val="auto"/>
        </w:rPr>
      </w:pPr>
      <w:r>
        <w:rPr>
          <w:rFonts w:ascii="Verdana" w:cs="Verdana" w:eastAsia="Verdana" w:hAnsi="Verdana"/>
          <w:sz w:val="16"/>
          <w:szCs w:val="16"/>
          <w:color w:val="auto"/>
        </w:rPr>
        <w:t>Link executive pay to Company performance;</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121"/>
        </w:numPr>
        <w:rPr>
          <w:rFonts w:ascii="Verdana" w:cs="Verdana" w:eastAsia="Verdana" w:hAnsi="Verdana"/>
          <w:sz w:val="16"/>
          <w:szCs w:val="16"/>
          <w:color w:val="auto"/>
        </w:rPr>
      </w:pPr>
      <w:r>
        <w:rPr>
          <w:rFonts w:ascii="Verdana" w:cs="Verdana" w:eastAsia="Verdana" w:hAnsi="Verdana"/>
          <w:sz w:val="16"/>
          <w:szCs w:val="16"/>
          <w:color w:val="auto"/>
        </w:rPr>
        <w:t>Optimize profitability, cash flow and revenue growth, as well as return on investment; and</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121"/>
        </w:numPr>
        <w:rPr>
          <w:rFonts w:ascii="Verdana" w:cs="Verdana" w:eastAsia="Verdana" w:hAnsi="Verdana"/>
          <w:sz w:val="16"/>
          <w:szCs w:val="16"/>
          <w:color w:val="auto"/>
        </w:rPr>
      </w:pPr>
      <w:r>
        <w:rPr>
          <w:rFonts w:ascii="Verdana" w:cs="Verdana" w:eastAsia="Verdana" w:hAnsi="Verdana"/>
          <w:sz w:val="16"/>
          <w:szCs w:val="16"/>
          <w:color w:val="auto"/>
        </w:rPr>
        <w:t>Align the interests of management and our shareholders by using annual and multi-year measures that drive shareholder value.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Equity Award Opportunities Are the Largest Component Yielding a Highly Variable, Performance-Based Pay Package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For our CEO more than 75% of target compensation is in the form of equity, and for our non-CEO NEOs more than 65% of target</w:t>
      </w:r>
    </w:p>
    <w:p>
      <w:pPr>
        <w:spacing w:after="0" w:line="8"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compensation is in the form of equity. This results in stock price changes having a significant impact on the value of pay at each measurement period and the ultimate value received. Our equity award mix consists of 75% Performance Shares and 25% RSUs for our CEO and 70% Performance Shares and 30% RSUs for our non-CEO NEOs, which ties more NEO compensation to Company performance</w:t>
      </w:r>
    </w:p>
    <w:p>
      <w:pPr>
        <w:spacing w:after="0" w:line="2"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and stock price, as compared to most of the Comparator Group (listed in the “Compensation Discussion and Analysis”) and other large industrial companies which often assign Performance Shares a lower weighting (e.g., 50% to 60% of the regular annual equity award</w:t>
      </w:r>
    </w:p>
    <w:p>
      <w:pPr>
        <w:spacing w:after="0" w:line="1" w:lineRule="exact"/>
        <w:rPr>
          <w:sz w:val="20"/>
          <w:szCs w:val="20"/>
          <w:color w:val="auto"/>
        </w:rPr>
      </w:pPr>
    </w:p>
    <w:p>
      <w:pPr>
        <w:jc w:val="both"/>
        <w:ind w:right="120"/>
        <w:spacing w:after="0" w:line="243" w:lineRule="auto"/>
        <w:rPr>
          <w:sz w:val="20"/>
          <w:szCs w:val="20"/>
          <w:color w:val="auto"/>
        </w:rPr>
      </w:pPr>
      <w:r>
        <w:rPr>
          <w:rFonts w:ascii="Verdana" w:cs="Verdana" w:eastAsia="Verdana" w:hAnsi="Verdana"/>
          <w:sz w:val="16"/>
          <w:szCs w:val="16"/>
          <w:color w:val="auto"/>
        </w:rPr>
        <w:t>mix). The heavy weighting toward Performance Shares increases the sensitivity of the value of our NEOs’ long-term equity incentives to Company performance – not only does the underlying value of a Performance Share fluctuate generally with changes to the Company’s stock price, but the number of shares earned varies based on the Company’s achievement of financial and relative TSR goals.</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Performance Measures and Granting of Stock Awards</w:t>
      </w:r>
    </w:p>
    <w:p>
      <w:pPr>
        <w:spacing w:after="0" w:line="157" w:lineRule="exact"/>
        <w:rPr>
          <w:sz w:val="20"/>
          <w:szCs w:val="20"/>
          <w:color w:val="auto"/>
        </w:rPr>
      </w:pPr>
    </w:p>
    <w:p>
      <w:pPr>
        <w:ind w:right="340"/>
        <w:spacing w:after="0" w:line="238" w:lineRule="auto"/>
        <w:rPr>
          <w:sz w:val="20"/>
          <w:szCs w:val="20"/>
          <w:color w:val="auto"/>
        </w:rPr>
      </w:pPr>
      <w:r>
        <w:rPr>
          <w:rFonts w:ascii="Verdana" w:cs="Verdana" w:eastAsia="Verdana" w:hAnsi="Verdana"/>
          <w:sz w:val="16"/>
          <w:szCs w:val="16"/>
          <w:color w:val="auto"/>
        </w:rPr>
        <w:t>Collectively, the performance measures used in the annual and long-term incentive plans are selected to drive long-term shareholder value. Performance measures span a three-year performance period and include relative TSR. Further for long-term incentives, the underlying value of the award is directly aligned to changes in the Company’s stock price over the performance/vesting period. For</w:t>
      </w:r>
    </w:p>
    <w:p>
      <w:pPr>
        <w:spacing w:after="0" w:line="2" w:lineRule="exact"/>
        <w:rPr>
          <w:sz w:val="20"/>
          <w:szCs w:val="20"/>
          <w:color w:val="auto"/>
        </w:rPr>
      </w:pPr>
    </w:p>
    <w:p>
      <w:pPr>
        <w:ind w:right="220"/>
        <w:spacing w:after="0" w:line="243" w:lineRule="auto"/>
        <w:rPr>
          <w:sz w:val="20"/>
          <w:szCs w:val="20"/>
          <w:color w:val="auto"/>
        </w:rPr>
      </w:pPr>
      <w:r>
        <w:rPr>
          <w:rFonts w:ascii="Verdana" w:cs="Verdana" w:eastAsia="Verdana" w:hAnsi="Verdana"/>
          <w:sz w:val="16"/>
          <w:szCs w:val="16"/>
          <w:color w:val="auto"/>
        </w:rPr>
        <w:t>annual grants of incentive awards, the Company sets annual and long-term incentive goals in November prior to the start of the performance periods. The number of shares to grant is determined on the first business day in January and is based on the stock price at that point in time (grant date)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73</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which is generally the value reflected in the SCT for stock awards. While Performance Shares are outstanding the expected level of performance and corresponding payout will be updated each year until the end of the three-year period when the earned award is paid.</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Performance Measures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The charts below illustrate the relationship between the CEO and average non-CEO NEO CAP amounts and the SEC required performance</w:t>
      </w:r>
    </w:p>
    <w:p>
      <w:pPr>
        <w:spacing w:after="0" w:line="8"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measures for CAP during the period 2020–2024. Since equity awards are the largest component of CAP, this value will vary over time and by measurement period based on changes in our stock price, financial performance and TSR performance. As such, it remains</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important to review the “Compensation Discussion and Analysis” for a comprehensive discussion and analysis of industry conditions, business highlights, our pay setting cycle, history of pay-performance alignment and other factors relevant to CEO and other NEO pay.</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Company Cumulative TSR and Peer Group Cumulative TSR during 2020-2024</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The chart below reflects the relationship between (1) CAP for the CEO and Average CAP for the non-CEO NEOs and (2) the Company’s</w:t>
      </w:r>
    </w:p>
    <w:p>
      <w:pPr>
        <w:spacing w:after="0" w:line="8"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Cumulative TSR and the PVP Peer Group Cumulative TSR (assuming an initial fixed investment of $100) for the years ended December 31, 2024, 2023, 2022, 2021 and 2020. As shown below, the CAP for the CEO and Average CAP for the non-CEO NEOs are generally aligned with the Company’s Cumulative TSR, primarily due to the Company’s use of equity incentives which are correlated to</w:t>
      </w:r>
    </w:p>
    <w:p>
      <w:pPr>
        <w:spacing w:after="0" w:line="2" w:lineRule="exact"/>
        <w:rPr>
          <w:sz w:val="20"/>
          <w:szCs w:val="20"/>
          <w:color w:val="auto"/>
        </w:rPr>
      </w:pPr>
    </w:p>
    <w:p>
      <w:pPr>
        <w:ind w:right="480"/>
        <w:spacing w:after="0" w:line="243" w:lineRule="auto"/>
        <w:rPr>
          <w:sz w:val="20"/>
          <w:szCs w:val="20"/>
          <w:color w:val="auto"/>
        </w:rPr>
      </w:pPr>
      <w:r>
        <w:rPr>
          <w:rFonts w:ascii="Verdana" w:cs="Verdana" w:eastAsia="Verdana" w:hAnsi="Verdana"/>
          <w:sz w:val="16"/>
          <w:szCs w:val="16"/>
          <w:color w:val="auto"/>
        </w:rPr>
        <w:t>both the Company’s performance and stock price. The Company’s Cumulative TSR is generally aligned with the PVP Peer Group Cumulative TSR. Our selected 10-K Peer Group (which determines our PVP Peer Group) is comprised of representative independent automotive suppliers whose common stock is publicly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71120</wp:posOffset>
            </wp:positionV>
            <wp:extent cx="4114800" cy="21342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340"/>
        <w:spacing w:after="0"/>
        <w:rPr>
          <w:sz w:val="20"/>
          <w:szCs w:val="20"/>
          <w:color w:val="auto"/>
        </w:rPr>
      </w:pPr>
      <w:r>
        <w:rPr>
          <w:rFonts w:ascii="Verdana" w:cs="Verdana" w:eastAsia="Verdana" w:hAnsi="Verdana"/>
          <w:sz w:val="16"/>
          <w:szCs w:val="16"/>
          <w:color w:val="auto"/>
        </w:rPr>
        <w: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Company Net Income over 2020-2024</w:t>
      </w:r>
    </w:p>
    <w:p>
      <w:pPr>
        <w:spacing w:after="0" w:line="143"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As shown below, the Company’s CAP for the CEO and Average CAP for the non-CEO NEO varied significantly each year, primarily due to the Company’s significant emphasis on equity incentives, which are sensitive to changes in stock price. The Company’s net income increased significantly in 2021 (reflecting the COVID-19 pandemic in 2020), decreased slightly in 2022 (reflecting the ongoing</w:t>
      </w:r>
    </w:p>
    <w:p>
      <w:pPr>
        <w:spacing w:after="0" w:line="2"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macroeconomic challenges described above), increased significantly again in 2023 (reflecting higher than anticipated industry volumes combined with strong operating performance in both business segments) and decreased in 2024 (reflecting the challenging environment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as the automotive industry was impacted by a number of global economic issues).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hanging="534"/>
        <w:spacing w:after="0"/>
        <w:tabs>
          <w:tab w:leader="none" w:pos="560" w:val="left"/>
        </w:tabs>
        <w:numPr>
          <w:ilvl w:val="0"/>
          <w:numId w:val="122"/>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222885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28850"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As a result, CAP and Average CAP are generally aligned with net income. Although net income is not used by the Company as a performance measure in either its annual or long-term incentive plans, net income is correlated with other financial measures which we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do use in setting goals for both the annual and the long-term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74295</wp:posOffset>
            </wp:positionV>
            <wp:extent cx="4114800" cy="21348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11480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340"/>
        <w:spacing w:after="0"/>
        <w:rPr>
          <w:sz w:val="20"/>
          <w:szCs w:val="20"/>
          <w:color w:val="auto"/>
        </w:rPr>
      </w:pPr>
      <w:r>
        <w:rPr>
          <w:rFonts w:ascii="Verdana" w:cs="Verdana" w:eastAsia="Verdana" w:hAnsi="Verdana"/>
          <w:sz w:val="16"/>
          <w:szCs w:val="16"/>
          <w:color w:val="auto"/>
        </w:rPr>
        <w: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Company Adjusted Operating Income* over 2020-2024</w:t>
      </w:r>
    </w:p>
    <w:p>
      <w:pPr>
        <w:spacing w:after="0" w:line="143"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The chart below illustrates the relationship between the CEO and average non-CEO NEO CAP amounts and the Company's Adjusted Operating Income for the applicable years. We consider Adjusted Operating Income to be the most important financial measure used to</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link pay to performance during this period because it is both a key measure in our AIP and is the largest driver of a key measure in our LTI (Adjusted Annual Pretax Income). Adjusted Operating Income is a well understood operating metric that can be influenced by all levels of employees of the Company and provides motivation to maximize earnings from current operations. It is substantially correlated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with our stock price performance, and thus to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74295</wp:posOffset>
            </wp:positionV>
            <wp:extent cx="4114800" cy="21342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100" w:hanging="332"/>
        <w:spacing w:after="0" w:line="270" w:lineRule="auto"/>
        <w:tabs>
          <w:tab w:leader="none" w:pos="337" w:val="left"/>
        </w:tabs>
        <w:numPr>
          <w:ilvl w:val="0"/>
          <w:numId w:val="123"/>
        </w:numPr>
        <w:rPr>
          <w:rFonts w:ascii="Verdana" w:cs="Verdana" w:eastAsia="Verdana" w:hAnsi="Verdana"/>
          <w:sz w:val="14"/>
          <w:szCs w:val="14"/>
          <w:color w:val="auto"/>
        </w:rPr>
      </w:pPr>
      <w:r>
        <w:rPr>
          <w:rFonts w:ascii="Verdana" w:cs="Verdana" w:eastAsia="Verdana" w:hAnsi="Verdana"/>
          <w:sz w:val="14"/>
          <w:szCs w:val="14"/>
          <w:color w:val="auto"/>
        </w:rPr>
        <w:t xml:space="preserve">Adjusted Operating Income is a Non-GAAP financial measure. See pages </w:t>
      </w:r>
      <w:r>
        <w:rPr>
          <w:rFonts w:ascii="Verdana" w:cs="Verdana" w:eastAsia="Verdana" w:hAnsi="Verdana"/>
          <w:sz w:val="14"/>
          <w:szCs w:val="14"/>
          <w:u w:val="single" w:color="auto"/>
          <w:color w:val="0000FF"/>
        </w:rPr>
        <w:t>43</w:t>
      </w:r>
      <w:r>
        <w:rPr>
          <w:rFonts w:ascii="Verdana" w:cs="Verdana" w:eastAsia="Verdana" w:hAnsi="Verdana"/>
          <w:sz w:val="14"/>
          <w:szCs w:val="14"/>
          <w:color w:val="auto"/>
        </w:rPr>
        <w:t xml:space="preserve"> and </w:t>
      </w:r>
      <w:r>
        <w:rPr>
          <w:rFonts w:ascii="Verdana" w:cs="Verdana" w:eastAsia="Verdana" w:hAnsi="Verdana"/>
          <w:sz w:val="14"/>
          <w:szCs w:val="14"/>
          <w:u w:val="single" w:color="auto"/>
          <w:color w:val="0000FF"/>
        </w:rPr>
        <w:t>47</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90</w:t>
      </w:r>
      <w:r>
        <w:rPr>
          <w:rFonts w:ascii="Verdana" w:cs="Verdana" w:eastAsia="Verdana" w:hAnsi="Verdana"/>
          <w:sz w:val="14"/>
          <w:szCs w:val="14"/>
          <w:color w:val="auto"/>
        </w:rPr>
        <w:t xml:space="preserve"> for more information on this financial measure and how it is used.</w:t>
      </w:r>
    </w:p>
    <w:p>
      <w:pPr>
        <w:spacing w:after="0" w:line="76" w:lineRule="exact"/>
        <w:rPr>
          <w:sz w:val="20"/>
          <w:szCs w:val="20"/>
          <w:color w:val="auto"/>
        </w:rPr>
      </w:pPr>
    </w:p>
    <w:p>
      <w:pPr>
        <w:ind w:right="20"/>
        <w:spacing w:after="0" w:line="238" w:lineRule="auto"/>
        <w:rPr>
          <w:sz w:val="20"/>
          <w:szCs w:val="20"/>
          <w:color w:val="auto"/>
        </w:rPr>
      </w:pPr>
      <w:r>
        <w:rPr>
          <w:rFonts w:ascii="Verdana" w:cs="Verdana" w:eastAsia="Verdana" w:hAnsi="Verdana"/>
          <w:sz w:val="14"/>
          <w:szCs w:val="14"/>
          <w:i w:val="1"/>
          <w:iCs w:val="1"/>
          <w:color w:val="auto"/>
        </w:rPr>
        <w:t>All information provided in “Pay Versus Performance Disclosures” above will not be deemed to be incorporated by reference into any filing of the Company under the Securities Act of 1933, as amended, or the Securities Exchange Act of 1934, as amended, whether made before or after the date hereof and</w:t>
      </w:r>
    </w:p>
    <w:p>
      <w:pPr>
        <w:ind w:right="460"/>
        <w:spacing w:after="0" w:line="270" w:lineRule="auto"/>
        <w:rPr>
          <w:sz w:val="20"/>
          <w:szCs w:val="20"/>
          <w:color w:val="auto"/>
        </w:rPr>
      </w:pPr>
      <w:r>
        <w:rPr>
          <w:rFonts w:ascii="Verdana" w:cs="Verdana" w:eastAsia="Verdana" w:hAnsi="Verdana"/>
          <w:sz w:val="14"/>
          <w:szCs w:val="14"/>
          <w:i w:val="1"/>
          <w:iCs w:val="1"/>
          <w:color w:val="auto"/>
        </w:rPr>
        <w:t>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75</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P&amp;C COMMITTEE INTERLOCKS AND INSIDER PARTICIPATION</w:t>
      </w:r>
    </w:p>
    <w:p>
      <w:pPr>
        <w:spacing w:after="0" w:line="20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following persons served on our P&amp;C Committee during all or a portion of 2024: Messrs. Cheng and Halverson, Dr. Jepsen, and Mses. Lewis and Ligocki. No member of the P&amp;C Committee was, during the fiscal year ended December 31, 2024, an officer, former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officer or employee of the Company or any of our subsidiaries. None of our executive officers served as a member of:</w:t>
      </w:r>
    </w:p>
    <w:p>
      <w:pPr>
        <w:spacing w:after="0" w:line="103" w:lineRule="exact"/>
        <w:rPr>
          <w:sz w:val="20"/>
          <w:szCs w:val="20"/>
          <w:color w:val="auto"/>
        </w:rPr>
      </w:pPr>
    </w:p>
    <w:p>
      <w:pPr>
        <w:ind w:left="660" w:right="680" w:hanging="328"/>
        <w:spacing w:after="0" w:line="270" w:lineRule="auto"/>
        <w:tabs>
          <w:tab w:leader="none" w:pos="654" w:val="left"/>
        </w:tabs>
        <w:numPr>
          <w:ilvl w:val="0"/>
          <w:numId w:val="124"/>
        </w:numPr>
        <w:rPr>
          <w:rFonts w:ascii="Verdana" w:cs="Verdana" w:eastAsia="Verdana" w:hAnsi="Verdana"/>
          <w:sz w:val="16"/>
          <w:szCs w:val="16"/>
          <w:color w:val="auto"/>
        </w:rPr>
      </w:pPr>
      <w:r>
        <w:rPr>
          <w:rFonts w:ascii="Verdana" w:cs="Verdana" w:eastAsia="Verdana" w:hAnsi="Verdana"/>
          <w:sz w:val="16"/>
          <w:szCs w:val="16"/>
          <w:color w:val="auto"/>
        </w:rPr>
        <w:t>the compensation committee of another entity in which one of the executive officers of such entity served on our P&amp;C Committee;</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124"/>
        </w:numPr>
        <w:rPr>
          <w:rFonts w:ascii="Verdana" w:cs="Verdana" w:eastAsia="Verdana" w:hAnsi="Verdana"/>
          <w:sz w:val="16"/>
          <w:szCs w:val="16"/>
          <w:color w:val="auto"/>
        </w:rPr>
      </w:pPr>
      <w:r>
        <w:rPr>
          <w:rFonts w:ascii="Verdana" w:cs="Verdana" w:eastAsia="Verdana" w:hAnsi="Verdana"/>
          <w:sz w:val="16"/>
          <w:szCs w:val="16"/>
          <w:color w:val="auto"/>
        </w:rPr>
        <w:t>the board of directors of another entity in which one of the executive officers of such entity served on our P&amp;C Committee; or</w:t>
      </w:r>
    </w:p>
    <w:p>
      <w:pPr>
        <w:spacing w:after="0" w:line="102" w:lineRule="exact"/>
        <w:rPr>
          <w:rFonts w:ascii="Verdana" w:cs="Verdana" w:eastAsia="Verdana" w:hAnsi="Verdana"/>
          <w:sz w:val="16"/>
          <w:szCs w:val="16"/>
          <w:color w:val="auto"/>
        </w:rPr>
      </w:pPr>
    </w:p>
    <w:p>
      <w:pPr>
        <w:ind w:left="660" w:hanging="328"/>
        <w:spacing w:after="0" w:line="270" w:lineRule="auto"/>
        <w:tabs>
          <w:tab w:leader="none" w:pos="654" w:val="left"/>
        </w:tabs>
        <w:numPr>
          <w:ilvl w:val="0"/>
          <w:numId w:val="124"/>
        </w:numPr>
        <w:rPr>
          <w:rFonts w:ascii="Verdana" w:cs="Verdana" w:eastAsia="Verdana" w:hAnsi="Verdana"/>
          <w:sz w:val="16"/>
          <w:szCs w:val="16"/>
          <w:color w:val="auto"/>
        </w:rPr>
      </w:pPr>
      <w:r>
        <w:rPr>
          <w:rFonts w:ascii="Verdana" w:cs="Verdana" w:eastAsia="Verdana" w:hAnsi="Verdana"/>
          <w:sz w:val="16"/>
          <w:szCs w:val="16"/>
          <w:color w:val="auto"/>
        </w:rPr>
        <w:t>the compensation committee of another entity in which one of the executive officers of such entity served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 w:hanging="534"/>
        <w:spacing w:after="0"/>
        <w:tabs>
          <w:tab w:leader="none" w:pos="560" w:val="left"/>
        </w:tabs>
        <w:numPr>
          <w:ilvl w:val="0"/>
          <w:numId w:val="125"/>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 w:right="619" w:bottom="1440" w:gutter="0" w:footer="0" w:header="0"/>
        </w:sectPr>
      </w:pPr>
    </w:p>
    <w:bookmarkStart w:id="81" w:name="page82"/>
    <w:bookmarkEnd w:id="8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10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P&amp;C COMMITTEE REPORT</w:t>
      </w:r>
    </w:p>
    <w:p>
      <w:pPr>
        <w:spacing w:after="0" w:line="201"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w:t>
      </w:r>
    </w:p>
    <w:p>
      <w:pPr>
        <w:spacing w:after="0" w:line="1"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Act, except to the extent that we specifically request that the information contained in this Report be treated as soliciting material, nor shall such information be incorporated by reference into any past or future filing under the Securities Act of 1933, as amended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“Securities Act”), or the Exchange Act, except to the extent that we specifically incorporate it by reference in such filing.</w:t>
      </w:r>
    </w:p>
    <w:p>
      <w:pPr>
        <w:spacing w:after="0" w:line="103"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The P&amp;C Committee of the Board has reviewed and discussed the “Compensation Discussion and Analysis” required by Item 402(b) of Regulation S-K with management, and based on such review and discussions, the P&amp;C Committee recommended to the Board that the</w:t>
      </w:r>
    </w:p>
    <w:p>
      <w:pPr>
        <w:spacing w:after="0" w:line="1" w:lineRule="exact"/>
        <w:rPr>
          <w:sz w:val="20"/>
          <w:szCs w:val="20"/>
          <w:color w:val="auto"/>
        </w:rPr>
      </w:pPr>
    </w:p>
    <w:p>
      <w:pPr>
        <w:ind w:right="360"/>
        <w:spacing w:after="0" w:line="253" w:lineRule="auto"/>
        <w:rPr>
          <w:sz w:val="20"/>
          <w:szCs w:val="20"/>
          <w:color w:val="auto"/>
        </w:rPr>
      </w:pPr>
      <w:r>
        <w:rPr>
          <w:rFonts w:ascii="Verdana" w:cs="Verdana" w:eastAsia="Verdana" w:hAnsi="Verdana"/>
          <w:sz w:val="16"/>
          <w:szCs w:val="16"/>
          <w:color w:val="auto"/>
        </w:rPr>
        <w:t>“Compensation Discussion and Analysis” be included in this proxy statement and the Annual Report on Form 10-K for the year ended December 31, 2024.</w:t>
      </w:r>
    </w:p>
    <w:p>
      <w:pPr>
        <w:spacing w:after="0" w:line="90"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This Report is submitted by Messrs. Cheng and Halverson, Dr. Jepsen, and Mses. Lewis and Ligocki, being all of the current members of the P&amp;C Committee.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Patricia L. Lewis, Chair</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Mei-Wei Cheng</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Bradley M. Halverson</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Mary Lou Jepsen</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Kathleen A. Ligocki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77</w:t>
            </w:r>
          </w:p>
        </w:tc>
      </w:tr>
      <w:tr>
        <w:trPr>
          <w:trHeight w:val="317"/>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AUDIT COMMITTEE REPORT</w:t>
      </w:r>
    </w:p>
    <w:p>
      <w:pPr>
        <w:spacing w:after="0" w:line="20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Act, except to the extent that we specifically request that the information contained in this Report be treated as soliciting material, nor shall such information be incorporated by reference into any past or future filing under the Securities Act or the Exchange Act, except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the extent that we specifically incorporate it by reference in such filing.</w:t>
      </w:r>
    </w:p>
    <w:p>
      <w:pPr>
        <w:spacing w:after="0" w:line="103"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w:t>
      </w:r>
    </w:p>
    <w:p>
      <w:pPr>
        <w:spacing w:after="0" w:line="234" w:lineRule="auto"/>
        <w:rPr>
          <w:sz w:val="20"/>
          <w:szCs w:val="20"/>
          <w:color w:val="auto"/>
        </w:rPr>
      </w:pPr>
      <w:r>
        <w:rPr>
          <w:rFonts w:ascii="Verdana" w:cs="Verdana" w:eastAsia="Verdana" w:hAnsi="Verdana"/>
          <w:sz w:val="16"/>
          <w:szCs w:val="16"/>
          <w:color w:val="auto"/>
        </w:rPr>
        <w:t>functions and controls. The Audit Committee also oversees the audit fee negotiations associated with the retention of Ernst &amp; Young LLP.</w:t>
      </w:r>
    </w:p>
    <w:p>
      <w:pPr>
        <w:spacing w:after="0"/>
        <w:rPr>
          <w:sz w:val="20"/>
          <w:szCs w:val="20"/>
          <w:color w:val="auto"/>
        </w:rPr>
      </w:pPr>
      <w:r>
        <w:rPr>
          <w:rFonts w:ascii="Verdana" w:cs="Verdana" w:eastAsia="Verdana" w:hAnsi="Verdana"/>
          <w:sz w:val="16"/>
          <w:szCs w:val="16"/>
          <w:color w:val="auto"/>
        </w:rPr>
        <w:t>The Audit Committee has discussed the advantages and disadvantages of independent registered public accounting firm rotation.</w:t>
      </w:r>
    </w:p>
    <w:p>
      <w:pPr>
        <w:spacing w:after="0" w:line="8" w:lineRule="exact"/>
        <w:rPr>
          <w:sz w:val="20"/>
          <w:szCs w:val="20"/>
          <w:color w:val="auto"/>
        </w:rPr>
      </w:pPr>
    </w:p>
    <w:p>
      <w:pPr>
        <w:ind w:right="560"/>
        <w:spacing w:after="0" w:line="253" w:lineRule="auto"/>
        <w:rPr>
          <w:sz w:val="20"/>
          <w:szCs w:val="20"/>
          <w:color w:val="auto"/>
        </w:rPr>
      </w:pPr>
      <w:r>
        <w:rPr>
          <w:rFonts w:ascii="Verdana" w:cs="Verdana" w:eastAsia="Verdana" w:hAnsi="Verdana"/>
          <w:sz w:val="16"/>
          <w:szCs w:val="16"/>
          <w:color w:val="auto"/>
        </w:rPr>
        <w:t>Further, in connection with the periodic mandated rotation of the independent registered public accounting firm’s lead engagement partner, the Audit Committee is involved in the selection of Ernst &amp; Young LLP’s lead engagement partner.</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Audit Committee is currently comprised of Messrs. Cheng, Foster, Halverson, Krone and Mallett, each a non-employee director, and</w:t>
      </w:r>
    </w:p>
    <w:p>
      <w:pPr>
        <w:spacing w:after="0" w:line="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operates under a written charter that was last amended by our Board in November 2020. A copy of the current charter is available on the investor relations page of our website (https://ir.lear.com/) or in printed form upon request. Our Board has determined that all of the members of the Audit Committee are “independent” as defined in the listing standards of the NYSE and under Rule 10A-3 of the</w:t>
      </w:r>
    </w:p>
    <w:p>
      <w:pPr>
        <w:spacing w:after="0" w:line="2"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Exchange Act and that all such members are financially literate. Our Board also has determined that all members of the Audit Committee are “audit committee financial experts,” as defined in Item 407(D) of Regulation S-K under the Exchange Act and have accounting or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related financial management expertise.</w:t>
      </w:r>
    </w:p>
    <w:p>
      <w:pPr>
        <w:spacing w:after="0" w:line="103"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“independent” under applicable rules. The Audit Committee serves a board-level oversight role in which it provides advice, counsel and direction to management and the auditors on the basis of the information it receives, discussions with management and the auditors and</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Annual Report on Form 10-K for the fiscal year ended December 31, 2024, as well as the report of management, for the year ended December 31, 2024, regarding the Company’s internal control over financial reporting required by Section 404 of the Sarbanes-Oxley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Act.</w:t>
      </w:r>
    </w:p>
    <w:p>
      <w:pPr>
        <w:spacing w:after="0" w:line="103"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Audit Committee has retained Ernst &amp; Young LLP as the Company’s independent registered public accounting firm for 2024. Ernst &amp; Young LLP has been the independent registered public accounting firm for the Company since 2002. The members of the Audit</w:t>
      </w:r>
    </w:p>
    <w:p>
      <w:pPr>
        <w:spacing w:after="0" w:line="1"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Committee and the Board believe that the continued retention of Ernst &amp; Young LLP to serve as the Company’s independent registered public accounting firm is in the best interests of the Company and its shareholders. In reaching this conclusion, the Audit Committee</w:t>
      </w:r>
    </w:p>
    <w:p>
      <w:pPr>
        <w:spacing w:after="0" w:line="1"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w:t>
      </w:r>
    </w:p>
    <w:p>
      <w:pPr>
        <w:spacing w:after="0" w:line="2"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Company Accounting Oversight Board (United States) (PCAOB) reports on Ernst &amp; Young LLP and tenure as the Company’s auditors, including the benefits of having a long-tenured auditor.</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Audit Committee has discussed with the Company’s internal auditors and Ernst &amp; Young LLP the overall scope and plans of their</w:t>
      </w:r>
    </w:p>
    <w:p>
      <w:pPr>
        <w:spacing w:after="0" w:line="8"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respective audits. The Audit Committee meets with the Company’s internal auditors and Ernst &amp; Young LLP, with and without management present, to discuss the results of their procedures, their evaluations of the Company’s internal control, including internal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control over financial reporting, and the overall quality of the Company’s financial reporting.</w:t>
      </w:r>
    </w:p>
    <w:p>
      <w:pPr>
        <w:spacing w:after="0" w:line="103"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The Audit Committee reviewed with Ernst &amp; Young LLP, its judgments as to the quality, not just the acceptability, of the Company’s accounting policies and such other matters as are required to be discussed by the applicable requirements of the PCAOB and the SEC.</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The Audit Committee has also received written disclosures and the letter from Ernst &amp; Young LLP required by applicable requirements of the PCAOB regarding Ernst &amp; Young LLP’s communications with the Audit Committee concerning independence and has discussed with</w:t>
      </w:r>
    </w:p>
    <w:p>
      <w:pPr>
        <w:spacing w:after="0" w:line="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Ernst &amp; Young LLP its independence from the Company. The Audit Committee has considered whether the provision of non-audit services to the Company is compatible with maintaining the independence of Ernst &amp; Young LLP.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hanging="534"/>
        <w:spacing w:after="0"/>
        <w:tabs>
          <w:tab w:leader="none" w:pos="560" w:val="left"/>
        </w:tabs>
        <w:numPr>
          <w:ilvl w:val="0"/>
          <w:numId w:val="126"/>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360"/>
        <w:spacing w:after="0" w:line="241" w:lineRule="auto"/>
        <w:rPr>
          <w:sz w:val="20"/>
          <w:szCs w:val="20"/>
          <w:color w:val="auto"/>
        </w:rPr>
      </w:pPr>
      <w:r>
        <w:rPr>
          <w:rFonts w:ascii="Verdana" w:cs="Verdana" w:eastAsia="Verdana" w:hAnsi="Verdana"/>
          <w:sz w:val="16"/>
          <w:szCs w:val="16"/>
          <w:color w:val="auto"/>
        </w:rPr>
        <w:t>Based on the review and discussions referred to above, the Audit Committee recommended to the Board that the Company’s audited consolidated financial statements be included in the Company’s Annual Report on Form 10-K for the fiscal year ended December 31,</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2024, filed with the SEC on February 14, 2025.</w:t>
      </w:r>
    </w:p>
    <w:p>
      <w:pPr>
        <w:spacing w:after="0" w:line="103" w:lineRule="exact"/>
        <w:rPr>
          <w:sz w:val="20"/>
          <w:szCs w:val="20"/>
          <w:color w:val="auto"/>
        </w:rPr>
      </w:pPr>
    </w:p>
    <w:p>
      <w:pPr>
        <w:ind w:right="500"/>
        <w:spacing w:after="0" w:line="374" w:lineRule="auto"/>
        <w:rPr>
          <w:sz w:val="20"/>
          <w:szCs w:val="20"/>
          <w:color w:val="auto"/>
        </w:rPr>
      </w:pPr>
      <w:r>
        <w:rPr>
          <w:rFonts w:ascii="Verdana" w:cs="Verdana" w:eastAsia="Verdana" w:hAnsi="Verdana"/>
          <w:sz w:val="16"/>
          <w:szCs w:val="16"/>
          <w:color w:val="auto"/>
        </w:rPr>
        <w:t>This Report is submitted by Messrs. Cheng, Foster, Halverson, Krone and Mallett, being all of the members of the Audit Committee. Bradley M. Halverson, Chair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Mei-Wei Cheng</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Jonathan F. Foster</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Roger A. Krone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Conrad L. Mallett, Jr.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79</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FEES OF INDEPENDENT ACCOUNTANTS</w:t>
      </w:r>
    </w:p>
    <w:p>
      <w:pPr>
        <w:spacing w:after="0" w:line="20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 addition to retaining Ernst &amp; Young LLP to audit our consolidated financial statements for 2024, we retained Ernst &amp; Young LLP, as well as other accounting firms, to provide tax and other advisory services in 2024. We understand the need for Ernst &amp; Young LLP to maintain</w:t>
      </w:r>
    </w:p>
    <w:p>
      <w:pPr>
        <w:spacing w:after="0" w:line="1"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objectivity and independence in its audit of our consolidated financial statements. It is also the Audit Committee’s goal that the fees that the Company pays to Ernst &amp; Young LLP for permitted non-audit services in any year should not exceed the audit and audit-related fees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paid to Ernst &amp; Young LLP in such year, a goal that the Company achieved in 2024 and 2023.</w:t>
      </w:r>
    </w:p>
    <w:p>
      <w:pPr>
        <w:spacing w:after="0" w:line="103"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In order to assure that the provision of audit and permitted non-audit services provided by Ernst &amp; Young LLP does not impair its independence, the Audit Committee is required to pre-approve the audit and permitted non-audit services to be performed by Ernst &amp;</w:t>
      </w:r>
    </w:p>
    <w:p>
      <w:pPr>
        <w:spacing w:after="0" w:line="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Young LLP, other than de minimis services that satisfy the requirements pertaining to de minimis exceptions for non-audit services described in Section 10A of the Exchange Act. The Audit Committee also has adopted policies and procedures for pre-approving all audit</w:t>
      </w:r>
    </w:p>
    <w:p>
      <w:pPr>
        <w:spacing w:after="0" w:line="1" w:lineRule="exact"/>
        <w:rPr>
          <w:sz w:val="20"/>
          <w:szCs w:val="20"/>
          <w:color w:val="auto"/>
        </w:rPr>
      </w:pPr>
    </w:p>
    <w:p>
      <w:pPr>
        <w:ind w:right="280"/>
        <w:spacing w:after="0" w:line="238" w:lineRule="auto"/>
        <w:rPr>
          <w:sz w:val="20"/>
          <w:szCs w:val="20"/>
          <w:color w:val="auto"/>
        </w:rPr>
      </w:pPr>
      <w:r>
        <w:rPr>
          <w:rFonts w:ascii="Verdana" w:cs="Verdana" w:eastAsia="Verdana" w:hAnsi="Verdana"/>
          <w:sz w:val="16"/>
          <w:szCs w:val="16"/>
          <w:color w:val="auto"/>
        </w:rPr>
        <w:t>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procedures described in this paragraph.</w:t>
      </w:r>
    </w:p>
    <w:p>
      <w:pPr>
        <w:spacing w:after="0" w:line="103"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During 2024 and 2023, we retained Ernst &amp; Young LLP to provide services in the following categories and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Borders>
              <w:bottom w:val="single" w:sz="8" w:color="D6E5F9"/>
            </w:tcBorders>
            <w:shd w:val="clear" w:color="auto" w:fill="D6E5F9"/>
          </w:tcPr>
          <w:p>
            <w:pPr>
              <w:spacing w:after="0"/>
              <w:rPr>
                <w:sz w:val="19"/>
                <w:szCs w:val="19"/>
                <w:color w:val="auto"/>
              </w:rPr>
            </w:pPr>
          </w:p>
        </w:tc>
        <w:tc>
          <w:tcPr>
            <w:tcW w:w="4280" w:type="dxa"/>
            <w:vAlign w:val="bottom"/>
            <w:tcBorders>
              <w:bottom w:val="single" w:sz="8" w:color="D6E5F9"/>
            </w:tcBorders>
            <w:shd w:val="clear" w:color="auto" w:fill="D6E5F9"/>
          </w:tcPr>
          <w:p>
            <w:pPr>
              <w:jc w:val="right"/>
              <w:ind w:right="581"/>
              <w:spacing w:after="0"/>
              <w:rPr>
                <w:sz w:val="20"/>
                <w:szCs w:val="20"/>
                <w:color w:val="auto"/>
              </w:rPr>
            </w:pPr>
            <w:r>
              <w:rPr>
                <w:rFonts w:ascii="Verdana" w:cs="Verdana" w:eastAsia="Verdana" w:hAnsi="Verdana"/>
                <w:sz w:val="14"/>
                <w:szCs w:val="14"/>
                <w:b w:val="1"/>
                <w:bCs w:val="1"/>
                <w:color w:val="auto"/>
              </w:rPr>
              <w:t>2024</w:t>
            </w:r>
          </w:p>
        </w:tc>
        <w:tc>
          <w:tcPr>
            <w:tcW w:w="1180" w:type="dxa"/>
            <w:vAlign w:val="bottom"/>
            <w:tcBorders>
              <w:bottom w:val="single" w:sz="8" w:color="D6E5F9"/>
            </w:tcBorders>
            <w:shd w:val="clear" w:color="auto" w:fill="D6E5F9"/>
          </w:tcPr>
          <w:p>
            <w:pPr>
              <w:jc w:val="right"/>
              <w:ind w:right="401"/>
              <w:spacing w:after="0"/>
              <w:rPr>
                <w:sz w:val="20"/>
                <w:szCs w:val="20"/>
                <w:color w:val="auto"/>
              </w:rPr>
            </w:pPr>
            <w:r>
              <w:rPr>
                <w:rFonts w:ascii="Verdana" w:cs="Verdana" w:eastAsia="Verdana" w:hAnsi="Verdana"/>
                <w:sz w:val="14"/>
                <w:szCs w:val="14"/>
                <w:b w:val="1"/>
                <w:bCs w:val="1"/>
                <w:color w:val="auto"/>
              </w:rPr>
              <w:t>2023</w:t>
            </w:r>
          </w:p>
        </w:tc>
      </w:tr>
      <w:tr>
        <w:trPr>
          <w:trHeight w:val="237"/>
        </w:trPr>
        <w:tc>
          <w:tcPr>
            <w:tcW w:w="4840" w:type="dxa"/>
            <w:vAlign w:val="bottom"/>
            <w:tcBorders>
              <w:top w:val="single" w:sz="8" w:color="0C2340"/>
            </w:tcBorders>
          </w:tcPr>
          <w:p>
            <w:pPr>
              <w:ind w:left="20"/>
              <w:spacing w:after="0" w:line="237" w:lineRule="exact"/>
              <w:rPr>
                <w:sz w:val="20"/>
                <w:szCs w:val="20"/>
                <w:color w:val="auto"/>
              </w:rPr>
            </w:pPr>
            <w:r>
              <w:rPr>
                <w:rFonts w:ascii="Verdana" w:cs="Verdana" w:eastAsia="Verdana" w:hAnsi="Verdana"/>
                <w:sz w:val="16"/>
                <w:szCs w:val="16"/>
                <w:color w:val="auto"/>
              </w:rPr>
              <w:t>Audit fees</w:t>
            </w:r>
            <w:r>
              <w:rPr>
                <w:rFonts w:ascii="Verdana" w:cs="Verdana" w:eastAsia="Verdana" w:hAnsi="Verdana"/>
                <w:sz w:val="21"/>
                <w:szCs w:val="21"/>
                <w:color w:val="auto"/>
                <w:vertAlign w:val="superscript"/>
              </w:rPr>
              <w:t>(1)</w:t>
            </w:r>
          </w:p>
        </w:tc>
        <w:tc>
          <w:tcPr>
            <w:tcW w:w="4280" w:type="dxa"/>
            <w:vAlign w:val="bottom"/>
            <w:tcBorders>
              <w:top w:val="single" w:sz="8" w:color="0C2340"/>
            </w:tcBorders>
          </w:tcPr>
          <w:p>
            <w:pPr>
              <w:jc w:val="right"/>
              <w:ind w:right="201"/>
              <w:spacing w:after="0"/>
              <w:rPr>
                <w:sz w:val="20"/>
                <w:szCs w:val="20"/>
                <w:color w:val="auto"/>
              </w:rPr>
            </w:pPr>
            <w:r>
              <w:rPr>
                <w:rFonts w:ascii="Verdana" w:cs="Verdana" w:eastAsia="Verdana" w:hAnsi="Verdana"/>
                <w:sz w:val="16"/>
                <w:szCs w:val="16"/>
                <w:color w:val="auto"/>
              </w:rPr>
              <w:t>$13,457</w:t>
            </w:r>
          </w:p>
        </w:tc>
        <w:tc>
          <w:tcPr>
            <w:tcW w:w="1180" w:type="dxa"/>
            <w:vAlign w:val="bottom"/>
            <w:tcBorders>
              <w:top w:val="single" w:sz="8" w:color="0C2340"/>
            </w:tcBorders>
          </w:tcPr>
          <w:p>
            <w:pPr>
              <w:jc w:val="right"/>
              <w:ind w:right="1"/>
              <w:spacing w:after="0"/>
              <w:rPr>
                <w:sz w:val="20"/>
                <w:szCs w:val="20"/>
                <w:color w:val="auto"/>
              </w:rPr>
            </w:pPr>
            <w:r>
              <w:rPr>
                <w:rFonts w:ascii="Verdana" w:cs="Verdana" w:eastAsia="Verdana" w:hAnsi="Verdana"/>
                <w:sz w:val="16"/>
                <w:szCs w:val="16"/>
                <w:color w:val="auto"/>
              </w:rPr>
              <w:t>$12,779</w:t>
            </w:r>
          </w:p>
        </w:tc>
      </w:tr>
      <w:tr>
        <w:trPr>
          <w:trHeight w:val="243"/>
        </w:trPr>
        <w:tc>
          <w:tcPr>
            <w:tcW w:w="4840" w:type="dxa"/>
            <w:vAlign w:val="bottom"/>
            <w:shd w:val="clear" w:color="auto" w:fill="D6E5F9"/>
          </w:tcPr>
          <w:p>
            <w:pPr>
              <w:ind w:left="20"/>
              <w:spacing w:after="0" w:line="243" w:lineRule="exact"/>
              <w:rPr>
                <w:sz w:val="20"/>
                <w:szCs w:val="20"/>
                <w:color w:val="auto"/>
              </w:rPr>
            </w:pPr>
            <w:r>
              <w:rPr>
                <w:rFonts w:ascii="Verdana" w:cs="Verdana" w:eastAsia="Verdana" w:hAnsi="Verdana"/>
                <w:sz w:val="16"/>
                <w:szCs w:val="16"/>
                <w:color w:val="auto"/>
              </w:rPr>
              <w:t>Audit-related fees</w:t>
            </w:r>
            <w:r>
              <w:rPr>
                <w:rFonts w:ascii="Verdana" w:cs="Verdana" w:eastAsia="Verdana" w:hAnsi="Verdana"/>
                <w:sz w:val="21"/>
                <w:szCs w:val="21"/>
                <w:color w:val="auto"/>
                <w:vertAlign w:val="superscript"/>
              </w:rPr>
              <w:t>(2)</w:t>
            </w:r>
          </w:p>
        </w:tc>
        <w:tc>
          <w:tcPr>
            <w:tcW w:w="4280" w:type="dxa"/>
            <w:vAlign w:val="bottom"/>
            <w:shd w:val="clear" w:color="auto" w:fill="D6E5F9"/>
          </w:tcPr>
          <w:p>
            <w:pPr>
              <w:jc w:val="right"/>
              <w:ind w:right="201"/>
              <w:spacing w:after="0"/>
              <w:rPr>
                <w:sz w:val="20"/>
                <w:szCs w:val="20"/>
                <w:color w:val="auto"/>
              </w:rPr>
            </w:pPr>
            <w:r>
              <w:rPr>
                <w:rFonts w:ascii="Verdana" w:cs="Verdana" w:eastAsia="Verdana" w:hAnsi="Verdana"/>
                <w:sz w:val="16"/>
                <w:szCs w:val="16"/>
                <w:color w:val="auto"/>
              </w:rPr>
              <w:t>747</w:t>
            </w:r>
          </w:p>
        </w:tc>
        <w:tc>
          <w:tcPr>
            <w:tcW w:w="1180" w:type="dxa"/>
            <w:vAlign w:val="bottom"/>
            <w:shd w:val="clear" w:color="auto" w:fill="D6E5F9"/>
          </w:tcPr>
          <w:p>
            <w:pPr>
              <w:jc w:val="right"/>
              <w:ind w:right="1"/>
              <w:spacing w:after="0"/>
              <w:rPr>
                <w:sz w:val="20"/>
                <w:szCs w:val="20"/>
                <w:color w:val="auto"/>
              </w:rPr>
            </w:pPr>
            <w:r>
              <w:rPr>
                <w:rFonts w:ascii="Verdana" w:cs="Verdana" w:eastAsia="Verdana" w:hAnsi="Verdana"/>
                <w:sz w:val="16"/>
                <w:szCs w:val="16"/>
                <w:color w:val="auto"/>
              </w:rPr>
              <w:t>1,261</w:t>
            </w:r>
          </w:p>
        </w:tc>
      </w:tr>
      <w:tr>
        <w:trPr>
          <w:trHeight w:val="243"/>
        </w:trPr>
        <w:tc>
          <w:tcPr>
            <w:tcW w:w="4840" w:type="dxa"/>
            <w:vAlign w:val="bottom"/>
          </w:tcPr>
          <w:p>
            <w:pPr>
              <w:ind w:left="20"/>
              <w:spacing w:after="0" w:line="243" w:lineRule="exact"/>
              <w:rPr>
                <w:sz w:val="20"/>
                <w:szCs w:val="20"/>
                <w:color w:val="auto"/>
              </w:rPr>
            </w:pPr>
            <w:r>
              <w:rPr>
                <w:rFonts w:ascii="Verdana" w:cs="Verdana" w:eastAsia="Verdana" w:hAnsi="Verdana"/>
                <w:sz w:val="16"/>
                <w:szCs w:val="16"/>
                <w:color w:val="auto"/>
              </w:rPr>
              <w:t>Tax fees</w:t>
            </w:r>
            <w:r>
              <w:rPr>
                <w:rFonts w:ascii="Verdana" w:cs="Verdana" w:eastAsia="Verdana" w:hAnsi="Verdana"/>
                <w:sz w:val="21"/>
                <w:szCs w:val="21"/>
                <w:color w:val="auto"/>
                <w:vertAlign w:val="superscript"/>
              </w:rPr>
              <w:t>(3)</w:t>
            </w:r>
          </w:p>
        </w:tc>
        <w:tc>
          <w:tcPr>
            <w:tcW w:w="4280" w:type="dxa"/>
            <w:vAlign w:val="bottom"/>
          </w:tcPr>
          <w:p>
            <w:pPr>
              <w:jc w:val="right"/>
              <w:ind w:right="201"/>
              <w:spacing w:after="0"/>
              <w:rPr>
                <w:sz w:val="20"/>
                <w:szCs w:val="20"/>
                <w:color w:val="auto"/>
              </w:rPr>
            </w:pPr>
            <w:r>
              <w:rPr>
                <w:rFonts w:ascii="Verdana" w:cs="Verdana" w:eastAsia="Verdana" w:hAnsi="Verdana"/>
                <w:sz w:val="16"/>
                <w:szCs w:val="16"/>
                <w:color w:val="auto"/>
              </w:rPr>
              <w:t>2,619</w:t>
            </w:r>
          </w:p>
        </w:tc>
        <w:tc>
          <w:tcPr>
            <w:tcW w:w="1180" w:type="dxa"/>
            <w:vAlign w:val="bottom"/>
          </w:tcPr>
          <w:p>
            <w:pPr>
              <w:jc w:val="right"/>
              <w:ind w:right="1"/>
              <w:spacing w:after="0"/>
              <w:rPr>
                <w:sz w:val="20"/>
                <w:szCs w:val="20"/>
                <w:color w:val="auto"/>
              </w:rPr>
            </w:pPr>
            <w:r>
              <w:rPr>
                <w:rFonts w:ascii="Verdana" w:cs="Verdana" w:eastAsia="Verdana" w:hAnsi="Verdana"/>
                <w:sz w:val="16"/>
                <w:szCs w:val="16"/>
                <w:color w:val="auto"/>
              </w:rPr>
              <w:t>2,705</w:t>
            </w:r>
          </w:p>
        </w:tc>
      </w:tr>
      <w:tr>
        <w:trPr>
          <w:trHeight w:val="243"/>
        </w:trPr>
        <w:tc>
          <w:tcPr>
            <w:tcW w:w="4840" w:type="dxa"/>
            <w:vAlign w:val="bottom"/>
            <w:tcBorders>
              <w:bottom w:val="single" w:sz="8" w:color="0C2340"/>
            </w:tcBorders>
            <w:shd w:val="clear" w:color="auto" w:fill="D6E5F9"/>
          </w:tcPr>
          <w:p>
            <w:pPr>
              <w:ind w:left="20"/>
              <w:spacing w:after="0" w:line="243" w:lineRule="exact"/>
              <w:rPr>
                <w:sz w:val="20"/>
                <w:szCs w:val="20"/>
                <w:color w:val="auto"/>
              </w:rPr>
            </w:pPr>
            <w:r>
              <w:rPr>
                <w:rFonts w:ascii="Verdana" w:cs="Verdana" w:eastAsia="Verdana" w:hAnsi="Verdana"/>
                <w:sz w:val="16"/>
                <w:szCs w:val="16"/>
                <w:color w:val="auto"/>
              </w:rPr>
              <w:t>All other fees</w:t>
            </w:r>
            <w:r>
              <w:rPr>
                <w:rFonts w:ascii="Verdana" w:cs="Verdana" w:eastAsia="Verdana" w:hAnsi="Verdana"/>
                <w:sz w:val="21"/>
                <w:szCs w:val="21"/>
                <w:color w:val="auto"/>
                <w:vertAlign w:val="superscript"/>
              </w:rPr>
              <w:t>(4)</w:t>
            </w:r>
          </w:p>
        </w:tc>
        <w:tc>
          <w:tcPr>
            <w:tcW w:w="4280" w:type="dxa"/>
            <w:vAlign w:val="bottom"/>
            <w:tcBorders>
              <w:bottom w:val="single" w:sz="8" w:color="0C2340"/>
            </w:tcBorders>
            <w:shd w:val="clear" w:color="auto" w:fill="D6E5F9"/>
          </w:tcPr>
          <w:p>
            <w:pPr>
              <w:jc w:val="right"/>
              <w:ind w:right="201"/>
              <w:spacing w:after="0"/>
              <w:rPr>
                <w:sz w:val="20"/>
                <w:szCs w:val="20"/>
                <w:color w:val="auto"/>
              </w:rPr>
            </w:pPr>
            <w:r>
              <w:rPr>
                <w:rFonts w:ascii="Verdana" w:cs="Verdana" w:eastAsia="Verdana" w:hAnsi="Verdana"/>
                <w:sz w:val="16"/>
                <w:szCs w:val="16"/>
                <w:color w:val="auto"/>
              </w:rPr>
              <w:t>—</w:t>
            </w:r>
          </w:p>
        </w:tc>
        <w:tc>
          <w:tcPr>
            <w:tcW w:w="1180" w:type="dxa"/>
            <w:vAlign w:val="bottom"/>
            <w:tcBorders>
              <w:bottom w:val="single" w:sz="8" w:color="0C2340"/>
            </w:tcBorders>
            <w:shd w:val="clear" w:color="auto" w:fill="D6E5F9"/>
          </w:tcPr>
          <w:p>
            <w:pPr>
              <w:jc w:val="right"/>
              <w:ind w:right="1"/>
              <w:spacing w:after="0"/>
              <w:rPr>
                <w:sz w:val="20"/>
                <w:szCs w:val="20"/>
                <w:color w:val="auto"/>
              </w:rPr>
            </w:pPr>
            <w:r>
              <w:rPr>
                <w:rFonts w:ascii="Verdana" w:cs="Verdana" w:eastAsia="Verdana" w:hAnsi="Verdana"/>
                <w:sz w:val="16"/>
                <w:szCs w:val="16"/>
                <w:color w:val="auto"/>
              </w:rPr>
              <w:t>287</w:t>
            </w:r>
          </w:p>
        </w:tc>
      </w:tr>
    </w:tbl>
    <w:p>
      <w:pPr>
        <w:spacing w:after="0" w:line="193" w:lineRule="exact"/>
        <w:rPr>
          <w:sz w:val="20"/>
          <w:szCs w:val="20"/>
          <w:color w:val="auto"/>
        </w:rPr>
      </w:pPr>
    </w:p>
    <w:p>
      <w:pPr>
        <w:ind w:left="340" w:right="360" w:hanging="332"/>
        <w:spacing w:after="0" w:line="215" w:lineRule="auto"/>
        <w:tabs>
          <w:tab w:leader="none" w:pos="336" w:val="left"/>
        </w:tabs>
        <w:numPr>
          <w:ilvl w:val="0"/>
          <w:numId w:val="127"/>
        </w:numPr>
        <w:rPr>
          <w:rFonts w:ascii="Verdana" w:cs="Verdana" w:eastAsia="Verdana" w:hAnsi="Verdana"/>
          <w:sz w:val="19"/>
          <w:szCs w:val="19"/>
          <w:color w:val="auto"/>
          <w:vertAlign w:val="superscript"/>
        </w:rPr>
      </w:pPr>
      <w:r>
        <w:rPr>
          <w:rFonts w:ascii="Verdana" w:cs="Verdana" w:eastAsia="Verdana" w:hAnsi="Verdana"/>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1" w:lineRule="exact"/>
        <w:rPr>
          <w:rFonts w:ascii="Verdana" w:cs="Verdana" w:eastAsia="Verdana" w:hAnsi="Verdana"/>
          <w:sz w:val="19"/>
          <w:szCs w:val="19"/>
          <w:color w:val="auto"/>
          <w:vertAlign w:val="superscript"/>
        </w:rPr>
      </w:pPr>
    </w:p>
    <w:p>
      <w:pPr>
        <w:ind w:left="340" w:right="40" w:hanging="332"/>
        <w:spacing w:after="0" w:line="247" w:lineRule="auto"/>
        <w:tabs>
          <w:tab w:leader="none" w:pos="336" w:val="left"/>
        </w:tabs>
        <w:numPr>
          <w:ilvl w:val="0"/>
          <w:numId w:val="127"/>
        </w:numPr>
        <w:rPr>
          <w:rFonts w:ascii="Verdana" w:cs="Verdana" w:eastAsia="Verdana" w:hAnsi="Verdana"/>
          <w:sz w:val="9"/>
          <w:szCs w:val="9"/>
          <w:color w:val="auto"/>
        </w:rPr>
      </w:pPr>
      <w:r>
        <w:rPr>
          <w:rFonts w:ascii="Verdana" w:cs="Verdana" w:eastAsia="Verdana" w:hAnsi="Verdana"/>
          <w:sz w:val="14"/>
          <w:szCs w:val="14"/>
          <w:color w:val="auto"/>
        </w:rPr>
        <w:t>Audit-related fees include services related to the audits of employee benefit plans, an information technology pre-implementation review and agreed-upon procedures related to certain due diligence services in connection with acquisitions and divestitures.</w:t>
      </w:r>
    </w:p>
    <w:p>
      <w:pPr>
        <w:ind w:left="320" w:hanging="312"/>
        <w:spacing w:after="0" w:line="182" w:lineRule="auto"/>
        <w:tabs>
          <w:tab w:leader="none" w:pos="320" w:val="left"/>
        </w:tabs>
        <w:numPr>
          <w:ilvl w:val="0"/>
          <w:numId w:val="127"/>
        </w:numPr>
        <w:rPr>
          <w:rFonts w:ascii="Verdana" w:cs="Verdana" w:eastAsia="Verdana" w:hAnsi="Verdana"/>
          <w:sz w:val="19"/>
          <w:szCs w:val="19"/>
          <w:color w:val="auto"/>
          <w:vertAlign w:val="superscript"/>
        </w:rPr>
      </w:pPr>
      <w:r>
        <w:rPr>
          <w:rFonts w:ascii="Verdana" w:cs="Verdana" w:eastAsia="Verdana" w:hAnsi="Verdana"/>
          <w:sz w:val="14"/>
          <w:szCs w:val="14"/>
          <w:color w:val="auto"/>
        </w:rPr>
        <w:t>Tax fees include services related to tax compliance, tax advice and tax planning.</w:t>
      </w:r>
    </w:p>
    <w:p>
      <w:pPr>
        <w:ind w:left="340" w:right="360" w:hanging="332"/>
        <w:spacing w:after="0" w:line="208" w:lineRule="auto"/>
        <w:tabs>
          <w:tab w:leader="none" w:pos="336" w:val="left"/>
        </w:tabs>
        <w:numPr>
          <w:ilvl w:val="0"/>
          <w:numId w:val="127"/>
        </w:numPr>
        <w:rPr>
          <w:rFonts w:ascii="Verdana" w:cs="Verdana" w:eastAsia="Verdana" w:hAnsi="Verdana"/>
          <w:sz w:val="19"/>
          <w:szCs w:val="19"/>
          <w:color w:val="auto"/>
          <w:vertAlign w:val="superscript"/>
        </w:rPr>
      </w:pPr>
      <w:r>
        <w:rPr>
          <w:rFonts w:ascii="Verdana" w:cs="Verdana" w:eastAsia="Verdana" w:hAnsi="Verdana"/>
          <w:sz w:val="14"/>
          <w:szCs w:val="14"/>
          <w:color w:val="auto"/>
        </w:rPr>
        <w:t>All other fees include services that are not contained in the above categories and consist of permissible non-audit services. The 2023 fees include insurance claim services related to a typhoon in the Philippines.</w:t>
      </w:r>
    </w:p>
    <w:p>
      <w:pPr>
        <w:spacing w:after="0" w:line="200" w:lineRule="exact"/>
        <w:rPr>
          <w:sz w:val="20"/>
          <w:szCs w:val="20"/>
          <w:color w:val="auto"/>
        </w:rPr>
      </w:pPr>
    </w:p>
    <w:p>
      <w:pPr>
        <w:spacing w:after="0" w:line="334" w:lineRule="exact"/>
        <w:rPr>
          <w:sz w:val="20"/>
          <w:szCs w:val="20"/>
          <w:color w:val="auto"/>
        </w:rPr>
      </w:pPr>
    </w:p>
    <w:p>
      <w:pPr>
        <w:ind w:left="560" w:hanging="534"/>
        <w:spacing w:after="0"/>
        <w:tabs>
          <w:tab w:leader="none" w:pos="560" w:val="left"/>
        </w:tabs>
        <w:numPr>
          <w:ilvl w:val="0"/>
          <w:numId w:val="128"/>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CERTAIN RELATIONSHIPS AND RELATED PARTY TRANSACTIONS</w:t>
      </w:r>
    </w:p>
    <w:p>
      <w:pPr>
        <w:spacing w:after="0" w:line="20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Our Code of Business Conduct &amp; Ethics prohibits activities that conflict with, or have the appearance of conflicting with, the best interests of the Company and its shareholders. Such conflicts of interest may arise when an employee, or a member of such employee’s</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immediate family, receives improper personal benefits as a result of such employee's position in the Company. We also maintain a Related Party Transaction Policy regarding the identification, review, monitoring and, as necessary, approval of transactions between the</w:t>
      </w:r>
    </w:p>
    <w:p>
      <w:pPr>
        <w:spacing w:after="0" w:line="1"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Company and related parties. Related parties include directors and director nominees, executive officers and such other employees as may be designated by the Company from time to time (together with executive officers, “senior officers”), significant shareholders and immediate family members of any of the foregoing. Under the policy, a related party transaction includes any transaction, or series of</w:t>
      </w:r>
    </w:p>
    <w:p>
      <w:pPr>
        <w:spacing w:after="0" w:line="2"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transactions, involving the Company and a related party in excess of $120,000, whether undertaken in or outside the ordinary course of our business and where the related party has a direct or indirect material interest in such transaction or series of transactions. All related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party transactions must be reviewed and approved by the G&amp;S Committee.</w:t>
      </w:r>
    </w:p>
    <w:p>
      <w:pPr>
        <w:spacing w:after="0" w:line="103"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Under the policy, directors and senior officers are required to complete an annual questionnaire regarding their immediate family members, related entities and potential related party transactions. Following review of such questionnaires, the Vice President of Audit</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Services and Chief Accounting Officer determine whether the Company has engaged in any transactions with the identified individuals and entities. All such transactions, if any, are reviewed by the General Counsel, other members of management and outside counsel, as necessary, to evaluate whether such transactions constitute related party transactions and are therefore subject to the review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approval of the G&amp;S Committee.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In connection with any required approval of the G&amp;S Committee, a member of senior management must represent to the G&amp;S</w:t>
      </w:r>
    </w:p>
    <w:p>
      <w:pPr>
        <w:spacing w:after="0" w:line="8" w:lineRule="exact"/>
        <w:rPr>
          <w:sz w:val="20"/>
          <w:szCs w:val="20"/>
          <w:color w:val="auto"/>
        </w:rPr>
      </w:pPr>
    </w:p>
    <w:p>
      <w:pPr>
        <w:ind w:right="440"/>
        <w:spacing w:after="0" w:line="238" w:lineRule="auto"/>
        <w:rPr>
          <w:sz w:val="20"/>
          <w:szCs w:val="20"/>
          <w:color w:val="auto"/>
        </w:rPr>
      </w:pPr>
      <w:r>
        <w:rPr>
          <w:rFonts w:ascii="Verdana" w:cs="Verdana" w:eastAsia="Verdana" w:hAnsi="Verdana"/>
          <w:sz w:val="16"/>
          <w:szCs w:val="16"/>
          <w:color w:val="auto"/>
        </w:rPr>
        <w:t>Committee that the related party at issue has been held to the same standards as unaffiliated third parties. The G&amp;S Committee assesses the terms of the transaction, the business purpose of the transaction, the benefit to the Company and to the related party, whether the transaction was in the ordinary course of business and any other relevant factors. G&amp;S Committee members having (or</w:t>
      </w:r>
    </w:p>
    <w:p>
      <w:pPr>
        <w:spacing w:after="0" w:line="2"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having an immediate family member that has) a direct or indirect interest in the transaction must recuse themselves and abstain from voting on the approval or ratification of the related party transaction. All related party transactions are disclosed annually in our proxy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statement.</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Certain Transactions</w:t>
      </w:r>
    </w:p>
    <w:p>
      <w:pPr>
        <w:spacing w:after="0" w:line="146" w:lineRule="exact"/>
        <w:rPr>
          <w:sz w:val="20"/>
          <w:szCs w:val="20"/>
          <w:color w:val="auto"/>
        </w:rPr>
      </w:pPr>
    </w:p>
    <w:p>
      <w:pPr>
        <w:ind w:right="540"/>
        <w:spacing w:after="0" w:line="241" w:lineRule="auto"/>
        <w:rPr>
          <w:sz w:val="20"/>
          <w:szCs w:val="20"/>
          <w:color w:val="auto"/>
        </w:rPr>
      </w:pPr>
      <w:r>
        <w:rPr>
          <w:rFonts w:ascii="Verdana" w:cs="Verdana" w:eastAsia="Verdana" w:hAnsi="Verdana"/>
          <w:sz w:val="16"/>
          <w:szCs w:val="16"/>
          <w:color w:val="auto"/>
        </w:rPr>
        <w:t>Joshua Scott, a program manager for the Company, is the son of Raymond E. Scott, a director of the Company and the Company’s President and CEO. In 2024, total compensation (base salary and cash bonus) paid to Mr. Scott was approximately $127,000. The</w:t>
      </w:r>
    </w:p>
    <w:p>
      <w:pPr>
        <w:spacing w:after="0" w:line="1"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compensation paid to Mr. Scott was reviewed and approved by the G&amp;S Committee and was in accordance with the Company’s standard compensation practices for similarly situated employees.</w:t>
      </w:r>
    </w:p>
    <w:p>
      <w:pPr>
        <w:spacing w:after="0" w:line="90"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Jacob Scott, a purchasing manager for the Company, is the son of Raymond E. Scott, a director of the Company and the Company’s President and CEO. In 2024, total compensation (base salary and cash bonus) paid to Mr. Scott was approximately $143,000. The compensation paid to Mr. Scott was reviewed and approved by the G&amp;S Committee and was in accordance with the Company’s standard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compensation practices for similarly situated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81</w:t>
            </w:r>
          </w:p>
        </w:tc>
      </w:tr>
      <w:tr>
        <w:trPr>
          <w:trHeight w:val="318"/>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100"/>
        <w:spacing w:after="0" w:line="273" w:lineRule="auto"/>
        <w:rPr>
          <w:sz w:val="20"/>
          <w:szCs w:val="20"/>
          <w:color w:val="auto"/>
        </w:rPr>
      </w:pPr>
      <w:r>
        <w:rPr>
          <w:rFonts w:ascii="Verdana" w:cs="Verdana" w:eastAsia="Verdana" w:hAnsi="Verdana"/>
          <w:sz w:val="28"/>
          <w:szCs w:val="28"/>
          <w:b w:val="1"/>
          <w:bCs w:val="1"/>
          <w:u w:val="single" w:color="auto"/>
          <w:color w:val="0C2340"/>
        </w:rPr>
        <w:t>RATIFICATION OF RETENTION OF INDEPENDENT REGISTERED PUBLIC ACCOUNTING FIRM FOR 2025 (PROPOSAL NO. 2)</w:t>
      </w:r>
    </w:p>
    <w:p>
      <w:pPr>
        <w:spacing w:after="0" w:line="124" w:lineRule="exact"/>
        <w:rPr>
          <w:sz w:val="20"/>
          <w:szCs w:val="20"/>
          <w:color w:val="auto"/>
        </w:rPr>
      </w:pPr>
    </w:p>
    <w:p>
      <w:pPr>
        <w:spacing w:after="0"/>
        <w:rPr>
          <w:sz w:val="20"/>
          <w:szCs w:val="20"/>
          <w:color w:val="auto"/>
        </w:rPr>
      </w:pPr>
      <w:r>
        <w:rPr>
          <w:rFonts w:ascii="Verdana" w:cs="Verdana" w:eastAsia="Verdana" w:hAnsi="Verdana"/>
          <w:sz w:val="16"/>
          <w:szCs w:val="16"/>
          <w:color w:val="auto"/>
        </w:rPr>
        <w:t>Our Audit Committee has retained Ernst &amp; Young LLP as our independent registered public accounting firm for the year ending December</w:t>
      </w:r>
    </w:p>
    <w:p>
      <w:pPr>
        <w:spacing w:after="0" w:line="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31, 2025.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shareholders fail to ratify such selection, another independent registered public accounting</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firm will be considered by our Audit Committee, but the Audit Committee may nonetheless choose to engage Ernst &amp; Young LLP. Even if the retention of Ernst &amp; Young LLP is ratified, the Audit Committee in its discretion may select a different independent registered public</w:t>
      </w:r>
    </w:p>
    <w:p>
      <w:pPr>
        <w:spacing w:after="0" w:line="1" w:lineRule="exact"/>
        <w:rPr>
          <w:sz w:val="20"/>
          <w:szCs w:val="20"/>
          <w:color w:val="auto"/>
        </w:rPr>
      </w:pPr>
    </w:p>
    <w:p>
      <w:pPr>
        <w:ind w:right="300"/>
        <w:spacing w:after="0" w:line="243" w:lineRule="auto"/>
        <w:rPr>
          <w:sz w:val="20"/>
          <w:szCs w:val="20"/>
          <w:color w:val="auto"/>
        </w:rPr>
      </w:pPr>
      <w:r>
        <w:rPr>
          <w:rFonts w:ascii="Verdana" w:cs="Verdana" w:eastAsia="Verdana" w:hAnsi="Verdana"/>
          <w:sz w:val="16"/>
          <w:szCs w:val="16"/>
          <w:color w:val="auto"/>
        </w:rPr>
        <w:t>accounting firm at any time during the year if it determines that such a change would be in the best interests of the Company and its shareholders. We have been advised that a representative of Ernst &amp; Young LLP will be present at the Annual Meeting and will be available to respond to appropriate questions and, if such person chooses to do so, make a statement.</w:t>
      </w:r>
    </w:p>
    <w:p>
      <w:pPr>
        <w:spacing w:after="0" w:line="107" w:lineRule="exact"/>
        <w:rPr>
          <w:sz w:val="20"/>
          <w:szCs w:val="20"/>
          <w:color w:val="auto"/>
        </w:rPr>
      </w:pPr>
    </w:p>
    <w:p>
      <w:pPr>
        <w:ind w:right="560"/>
        <w:spacing w:after="0" w:line="254" w:lineRule="auto"/>
        <w:rPr>
          <w:sz w:val="20"/>
          <w:szCs w:val="20"/>
          <w:color w:val="auto"/>
        </w:rPr>
      </w:pPr>
      <w:r>
        <w:rPr>
          <w:rFonts w:ascii="Verdana" w:cs="Verdana" w:eastAsia="Verdana" w:hAnsi="Verdana"/>
          <w:sz w:val="18"/>
          <w:szCs w:val="18"/>
          <w:b w:val="1"/>
          <w:bCs w:val="1"/>
          <w:color w:val="auto"/>
        </w:rPr>
        <w:t>THE BOARD UNANIMOUSLY RECOMMENDS A VOTE “FOR” RATIFICATION OF THE RETENTION OF ERNST &amp; YOUNG LLP AS OUR INDEPENDENT REGISTERED PUBLIC ACCOUNTING FIRM FOR 2025.</w:t>
      </w:r>
    </w:p>
    <w:p>
      <w:pPr>
        <w:spacing w:after="0" w:line="77" w:lineRule="exact"/>
        <w:rPr>
          <w:sz w:val="20"/>
          <w:szCs w:val="20"/>
          <w:color w:val="auto"/>
        </w:rPr>
      </w:pPr>
    </w:p>
    <w:p>
      <w:pPr>
        <w:ind w:right="120"/>
        <w:spacing w:after="0" w:line="254" w:lineRule="auto"/>
        <w:rPr>
          <w:sz w:val="20"/>
          <w:szCs w:val="20"/>
          <w:color w:val="auto"/>
        </w:rPr>
      </w:pPr>
      <w:r>
        <w:rPr>
          <w:rFonts w:ascii="Verdana" w:cs="Verdana" w:eastAsia="Verdana" w:hAnsi="Verdana"/>
          <w:sz w:val="18"/>
          <w:szCs w:val="18"/>
          <w:b w:val="1"/>
          <w:bCs w:val="1"/>
          <w:color w:val="auto"/>
        </w:rPr>
        <w:t>PROXIES SOLICITED BY THE BOARD WILL BE VOTED “FOR” THE PROPOSAL UNLESS SHAREHOLDERS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hanging="534"/>
        <w:spacing w:after="0"/>
        <w:tabs>
          <w:tab w:leader="none" w:pos="560" w:val="left"/>
        </w:tabs>
        <w:numPr>
          <w:ilvl w:val="0"/>
          <w:numId w:val="129"/>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7" w:name="page88"/>
    <w:bookmarkEnd w:id="8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46" w:lineRule="auto"/>
        <w:rPr>
          <w:sz w:val="20"/>
          <w:szCs w:val="20"/>
          <w:color w:val="auto"/>
        </w:rPr>
      </w:pPr>
      <w:r>
        <w:rPr>
          <w:rFonts w:ascii="Verdana" w:cs="Verdana" w:eastAsia="Verdana" w:hAnsi="Verdana"/>
          <w:sz w:val="27"/>
          <w:szCs w:val="27"/>
          <w:b w:val="1"/>
          <w:bCs w:val="1"/>
          <w:u w:val="single" w:color="auto"/>
          <w:color w:val="0C2340"/>
        </w:rPr>
        <w:t>ADVISORY VOTE TO APPROVE THE COMPANY’S EXECUTIVE COMPENSATION SET FORTH IN THIS PROXY STATEMENT (PROPOSAL NO. 3)</w:t>
      </w:r>
    </w:p>
    <w:p>
      <w:pPr>
        <w:spacing w:after="0" w:line="168" w:lineRule="exact"/>
        <w:rPr>
          <w:sz w:val="20"/>
          <w:szCs w:val="20"/>
          <w:color w:val="auto"/>
        </w:rPr>
      </w:pPr>
    </w:p>
    <w:p>
      <w:pPr>
        <w:ind w:right="440"/>
        <w:spacing w:after="0" w:line="241" w:lineRule="auto"/>
        <w:rPr>
          <w:sz w:val="20"/>
          <w:szCs w:val="20"/>
          <w:color w:val="auto"/>
        </w:rPr>
      </w:pPr>
      <w:r>
        <w:rPr>
          <w:rFonts w:ascii="Verdana" w:cs="Verdana" w:eastAsia="Verdana" w:hAnsi="Verdana"/>
          <w:sz w:val="16"/>
          <w:szCs w:val="16"/>
          <w:color w:val="auto"/>
        </w:rPr>
        <w:t>Pursuant to Section 14A of the Exchange Act, we are seeking the advisory approval by shareholders of the Company’s executive compensation program and practices as disclosed in this proxy statement. As most recently approved by shareholders at the annual</w:t>
      </w:r>
    </w:p>
    <w:p>
      <w:pPr>
        <w:spacing w:after="0" w:line="1" w:lineRule="exact"/>
        <w:rPr>
          <w:sz w:val="20"/>
          <w:szCs w:val="20"/>
          <w:color w:val="auto"/>
        </w:rPr>
      </w:pPr>
    </w:p>
    <w:p>
      <w:pPr>
        <w:ind w:right="380"/>
        <w:spacing w:after="0" w:line="241" w:lineRule="auto"/>
        <w:rPr>
          <w:sz w:val="20"/>
          <w:szCs w:val="20"/>
          <w:color w:val="auto"/>
        </w:rPr>
      </w:pPr>
      <w:r>
        <w:rPr>
          <w:rFonts w:ascii="Verdana" w:cs="Verdana" w:eastAsia="Verdana" w:hAnsi="Verdana"/>
          <w:sz w:val="16"/>
          <w:szCs w:val="16"/>
          <w:color w:val="auto"/>
        </w:rPr>
        <w:t>meeting of shareholders in 2024 and consistent with the Board’s recommendation, we are submitting this proposal for a non-binding vote on an annual basis. While this vote is advisory, and not binding on the Board, it will provide information to the Board and P&amp;C</w:t>
      </w:r>
    </w:p>
    <w:p>
      <w:pPr>
        <w:spacing w:after="0" w:line="1" w:lineRule="exact"/>
        <w:rPr>
          <w:sz w:val="20"/>
          <w:szCs w:val="20"/>
          <w:color w:val="auto"/>
        </w:rPr>
      </w:pPr>
    </w:p>
    <w:p>
      <w:pPr>
        <w:ind w:right="320"/>
        <w:spacing w:after="0" w:line="243" w:lineRule="auto"/>
        <w:rPr>
          <w:sz w:val="20"/>
          <w:szCs w:val="20"/>
          <w:color w:val="auto"/>
        </w:rPr>
      </w:pPr>
      <w:r>
        <w:rPr>
          <w:rFonts w:ascii="Verdana" w:cs="Verdana" w:eastAsia="Verdana" w:hAnsi="Verdana"/>
          <w:sz w:val="16"/>
          <w:szCs w:val="16"/>
          <w:color w:val="auto"/>
        </w:rPr>
        <w:t>Committee regarding investor sentiment about our executive compensation programs and practices, which the P&amp;C Committee will carefully review when evaluating our executive compensation program. At the annual meeting of shareholders in 2024, our executive compensation program and practices disclosed in our 2024 proxy statement received a favorable vote by 90.2% of shares voted.</w:t>
      </w:r>
    </w:p>
    <w:p>
      <w:pPr>
        <w:spacing w:after="0" w:line="98" w:lineRule="exact"/>
        <w:rPr>
          <w:sz w:val="20"/>
          <w:szCs w:val="20"/>
          <w:color w:val="auto"/>
        </w:rPr>
      </w:pPr>
    </w:p>
    <w:p>
      <w:pPr>
        <w:spacing w:after="0"/>
        <w:rPr>
          <w:sz w:val="20"/>
          <w:szCs w:val="20"/>
          <w:color w:val="auto"/>
        </w:rPr>
      </w:pPr>
      <w:r>
        <w:rPr>
          <w:rFonts w:ascii="Verdana" w:cs="Verdana" w:eastAsia="Verdana" w:hAnsi="Verdana"/>
          <w:sz w:val="16"/>
          <w:szCs w:val="16"/>
          <w:color w:val="auto"/>
        </w:rPr>
        <w:t>Shareholders are being asked to vote on the following advisory resolution:</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“RESOLVED, that the Company’s shareholders approve, on an advisory basis, the compensation of the Company’s executive officers, as</w:t>
      </w:r>
    </w:p>
    <w:p>
      <w:pPr>
        <w:spacing w:after="0" w:line="8" w:lineRule="exact"/>
        <w:rPr>
          <w:sz w:val="20"/>
          <w:szCs w:val="20"/>
          <w:color w:val="auto"/>
        </w:rPr>
      </w:pPr>
    </w:p>
    <w:p>
      <w:pPr>
        <w:ind w:right="600"/>
        <w:spacing w:after="0" w:line="243" w:lineRule="auto"/>
        <w:rPr>
          <w:sz w:val="20"/>
          <w:szCs w:val="20"/>
          <w:color w:val="auto"/>
        </w:rPr>
      </w:pPr>
      <w:r>
        <w:rPr>
          <w:rFonts w:ascii="Verdana" w:cs="Verdana" w:eastAsia="Verdana" w:hAnsi="Verdana"/>
          <w:sz w:val="16"/>
          <w:szCs w:val="16"/>
          <w:color w:val="auto"/>
        </w:rPr>
        <w:t>disclosed in the 2025 proxy statement pursuant to the compensation disclosure rules of the Securities and Exchange Commission, including the Compensation Discussion and Analysis, the 2024 Summary Compensation Table and the other related tables and disclosures.”</w:t>
      </w:r>
    </w:p>
    <w:p>
      <w:pPr>
        <w:spacing w:after="0" w:line="9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shareholders’ interests to support</w:t>
      </w:r>
    </w:p>
    <w:p>
      <w:pPr>
        <w:spacing w:after="0" w:line="2"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long-term value creation and pay for performance. This philosophy and the compensation structure are essential to the Company’s ability to attract, retain and motivate individuals who can achieve superior financial results in the best interests of the Company and its</w:t>
      </w:r>
    </w:p>
    <w:p>
      <w:pPr>
        <w:spacing w:after="0" w:line="1"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shareholders. To that end, our program links pay to performance by delivering a significant majority of the total compensation opportunity of our NEOs in variable or performance-based compensation programs (annual and long-term incentive plans). Performance measures used in the Company’s annual and long-term incentive plans support the Company’s annual operating plan and longer-term</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strategy and are tied to key Company measures of short and long-term performance. Our program also aligns the NEOs’ financial interests with those of our shareholders by delivering a substantial portion of their total compensation in the form of equity awards and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other long-term incentive vehicles.</w:t>
      </w:r>
    </w:p>
    <w:p>
      <w:pPr>
        <w:spacing w:after="0" w:line="103" w:lineRule="exact"/>
        <w:rPr>
          <w:sz w:val="20"/>
          <w:szCs w:val="20"/>
          <w:color w:val="auto"/>
        </w:rPr>
      </w:pPr>
    </w:p>
    <w:p>
      <w:pPr>
        <w:ind w:right="340"/>
        <w:spacing w:after="0" w:line="241" w:lineRule="auto"/>
        <w:rPr>
          <w:sz w:val="20"/>
          <w:szCs w:val="20"/>
          <w:color w:val="auto"/>
        </w:rPr>
      </w:pPr>
      <w:r>
        <w:rPr>
          <w:rFonts w:ascii="Verdana" w:cs="Verdana" w:eastAsia="Verdana" w:hAnsi="Verdana"/>
          <w:sz w:val="16"/>
          <w:szCs w:val="16"/>
          <w:color w:val="auto"/>
        </w:rPr>
        <w:t>We urge our shareholders to read the “Compensation Discussion and Analysis” above, which describes in detail how our executive compensation program and practices operate and are designed to achieve our compensation objectives, as well as the accompanying</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compensation tables which provide detailed information on the compensation of our NEOs.</w:t>
      </w:r>
    </w:p>
    <w:p>
      <w:pPr>
        <w:spacing w:after="0" w:line="103" w:lineRule="exact"/>
        <w:rPr>
          <w:sz w:val="20"/>
          <w:szCs w:val="20"/>
          <w:color w:val="auto"/>
        </w:rPr>
      </w:pPr>
    </w:p>
    <w:p>
      <w:pPr>
        <w:ind w:right="120"/>
        <w:spacing w:after="0" w:line="270" w:lineRule="auto"/>
        <w:rPr>
          <w:sz w:val="20"/>
          <w:szCs w:val="20"/>
          <w:color w:val="auto"/>
        </w:rPr>
      </w:pPr>
      <w:r>
        <w:rPr>
          <w:rFonts w:ascii="Verdana" w:cs="Verdana" w:eastAsia="Verdana" w:hAnsi="Verdana"/>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71" w:lineRule="exact"/>
        <w:rPr>
          <w:sz w:val="20"/>
          <w:szCs w:val="20"/>
          <w:color w:val="auto"/>
        </w:rPr>
      </w:pPr>
    </w:p>
    <w:p>
      <w:pPr>
        <w:ind w:right="680"/>
        <w:spacing w:after="0" w:line="254" w:lineRule="auto"/>
        <w:rPr>
          <w:sz w:val="20"/>
          <w:szCs w:val="20"/>
          <w:color w:val="auto"/>
        </w:rPr>
      </w:pPr>
      <w:r>
        <w:rPr>
          <w:rFonts w:ascii="Verdana" w:cs="Verdana" w:eastAsia="Verdana" w:hAnsi="Verdana"/>
          <w:sz w:val="18"/>
          <w:szCs w:val="18"/>
          <w:b w:val="1"/>
          <w:bCs w:val="1"/>
          <w:color w:val="auto"/>
        </w:rPr>
        <w:t>THE BOARD UNANIMOUSLY RECOMMENDS A VOTE “FOR” THE ADVISORY APPROVAL OF THE COMPANY’S EXECUTIVE COMPENSATION SET FORTH IN THIS PROXY STATEMENT.</w:t>
      </w:r>
    </w:p>
    <w:p>
      <w:pPr>
        <w:spacing w:after="0" w:line="77" w:lineRule="exact"/>
        <w:rPr>
          <w:sz w:val="20"/>
          <w:szCs w:val="20"/>
          <w:color w:val="auto"/>
        </w:rPr>
      </w:pPr>
    </w:p>
    <w:p>
      <w:pPr>
        <w:ind w:right="440"/>
        <w:spacing w:after="0" w:line="245" w:lineRule="auto"/>
        <w:rPr>
          <w:sz w:val="20"/>
          <w:szCs w:val="20"/>
          <w:color w:val="auto"/>
        </w:rPr>
      </w:pPr>
      <w:r>
        <w:rPr>
          <w:rFonts w:ascii="Verdana" w:cs="Verdana" w:eastAsia="Verdana" w:hAnsi="Verdana"/>
          <w:sz w:val="18"/>
          <w:szCs w:val="18"/>
          <w:b w:val="1"/>
          <w:bCs w:val="1"/>
          <w:color w:val="auto"/>
        </w:rPr>
        <w:t>PROXIES SOLICITED BY THE BOARD WILL BE VOTED “FOR” THE ADVISORY APPROVAL OF THE COMPANY’S EXECUTIVE COMPENSATION SET FORTH IN THIS PROXY STATEMENT UNLESS SHAREHOLDERS SPECIFY A CONTRARY VOTE.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83</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QUESTIONS AND ANSWERS ABOUT THE ANNUAL MEETING</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Why did you send me this proxy statement?</w:t>
      </w:r>
    </w:p>
    <w:p>
      <w:pPr>
        <w:spacing w:after="0" w:line="137" w:lineRule="exact"/>
        <w:rPr>
          <w:sz w:val="20"/>
          <w:szCs w:val="20"/>
          <w:color w:val="auto"/>
        </w:rPr>
      </w:pPr>
    </w:p>
    <w:p>
      <w:pPr>
        <w:ind w:right="160"/>
        <w:spacing w:after="0" w:line="243" w:lineRule="auto"/>
        <w:rPr>
          <w:sz w:val="20"/>
          <w:szCs w:val="20"/>
          <w:color w:val="auto"/>
        </w:rPr>
      </w:pPr>
      <w:r>
        <w:rPr>
          <w:rFonts w:ascii="Verdana" w:cs="Verdana" w:eastAsia="Verdana" w:hAnsi="Verdana"/>
          <w:sz w:val="16"/>
          <w:szCs w:val="16"/>
          <w:color w:val="auto"/>
        </w:rPr>
        <w:t>We sent you this proxy statement because the Board is soliciting your proxy to vote at the Annual Meeting to be held on May 16, 2025, at 9:00 a.m. (Eastern Time) and at any postponements or adjournments of the Annual Meeting. This proxy statement summarizes information that is intended to assist you in making an informed vote on the proposals described in this proxy statement.</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Who can vote at the Annual Meeting?</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Only shareholders of record as of the record date are entitled to vote at the Annual Meeting. The record date to determine shareholders</w:t>
      </w:r>
    </w:p>
    <w:p>
      <w:pPr>
        <w:spacing w:after="0" w:line="8"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entitled to notice of and to vote at the Annual Meeting is the close of business on March 18, 2025. On the record date, there were 53,540,555 shares of our common stock, par value $0.01 per share, outstanding. Our common stock is the only class of voting securities outstanding.</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many shares must be present to conduct the Annual Meeting?</w:t>
      </w:r>
    </w:p>
    <w:p>
      <w:pPr>
        <w:spacing w:after="0" w:line="137" w:lineRule="exact"/>
        <w:rPr>
          <w:sz w:val="20"/>
          <w:szCs w:val="20"/>
          <w:color w:val="auto"/>
        </w:rPr>
      </w:pPr>
    </w:p>
    <w:p>
      <w:pPr>
        <w:ind w:right="540"/>
        <w:spacing w:after="0" w:line="241" w:lineRule="auto"/>
        <w:rPr>
          <w:sz w:val="20"/>
          <w:szCs w:val="20"/>
          <w:color w:val="auto"/>
        </w:rPr>
      </w:pPr>
      <w:r>
        <w:rPr>
          <w:rFonts w:ascii="Verdana" w:cs="Verdana" w:eastAsia="Verdana" w:hAnsi="Verdana"/>
          <w:sz w:val="16"/>
          <w:szCs w:val="16"/>
          <w:color w:val="auto"/>
        </w:rPr>
        <w:t>We must have a quorum present in person or by proxy to conduct the Annual Meeting. A quorum is established when a majority of shares entitled to vote is present in person or represented by proxy at the Annual Meeting. Abstentions and broker non-votes (as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described below) are counted for purposes of determining whether a quorum is present.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matters are to be voted on at the Annual Meeting?</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The agenda for the Annual Meeting is to:</w:t>
      </w:r>
    </w:p>
    <w:p>
      <w:pPr>
        <w:spacing w:after="0" w:line="103" w:lineRule="exact"/>
        <w:rPr>
          <w:sz w:val="20"/>
          <w:szCs w:val="20"/>
          <w:color w:val="auto"/>
        </w:rPr>
      </w:pPr>
    </w:p>
    <w:p>
      <w:pPr>
        <w:ind w:left="660" w:hanging="328"/>
        <w:spacing w:after="0"/>
        <w:tabs>
          <w:tab w:leader="none" w:pos="660" w:val="left"/>
        </w:tabs>
        <w:numPr>
          <w:ilvl w:val="0"/>
          <w:numId w:val="130"/>
        </w:numPr>
        <w:rPr>
          <w:rFonts w:ascii="Verdana" w:cs="Verdana" w:eastAsia="Verdana" w:hAnsi="Verdana"/>
          <w:sz w:val="16"/>
          <w:szCs w:val="16"/>
          <w:color w:val="auto"/>
        </w:rPr>
      </w:pPr>
      <w:r>
        <w:rPr>
          <w:rFonts w:ascii="Verdana" w:cs="Verdana" w:eastAsia="Verdana" w:hAnsi="Verdana"/>
          <w:sz w:val="16"/>
          <w:szCs w:val="16"/>
          <w:color w:val="auto"/>
        </w:rPr>
        <w:t>elect eleven directors named in this proxy statement;</w:t>
      </w:r>
    </w:p>
    <w:p>
      <w:pPr>
        <w:spacing w:after="0" w:line="102" w:lineRule="exact"/>
        <w:rPr>
          <w:rFonts w:ascii="Verdana" w:cs="Verdana" w:eastAsia="Verdana" w:hAnsi="Verdana"/>
          <w:sz w:val="16"/>
          <w:szCs w:val="16"/>
          <w:color w:val="auto"/>
        </w:rPr>
      </w:pPr>
    </w:p>
    <w:p>
      <w:pPr>
        <w:ind w:left="660" w:hanging="328"/>
        <w:spacing w:after="0"/>
        <w:tabs>
          <w:tab w:leader="none" w:pos="660" w:val="left"/>
        </w:tabs>
        <w:numPr>
          <w:ilvl w:val="0"/>
          <w:numId w:val="130"/>
        </w:numPr>
        <w:rPr>
          <w:rFonts w:ascii="Verdana" w:cs="Verdana" w:eastAsia="Verdana" w:hAnsi="Verdana"/>
          <w:sz w:val="16"/>
          <w:szCs w:val="16"/>
          <w:color w:val="auto"/>
        </w:rPr>
      </w:pPr>
      <w:r>
        <w:rPr>
          <w:rFonts w:ascii="Verdana" w:cs="Verdana" w:eastAsia="Verdana" w:hAnsi="Verdana"/>
          <w:sz w:val="16"/>
          <w:szCs w:val="16"/>
          <w:color w:val="auto"/>
        </w:rPr>
        <w:t>ratify the retention of Ernst &amp; Young LLP as our independent registered public accounting firm for 2025;</w:t>
      </w:r>
    </w:p>
    <w:p>
      <w:pPr>
        <w:spacing w:after="0" w:line="116" w:lineRule="exact"/>
        <w:rPr>
          <w:rFonts w:ascii="Verdana" w:cs="Verdana" w:eastAsia="Verdana" w:hAnsi="Verdana"/>
          <w:sz w:val="16"/>
          <w:szCs w:val="16"/>
          <w:color w:val="auto"/>
        </w:rPr>
      </w:pPr>
    </w:p>
    <w:p>
      <w:pPr>
        <w:ind w:left="660" w:hanging="328"/>
        <w:spacing w:after="0"/>
        <w:tabs>
          <w:tab w:leader="none" w:pos="660" w:val="left"/>
        </w:tabs>
        <w:numPr>
          <w:ilvl w:val="0"/>
          <w:numId w:val="130"/>
        </w:numPr>
        <w:rPr>
          <w:rFonts w:ascii="Verdana" w:cs="Verdana" w:eastAsia="Verdana" w:hAnsi="Verdana"/>
          <w:sz w:val="16"/>
          <w:szCs w:val="16"/>
          <w:color w:val="auto"/>
        </w:rPr>
      </w:pPr>
      <w:r>
        <w:rPr>
          <w:rFonts w:ascii="Verdana" w:cs="Verdana" w:eastAsia="Verdana" w:hAnsi="Verdana"/>
          <w:sz w:val="16"/>
          <w:szCs w:val="16"/>
          <w:color w:val="auto"/>
        </w:rPr>
        <w:t>provide an advisory vote to approve our executive compensation; and</w:t>
      </w:r>
    </w:p>
    <w:p>
      <w:pPr>
        <w:spacing w:after="0" w:line="102" w:lineRule="exact"/>
        <w:rPr>
          <w:rFonts w:ascii="Verdana" w:cs="Verdana" w:eastAsia="Verdana" w:hAnsi="Verdana"/>
          <w:sz w:val="16"/>
          <w:szCs w:val="16"/>
          <w:color w:val="auto"/>
        </w:rPr>
      </w:pPr>
    </w:p>
    <w:p>
      <w:pPr>
        <w:ind w:left="660" w:hanging="328"/>
        <w:spacing w:after="0"/>
        <w:tabs>
          <w:tab w:leader="none" w:pos="660" w:val="left"/>
        </w:tabs>
        <w:numPr>
          <w:ilvl w:val="0"/>
          <w:numId w:val="130"/>
        </w:numPr>
        <w:rPr>
          <w:rFonts w:ascii="Verdana" w:cs="Verdana" w:eastAsia="Verdana" w:hAnsi="Verdana"/>
          <w:sz w:val="16"/>
          <w:szCs w:val="16"/>
          <w:color w:val="auto"/>
        </w:rPr>
      </w:pPr>
      <w:r>
        <w:rPr>
          <w:rFonts w:ascii="Verdana" w:cs="Verdana" w:eastAsia="Verdana" w:hAnsi="Verdana"/>
          <w:sz w:val="16"/>
          <w:szCs w:val="16"/>
          <w:color w:val="auto"/>
        </w:rPr>
        <w:t>conduct any other business properly brought before the Annual Meeting or any adjournments or postponements thereof.</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As of the date of this proxy statement, we do not know of any other matters to be presented at the Annual Meeting. If any other matters</w:t>
      </w:r>
    </w:p>
    <w:p>
      <w:pPr>
        <w:spacing w:after="0" w:line="8" w:lineRule="exact"/>
        <w:rPr>
          <w:sz w:val="20"/>
          <w:szCs w:val="20"/>
          <w:color w:val="auto"/>
        </w:rPr>
      </w:pPr>
    </w:p>
    <w:p>
      <w:pPr>
        <w:ind w:right="800"/>
        <w:spacing w:after="0" w:line="253" w:lineRule="auto"/>
        <w:rPr>
          <w:sz w:val="20"/>
          <w:szCs w:val="20"/>
          <w:color w:val="auto"/>
        </w:rPr>
      </w:pPr>
      <w:r>
        <w:rPr>
          <w:rFonts w:ascii="Verdana" w:cs="Verdana" w:eastAsia="Verdana" w:hAnsi="Verdana"/>
          <w:sz w:val="16"/>
          <w:szCs w:val="16"/>
          <w:color w:val="auto"/>
        </w:rPr>
        <w:t>properly come before the Annual Meeting, however, the persons named as proxies will be authorized to vote or otherwise act in accordance with their judgment.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does the Board recommend that I vote?</w:t>
      </w:r>
    </w:p>
    <w:p>
      <w:pPr>
        <w:spacing w:after="0" w:line="245" w:lineRule="exact"/>
        <w:rPr>
          <w:sz w:val="20"/>
          <w:szCs w:val="20"/>
          <w:color w:val="auto"/>
        </w:rPr>
      </w:pPr>
    </w:p>
    <w:p>
      <w:pPr>
        <w:spacing w:after="0"/>
        <w:rPr>
          <w:sz w:val="20"/>
          <w:szCs w:val="20"/>
          <w:color w:val="auto"/>
        </w:rPr>
      </w:pPr>
      <w:r>
        <w:rPr>
          <w:rFonts w:ascii="Verdana" w:cs="Verdana" w:eastAsia="Verdana" w:hAnsi="Verdana"/>
          <w:sz w:val="16"/>
          <w:szCs w:val="16"/>
          <w:color w:val="auto"/>
        </w:rPr>
        <w:t>The Board recommends that you vote:</w:t>
      </w:r>
    </w:p>
    <w:p>
      <w:pPr>
        <w:spacing w:after="0" w:line="211" w:lineRule="exact"/>
        <w:rPr>
          <w:sz w:val="20"/>
          <w:szCs w:val="20"/>
          <w:color w:val="auto"/>
        </w:rPr>
      </w:pPr>
    </w:p>
    <w:p>
      <w:pPr>
        <w:ind w:left="660" w:hanging="328"/>
        <w:spacing w:after="0"/>
        <w:tabs>
          <w:tab w:leader="none" w:pos="660" w:val="left"/>
        </w:tabs>
        <w:numPr>
          <w:ilvl w:val="0"/>
          <w:numId w:val="131"/>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FOR </w:t>
      </w:r>
      <w:r>
        <w:rPr>
          <w:rFonts w:ascii="Verdana" w:cs="Verdana" w:eastAsia="Verdana" w:hAnsi="Verdana"/>
          <w:sz w:val="16"/>
          <w:szCs w:val="16"/>
          <w:color w:val="auto"/>
        </w:rPr>
        <w:t>the election of each of Lear’s director nominees named in this proxy statement;</w:t>
      </w:r>
    </w:p>
    <w:p>
      <w:pPr>
        <w:spacing w:after="0" w:line="102" w:lineRule="exact"/>
        <w:rPr>
          <w:rFonts w:ascii="Verdana" w:cs="Verdana" w:eastAsia="Verdana" w:hAnsi="Verdana"/>
          <w:sz w:val="16"/>
          <w:szCs w:val="16"/>
          <w:color w:val="auto"/>
        </w:rPr>
      </w:pPr>
    </w:p>
    <w:p>
      <w:pPr>
        <w:ind w:left="660" w:hanging="328"/>
        <w:spacing w:after="0"/>
        <w:tabs>
          <w:tab w:leader="none" w:pos="660" w:val="left"/>
        </w:tabs>
        <w:numPr>
          <w:ilvl w:val="0"/>
          <w:numId w:val="131"/>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FOR </w:t>
      </w:r>
      <w:r>
        <w:rPr>
          <w:rFonts w:ascii="Verdana" w:cs="Verdana" w:eastAsia="Verdana" w:hAnsi="Verdana"/>
          <w:sz w:val="16"/>
          <w:szCs w:val="16"/>
          <w:color w:val="auto"/>
        </w:rPr>
        <w:t>the ratification of the retention of Ernst &amp; Young LLP as our independent registered public accounting firm for 2025; and</w:t>
      </w:r>
    </w:p>
    <w:p>
      <w:pPr>
        <w:spacing w:after="0" w:line="116" w:lineRule="exact"/>
        <w:rPr>
          <w:rFonts w:ascii="Verdana" w:cs="Verdana" w:eastAsia="Verdana" w:hAnsi="Verdana"/>
          <w:sz w:val="16"/>
          <w:szCs w:val="16"/>
          <w:color w:val="auto"/>
        </w:rPr>
      </w:pPr>
    </w:p>
    <w:p>
      <w:pPr>
        <w:ind w:left="660" w:hanging="328"/>
        <w:spacing w:after="0"/>
        <w:tabs>
          <w:tab w:leader="none" w:pos="660" w:val="left"/>
        </w:tabs>
        <w:numPr>
          <w:ilvl w:val="0"/>
          <w:numId w:val="131"/>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FOR </w:t>
      </w:r>
      <w:r>
        <w:rPr>
          <w:rFonts w:ascii="Verdana" w:cs="Verdana" w:eastAsia="Verdana" w:hAnsi="Verdana"/>
          <w:sz w:val="16"/>
          <w:szCs w:val="16"/>
          <w:color w:val="auto"/>
        </w:rPr>
        <w:t>the approval, on an advisory basis, of our executive compensation.</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 I vote at the Annual Meeting?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If you do not request printed copies of the proxy materials by mail, you will receive a Notice of Internet Availability of Proxy Materials.</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Shareholders that receive a Notice of Internet Availability of Proxy Materials may vote via the Internet in the following ways:</w:t>
      </w:r>
    </w:p>
    <w:p>
      <w:pPr>
        <w:spacing w:after="0" w:line="103" w:lineRule="exact"/>
        <w:rPr>
          <w:sz w:val="20"/>
          <w:szCs w:val="20"/>
          <w:color w:val="auto"/>
        </w:rPr>
      </w:pPr>
    </w:p>
    <w:p>
      <w:pPr>
        <w:ind w:left="660" w:right="500" w:hanging="328"/>
        <w:spacing w:after="0" w:line="251" w:lineRule="auto"/>
        <w:tabs>
          <w:tab w:leader="none" w:pos="660" w:val="left"/>
        </w:tabs>
        <w:numPr>
          <w:ilvl w:val="0"/>
          <w:numId w:val="132"/>
        </w:numPr>
        <w:rPr>
          <w:rFonts w:ascii="Verdana" w:cs="Verdana" w:eastAsia="Verdana" w:hAnsi="Verdana"/>
          <w:sz w:val="16"/>
          <w:szCs w:val="16"/>
          <w:color w:val="auto"/>
        </w:rPr>
      </w:pPr>
      <w:r>
        <w:rPr>
          <w:rFonts w:ascii="Verdana" w:cs="Verdana" w:eastAsia="Verdana" w:hAnsi="Verdana"/>
          <w:sz w:val="16"/>
          <w:szCs w:val="16"/>
          <w:color w:val="auto"/>
        </w:rPr>
        <w:t>Prior to the Annual Meeting — You can vote via the Internet by navigating to www.proxyvote.com and entering the 16-digit control number included on the Notice of Internet Availability of Proxy Materials, proxy card or voting instructions form previously distributed; or</w:t>
      </w:r>
    </w:p>
    <w:p>
      <w:pPr>
        <w:spacing w:after="0" w:line="78" w:lineRule="exact"/>
        <w:rPr>
          <w:rFonts w:ascii="Verdana" w:cs="Verdana" w:eastAsia="Verdana" w:hAnsi="Verdana"/>
          <w:sz w:val="16"/>
          <w:szCs w:val="16"/>
          <w:color w:val="auto"/>
        </w:rPr>
      </w:pPr>
    </w:p>
    <w:p>
      <w:pPr>
        <w:ind w:left="660" w:right="580" w:hanging="328"/>
        <w:spacing w:after="0" w:line="251" w:lineRule="auto"/>
        <w:tabs>
          <w:tab w:leader="none" w:pos="660" w:val="left"/>
        </w:tabs>
        <w:numPr>
          <w:ilvl w:val="0"/>
          <w:numId w:val="132"/>
        </w:numPr>
        <w:rPr>
          <w:rFonts w:ascii="Verdana" w:cs="Verdana" w:eastAsia="Verdana" w:hAnsi="Verdana"/>
          <w:sz w:val="16"/>
          <w:szCs w:val="16"/>
          <w:color w:val="auto"/>
        </w:rPr>
      </w:pPr>
      <w:r>
        <w:rPr>
          <w:rFonts w:ascii="Verdana" w:cs="Verdana" w:eastAsia="Verdana" w:hAnsi="Verdana"/>
          <w:sz w:val="16"/>
          <w:szCs w:val="16"/>
          <w:color w:val="auto"/>
        </w:rPr>
        <w:t>At the Annual Meeting — You may vote via the Internet at the Annual Meeting by attending the live meeting at www.virtualshareholdermeeting.com/LEA2025 and entering the 16-digit control number included on the Notice of Internet Availability of Proxy Materials, proxy card or voting instructions form previously distributed.</w:t>
      </w:r>
    </w:p>
    <w:p>
      <w:pPr>
        <w:spacing w:after="0" w:line="92"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If you request printed copies of the proxy materials by mail, you will receive a proxy card or a voting instruction form and will be able to vote in the following ways in addition to the methods of voting via the Internet described above:</w:t>
      </w:r>
    </w:p>
    <w:p>
      <w:pPr>
        <w:spacing w:after="0" w:line="76" w:lineRule="exact"/>
        <w:rPr>
          <w:sz w:val="20"/>
          <w:szCs w:val="20"/>
          <w:color w:val="auto"/>
        </w:rPr>
      </w:pPr>
    </w:p>
    <w:p>
      <w:pPr>
        <w:ind w:left="660" w:right="200" w:hanging="328"/>
        <w:spacing w:after="0" w:line="270" w:lineRule="auto"/>
        <w:tabs>
          <w:tab w:leader="none" w:pos="660" w:val="left"/>
        </w:tabs>
        <w:numPr>
          <w:ilvl w:val="0"/>
          <w:numId w:val="133"/>
        </w:numPr>
        <w:rPr>
          <w:rFonts w:ascii="Verdana" w:cs="Verdana" w:eastAsia="Verdana" w:hAnsi="Verdana"/>
          <w:sz w:val="16"/>
          <w:szCs w:val="16"/>
          <w:color w:val="auto"/>
        </w:rPr>
      </w:pPr>
      <w:r>
        <w:rPr>
          <w:rFonts w:ascii="Verdana" w:cs="Verdana" w:eastAsia="Verdana" w:hAnsi="Verdana"/>
          <w:sz w:val="16"/>
          <w:szCs w:val="16"/>
          <w:color w:val="auto"/>
        </w:rPr>
        <w:t>By Telephone — You can vote by proxy by calling the toll-free number found on your proxy card or voting instruction form. You will need to use the 16-digit control number included on the proxy card to vote by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60" w:hanging="534"/>
        <w:spacing w:after="0"/>
        <w:tabs>
          <w:tab w:leader="none" w:pos="560" w:val="left"/>
        </w:tabs>
        <w:numPr>
          <w:ilvl w:val="0"/>
          <w:numId w:val="134"/>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9" w:name="page90"/>
    <w:bookmarkEnd w:id="8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340" w:right="160" w:firstLine="324"/>
        <w:spacing w:after="0" w:line="374" w:lineRule="auto"/>
        <w:rPr>
          <w:sz w:val="20"/>
          <w:szCs w:val="20"/>
          <w:color w:val="auto"/>
        </w:rPr>
      </w:pPr>
      <w:r>
        <w:rPr>
          <w:rFonts w:ascii="Verdana" w:cs="Verdana" w:eastAsia="Verdana" w:hAnsi="Verdana"/>
          <w:sz w:val="16"/>
          <w:szCs w:val="16"/>
          <w:color w:val="auto"/>
        </w:rPr>
        <w:t>telephone. The availability of telephone voting may depend on the voting process of the organization that holds your shares; or 2. By Mail — You can vote by completing, dating, signing and returning the proxy card or voting instruction form.</w:t>
      </w:r>
    </w:p>
    <w:p>
      <w:pPr>
        <w:spacing w:after="0" w:line="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Telephone and Internet voting facilities will be available 24 hours a day. You may vote over the telephone or via the Internet at www.proxyvote.com until 11:59 p.m. on May 15, 2025. Even if you plan to attend the Annual Meeting, we recommend that you vote in</w:t>
      </w:r>
    </w:p>
    <w:p>
      <w:pPr>
        <w:spacing w:after="0" w:line="1" w:lineRule="exact"/>
        <w:rPr>
          <w:sz w:val="20"/>
          <w:szCs w:val="20"/>
          <w:color w:val="auto"/>
        </w:rPr>
      </w:pPr>
    </w:p>
    <w:p>
      <w:pPr>
        <w:ind w:right="220"/>
        <w:spacing w:after="0" w:line="253" w:lineRule="auto"/>
        <w:rPr>
          <w:sz w:val="20"/>
          <w:szCs w:val="20"/>
          <w:color w:val="auto"/>
        </w:rPr>
      </w:pPr>
      <w:r>
        <w:rPr>
          <w:rFonts w:ascii="Verdana" w:cs="Verdana" w:eastAsia="Verdana" w:hAnsi="Verdana"/>
          <w:sz w:val="16"/>
          <w:szCs w:val="16"/>
          <w:color w:val="auto"/>
        </w:rPr>
        <w:t>advance of the meeting via Internet or submit your proxy or voting instructions as described above so that your vote will be counted if you later decide not to attend the Annual Meeting.</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Your proxy will be voted in accordance with your instructions so long as, in the case of a proxy card returned by mail, such card has</w:t>
      </w:r>
    </w:p>
    <w:p>
      <w:pPr>
        <w:spacing w:after="0" w:line="8"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been signed and dated. If you vote your shares via the Internet, by telephone or by executing and returning a proxy card by mail but you do not provide specific instructions with respect to the proposals, your shares will be voted FOR the director nominees named in this</w:t>
      </w:r>
    </w:p>
    <w:p>
      <w:pPr>
        <w:spacing w:after="0" w:line="1" w:lineRule="exact"/>
        <w:rPr>
          <w:sz w:val="20"/>
          <w:szCs w:val="20"/>
          <w:color w:val="auto"/>
        </w:rPr>
      </w:pPr>
    </w:p>
    <w:p>
      <w:pPr>
        <w:ind w:right="720"/>
        <w:spacing w:after="0" w:line="253" w:lineRule="auto"/>
        <w:rPr>
          <w:sz w:val="20"/>
          <w:szCs w:val="20"/>
          <w:color w:val="auto"/>
        </w:rPr>
      </w:pPr>
      <w:r>
        <w:rPr>
          <w:rFonts w:ascii="Verdana" w:cs="Verdana" w:eastAsia="Verdana" w:hAnsi="Verdana"/>
          <w:sz w:val="16"/>
          <w:szCs w:val="16"/>
          <w:color w:val="auto"/>
        </w:rPr>
        <w:t>proxy statement, FOR the ratification of the retention of our independent registered public accounting firm and FOR the advisory approval of executive compensation described in this proxy statement.</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As of the date of this proxy statement, we do not know of any matters to be presented at the Annual Meeting except those described in</w:t>
      </w:r>
    </w:p>
    <w:p>
      <w:pPr>
        <w:spacing w:after="0" w:line="8" w:lineRule="exact"/>
        <w:rPr>
          <w:sz w:val="20"/>
          <w:szCs w:val="20"/>
          <w:color w:val="auto"/>
        </w:rPr>
      </w:pPr>
    </w:p>
    <w:p>
      <w:pPr>
        <w:ind w:right="400"/>
        <w:spacing w:after="0" w:line="253" w:lineRule="auto"/>
        <w:rPr>
          <w:sz w:val="20"/>
          <w:szCs w:val="20"/>
          <w:color w:val="auto"/>
        </w:rPr>
      </w:pPr>
      <w:r>
        <w:rPr>
          <w:rFonts w:ascii="Verdana" w:cs="Verdana" w:eastAsia="Verdana" w:hAnsi="Verdana"/>
          <w:sz w:val="16"/>
          <w:szCs w:val="16"/>
          <w:color w:val="auto"/>
        </w:rPr>
        <w:t>this proxy statement. If any other matters properly come before the Annual Meeting, however, the persons named as proxies will be authorized to vote or otherwise act in accordance with their judgment.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does it mean if I receive more than one Notice of Internet Availability of Proxy Materials?</w:t>
      </w:r>
    </w:p>
    <w:p>
      <w:pPr>
        <w:spacing w:after="0" w:line="137"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You may receive more than one Notice of Internet Availability of Proxy Materials, more than one e-mail or multiple proxy cards or voting instruction cards. For example, if you hold your shares in more than one brokerage account, you may receive a separate Notice of</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Internet Availability of Proxy Materials, a separate e-mail or a separate voting instruction card for each brokerage account in which you hold shares. If you are a shareholder of record and your shares are registered in more than one name, you may receive more than one Notice of Internet Availability of Proxy Materials, more than one e-mail or more than one proxy card. To vote all of your shares by proxy,</w:t>
      </w:r>
    </w:p>
    <w:p>
      <w:pPr>
        <w:spacing w:after="0" w:line="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you must complete, sign, date and return each proxy card and voting instruction card that you receive and vote over the Internet the shares represented by each Notice of Internet Availability of Proxy Materials that you receive (unless you have requested and received a</w:t>
      </w:r>
    </w:p>
    <w:p>
      <w:pPr>
        <w:spacing w:after="0" w:line="1" w:lineRule="exact"/>
        <w:rPr>
          <w:sz w:val="20"/>
          <w:szCs w:val="20"/>
          <w:color w:val="auto"/>
        </w:rPr>
      </w:pPr>
    </w:p>
    <w:p>
      <w:pPr>
        <w:ind w:right="760"/>
        <w:spacing w:after="0" w:line="253" w:lineRule="auto"/>
        <w:rPr>
          <w:sz w:val="20"/>
          <w:szCs w:val="20"/>
          <w:color w:val="auto"/>
        </w:rPr>
      </w:pPr>
      <w:r>
        <w:rPr>
          <w:rFonts w:ascii="Verdana" w:cs="Verdana" w:eastAsia="Verdana" w:hAnsi="Verdana"/>
          <w:sz w:val="16"/>
          <w:szCs w:val="16"/>
          <w:color w:val="auto"/>
        </w:rPr>
        <w:t>proxy card or voting instruction card for the shares represented by one or more of those Notices of Internet Availability of Proxy Materials).</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May I change my vote?</w:t>
      </w:r>
    </w:p>
    <w:p>
      <w:pPr>
        <w:spacing w:after="0" w:line="137"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Yes. You may revoke your proxy at any time before it is voted at the Annual Meeting. To change your vote, you may vote your shares electronically as described above, submit another later dated proxy by telephone or mail or submit new voting instructions to your bank, broker, trustee or nominee. Your attendance at the Annual Meeting will not, by itself, revoke your proxy; you must vote via the Internet</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during the meeting to revoke your proxy.</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Do common shareholders have appraisal rights?</w:t>
      </w:r>
    </w:p>
    <w:p>
      <w:pPr>
        <w:spacing w:after="0" w:line="123" w:lineRule="exact"/>
        <w:rPr>
          <w:sz w:val="20"/>
          <w:szCs w:val="20"/>
          <w:color w:val="auto"/>
        </w:rPr>
      </w:pPr>
    </w:p>
    <w:p>
      <w:pPr>
        <w:ind w:right="180"/>
        <w:spacing w:after="0" w:line="270" w:lineRule="auto"/>
        <w:rPr>
          <w:sz w:val="20"/>
          <w:szCs w:val="20"/>
          <w:color w:val="auto"/>
        </w:rPr>
      </w:pPr>
      <w:r>
        <w:rPr>
          <w:rFonts w:ascii="Verdana" w:cs="Verdana" w:eastAsia="Verdana" w:hAnsi="Verdana"/>
          <w:sz w:val="16"/>
          <w:szCs w:val="16"/>
          <w:color w:val="auto"/>
        </w:rPr>
        <w:t>Holders of shares of our common stock do not have appraisal rights under Delaware law or under the Company's governing documents in connection with this solicitation.</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vote is required to elect directors and approve the other matters described in this proxy statement?</w:t>
      </w:r>
    </w:p>
    <w:p>
      <w:pPr>
        <w:spacing w:after="0" w:line="137" w:lineRule="exact"/>
        <w:rPr>
          <w:sz w:val="20"/>
          <w:szCs w:val="20"/>
          <w:color w:val="auto"/>
        </w:rPr>
      </w:pPr>
    </w:p>
    <w:p>
      <w:pPr>
        <w:ind w:right="340"/>
        <w:spacing w:after="0" w:line="238" w:lineRule="auto"/>
        <w:rPr>
          <w:sz w:val="20"/>
          <w:szCs w:val="20"/>
          <w:color w:val="auto"/>
        </w:rPr>
      </w:pPr>
      <w:r>
        <w:rPr>
          <w:rFonts w:ascii="Verdana" w:cs="Verdana" w:eastAsia="Verdana" w:hAnsi="Verdana"/>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 In an uncontested</w:t>
      </w:r>
    </w:p>
    <w:p>
      <w:pPr>
        <w:spacing w:after="0" w:line="2" w:lineRule="exact"/>
        <w:rPr>
          <w:sz w:val="20"/>
          <w:szCs w:val="20"/>
          <w:color w:val="auto"/>
        </w:rPr>
      </w:pPr>
    </w:p>
    <w:p>
      <w:pPr>
        <w:jc w:val="both"/>
        <w:ind w:right="80"/>
        <w:spacing w:after="0" w:line="241" w:lineRule="auto"/>
        <w:rPr>
          <w:sz w:val="20"/>
          <w:szCs w:val="20"/>
          <w:color w:val="auto"/>
        </w:rPr>
      </w:pPr>
      <w:r>
        <w:rPr>
          <w:rFonts w:ascii="Verdana" w:cs="Verdana" w:eastAsia="Verdana" w:hAnsi="Verdana"/>
          <w:sz w:val="16"/>
          <w:szCs w:val="16"/>
          <w:color w:val="auto"/>
        </w:rPr>
        <w:t>election, our Bylaws provide that any incumbent director that fails to receive a majority of votes cast shall immediately tender his or her resignation. Our Board, in a process managed by the G&amp;S Committee and following a recommendation by that committee, must decide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whether or not to accept the tendered resignation.</w:t>
      </w:r>
    </w:p>
    <w:p>
      <w:pPr>
        <w:spacing w:after="0" w:line="103"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For the ratification of the retention of Ernst &amp; Young LLP as our independent registered public accounting firm (Proposal No. 2) and the advisory approval of our executive compensation (Proposal No. 3), the affirmative vote of the holders of a majority of the shares</w:t>
      </w:r>
    </w:p>
    <w:p>
      <w:pPr>
        <w:spacing w:after="0" w:line="1" w:lineRule="exact"/>
        <w:rPr>
          <w:sz w:val="20"/>
          <w:szCs w:val="20"/>
          <w:color w:val="auto"/>
        </w:rPr>
      </w:pPr>
    </w:p>
    <w:p>
      <w:pPr>
        <w:jc w:val="both"/>
        <w:ind w:right="60"/>
        <w:spacing w:after="0" w:line="238" w:lineRule="auto"/>
        <w:rPr>
          <w:sz w:val="20"/>
          <w:szCs w:val="20"/>
          <w:color w:val="auto"/>
        </w:rPr>
      </w:pPr>
      <w:r>
        <w:rPr>
          <w:rFonts w:ascii="Verdana" w:cs="Verdana" w:eastAsia="Verdana" w:hAnsi="Verdana"/>
          <w:sz w:val="16"/>
          <w:szCs w:val="16"/>
          <w:color w:val="auto"/>
        </w:rPr>
        <w:t>represented in person or by proxy and entitled to vote on the proposal will be required for approval. For Proposal No. 2 and Proposal No. 3, abstentions and broker non-votes will be counted as shares represented and entitled to vote for the purposes of determining whether there is a quorum. Abstentions will have the same effect as a vote against Proposal No. 2 and Proposal No. 3. Absent specific</w:t>
      </w:r>
    </w:p>
    <w:p>
      <w:pPr>
        <w:spacing w:after="0" w:line="2"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instructions on Proposal No. 2, brokers are permitted to exercise voting discretion with respect to such proposal. Broker non-votes will have no effect on Proposal No. 3. For additional information about broker non-votes see “How do I vote if my bank or broker holds my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shares in ‘street name’?”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85</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is the difference between holding shares as a shareholder of record and as a beneficial owner?</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If your shares are registered in your name on the Company’s books and records or with our transfer agent, you are the “shareholder of</w:t>
      </w:r>
    </w:p>
    <w:p>
      <w:pPr>
        <w:spacing w:after="0" w:line="8"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 that the brokerage or other financial intermediary will</w:t>
      </w:r>
    </w:p>
    <w:p>
      <w:pPr>
        <w:spacing w:after="0" w:line="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hold your shares in its name or another nominee’s name and not in your name but will keep records showing you as the “beneficial owner.” If you hold shares beneficially in street name, this proxy statement and accompanying materials have been forwarded to you by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your broker, bank or other holder of record.</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 I vote if my bank or broker holds my shares in “street name”?</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If you hold your shares in “street name” through a bank, broker or other nominee, such bank, broker or nominee will vote those shares</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 accordance with your instructions. To so instruct your bank, broker or nominee, you should refer to the information provided to you by such entity. Without instructions from you, a bank, broker or nominee will be permitted to exercise its own voting discretion with respect</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to so-called routine matters (Proposal No. 2 - ratification of auditors) but will not be permitted to exercise voting discretion with respect to non-routine matters (Proposals No. 1 - director elections and No. 3 - advisory vote on our executive compensation). Thus, if you do not give your bank, broker or nominee specific instructions with respect to Proposal No. 2, your shares will be voted in such entity’s</w:t>
      </w:r>
    </w:p>
    <w:p>
      <w:pPr>
        <w:spacing w:after="0" w:line="2"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bank, broker or nominee with appropriate voting instructions so that all your shares may be voted at the Annual Meeting.</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many votes do I have?</w:t>
      </w:r>
    </w:p>
    <w:p>
      <w:pPr>
        <w:spacing w:after="0" w:line="137" w:lineRule="exact"/>
        <w:rPr>
          <w:sz w:val="20"/>
          <w:szCs w:val="20"/>
          <w:color w:val="auto"/>
        </w:rPr>
      </w:pPr>
    </w:p>
    <w:p>
      <w:pPr>
        <w:ind w:right="460"/>
        <w:spacing w:after="0" w:line="253" w:lineRule="auto"/>
        <w:rPr>
          <w:sz w:val="20"/>
          <w:szCs w:val="20"/>
          <w:color w:val="auto"/>
        </w:rPr>
      </w:pPr>
      <w:r>
        <w:rPr>
          <w:rFonts w:ascii="Verdana" w:cs="Verdana" w:eastAsia="Verdana" w:hAnsi="Verdana"/>
          <w:sz w:val="16"/>
          <w:szCs w:val="16"/>
          <w:color w:val="auto"/>
        </w:rPr>
        <w:t>Each share of common stock that you hold as of the record date entitles you to one vote, without cumulation, on each matter to be voted upon at the Annual Meeting.</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will the votes be counted at the Annual Meeting?</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The votes will be counted by the inspector of election appointed for the Annual Meeting.</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will the Company announce the voting results?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Company will report the final results of the voting at the Annual Meeting in a filing with the SEC on a Current Report on Form 8-K.</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Who pays for the Company’s solicitation of proxies?</w:t>
      </w:r>
    </w:p>
    <w:p>
      <w:pPr>
        <w:spacing w:after="0" w:line="137"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email or by telephone by certain of our directors, officers, employees or representatives.</w:t>
      </w:r>
    </w:p>
    <w:p>
      <w:pPr>
        <w:spacing w:after="0" w:line="103" w:lineRule="exact"/>
        <w:rPr>
          <w:sz w:val="20"/>
          <w:szCs w:val="20"/>
          <w:color w:val="auto"/>
        </w:rPr>
      </w:pPr>
    </w:p>
    <w:p>
      <w:pPr>
        <w:ind w:right="80"/>
        <w:spacing w:after="0" w:line="270" w:lineRule="auto"/>
        <w:rPr>
          <w:sz w:val="20"/>
          <w:szCs w:val="20"/>
          <w:color w:val="auto"/>
        </w:rPr>
      </w:pPr>
      <w:r>
        <w:rPr>
          <w:rFonts w:ascii="Verdana" w:cs="Verdana" w:eastAsia="Verdana" w:hAnsi="Verdana"/>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is “householding” and how does it work?</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Under the rules adopted by the SEC, we may deliver a single set of proxy materials to one address shared by two or more of our</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shareholders. This delivery method is referred to as “householding” and can result in significant cost savings. To take advantage of this opportunity, we have delivered only one set of proxy materials to multiple shareholders who share an address, unless we received</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contrary instructions from the impacted shareholders prior to the mailing date. We agree to deliver promptly, upon written or oral request, a separate copy of the proxy materials, as requested, to any shareholder at the shared address to which a single copy of these documents was delivered. If you prefer to receive separate copies of the Notice of Internet Availability of Proxy Materials, proxy</w:t>
      </w:r>
    </w:p>
    <w:p>
      <w:pPr>
        <w:spacing w:after="0" w:line="2" w:lineRule="exact"/>
        <w:rPr>
          <w:sz w:val="20"/>
          <w:szCs w:val="20"/>
          <w:color w:val="auto"/>
        </w:rPr>
      </w:pPr>
    </w:p>
    <w:p>
      <w:pPr>
        <w:ind w:right="840"/>
        <w:spacing w:after="0" w:line="253" w:lineRule="auto"/>
        <w:rPr>
          <w:sz w:val="20"/>
          <w:szCs w:val="20"/>
          <w:color w:val="auto"/>
        </w:rPr>
      </w:pPr>
      <w:r>
        <w:rPr>
          <w:rFonts w:ascii="Verdana" w:cs="Verdana" w:eastAsia="Verdana" w:hAnsi="Verdana"/>
          <w:sz w:val="16"/>
          <w:szCs w:val="16"/>
          <w:color w:val="auto"/>
        </w:rPr>
        <w:t>statement or annual report, contact Broadridge Financial Solutions, Inc. by calling 1-800-542-1061 or in writing at Broadridge, Householding Department, 51 Mercedes Way, Edgewood, New York 11717.</w:t>
      </w:r>
    </w:p>
    <w:p>
      <w:pPr>
        <w:spacing w:after="0" w:line="76" w:lineRule="exact"/>
        <w:rPr>
          <w:sz w:val="20"/>
          <w:szCs w:val="20"/>
          <w:color w:val="auto"/>
        </w:rPr>
      </w:pPr>
    </w:p>
    <w:p>
      <w:pPr>
        <w:ind w:right="180"/>
        <w:spacing w:after="0" w:line="270" w:lineRule="auto"/>
        <w:rPr>
          <w:sz w:val="20"/>
          <w:szCs w:val="20"/>
          <w:color w:val="auto"/>
        </w:rPr>
      </w:pPr>
      <w:r>
        <w:rPr>
          <w:rFonts w:ascii="Verdana" w:cs="Verdana" w:eastAsia="Verdana" w:hAnsi="Verdana"/>
          <w:sz w:val="16"/>
          <w:szCs w:val="16"/>
          <w:color w:val="auto"/>
        </w:rPr>
        <w:t>In addition, if you currently are a shareholder who shares an address with another shareholder and would like to receive only one copy of future notices and proxy materials for your household, you may notify your broker if your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 w:hanging="534"/>
        <w:spacing w:after="0"/>
        <w:tabs>
          <w:tab w:leader="none" w:pos="560" w:val="left"/>
        </w:tabs>
        <w:numPr>
          <w:ilvl w:val="0"/>
          <w:numId w:val="135"/>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1" w:name="page92"/>
    <w:bookmarkEnd w:id="9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420"/>
        <w:spacing w:after="0" w:line="241" w:lineRule="auto"/>
        <w:rPr>
          <w:sz w:val="20"/>
          <w:szCs w:val="20"/>
          <w:color w:val="auto"/>
        </w:rPr>
      </w:pPr>
      <w:r>
        <w:rPr>
          <w:rFonts w:ascii="Verdana" w:cs="Verdana" w:eastAsia="Verdana" w:hAnsi="Verdana"/>
          <w:sz w:val="16"/>
          <w:szCs w:val="16"/>
          <w:color w:val="auto"/>
        </w:rPr>
        <w:t>shares are held in a brokerage account or you may notify us if you hold registered shares. Registered shareholders may notify us by contacting Broadridge Financial Solutions, Inc. at the above telephone number or address or sending a written request to Lear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Corporation, 21557 Telegraph Road, Southfield, Michigan 48033, Attention: Investor Relations.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 I participate in the Annual Meeting?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We are hosting the Annual Meeting through a virtual web conference. You will not be able to attend the meeting in person. You will be</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able to attend the virtual meeting, vote your shares electronically, and submit your questions during the live webcast of the meeting by visiting www.virtualshareholdermeeting.com/LEA2025 and entering your 16-digit control number included in your Notice of Internet</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Availability of Proxy Materials, on your proxy card, or in any additional voting instructions accompanying these proxy materials. The Annual Meeting will begin promptly at 9:00 a.m. (Eastern Time). Online check-in will be available beginning at 8:30 a.m. (Eastern Time). Please allow ample time for the online check-in process. Please be assured that you will be afforded the same rights and opportunities to</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participate in the virtual meeting as you would at an in-person meeting.</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As part of the Annual Meeting, we will hold a question and answer session, during which we intend to answer questions submitted during</w:t>
      </w:r>
    </w:p>
    <w:p>
      <w:pPr>
        <w:spacing w:after="0" w:line="8" w:lineRule="exact"/>
        <w:rPr>
          <w:sz w:val="20"/>
          <w:szCs w:val="20"/>
          <w:color w:val="auto"/>
        </w:rPr>
      </w:pPr>
    </w:p>
    <w:p>
      <w:pPr>
        <w:ind w:right="140"/>
        <w:spacing w:after="0" w:line="243" w:lineRule="auto"/>
        <w:rPr>
          <w:sz w:val="20"/>
          <w:szCs w:val="20"/>
          <w:color w:val="auto"/>
        </w:rPr>
      </w:pPr>
      <w:r>
        <w:rPr>
          <w:rFonts w:ascii="Verdana" w:cs="Verdana" w:eastAsia="Verdana" w:hAnsi="Verdana"/>
          <w:sz w:val="16"/>
          <w:szCs w:val="16"/>
          <w:color w:val="auto"/>
        </w:rPr>
        <w:t>the meeting in accordance with the Annual Meeting procedures which are pertinent to the Company and the meeting matters, as time permits. Questions may be submitted during the Annual Meeting through www.virtualshareholdermeeting.com/LEA2025. Questions and answers will be grouped by topic and substantially similar questions will be grouped and answered once.</w:t>
      </w:r>
    </w:p>
    <w:p>
      <w:pPr>
        <w:spacing w:after="0" w:line="98"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There will be technicians ready to assist you with any technical difficulties you may have accessing the virtual meeting website. If you encounter any difficulties accessing the virtual meeting website during the check-in or meeting time, please call the technical support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number that will be posted on the Annual Meeting login page.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940" w:type="dxa"/>
            <w:vAlign w:val="bottom"/>
          </w:tcPr>
          <w:p>
            <w:pPr>
              <w:ind w:left="744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1300" w:type="dxa"/>
            <w:vAlign w:val="bottom"/>
          </w:tcPr>
          <w:p>
            <w:pPr>
              <w:jc w:val="right"/>
              <w:ind w:right="850"/>
              <w:spacing w:after="0"/>
              <w:rPr>
                <w:sz w:val="20"/>
                <w:szCs w:val="20"/>
                <w:color w:val="auto"/>
              </w:rPr>
            </w:pPr>
            <w:r>
              <w:rPr>
                <w:rFonts w:ascii="Arial" w:cs="Arial" w:eastAsia="Arial" w:hAnsi="Arial"/>
                <w:sz w:val="18"/>
                <w:szCs w:val="18"/>
                <w:color w:val="auto"/>
              </w:rPr>
              <w:t>87</w:t>
            </w:r>
          </w:p>
        </w:tc>
      </w:tr>
      <w:tr>
        <w:trPr>
          <w:trHeight w:val="331"/>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60"/>
        <w:spacing w:after="0" w:line="255" w:lineRule="auto"/>
        <w:rPr>
          <w:sz w:val="20"/>
          <w:szCs w:val="20"/>
          <w:color w:val="auto"/>
        </w:rPr>
      </w:pPr>
      <w:r>
        <w:rPr>
          <w:rFonts w:ascii="Verdana" w:cs="Verdana" w:eastAsia="Verdana" w:hAnsi="Verdana"/>
          <w:sz w:val="27"/>
          <w:szCs w:val="27"/>
          <w:b w:val="1"/>
          <w:bCs w:val="1"/>
          <w:u w:val="single" w:color="auto"/>
          <w:color w:val="0C2340"/>
        </w:rPr>
        <w:t>SHAREHOLDER PROPOSALS FOR 2026 ANNUAL MEETING OF SHAREHOLDERS</w:t>
      </w:r>
    </w:p>
    <w:p>
      <w:pPr>
        <w:spacing w:after="0" w:line="156"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Shareholders who intend to present proposals at the Company’s annual meeting of shareholders in 2026 pursuant to Rule 14a-8 under the Exchange Act must send notice of their proposal to us so that we receive it no later than December 4, 2025. Shareholders who</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intend to present proposals at the annual meeting of shareholders in 2026 other than pursuant to Rule 14a-8 must comply with the notice provisions in our Bylaws. The notice provisions in our Bylaws require that, for a proposal to be properly brought before the annual</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meeting of shareholders in 2026, proper notice of the proposal must be received by us not less than 90 days nor more than 120 days prior to the first anniversary of the preceding year’s annual meeting; provided, however that in the event next year’s annual meeting is more than 30 days before or less than 70 days after such anniversary date, notice must be delivered not less than the later of 90 days</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prior to next year’s annual meeting or the 10th day following the day the Company first publicly announces next year’s annual meeting date. Under these requirements, the deadline for proposals brought under our Bylaws is no earlier than January 16, 2026, and no later</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than February 16, 2026. Additionally, any nominations of directors must comply with the universal proxy rules contained in Rule 14a-19. Please note that the notice requirements under Rule 14a-19 are in addition to the applicable notice requirements under the advance notice provisions of our Bylaws as described above. Shareholder proposals should be addressed to Lear Corporation, 21557 Telegraph</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Road, Southfield, Michigan 48033, Attention: Amanda J. Pontes,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hanging="594"/>
        <w:spacing w:after="0"/>
        <w:tabs>
          <w:tab w:leader="none" w:pos="620" w:val="left"/>
        </w:tabs>
        <w:numPr>
          <w:ilvl w:val="0"/>
          <w:numId w:val="136"/>
        </w:numPr>
        <w:rPr>
          <w:rFonts w:ascii="Verdana" w:cs="Verdana" w:eastAsia="Verdana" w:hAnsi="Verdana"/>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93" w:name="page94"/>
    <w:bookmarkEnd w:id="9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ind w:right="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21602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OTHER MATTERS</w:t>
      </w:r>
    </w:p>
    <w:p>
      <w:pPr>
        <w:spacing w:after="0" w:line="20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We know of no other matters to be submitted to the shareholders at the Annual Meeting. If any other matters properly come before the Annual Meeting, persons named in the proxy intend to vote the shares they represent in accordance with their own judgments.</w:t>
      </w:r>
    </w:p>
    <w:p>
      <w:pPr>
        <w:spacing w:after="0" w:line="90"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b w:val="1"/>
          <w:bCs w:val="1"/>
          <w:color w:val="auto"/>
        </w:rPr>
        <w:t>Upon written request by any shareholder entitled to vote at the Annual Meeting, we will promptly furnish, without charge, a copy of the Annual Report on Form 10-K for the fiscal year ended December 31, 2024, which we filed with the SEC,</w:t>
      </w:r>
    </w:p>
    <w:p>
      <w:pPr>
        <w:spacing w:after="0" w:line="1" w:lineRule="exact"/>
        <w:rPr>
          <w:sz w:val="20"/>
          <w:szCs w:val="20"/>
          <w:color w:val="auto"/>
        </w:rPr>
      </w:pPr>
    </w:p>
    <w:p>
      <w:pPr>
        <w:ind w:right="180"/>
        <w:spacing w:after="0" w:line="238" w:lineRule="auto"/>
        <w:rPr>
          <w:sz w:val="20"/>
          <w:szCs w:val="20"/>
          <w:color w:val="auto"/>
        </w:rPr>
      </w:pPr>
      <w:r>
        <w:rPr>
          <w:rFonts w:ascii="Verdana" w:cs="Verdana" w:eastAsia="Verdana" w:hAnsi="Verdana"/>
          <w:sz w:val="16"/>
          <w:szCs w:val="16"/>
          <w:b w:val="1"/>
          <w:bCs w:val="1"/>
          <w:color w:val="auto"/>
        </w:rPr>
        <w:t>including the financial statements and schedule. If the person requesting the report was not a shareholder of record on March 18, 2025, the request must contain a good faith representation that he or she was a beneficial owner of our common stock at the close of business on that date. Requests should be addressed to Lear Corporation, 21557 Telegraph</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Road, Southfield, Michigan 48033, Attention: Amanda J. Pontes, Vice President, General Counsel and Corporate Secretary.</w:t>
      </w:r>
    </w:p>
    <w:p>
      <w:pPr>
        <w:spacing w:after="0" w:line="107" w:lineRule="exact"/>
        <w:rPr>
          <w:sz w:val="20"/>
          <w:szCs w:val="20"/>
          <w:color w:val="auto"/>
        </w:rPr>
      </w:pPr>
    </w:p>
    <w:p>
      <w:pPr>
        <w:spacing w:after="0"/>
        <w:rPr>
          <w:sz w:val="20"/>
          <w:szCs w:val="20"/>
          <w:color w:val="auto"/>
        </w:rPr>
      </w:pPr>
      <w:r>
        <w:rPr>
          <w:rFonts w:ascii="Verdana" w:cs="Verdana" w:eastAsia="Verdana" w:hAnsi="Verdana"/>
          <w:sz w:val="17"/>
          <w:szCs w:val="17"/>
          <w:b w:val="1"/>
          <w:bCs w:val="1"/>
          <w:color w:val="auto"/>
        </w:rPr>
        <w:t>YOUR VOTE IS IMPORTANT. WE URGE YOU TO VOTE TODAY BY TELEPHONE, VIA THE INTERNET OR BY MAIL.</w:t>
      </w:r>
    </w:p>
    <w:p>
      <w:pPr>
        <w:spacing w:after="0" w:line="216" w:lineRule="exact"/>
        <w:rPr>
          <w:sz w:val="20"/>
          <w:szCs w:val="20"/>
          <w:color w:val="auto"/>
        </w:rPr>
      </w:pPr>
    </w:p>
    <w:p>
      <w:pPr>
        <w:ind w:left="360"/>
        <w:spacing w:after="0"/>
        <w:rPr>
          <w:sz w:val="20"/>
          <w:szCs w:val="20"/>
          <w:color w:val="auto"/>
        </w:rPr>
      </w:pPr>
      <w:r>
        <w:rPr>
          <w:rFonts w:ascii="Verdana" w:cs="Verdana" w:eastAsia="Verdana" w:hAnsi="Verdana"/>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139065</wp:posOffset>
            </wp:positionV>
            <wp:extent cx="1808480" cy="4032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80848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40"/>
        <w:spacing w:after="0"/>
        <w:rPr>
          <w:sz w:val="20"/>
          <w:szCs w:val="20"/>
          <w:color w:val="auto"/>
        </w:rPr>
      </w:pPr>
      <w:r>
        <w:rPr>
          <w:rFonts w:ascii="Verdana" w:cs="Verdana" w:eastAsia="Verdana" w:hAnsi="Verdana"/>
          <w:sz w:val="16"/>
          <w:szCs w:val="16"/>
          <w:color w:val="auto"/>
        </w:rPr>
        <w:t>Amanda J. Pontes</w:t>
      </w:r>
    </w:p>
    <w:p>
      <w:pPr>
        <w:spacing w:after="0" w:line="103" w:lineRule="exact"/>
        <w:rPr>
          <w:sz w:val="20"/>
          <w:szCs w:val="20"/>
          <w:color w:val="auto"/>
        </w:rPr>
      </w:pPr>
    </w:p>
    <w:p>
      <w:pPr>
        <w:ind w:left="1140"/>
        <w:spacing w:after="0"/>
        <w:rPr>
          <w:sz w:val="20"/>
          <w:szCs w:val="20"/>
          <w:color w:val="auto"/>
        </w:rPr>
      </w:pPr>
      <w:r>
        <w:rPr>
          <w:rFonts w:ascii="Verdana" w:cs="Verdana" w:eastAsia="Verdana" w:hAnsi="Verdana"/>
          <w:sz w:val="16"/>
          <w:szCs w:val="16"/>
          <w:color w:val="auto"/>
        </w:rPr>
        <w:t>Vice President, General Counsel</w:t>
      </w:r>
    </w:p>
    <w:p>
      <w:pPr>
        <w:spacing w:after="0" w:line="116" w:lineRule="exact"/>
        <w:rPr>
          <w:sz w:val="20"/>
          <w:szCs w:val="20"/>
          <w:color w:val="auto"/>
        </w:rPr>
      </w:pPr>
    </w:p>
    <w:p>
      <w:pPr>
        <w:ind w:left="1140"/>
        <w:spacing w:after="0"/>
        <w:rPr>
          <w:sz w:val="20"/>
          <w:szCs w:val="20"/>
          <w:color w:val="auto"/>
        </w:rPr>
      </w:pPr>
      <w:r>
        <w:rPr>
          <w:rFonts w:ascii="Verdana" w:cs="Verdana" w:eastAsia="Verdana" w:hAnsi="Verdana"/>
          <w:sz w:val="16"/>
          <w:szCs w:val="16"/>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820" w:type="dxa"/>
            <w:vAlign w:val="bottom"/>
          </w:tcPr>
          <w:p>
            <w:pPr>
              <w:ind w:left="8260"/>
              <w:spacing w:after="0"/>
              <w:rPr>
                <w:sz w:val="20"/>
                <w:szCs w:val="20"/>
                <w:color w:val="auto"/>
              </w:rPr>
            </w:pPr>
            <w:r>
              <w:rPr>
                <w:rFonts w:ascii="Verdana" w:cs="Verdana" w:eastAsia="Verdana" w:hAnsi="Verdana"/>
                <w:sz w:val="15"/>
                <w:szCs w:val="15"/>
                <w:b w:val="1"/>
                <w:bCs w:val="1"/>
                <w:color w:val="EE2724"/>
              </w:rPr>
              <w:t xml:space="preserve">2025 Proxy Statement   </w:t>
            </w:r>
            <w:r>
              <w:rPr>
                <w:rFonts w:ascii="Verdana" w:cs="Verdana" w:eastAsia="Verdana" w:hAnsi="Verdana"/>
                <w:sz w:val="17"/>
                <w:szCs w:val="17"/>
                <w:b w:val="1"/>
                <w:bCs w:val="1"/>
                <w:color w:val="E2231A"/>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3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APPENDIX A RECONCILIATION OF NON-GAAP FINANCIAL MEASURES</w:t>
      </w:r>
    </w:p>
    <w:p>
      <w:pPr>
        <w:spacing w:after="0" w:line="20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information presented in this proxy statement in “Proxy Summary” and “Compensation Discussion and Analysis — Executive Summary” regarding core operating earnings, adjusted earnings per share and free cash flow does not conform to GAAP and should not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be construed as an alternative to the reported financial results of the Company determined in accordance with GAAP.</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Management believes that the non-GAAP information used in this proxy statement is useful to both management and investors in their</w:t>
      </w:r>
    </w:p>
    <w:p>
      <w:pPr>
        <w:spacing w:after="0" w:line="8" w:lineRule="exact"/>
        <w:rPr>
          <w:sz w:val="20"/>
          <w:szCs w:val="20"/>
          <w:color w:val="auto"/>
        </w:rPr>
      </w:pPr>
    </w:p>
    <w:p>
      <w:pPr>
        <w:jc w:val="both"/>
        <w:ind w:right="180"/>
        <w:spacing w:after="0" w:line="238" w:lineRule="auto"/>
        <w:rPr>
          <w:sz w:val="20"/>
          <w:szCs w:val="20"/>
          <w:color w:val="auto"/>
        </w:rPr>
      </w:pPr>
      <w:r>
        <w:rPr>
          <w:rFonts w:ascii="Verdana" w:cs="Verdana" w:eastAsia="Verdana" w:hAnsi="Verdana"/>
          <w:sz w:val="16"/>
          <w:szCs w:val="16"/>
          <w:color w:val="auto"/>
        </w:rPr>
        <w:t>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 obscure trends useful in evaluating the Company’s</w:t>
      </w:r>
    </w:p>
    <w:p>
      <w:pPr>
        <w:spacing w:after="0" w:line="2"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continuing operating activities. Management also believes that these measures are useful to both management and investors in their analysis of the Company’s results of operations and provide improved comparability between fiscal periods. Management believes that</w:t>
      </w:r>
    </w:p>
    <w:p>
      <w:pPr>
        <w:spacing w:after="0" w:line="234" w:lineRule="auto"/>
        <w:rPr>
          <w:sz w:val="20"/>
          <w:szCs w:val="20"/>
          <w:color w:val="auto"/>
        </w:rPr>
      </w:pPr>
      <w:r>
        <w:rPr>
          <w:rFonts w:ascii="Verdana" w:cs="Verdana" w:eastAsia="Verdana" w:hAnsi="Verdana"/>
          <w:sz w:val="16"/>
          <w:szCs w:val="16"/>
          <w:color w:val="auto"/>
        </w:rPr>
        <w:t>free cash flow is useful to both management and investors in their analysis of the Company’s ability to service and repay its debt.</w:t>
      </w:r>
    </w:p>
    <w:p>
      <w:pPr>
        <w:spacing w:after="0"/>
        <w:rPr>
          <w:sz w:val="20"/>
          <w:szCs w:val="20"/>
          <w:color w:val="auto"/>
        </w:rPr>
      </w:pPr>
      <w:r>
        <w:rPr>
          <w:rFonts w:ascii="Verdana" w:cs="Verdana" w:eastAsia="Verdana" w:hAnsi="Verdana"/>
          <w:sz w:val="16"/>
          <w:szCs w:val="16"/>
          <w:color w:val="auto"/>
        </w:rPr>
        <w:t>Further, management uses these non-GAAP financial measures for planning and forecasting future periods.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non-GAAP information provided may not be consistent with methodologies used by other companies. All non-GAAP information</w:t>
      </w:r>
    </w:p>
    <w:p>
      <w:pPr>
        <w:spacing w:after="0" w:line="8"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regarding core operating earnings, adjusted earnings per share and free cash flow is reconciled to the most directly comparable reported GAAP results in the tables below.</w:t>
      </w:r>
    </w:p>
    <w:p>
      <w:pPr>
        <w:spacing w:after="0" w:line="110" w:lineRule="exact"/>
        <w:rPr>
          <w:sz w:val="20"/>
          <w:szCs w:val="20"/>
          <w:color w:val="auto"/>
        </w:rPr>
      </w:pPr>
    </w:p>
    <w:p>
      <w:pPr>
        <w:spacing w:after="0"/>
        <w:rPr>
          <w:sz w:val="20"/>
          <w:szCs w:val="20"/>
          <w:color w:val="auto"/>
        </w:rPr>
      </w:pPr>
      <w:r>
        <w:rPr>
          <w:rFonts w:ascii="Verdana" w:cs="Verdana" w:eastAsia="Verdana" w:hAnsi="Verdana"/>
          <w:sz w:val="23"/>
          <w:szCs w:val="23"/>
          <w:b w:val="1"/>
          <w:bCs w:val="1"/>
          <w:color w:val="auto"/>
        </w:rPr>
        <w:t>Core Operating Earnings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6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6"/>
                <w:szCs w:val="16"/>
                <w:color w:val="auto"/>
              </w:rPr>
              <w:t>(unaudited; in millions)</w:t>
            </w:r>
          </w:p>
        </w:tc>
        <w:tc>
          <w:tcPr>
            <w:tcW w:w="1400" w:type="dxa"/>
            <w:vAlign w:val="bottom"/>
            <w:tcBorders>
              <w:bottom w:val="single" w:sz="8" w:color="0C2340"/>
            </w:tcBorders>
            <w:shd w:val="clear" w:color="auto" w:fill="D6E5F9"/>
          </w:tcPr>
          <w:p>
            <w:pPr>
              <w:spacing w:after="0"/>
              <w:rPr>
                <w:sz w:val="20"/>
                <w:szCs w:val="20"/>
                <w:color w:val="auto"/>
              </w:rPr>
            </w:pPr>
          </w:p>
        </w:tc>
        <w:tc>
          <w:tcPr>
            <w:tcW w:w="1160" w:type="dxa"/>
            <w:vAlign w:val="bottom"/>
            <w:tcBorders>
              <w:bottom w:val="single" w:sz="8" w:color="0C2340"/>
            </w:tcBorders>
            <w:shd w:val="clear" w:color="auto" w:fill="D6E5F9"/>
          </w:tcPr>
          <w:p>
            <w:pPr>
              <w:jc w:val="right"/>
              <w:ind w:right="460"/>
              <w:spacing w:after="0"/>
              <w:rPr>
                <w:sz w:val="20"/>
                <w:szCs w:val="20"/>
                <w:color w:val="auto"/>
              </w:rPr>
            </w:pPr>
            <w:r>
              <w:rPr>
                <w:rFonts w:ascii="Verdana" w:cs="Verdana" w:eastAsia="Verdana" w:hAnsi="Verdana"/>
                <w:sz w:val="14"/>
                <w:szCs w:val="14"/>
                <w:b w:val="1"/>
                <w:bCs w:val="1"/>
                <w:color w:val="auto"/>
              </w:rPr>
              <w:t>2024</w:t>
            </w:r>
          </w:p>
        </w:tc>
        <w:tc>
          <w:tcPr>
            <w:tcW w:w="360" w:type="dxa"/>
            <w:vAlign w:val="bottom"/>
            <w:tcBorders>
              <w:bottom w:val="single" w:sz="8" w:color="0C2340"/>
            </w:tcBorders>
            <w:shd w:val="clear" w:color="auto" w:fill="D6E5F9"/>
          </w:tcPr>
          <w:p>
            <w:pPr>
              <w:spacing w:after="0"/>
              <w:rPr>
                <w:sz w:val="20"/>
                <w:szCs w:val="20"/>
                <w:color w:val="auto"/>
              </w:rPr>
            </w:pPr>
          </w:p>
        </w:tc>
        <w:tc>
          <w:tcPr>
            <w:tcW w:w="1160" w:type="dxa"/>
            <w:vAlign w:val="bottom"/>
            <w:tcBorders>
              <w:bottom w:val="single" w:sz="8" w:color="0C2340"/>
            </w:tcBorders>
            <w:shd w:val="clear" w:color="auto" w:fill="D6E5F9"/>
          </w:tcPr>
          <w:p>
            <w:pPr>
              <w:jc w:val="right"/>
              <w:ind w:right="480"/>
              <w:spacing w:after="0"/>
              <w:rPr>
                <w:sz w:val="20"/>
                <w:szCs w:val="20"/>
                <w:color w:val="auto"/>
              </w:rPr>
            </w:pPr>
            <w:r>
              <w:rPr>
                <w:rFonts w:ascii="Verdana" w:cs="Verdana" w:eastAsia="Verdana" w:hAnsi="Verdana"/>
                <w:sz w:val="14"/>
                <w:szCs w:val="14"/>
                <w:b w:val="1"/>
                <w:bCs w:val="1"/>
                <w:color w:val="auto"/>
              </w:rPr>
              <w:t>2023</w:t>
            </w:r>
          </w:p>
        </w:tc>
      </w:tr>
      <w:tr>
        <w:trPr>
          <w:trHeight w:val="247"/>
        </w:trPr>
        <w:tc>
          <w:tcPr>
            <w:tcW w:w="7160" w:type="dxa"/>
            <w:vAlign w:val="bottom"/>
          </w:tcPr>
          <w:p>
            <w:pPr>
              <w:ind w:left="20"/>
              <w:spacing w:after="0"/>
              <w:rPr>
                <w:sz w:val="20"/>
                <w:szCs w:val="20"/>
                <w:color w:val="auto"/>
              </w:rPr>
            </w:pPr>
            <w:r>
              <w:rPr>
                <w:rFonts w:ascii="Verdana" w:cs="Verdana" w:eastAsia="Verdana" w:hAnsi="Verdana"/>
                <w:sz w:val="17"/>
                <w:szCs w:val="17"/>
                <w:b w:val="1"/>
                <w:bCs w:val="1"/>
                <w:color w:val="auto"/>
              </w:rPr>
              <w:t>Net income attributable to Lear</w:t>
            </w:r>
          </w:p>
        </w:tc>
        <w:tc>
          <w:tcPr>
            <w:tcW w:w="1400" w:type="dxa"/>
            <w:vAlign w:val="bottom"/>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Pr>
          <w:p>
            <w:pPr>
              <w:jc w:val="right"/>
              <w:spacing w:after="0"/>
              <w:rPr>
                <w:sz w:val="20"/>
                <w:szCs w:val="20"/>
                <w:color w:val="auto"/>
              </w:rPr>
            </w:pPr>
            <w:r>
              <w:rPr>
                <w:rFonts w:ascii="Verdana" w:cs="Verdana" w:eastAsia="Verdana" w:hAnsi="Verdana"/>
                <w:sz w:val="16"/>
                <w:szCs w:val="16"/>
                <w:b w:val="1"/>
                <w:bCs w:val="1"/>
                <w:color w:val="auto"/>
              </w:rPr>
              <w:t>506.6</w:t>
            </w:r>
          </w:p>
        </w:tc>
        <w:tc>
          <w:tcPr>
            <w:tcW w:w="360" w:type="dxa"/>
            <w:vAlign w:val="bottom"/>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Pr>
          <w:p>
            <w:pPr>
              <w:jc w:val="right"/>
              <w:spacing w:after="0"/>
              <w:rPr>
                <w:sz w:val="20"/>
                <w:szCs w:val="20"/>
                <w:color w:val="auto"/>
              </w:rPr>
            </w:pPr>
            <w:r>
              <w:rPr>
                <w:rFonts w:ascii="Verdana" w:cs="Verdana" w:eastAsia="Verdana" w:hAnsi="Verdana"/>
                <w:sz w:val="16"/>
                <w:szCs w:val="16"/>
                <w:b w:val="1"/>
                <w:bCs w:val="1"/>
                <w:color w:val="auto"/>
              </w:rPr>
              <w:t>572.5</w:t>
            </w:r>
          </w:p>
        </w:tc>
      </w:tr>
      <w:tr>
        <w:trPr>
          <w:trHeight w:val="252"/>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Interest expense</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106.2</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101.1</w:t>
            </w:r>
          </w:p>
        </w:tc>
      </w:tr>
      <w:tr>
        <w:trPr>
          <w:trHeight w:val="233"/>
        </w:trPr>
        <w:tc>
          <w:tcPr>
            <w:tcW w:w="7160" w:type="dxa"/>
            <w:vAlign w:val="bottom"/>
          </w:tcPr>
          <w:p>
            <w:pPr>
              <w:ind w:left="300"/>
              <w:spacing w:after="0"/>
              <w:rPr>
                <w:sz w:val="20"/>
                <w:szCs w:val="20"/>
                <w:color w:val="auto"/>
              </w:rPr>
            </w:pPr>
            <w:r>
              <w:rPr>
                <w:rFonts w:ascii="Verdana" w:cs="Verdana" w:eastAsia="Verdana" w:hAnsi="Verdana"/>
                <w:sz w:val="16"/>
                <w:szCs w:val="16"/>
                <w:color w:val="auto"/>
              </w:rPr>
              <w:t>Other expense, net</w:t>
            </w:r>
          </w:p>
        </w:tc>
        <w:tc>
          <w:tcPr>
            <w:tcW w:w="1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48.6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54.9</w:t>
            </w:r>
          </w:p>
        </w:tc>
      </w:tr>
      <w:tr>
        <w:trPr>
          <w:trHeight w:val="253"/>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Income taxes</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191.1</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180.8</w:t>
            </w:r>
          </w:p>
        </w:tc>
      </w:tr>
      <w:tr>
        <w:trPr>
          <w:trHeight w:val="233"/>
        </w:trPr>
        <w:tc>
          <w:tcPr>
            <w:tcW w:w="7160" w:type="dxa"/>
            <w:vAlign w:val="bottom"/>
          </w:tcPr>
          <w:p>
            <w:pPr>
              <w:ind w:left="300"/>
              <w:spacing w:after="0"/>
              <w:rPr>
                <w:sz w:val="20"/>
                <w:szCs w:val="20"/>
                <w:color w:val="auto"/>
              </w:rPr>
            </w:pPr>
            <w:r>
              <w:rPr>
                <w:rFonts w:ascii="Verdana" w:cs="Verdana" w:eastAsia="Verdana" w:hAnsi="Verdana"/>
                <w:sz w:val="16"/>
                <w:szCs w:val="16"/>
                <w:color w:val="auto"/>
              </w:rPr>
              <w:t>Equity in net income of affiliates</w:t>
            </w:r>
          </w:p>
        </w:tc>
        <w:tc>
          <w:tcPr>
            <w:tcW w:w="1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(50.0)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(49.3)</w:t>
            </w:r>
          </w:p>
        </w:tc>
      </w:tr>
      <w:tr>
        <w:trPr>
          <w:trHeight w:val="253"/>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Net income attributable to noncontrolling interests</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85.2</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73.2</w:t>
            </w:r>
          </w:p>
        </w:tc>
      </w:tr>
      <w:tr>
        <w:trPr>
          <w:trHeight w:val="233"/>
        </w:trPr>
        <w:tc>
          <w:tcPr>
            <w:tcW w:w="7160" w:type="dxa"/>
            <w:vAlign w:val="bottom"/>
          </w:tcPr>
          <w:p>
            <w:pPr>
              <w:ind w:left="160"/>
              <w:spacing w:after="0"/>
              <w:rPr>
                <w:sz w:val="20"/>
                <w:szCs w:val="20"/>
                <w:color w:val="auto"/>
              </w:rPr>
            </w:pPr>
            <w:r>
              <w:rPr>
                <w:rFonts w:ascii="Verdana" w:cs="Verdana" w:eastAsia="Verdana" w:hAnsi="Verdana"/>
                <w:sz w:val="16"/>
                <w:szCs w:val="16"/>
                <w:color w:val="auto"/>
              </w:rPr>
              <w:t>Restructuring costs and other special items -</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Costs related to restructuring actions</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158.5</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152.4</w:t>
            </w:r>
          </w:p>
        </w:tc>
      </w:tr>
      <w:tr>
        <w:trPr>
          <w:trHeight w:val="233"/>
        </w:trPr>
        <w:tc>
          <w:tcPr>
            <w:tcW w:w="7160" w:type="dxa"/>
            <w:vAlign w:val="bottom"/>
          </w:tcPr>
          <w:p>
            <w:pPr>
              <w:ind w:left="300"/>
              <w:spacing w:after="0"/>
              <w:rPr>
                <w:sz w:val="20"/>
                <w:szCs w:val="20"/>
                <w:color w:val="auto"/>
              </w:rPr>
            </w:pPr>
            <w:r>
              <w:rPr>
                <w:rFonts w:ascii="Verdana" w:cs="Verdana" w:eastAsia="Verdana" w:hAnsi="Verdana"/>
                <w:sz w:val="16"/>
                <w:szCs w:val="16"/>
                <w:color w:val="auto"/>
              </w:rPr>
              <w:t>Acquisition costs</w:t>
            </w:r>
          </w:p>
        </w:tc>
        <w:tc>
          <w:tcPr>
            <w:tcW w:w="1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0.6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0.8</w:t>
            </w:r>
          </w:p>
        </w:tc>
      </w:tr>
      <w:tr>
        <w:trPr>
          <w:trHeight w:val="253"/>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Acquisition-related inventory fair value adjustment</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1.8</w:t>
            </w:r>
          </w:p>
        </w:tc>
      </w:tr>
      <w:tr>
        <w:trPr>
          <w:trHeight w:val="233"/>
        </w:trPr>
        <w:tc>
          <w:tcPr>
            <w:tcW w:w="7160" w:type="dxa"/>
            <w:vAlign w:val="bottom"/>
          </w:tcPr>
          <w:p>
            <w:pPr>
              <w:ind w:left="300"/>
              <w:spacing w:after="0"/>
              <w:rPr>
                <w:sz w:val="20"/>
                <w:szCs w:val="20"/>
                <w:color w:val="auto"/>
              </w:rPr>
            </w:pPr>
            <w:r>
              <w:rPr>
                <w:rFonts w:ascii="Verdana" w:cs="Verdana" w:eastAsia="Verdana" w:hAnsi="Verdana"/>
                <w:sz w:val="16"/>
                <w:szCs w:val="16"/>
                <w:color w:val="auto"/>
              </w:rPr>
              <w:t>Costs related to CrowdStrike Holdings, Inc.</w:t>
            </w:r>
          </w:p>
        </w:tc>
        <w:tc>
          <w:tcPr>
            <w:tcW w:w="1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3.2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53"/>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Impairments related to Fisker, Inc.</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15.0</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r>
      <w:tr>
        <w:trPr>
          <w:trHeight w:val="233"/>
        </w:trPr>
        <w:tc>
          <w:tcPr>
            <w:tcW w:w="7160" w:type="dxa"/>
            <w:vAlign w:val="bottom"/>
          </w:tcPr>
          <w:p>
            <w:pPr>
              <w:ind w:left="300"/>
              <w:spacing w:after="0"/>
              <w:rPr>
                <w:sz w:val="20"/>
                <w:szCs w:val="20"/>
                <w:color w:val="auto"/>
              </w:rPr>
            </w:pPr>
            <w:r>
              <w:rPr>
                <w:rFonts w:ascii="Verdana" w:cs="Verdana" w:eastAsia="Verdana" w:hAnsi="Verdana"/>
                <w:sz w:val="16"/>
                <w:szCs w:val="16"/>
                <w:color w:val="auto"/>
              </w:rPr>
              <w:t>Impairments (recoveries) related to Russian operations</w:t>
            </w:r>
          </w:p>
        </w:tc>
        <w:tc>
          <w:tcPr>
            <w:tcW w:w="1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(1.7)</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2.4</w:t>
            </w:r>
          </w:p>
        </w:tc>
      </w:tr>
      <w:tr>
        <w:trPr>
          <w:trHeight w:val="253"/>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Intangible asset impairment</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1.9</w:t>
            </w:r>
          </w:p>
        </w:tc>
      </w:tr>
      <w:tr>
        <w:trPr>
          <w:trHeight w:val="233"/>
        </w:trPr>
        <w:tc>
          <w:tcPr>
            <w:tcW w:w="7160" w:type="dxa"/>
            <w:vAlign w:val="bottom"/>
          </w:tcPr>
          <w:p>
            <w:pPr>
              <w:ind w:left="300"/>
              <w:spacing w:after="0"/>
              <w:rPr>
                <w:sz w:val="20"/>
                <w:szCs w:val="20"/>
                <w:color w:val="auto"/>
              </w:rPr>
            </w:pPr>
            <w:r>
              <w:rPr>
                <w:rFonts w:ascii="Verdana" w:cs="Verdana" w:eastAsia="Verdana" w:hAnsi="Verdana"/>
                <w:sz w:val="16"/>
                <w:szCs w:val="16"/>
                <w:color w:val="auto"/>
              </w:rPr>
              <w:t>Insurance recoveries related to typhoon in the Philippines, net of costs</w:t>
            </w:r>
          </w:p>
        </w:tc>
        <w:tc>
          <w:tcPr>
            <w:tcW w:w="1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(3.3)</w:t>
            </w:r>
          </w:p>
        </w:tc>
      </w:tr>
      <w:tr>
        <w:trPr>
          <w:trHeight w:val="253"/>
        </w:trPr>
        <w:tc>
          <w:tcPr>
            <w:tcW w:w="716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Favorable tax ruling in a foreign jurisdiction</w:t>
            </w:r>
          </w:p>
        </w:tc>
        <w:tc>
          <w:tcPr>
            <w:tcW w:w="140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(0.2)</w:t>
            </w:r>
          </w:p>
        </w:tc>
      </w:tr>
      <w:tr>
        <w:trPr>
          <w:trHeight w:val="237"/>
        </w:trPr>
        <w:tc>
          <w:tcPr>
            <w:tcW w:w="7160" w:type="dxa"/>
            <w:vAlign w:val="bottom"/>
            <w:tcBorders>
              <w:bottom w:val="single" w:sz="8" w:color="0C2340"/>
            </w:tcBorders>
          </w:tcPr>
          <w:p>
            <w:pPr>
              <w:ind w:left="300"/>
              <w:spacing w:after="0"/>
              <w:rPr>
                <w:sz w:val="20"/>
                <w:szCs w:val="20"/>
                <w:color w:val="auto"/>
              </w:rPr>
            </w:pPr>
            <w:r>
              <w:rPr>
                <w:rFonts w:ascii="Verdana" w:cs="Verdana" w:eastAsia="Verdana" w:hAnsi="Verdana"/>
                <w:sz w:val="16"/>
                <w:szCs w:val="16"/>
                <w:color w:val="auto"/>
              </w:rPr>
              <w:t>Other</w:t>
            </w:r>
          </w:p>
        </w:tc>
        <w:tc>
          <w:tcPr>
            <w:tcW w:w="1400" w:type="dxa"/>
            <w:vAlign w:val="bottom"/>
            <w:tcBorders>
              <w:bottom w:val="single" w:sz="8" w:color="0C2340"/>
            </w:tcBorders>
          </w:tcPr>
          <w:p>
            <w:pPr>
              <w:spacing w:after="0"/>
              <w:rPr>
                <w:sz w:val="20"/>
                <w:szCs w:val="20"/>
                <w:color w:val="auto"/>
              </w:rPr>
            </w:pP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color w:val="auto"/>
              </w:rPr>
              <w:t>32.8</w:t>
            </w:r>
          </w:p>
        </w:tc>
        <w:tc>
          <w:tcPr>
            <w:tcW w:w="360" w:type="dxa"/>
            <w:vAlign w:val="bottom"/>
            <w:tcBorders>
              <w:bottom w:val="single" w:sz="8" w:color="0C2340"/>
            </w:tcBorders>
          </w:tcPr>
          <w:p>
            <w:pPr>
              <w:spacing w:after="0"/>
              <w:rPr>
                <w:sz w:val="20"/>
                <w:szCs w:val="20"/>
                <w:color w:val="auto"/>
              </w:rPr>
            </w:pP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color w:val="auto"/>
              </w:rPr>
              <w:t>31.0</w:t>
            </w:r>
          </w:p>
        </w:tc>
      </w:tr>
      <w:tr>
        <w:trPr>
          <w:trHeight w:val="250"/>
        </w:trPr>
        <w:tc>
          <w:tcPr>
            <w:tcW w:w="716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7"/>
                <w:szCs w:val="17"/>
                <w:b w:val="1"/>
                <w:bCs w:val="1"/>
                <w:color w:val="auto"/>
              </w:rPr>
              <w:t>Core operating earnings</w:t>
            </w:r>
          </w:p>
        </w:tc>
        <w:tc>
          <w:tcPr>
            <w:tcW w:w="1400" w:type="dxa"/>
            <w:vAlign w:val="bottom"/>
            <w:tcBorders>
              <w:bottom w:val="single" w:sz="8" w:color="0C2340"/>
            </w:tcBorders>
            <w:shd w:val="clear" w:color="auto" w:fill="D6E5F9"/>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b w:val="1"/>
                <w:bCs w:val="1"/>
                <w:color w:val="auto"/>
              </w:rPr>
              <w:t>1,096.1</w:t>
            </w:r>
          </w:p>
        </w:tc>
        <w:tc>
          <w:tcPr>
            <w:tcW w:w="360" w:type="dxa"/>
            <w:vAlign w:val="bottom"/>
            <w:tcBorders>
              <w:bottom w:val="single" w:sz="8" w:color="0C2340"/>
            </w:tcBorders>
            <w:shd w:val="clear" w:color="auto" w:fill="D6E5F9"/>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b w:val="1"/>
                <w:bCs w:val="1"/>
                <w:color w:val="auto"/>
              </w:rPr>
              <w:t>1,120.0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820" w:type="dxa"/>
            <w:vAlign w:val="bottom"/>
          </w:tcPr>
          <w:p>
            <w:pPr>
              <w:ind w:left="8060"/>
              <w:spacing w:after="0"/>
              <w:rPr>
                <w:sz w:val="20"/>
                <w:szCs w:val="20"/>
                <w:color w:val="auto"/>
              </w:rPr>
            </w:pPr>
            <w:r>
              <w:rPr>
                <w:rFonts w:ascii="Verdana" w:cs="Verdana" w:eastAsia="Verdana" w:hAnsi="Verdana"/>
                <w:sz w:val="15"/>
                <w:szCs w:val="15"/>
                <w:b w:val="1"/>
                <w:bCs w:val="1"/>
                <w:color w:val="EE2724"/>
              </w:rPr>
              <w:t xml:space="preserve">2024 PROXY STATEMENT   </w:t>
            </w:r>
            <w:r>
              <w:rPr>
                <w:rFonts w:ascii="Verdana" w:cs="Verdana" w:eastAsia="Verdana" w:hAnsi="Verdana"/>
                <w:sz w:val="17"/>
                <w:szCs w:val="17"/>
                <w:b w:val="1"/>
                <w:bCs w:val="1"/>
                <w:color w:val="E2231A"/>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ind w:left="73"/>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473"/>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24765</wp:posOffset>
            </wp:positionV>
            <wp:extent cx="21602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73"/>
        <w:spacing w:after="0"/>
        <w:rPr>
          <w:sz w:val="20"/>
          <w:szCs w:val="20"/>
          <w:color w:val="auto"/>
        </w:rPr>
      </w:pPr>
      <w:r>
        <w:rPr>
          <w:rFonts w:ascii="Verdana" w:cs="Verdana" w:eastAsia="Verdana" w:hAnsi="Verdana"/>
          <w:sz w:val="23"/>
          <w:szCs w:val="23"/>
          <w:b w:val="1"/>
          <w:bCs w:val="1"/>
          <w:color w:val="auto"/>
        </w:rPr>
        <w:t>Adjusted Net Income and Adjusted Earnings Per Share</w:t>
      </w:r>
    </w:p>
    <w:p>
      <w:pPr>
        <w:spacing w:after="0" w:line="187" w:lineRule="exact"/>
        <w:rPr>
          <w:sz w:val="20"/>
          <w:szCs w:val="20"/>
          <w:color w:val="auto"/>
        </w:rPr>
      </w:pPr>
    </w:p>
    <w:tbl>
      <w:tblPr>
        <w:tblLayout w:type="fixed"/>
        <w:tblInd w:w="73" w:type="dxa"/>
        <w:tblCellMar>
          <w:top w:w="0" w:type="dxa"/>
          <w:left w:w="0" w:type="dxa"/>
          <w:bottom w:w="0" w:type="dxa"/>
          <w:right w:w="0" w:type="dxa"/>
        </w:tblCellMar>
      </w:tblPr>
      <w:tr>
        <w:trPr>
          <w:trHeight w:val="234"/>
        </w:trPr>
        <w:tc>
          <w:tcPr>
            <w:tcW w:w="754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b w:val="1"/>
                <w:bCs w:val="1"/>
                <w:color w:val="auto"/>
              </w:rPr>
              <w:t>(unaudited; in millions, except per share amounts)</w:t>
            </w:r>
          </w:p>
        </w:tc>
        <w:tc>
          <w:tcPr>
            <w:tcW w:w="1040" w:type="dxa"/>
            <w:vAlign w:val="bottom"/>
            <w:tcBorders>
              <w:bottom w:val="single" w:sz="8" w:color="D6E5F9"/>
            </w:tcBorders>
            <w:shd w:val="clear" w:color="auto" w:fill="D6E5F9"/>
          </w:tcPr>
          <w:p>
            <w:pPr>
              <w:spacing w:after="0"/>
              <w:rPr>
                <w:sz w:val="19"/>
                <w:szCs w:val="19"/>
                <w:color w:val="auto"/>
              </w:rPr>
            </w:pPr>
          </w:p>
        </w:tc>
        <w:tc>
          <w:tcPr>
            <w:tcW w:w="1160" w:type="dxa"/>
            <w:vAlign w:val="bottom"/>
            <w:tcBorders>
              <w:bottom w:val="single" w:sz="8" w:color="D6E5F9"/>
            </w:tcBorders>
            <w:shd w:val="clear" w:color="auto" w:fill="D6E5F9"/>
          </w:tcPr>
          <w:p>
            <w:pPr>
              <w:jc w:val="right"/>
              <w:ind w:right="459"/>
              <w:spacing w:after="0"/>
              <w:rPr>
                <w:sz w:val="20"/>
                <w:szCs w:val="20"/>
                <w:color w:val="auto"/>
              </w:rPr>
            </w:pPr>
            <w:r>
              <w:rPr>
                <w:rFonts w:ascii="Verdana" w:cs="Verdana" w:eastAsia="Verdana" w:hAnsi="Verdana"/>
                <w:sz w:val="14"/>
                <w:szCs w:val="14"/>
                <w:b w:val="1"/>
                <w:bCs w:val="1"/>
                <w:color w:val="auto"/>
              </w:rPr>
              <w:t>2024</w:t>
            </w:r>
          </w:p>
        </w:tc>
        <w:tc>
          <w:tcPr>
            <w:tcW w:w="340" w:type="dxa"/>
            <w:vAlign w:val="bottom"/>
            <w:tcBorders>
              <w:bottom w:val="single" w:sz="8" w:color="D6E5F9"/>
            </w:tcBorders>
            <w:shd w:val="clear" w:color="auto" w:fill="D6E5F9"/>
          </w:tcPr>
          <w:p>
            <w:pPr>
              <w:spacing w:after="0"/>
              <w:rPr>
                <w:sz w:val="19"/>
                <w:szCs w:val="19"/>
                <w:color w:val="auto"/>
              </w:rPr>
            </w:pPr>
          </w:p>
        </w:tc>
        <w:tc>
          <w:tcPr>
            <w:tcW w:w="1160" w:type="dxa"/>
            <w:vAlign w:val="bottom"/>
            <w:tcBorders>
              <w:bottom w:val="single" w:sz="8" w:color="D6E5F9"/>
            </w:tcBorders>
            <w:shd w:val="clear" w:color="auto" w:fill="D6E5F9"/>
          </w:tcPr>
          <w:p>
            <w:pPr>
              <w:jc w:val="right"/>
              <w:ind w:right="459"/>
              <w:spacing w:after="0"/>
              <w:rPr>
                <w:sz w:val="20"/>
                <w:szCs w:val="20"/>
                <w:color w:val="auto"/>
              </w:rPr>
            </w:pPr>
            <w:r>
              <w:rPr>
                <w:rFonts w:ascii="Verdana" w:cs="Verdana" w:eastAsia="Verdana" w:hAnsi="Verdana"/>
                <w:sz w:val="14"/>
                <w:szCs w:val="14"/>
                <w:b w:val="1"/>
                <w:bCs w:val="1"/>
                <w:color w:val="auto"/>
              </w:rPr>
              <w:t>2023</w:t>
            </w:r>
          </w:p>
        </w:tc>
      </w:tr>
      <w:tr>
        <w:trPr>
          <w:trHeight w:val="241"/>
        </w:trPr>
        <w:tc>
          <w:tcPr>
            <w:tcW w:w="7540" w:type="dxa"/>
            <w:vAlign w:val="bottom"/>
            <w:tcBorders>
              <w:top w:val="single" w:sz="8" w:color="0C2340"/>
            </w:tcBorders>
          </w:tcPr>
          <w:p>
            <w:pPr>
              <w:ind w:left="20"/>
              <w:spacing w:after="0"/>
              <w:rPr>
                <w:sz w:val="20"/>
                <w:szCs w:val="20"/>
                <w:color w:val="auto"/>
              </w:rPr>
            </w:pPr>
            <w:r>
              <w:rPr>
                <w:rFonts w:ascii="Verdana" w:cs="Verdana" w:eastAsia="Verdana" w:hAnsi="Verdana"/>
                <w:sz w:val="17"/>
                <w:szCs w:val="17"/>
                <w:b w:val="1"/>
                <w:bCs w:val="1"/>
                <w:color w:val="auto"/>
              </w:rPr>
              <w:t>Net income attributable to Lear</w:t>
            </w:r>
          </w:p>
        </w:tc>
        <w:tc>
          <w:tcPr>
            <w:tcW w:w="1040" w:type="dxa"/>
            <w:vAlign w:val="bottom"/>
            <w:tcBorders>
              <w:top w:val="single" w:sz="8" w:color="0C2340"/>
            </w:tcBorders>
          </w:tcPr>
          <w:p>
            <w:pPr>
              <w:ind w:left="720"/>
              <w:spacing w:after="0"/>
              <w:rPr>
                <w:sz w:val="20"/>
                <w:szCs w:val="20"/>
                <w:color w:val="auto"/>
              </w:rPr>
            </w:pPr>
            <w:r>
              <w:rPr>
                <w:rFonts w:ascii="Verdana" w:cs="Verdana" w:eastAsia="Verdana" w:hAnsi="Verdana"/>
                <w:sz w:val="16"/>
                <w:szCs w:val="16"/>
                <w:color w:val="auto"/>
              </w:rPr>
              <w:t>$</w:t>
            </w:r>
          </w:p>
        </w:tc>
        <w:tc>
          <w:tcPr>
            <w:tcW w:w="1160" w:type="dxa"/>
            <w:vAlign w:val="bottom"/>
            <w:tcBorders>
              <w:top w:val="single" w:sz="8" w:color="0C2340"/>
            </w:tcBorders>
          </w:tcPr>
          <w:p>
            <w:pPr>
              <w:jc w:val="right"/>
              <w:spacing w:after="0"/>
              <w:rPr>
                <w:sz w:val="20"/>
                <w:szCs w:val="20"/>
                <w:color w:val="auto"/>
              </w:rPr>
            </w:pPr>
            <w:r>
              <w:rPr>
                <w:rFonts w:ascii="Verdana" w:cs="Verdana" w:eastAsia="Verdana" w:hAnsi="Verdana"/>
                <w:sz w:val="16"/>
                <w:szCs w:val="16"/>
                <w:color w:val="auto"/>
              </w:rPr>
              <w:t>506.6</w:t>
            </w:r>
          </w:p>
        </w:tc>
        <w:tc>
          <w:tcPr>
            <w:tcW w:w="340" w:type="dxa"/>
            <w:vAlign w:val="bottom"/>
            <w:tcBorders>
              <w:top w:val="single" w:sz="8" w:color="0C2340"/>
            </w:tcBorders>
          </w:tcPr>
          <w:p>
            <w:pPr>
              <w:ind w:left="20"/>
              <w:spacing w:after="0"/>
              <w:rPr>
                <w:sz w:val="20"/>
                <w:szCs w:val="20"/>
                <w:color w:val="auto"/>
              </w:rPr>
            </w:pPr>
            <w:r>
              <w:rPr>
                <w:rFonts w:ascii="Verdana" w:cs="Verdana" w:eastAsia="Verdana" w:hAnsi="Verdana"/>
                <w:sz w:val="16"/>
                <w:szCs w:val="16"/>
                <w:color w:val="auto"/>
              </w:rPr>
              <w:t>$</w:t>
            </w:r>
          </w:p>
        </w:tc>
        <w:tc>
          <w:tcPr>
            <w:tcW w:w="1160" w:type="dxa"/>
            <w:vAlign w:val="bottom"/>
            <w:tcBorders>
              <w:top w:val="single" w:sz="8" w:color="0C2340"/>
            </w:tcBorders>
          </w:tcPr>
          <w:p>
            <w:pPr>
              <w:jc w:val="right"/>
              <w:spacing w:after="0"/>
              <w:rPr>
                <w:sz w:val="20"/>
                <w:szCs w:val="20"/>
                <w:color w:val="auto"/>
              </w:rPr>
            </w:pPr>
            <w:r>
              <w:rPr>
                <w:rFonts w:ascii="Verdana" w:cs="Verdana" w:eastAsia="Verdana" w:hAnsi="Verdana"/>
                <w:sz w:val="16"/>
                <w:szCs w:val="16"/>
                <w:color w:val="auto"/>
              </w:rPr>
              <w:t>572.5</w:t>
            </w:r>
          </w:p>
        </w:tc>
      </w:tr>
      <w:tr>
        <w:trPr>
          <w:trHeight w:val="252"/>
        </w:trPr>
        <w:tc>
          <w:tcPr>
            <w:tcW w:w="7540" w:type="dxa"/>
            <w:vAlign w:val="bottom"/>
            <w:shd w:val="clear" w:color="auto" w:fill="D6E5F9"/>
          </w:tcPr>
          <w:p>
            <w:pPr>
              <w:ind w:left="160"/>
              <w:spacing w:after="0"/>
              <w:rPr>
                <w:sz w:val="20"/>
                <w:szCs w:val="20"/>
                <w:color w:val="auto"/>
              </w:rPr>
            </w:pPr>
            <w:r>
              <w:rPr>
                <w:rFonts w:ascii="Verdana" w:cs="Verdana" w:eastAsia="Verdana" w:hAnsi="Verdana"/>
                <w:sz w:val="16"/>
                <w:szCs w:val="16"/>
                <w:color w:val="auto"/>
              </w:rPr>
              <w:t>Restructuring costs and other special items -</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spacing w:after="0"/>
              <w:rPr>
                <w:sz w:val="21"/>
                <w:szCs w:val="21"/>
                <w:color w:val="auto"/>
              </w:rPr>
            </w:pP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spacing w:after="0"/>
              <w:rPr>
                <w:sz w:val="21"/>
                <w:szCs w:val="21"/>
                <w:color w:val="auto"/>
              </w:rPr>
            </w:pP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Costs related to restructuring actions</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145.0</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134.2</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Acquisition costs</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0.6</w:t>
            </w: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0.8</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Acquisition-related inventory fair value adjustment</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1.8</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Non-cash loss related to pending disposal on a non-core business</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24.4</w:t>
            </w: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Costs related to CrowdStrike Holdings, Inc.</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3.2</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Impairments related to Fisker, Inc.</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15.0</w:t>
            </w: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Impairments (recoveries) related to Russian operations</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(1.7)</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2.4</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Intangible asset impairment</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1.9</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Insurance recoveries related to typhoon in the Philippines, net of costs</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(7.3)</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Non-cash settlement loss on pension lump-sum payout</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6.6</w:t>
            </w: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Foreign exchange gains due to foreign exchange rate volatility related to Russia</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(2.0)</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(1.9)</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Favorable tax ruling in a foreign jurisdiction</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(0.7)</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Loss related to affiliate</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7.0</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Other</w:t>
            </w:r>
          </w:p>
        </w:tc>
        <w:tc>
          <w:tcPr>
            <w:tcW w:w="10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39.7</w:t>
            </w:r>
          </w:p>
        </w:tc>
        <w:tc>
          <w:tcPr>
            <w:tcW w:w="340" w:type="dxa"/>
            <w:vAlign w:val="bottom"/>
            <w:shd w:val="clear" w:color="auto" w:fill="D6E5F9"/>
          </w:tcPr>
          <w:p>
            <w:pPr>
              <w:spacing w:after="0"/>
              <w:rPr>
                <w:sz w:val="21"/>
                <w:szCs w:val="21"/>
                <w:color w:val="auto"/>
              </w:rPr>
            </w:pP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34.3</w:t>
            </w:r>
          </w:p>
        </w:tc>
      </w:tr>
      <w:tr>
        <w:trPr>
          <w:trHeight w:val="243"/>
        </w:trPr>
        <w:tc>
          <w:tcPr>
            <w:tcW w:w="7540" w:type="dxa"/>
            <w:vAlign w:val="bottom"/>
            <w:tcBorders>
              <w:bottom w:val="single" w:sz="8" w:color="0C2340"/>
            </w:tcBorders>
          </w:tcPr>
          <w:p>
            <w:pPr>
              <w:ind w:left="300"/>
              <w:spacing w:after="0" w:line="243" w:lineRule="exact"/>
              <w:rPr>
                <w:sz w:val="20"/>
                <w:szCs w:val="20"/>
                <w:color w:val="auto"/>
              </w:rPr>
            </w:pPr>
            <w:r>
              <w:rPr>
                <w:rFonts w:ascii="Verdana" w:cs="Verdana" w:eastAsia="Verdana" w:hAnsi="Verdana"/>
                <w:sz w:val="15"/>
                <w:szCs w:val="15"/>
                <w:color w:val="auto"/>
              </w:rPr>
              <w:t>Tax impact of special items and other net tax adjustments</w:t>
            </w:r>
            <w:r>
              <w:rPr>
                <w:rFonts w:ascii="Verdana" w:cs="Verdana" w:eastAsia="Verdana" w:hAnsi="Verdana"/>
                <w:sz w:val="26"/>
                <w:szCs w:val="26"/>
                <w:color w:val="auto"/>
                <w:vertAlign w:val="superscript"/>
              </w:rPr>
              <w:t>(1)</w:t>
            </w:r>
          </w:p>
        </w:tc>
        <w:tc>
          <w:tcPr>
            <w:tcW w:w="1040" w:type="dxa"/>
            <w:vAlign w:val="bottom"/>
            <w:tcBorders>
              <w:bottom w:val="single" w:sz="8" w:color="0C2340"/>
            </w:tcBorders>
          </w:tcPr>
          <w:p>
            <w:pPr>
              <w:spacing w:after="0"/>
              <w:rPr>
                <w:sz w:val="21"/>
                <w:szCs w:val="21"/>
                <w:color w:val="auto"/>
              </w:rPr>
            </w:pP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color w:val="auto"/>
              </w:rPr>
              <w:t>(24.6)</w:t>
            </w:r>
          </w:p>
        </w:tc>
        <w:tc>
          <w:tcPr>
            <w:tcW w:w="340" w:type="dxa"/>
            <w:vAlign w:val="bottom"/>
            <w:tcBorders>
              <w:bottom w:val="single" w:sz="8" w:color="0C2340"/>
            </w:tcBorders>
          </w:tcPr>
          <w:p>
            <w:pPr>
              <w:spacing w:after="0"/>
              <w:rPr>
                <w:sz w:val="21"/>
                <w:szCs w:val="21"/>
                <w:color w:val="auto"/>
              </w:rPr>
            </w:pP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color w:val="auto"/>
              </w:rPr>
              <w:t>(34.7)</w:t>
            </w:r>
          </w:p>
        </w:tc>
      </w:tr>
      <w:tr>
        <w:trPr>
          <w:trHeight w:val="243"/>
        </w:trPr>
        <w:tc>
          <w:tcPr>
            <w:tcW w:w="754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7"/>
                <w:szCs w:val="17"/>
                <w:b w:val="1"/>
                <w:bCs w:val="1"/>
                <w:color w:val="auto"/>
              </w:rPr>
              <w:t>Adjusted net income attributable to Lear</w:t>
            </w:r>
          </w:p>
        </w:tc>
        <w:tc>
          <w:tcPr>
            <w:tcW w:w="1040" w:type="dxa"/>
            <w:vAlign w:val="bottom"/>
            <w:tcBorders>
              <w:bottom w:val="single" w:sz="8" w:color="0C2340"/>
            </w:tcBorders>
            <w:shd w:val="clear" w:color="auto" w:fill="D6E5F9"/>
          </w:tcPr>
          <w:p>
            <w:pPr>
              <w:ind w:left="720"/>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b w:val="1"/>
                <w:bCs w:val="1"/>
                <w:color w:val="auto"/>
              </w:rPr>
              <w:t>712.8</w:t>
            </w:r>
          </w:p>
        </w:tc>
        <w:tc>
          <w:tcPr>
            <w:tcW w:w="34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b w:val="1"/>
                <w:bCs w:val="1"/>
                <w:color w:val="auto"/>
              </w:rPr>
              <w:t>710.3</w:t>
            </w:r>
          </w:p>
        </w:tc>
      </w:tr>
      <w:tr>
        <w:trPr>
          <w:trHeight w:val="233"/>
        </w:trPr>
        <w:tc>
          <w:tcPr>
            <w:tcW w:w="7540" w:type="dxa"/>
            <w:vAlign w:val="bottom"/>
          </w:tcPr>
          <w:p>
            <w:pPr>
              <w:ind w:left="20"/>
              <w:spacing w:after="0"/>
              <w:rPr>
                <w:sz w:val="20"/>
                <w:szCs w:val="20"/>
                <w:color w:val="auto"/>
              </w:rPr>
            </w:pPr>
            <w:r>
              <w:rPr>
                <w:rFonts w:ascii="Verdana" w:cs="Verdana" w:eastAsia="Verdana" w:hAnsi="Verdana"/>
                <w:sz w:val="16"/>
                <w:szCs w:val="16"/>
                <w:color w:val="auto"/>
              </w:rPr>
              <w:t>Weighted average number of diluted shares outstanding</w:t>
            </w:r>
          </w:p>
        </w:tc>
        <w:tc>
          <w:tcPr>
            <w:tcW w:w="10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56.5</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Verdana" w:cs="Verdana" w:eastAsia="Verdana" w:hAnsi="Verdana"/>
                <w:sz w:val="16"/>
                <w:szCs w:val="16"/>
                <w:color w:val="auto"/>
              </w:rPr>
              <w:t>59.1</w:t>
            </w:r>
          </w:p>
        </w:tc>
      </w:tr>
      <w:tr>
        <w:trPr>
          <w:trHeight w:val="266"/>
        </w:trPr>
        <w:tc>
          <w:tcPr>
            <w:tcW w:w="7540" w:type="dxa"/>
            <w:vAlign w:val="bottom"/>
            <w:shd w:val="clear" w:color="auto" w:fill="D6E5F9"/>
          </w:tcPr>
          <w:p>
            <w:pPr>
              <w:ind w:left="20"/>
              <w:spacing w:after="0"/>
              <w:rPr>
                <w:sz w:val="20"/>
                <w:szCs w:val="20"/>
                <w:color w:val="auto"/>
              </w:rPr>
            </w:pPr>
            <w:r>
              <w:rPr>
                <w:rFonts w:ascii="Verdana" w:cs="Verdana" w:eastAsia="Verdana" w:hAnsi="Verdana"/>
                <w:sz w:val="17"/>
                <w:szCs w:val="17"/>
                <w:b w:val="1"/>
                <w:bCs w:val="1"/>
                <w:color w:val="auto"/>
              </w:rPr>
              <w:t>Diluted net income per share attributable to Lear</w:t>
            </w:r>
          </w:p>
        </w:tc>
        <w:tc>
          <w:tcPr>
            <w:tcW w:w="1040" w:type="dxa"/>
            <w:vAlign w:val="bottom"/>
            <w:shd w:val="clear" w:color="auto" w:fill="D6E5F9"/>
          </w:tcPr>
          <w:p>
            <w:pPr>
              <w:ind w:left="720"/>
              <w:spacing w:after="0"/>
              <w:rPr>
                <w:sz w:val="20"/>
                <w:szCs w:val="20"/>
                <w:color w:val="auto"/>
              </w:rPr>
            </w:pPr>
            <w:r>
              <w:rPr>
                <w:rFonts w:ascii="Verdana" w:cs="Verdana" w:eastAsia="Verdana" w:hAnsi="Verdana"/>
                <w:sz w:val="16"/>
                <w:szCs w:val="16"/>
                <w:b w:val="1"/>
                <w:bCs w:val="1"/>
                <w:color w:val="auto"/>
              </w:rPr>
              <w:t>$</w:t>
            </w: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b w:val="1"/>
                <w:bCs w:val="1"/>
                <w:color w:val="auto"/>
              </w:rPr>
              <w:t>8.97</w:t>
            </w:r>
          </w:p>
        </w:tc>
        <w:tc>
          <w:tcPr>
            <w:tcW w:w="340" w:type="dxa"/>
            <w:vAlign w:val="bottom"/>
            <w:shd w:val="clear" w:color="auto" w:fill="D6E5F9"/>
          </w:tcPr>
          <w:p>
            <w:pPr>
              <w:ind w:left="20"/>
              <w:spacing w:after="0"/>
              <w:rPr>
                <w:sz w:val="20"/>
                <w:szCs w:val="20"/>
                <w:color w:val="auto"/>
              </w:rPr>
            </w:pPr>
            <w:r>
              <w:rPr>
                <w:rFonts w:ascii="Verdana" w:cs="Verdana" w:eastAsia="Verdana" w:hAnsi="Verdana"/>
                <w:sz w:val="16"/>
                <w:szCs w:val="16"/>
                <w:b w:val="1"/>
                <w:bCs w:val="1"/>
                <w:color w:val="auto"/>
              </w:rPr>
              <w:t>$</w:t>
            </w:r>
          </w:p>
        </w:tc>
        <w:tc>
          <w:tcPr>
            <w:tcW w:w="1160" w:type="dxa"/>
            <w:vAlign w:val="bottom"/>
            <w:shd w:val="clear" w:color="auto" w:fill="D6E5F9"/>
          </w:tcPr>
          <w:p>
            <w:pPr>
              <w:jc w:val="right"/>
              <w:spacing w:after="0"/>
              <w:rPr>
                <w:sz w:val="20"/>
                <w:szCs w:val="20"/>
                <w:color w:val="auto"/>
              </w:rPr>
            </w:pPr>
            <w:r>
              <w:rPr>
                <w:rFonts w:ascii="Verdana" w:cs="Verdana" w:eastAsia="Verdana" w:hAnsi="Verdana"/>
                <w:sz w:val="16"/>
                <w:szCs w:val="16"/>
                <w:b w:val="1"/>
                <w:bCs w:val="1"/>
                <w:color w:val="auto"/>
              </w:rPr>
              <w:t>9.68</w:t>
            </w:r>
          </w:p>
        </w:tc>
      </w:tr>
      <w:tr>
        <w:trPr>
          <w:trHeight w:val="250"/>
        </w:trPr>
        <w:tc>
          <w:tcPr>
            <w:tcW w:w="7540" w:type="dxa"/>
            <w:vAlign w:val="bottom"/>
            <w:tcBorders>
              <w:bottom w:val="single" w:sz="8" w:color="0C2340"/>
            </w:tcBorders>
          </w:tcPr>
          <w:p>
            <w:pPr>
              <w:ind w:left="20"/>
              <w:spacing w:after="0"/>
              <w:rPr>
                <w:sz w:val="20"/>
                <w:szCs w:val="20"/>
                <w:color w:val="auto"/>
              </w:rPr>
            </w:pPr>
            <w:r>
              <w:rPr>
                <w:rFonts w:ascii="Verdana" w:cs="Verdana" w:eastAsia="Verdana" w:hAnsi="Verdana"/>
                <w:sz w:val="17"/>
                <w:szCs w:val="17"/>
                <w:b w:val="1"/>
                <w:bCs w:val="1"/>
                <w:color w:val="auto"/>
              </w:rPr>
              <w:t>Adjusted earnings per share</w:t>
            </w:r>
          </w:p>
        </w:tc>
        <w:tc>
          <w:tcPr>
            <w:tcW w:w="1040" w:type="dxa"/>
            <w:vAlign w:val="bottom"/>
            <w:tcBorders>
              <w:bottom w:val="single" w:sz="8" w:color="0C2340"/>
            </w:tcBorders>
          </w:tcPr>
          <w:p>
            <w:pPr>
              <w:ind w:left="720"/>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b w:val="1"/>
                <w:bCs w:val="1"/>
                <w:color w:val="auto"/>
              </w:rPr>
              <w:t>12.62</w:t>
            </w:r>
          </w:p>
        </w:tc>
        <w:tc>
          <w:tcPr>
            <w:tcW w:w="340" w:type="dxa"/>
            <w:vAlign w:val="bottom"/>
            <w:tcBorders>
              <w:bottom w:val="single" w:sz="8" w:color="0C2340"/>
            </w:tcBorders>
          </w:tcPr>
          <w:p>
            <w:pPr>
              <w:ind w:left="20"/>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b w:val="1"/>
                <w:bCs w:val="1"/>
                <w:color w:val="auto"/>
              </w:rPr>
              <w:t>12.02</w:t>
            </w:r>
          </w:p>
        </w:tc>
      </w:tr>
    </w:tbl>
    <w:p>
      <w:pPr>
        <w:spacing w:after="0" w:line="193" w:lineRule="exact"/>
        <w:rPr>
          <w:sz w:val="20"/>
          <w:szCs w:val="20"/>
          <w:color w:val="auto"/>
        </w:rPr>
      </w:pPr>
    </w:p>
    <w:p>
      <w:pPr>
        <w:ind w:left="333" w:right="480" w:hanging="333"/>
        <w:spacing w:after="0" w:line="216" w:lineRule="auto"/>
        <w:tabs>
          <w:tab w:leader="none" w:pos="329" w:val="left"/>
        </w:tabs>
        <w:numPr>
          <w:ilvl w:val="0"/>
          <w:numId w:val="137"/>
        </w:numPr>
        <w:rPr>
          <w:rFonts w:ascii="Verdana" w:cs="Verdana" w:eastAsia="Verdana" w:hAnsi="Verdana"/>
          <w:sz w:val="19"/>
          <w:szCs w:val="19"/>
          <w:color w:val="auto"/>
          <w:vertAlign w:val="superscript"/>
        </w:rPr>
      </w:pPr>
      <w:r>
        <w:rPr>
          <w:rFonts w:ascii="Verdana" w:cs="Verdana" w:eastAsia="Verdana" w:hAnsi="Verdana"/>
          <w:sz w:val="14"/>
          <w:szCs w:val="14"/>
          <w:color w:val="auto"/>
        </w:rPr>
        <w:t>Reflects the tax effect of restructuring costs and other special items, as well as several discrete tax items. The identification of these tax items is judgmental in nature, and their calculation is based on various assumptions and estimates.</w:t>
      </w:r>
    </w:p>
    <w:p>
      <w:pPr>
        <w:spacing w:after="0" w:line="114" w:lineRule="exact"/>
        <w:rPr>
          <w:sz w:val="20"/>
          <w:szCs w:val="20"/>
          <w:color w:val="auto"/>
        </w:rPr>
      </w:pPr>
    </w:p>
    <w:p>
      <w:pPr>
        <w:ind w:left="73"/>
        <w:spacing w:after="0"/>
        <w:rPr>
          <w:sz w:val="20"/>
          <w:szCs w:val="20"/>
          <w:color w:val="auto"/>
        </w:rPr>
      </w:pPr>
      <w:r>
        <w:rPr>
          <w:rFonts w:ascii="Verdana" w:cs="Verdana" w:eastAsia="Verdana" w:hAnsi="Verdana"/>
          <w:sz w:val="23"/>
          <w:szCs w:val="23"/>
          <w:b w:val="1"/>
          <w:bCs w:val="1"/>
          <w:color w:val="auto"/>
        </w:rPr>
        <w:t>Free Cash Flow</w:t>
      </w:r>
    </w:p>
    <w:p>
      <w:pPr>
        <w:spacing w:after="0" w:line="167" w:lineRule="exact"/>
        <w:rPr>
          <w:sz w:val="20"/>
          <w:szCs w:val="20"/>
          <w:color w:val="auto"/>
        </w:rPr>
      </w:pPr>
    </w:p>
    <w:tbl>
      <w:tblPr>
        <w:tblLayout w:type="fixed"/>
        <w:tblInd w:w="73" w:type="dxa"/>
        <w:tblCellMar>
          <w:top w:w="0" w:type="dxa"/>
          <w:left w:w="0" w:type="dxa"/>
          <w:bottom w:w="0" w:type="dxa"/>
          <w:right w:w="0" w:type="dxa"/>
        </w:tblCellMar>
      </w:tblPr>
      <w:tr>
        <w:trPr>
          <w:trHeight w:val="248"/>
        </w:trPr>
        <w:tc>
          <w:tcPr>
            <w:tcW w:w="6960" w:type="dxa"/>
            <w:vAlign w:val="bottom"/>
            <w:tcBorders>
              <w:top w:val="single" w:sz="8" w:color="0C2340"/>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b w:val="1"/>
                <w:bCs w:val="1"/>
                <w:color w:val="auto"/>
              </w:rPr>
              <w:t>(unaudited; in millions)</w:t>
            </w:r>
          </w:p>
        </w:tc>
        <w:tc>
          <w:tcPr>
            <w:tcW w:w="1600" w:type="dxa"/>
            <w:vAlign w:val="bottom"/>
            <w:tcBorders>
              <w:top w:val="single" w:sz="8" w:color="0C2340"/>
              <w:bottom w:val="single" w:sz="8" w:color="D6E5F9"/>
            </w:tcBorders>
            <w:shd w:val="clear" w:color="auto" w:fill="D6E5F9"/>
          </w:tcPr>
          <w:p>
            <w:pPr>
              <w:spacing w:after="0"/>
              <w:rPr>
                <w:sz w:val="21"/>
                <w:szCs w:val="21"/>
                <w:color w:val="auto"/>
              </w:rPr>
            </w:pPr>
          </w:p>
        </w:tc>
        <w:tc>
          <w:tcPr>
            <w:tcW w:w="1160" w:type="dxa"/>
            <w:vAlign w:val="bottom"/>
            <w:tcBorders>
              <w:top w:val="single" w:sz="8" w:color="0C2340"/>
              <w:bottom w:val="single" w:sz="8" w:color="D6E5F9"/>
            </w:tcBorders>
            <w:shd w:val="clear" w:color="auto" w:fill="D6E5F9"/>
          </w:tcPr>
          <w:p>
            <w:pPr>
              <w:jc w:val="right"/>
              <w:ind w:right="461"/>
              <w:spacing w:after="0"/>
              <w:rPr>
                <w:sz w:val="20"/>
                <w:szCs w:val="20"/>
                <w:color w:val="auto"/>
              </w:rPr>
            </w:pPr>
            <w:r>
              <w:rPr>
                <w:rFonts w:ascii="Verdana" w:cs="Verdana" w:eastAsia="Verdana" w:hAnsi="Verdana"/>
                <w:sz w:val="14"/>
                <w:szCs w:val="14"/>
                <w:b w:val="1"/>
                <w:bCs w:val="1"/>
                <w:color w:val="auto"/>
              </w:rPr>
              <w:t>2024</w:t>
            </w:r>
          </w:p>
        </w:tc>
        <w:tc>
          <w:tcPr>
            <w:tcW w:w="360" w:type="dxa"/>
            <w:vAlign w:val="bottom"/>
            <w:tcBorders>
              <w:top w:val="single" w:sz="8" w:color="0C2340"/>
              <w:bottom w:val="single" w:sz="8" w:color="D6E5F9"/>
            </w:tcBorders>
            <w:shd w:val="clear" w:color="auto" w:fill="D6E5F9"/>
          </w:tcPr>
          <w:p>
            <w:pPr>
              <w:spacing w:after="0"/>
              <w:rPr>
                <w:sz w:val="21"/>
                <w:szCs w:val="21"/>
                <w:color w:val="auto"/>
              </w:rPr>
            </w:pPr>
          </w:p>
        </w:tc>
        <w:tc>
          <w:tcPr>
            <w:tcW w:w="1160" w:type="dxa"/>
            <w:vAlign w:val="bottom"/>
            <w:tcBorders>
              <w:top w:val="single" w:sz="8" w:color="0C2340"/>
              <w:bottom w:val="single" w:sz="8" w:color="D6E5F9"/>
            </w:tcBorders>
            <w:shd w:val="clear" w:color="auto" w:fill="D6E5F9"/>
          </w:tcPr>
          <w:p>
            <w:pPr>
              <w:jc w:val="right"/>
              <w:ind w:right="481"/>
              <w:spacing w:after="0"/>
              <w:rPr>
                <w:sz w:val="20"/>
                <w:szCs w:val="20"/>
                <w:color w:val="auto"/>
              </w:rPr>
            </w:pPr>
            <w:r>
              <w:rPr>
                <w:rFonts w:ascii="Verdana" w:cs="Verdana" w:eastAsia="Verdana" w:hAnsi="Verdana"/>
                <w:sz w:val="14"/>
                <w:szCs w:val="14"/>
                <w:b w:val="1"/>
                <w:bCs w:val="1"/>
                <w:color w:val="auto"/>
              </w:rPr>
              <w:t>2023</w:t>
            </w:r>
          </w:p>
        </w:tc>
      </w:tr>
      <w:tr>
        <w:trPr>
          <w:trHeight w:val="241"/>
        </w:trPr>
        <w:tc>
          <w:tcPr>
            <w:tcW w:w="6960" w:type="dxa"/>
            <w:vAlign w:val="bottom"/>
            <w:tcBorders>
              <w:top w:val="single" w:sz="8" w:color="0C2340"/>
            </w:tcBorders>
          </w:tcPr>
          <w:p>
            <w:pPr>
              <w:ind w:left="20"/>
              <w:spacing w:after="0"/>
              <w:rPr>
                <w:sz w:val="20"/>
                <w:szCs w:val="20"/>
                <w:color w:val="auto"/>
              </w:rPr>
            </w:pPr>
            <w:r>
              <w:rPr>
                <w:rFonts w:ascii="Verdana" w:cs="Verdana" w:eastAsia="Verdana" w:hAnsi="Verdana"/>
                <w:sz w:val="17"/>
                <w:szCs w:val="17"/>
                <w:b w:val="1"/>
                <w:bCs w:val="1"/>
                <w:color w:val="auto"/>
              </w:rPr>
              <w:t>Net cash provided by operating activities</w:t>
            </w:r>
          </w:p>
        </w:tc>
        <w:tc>
          <w:tcPr>
            <w:tcW w:w="1600" w:type="dxa"/>
            <w:vAlign w:val="bottom"/>
            <w:tcBorders>
              <w:top w:val="single" w:sz="8" w:color="0C2340"/>
            </w:tcBorders>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top w:val="single" w:sz="8" w:color="0C2340"/>
            </w:tcBorders>
          </w:tcPr>
          <w:p>
            <w:pPr>
              <w:jc w:val="right"/>
              <w:ind w:right="1"/>
              <w:spacing w:after="0"/>
              <w:rPr>
                <w:sz w:val="20"/>
                <w:szCs w:val="20"/>
                <w:color w:val="auto"/>
              </w:rPr>
            </w:pPr>
            <w:r>
              <w:rPr>
                <w:rFonts w:ascii="Verdana" w:cs="Verdana" w:eastAsia="Verdana" w:hAnsi="Verdana"/>
                <w:sz w:val="16"/>
                <w:szCs w:val="16"/>
                <w:b w:val="1"/>
                <w:bCs w:val="1"/>
                <w:color w:val="auto"/>
              </w:rPr>
              <w:t>1,120.1</w:t>
            </w:r>
          </w:p>
        </w:tc>
        <w:tc>
          <w:tcPr>
            <w:tcW w:w="360" w:type="dxa"/>
            <w:vAlign w:val="bottom"/>
            <w:tcBorders>
              <w:top w:val="single" w:sz="8" w:color="0C2340"/>
            </w:tcBorders>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top w:val="single" w:sz="8" w:color="0C2340"/>
            </w:tcBorders>
          </w:tcPr>
          <w:p>
            <w:pPr>
              <w:jc w:val="right"/>
              <w:ind w:right="1"/>
              <w:spacing w:after="0"/>
              <w:rPr>
                <w:sz w:val="20"/>
                <w:szCs w:val="20"/>
                <w:color w:val="auto"/>
              </w:rPr>
            </w:pPr>
            <w:r>
              <w:rPr>
                <w:rFonts w:ascii="Verdana" w:cs="Verdana" w:eastAsia="Verdana" w:hAnsi="Verdana"/>
                <w:sz w:val="16"/>
                <w:szCs w:val="16"/>
                <w:b w:val="1"/>
                <w:bCs w:val="1"/>
                <w:color w:val="auto"/>
              </w:rPr>
              <w:t>1,249.3</w:t>
            </w:r>
          </w:p>
        </w:tc>
      </w:tr>
      <w:tr>
        <w:trPr>
          <w:trHeight w:val="252"/>
        </w:trPr>
        <w:tc>
          <w:tcPr>
            <w:tcW w:w="6960" w:type="dxa"/>
            <w:vAlign w:val="bottom"/>
            <w:shd w:val="clear" w:color="auto" w:fill="D6E5F9"/>
          </w:tcPr>
          <w:p>
            <w:pPr>
              <w:ind w:left="20"/>
              <w:spacing w:after="0"/>
              <w:rPr>
                <w:sz w:val="20"/>
                <w:szCs w:val="20"/>
                <w:color w:val="auto"/>
              </w:rPr>
            </w:pPr>
            <w:r>
              <w:rPr>
                <w:rFonts w:ascii="Verdana" w:cs="Verdana" w:eastAsia="Verdana" w:hAnsi="Verdana"/>
                <w:sz w:val="16"/>
                <w:szCs w:val="16"/>
                <w:color w:val="auto"/>
              </w:rPr>
              <w:t>Settlement of accounts payable in conjunction with acquisition of IGB</w:t>
            </w:r>
          </w:p>
        </w:tc>
        <w:tc>
          <w:tcPr>
            <w:tcW w:w="1600" w:type="dxa"/>
            <w:vAlign w:val="bottom"/>
            <w:shd w:val="clear" w:color="auto" w:fill="D6E5F9"/>
          </w:tcPr>
          <w:p>
            <w:pPr>
              <w:spacing w:after="0"/>
              <w:rPr>
                <w:sz w:val="21"/>
                <w:szCs w:val="21"/>
                <w:color w:val="auto"/>
              </w:rPr>
            </w:pPr>
          </w:p>
        </w:tc>
        <w:tc>
          <w:tcPr>
            <w:tcW w:w="1160" w:type="dxa"/>
            <w:vAlign w:val="bottom"/>
            <w:shd w:val="clear" w:color="auto" w:fill="D6E5F9"/>
          </w:tcPr>
          <w:p>
            <w:pPr>
              <w:jc w:val="right"/>
              <w:ind w:right="1"/>
              <w:spacing w:after="0"/>
              <w:rPr>
                <w:sz w:val="20"/>
                <w:szCs w:val="20"/>
                <w:color w:val="auto"/>
              </w:rPr>
            </w:pPr>
            <w:r>
              <w:rPr>
                <w:rFonts w:ascii="Verdana" w:cs="Verdana" w:eastAsia="Verdana" w:hAnsi="Verdana"/>
                <w:sz w:val="16"/>
                <w:szCs w:val="16"/>
                <w:color w:val="auto"/>
              </w:rPr>
              <w:t>—</w:t>
            </w:r>
          </w:p>
        </w:tc>
        <w:tc>
          <w:tcPr>
            <w:tcW w:w="360" w:type="dxa"/>
            <w:vAlign w:val="bottom"/>
            <w:shd w:val="clear" w:color="auto" w:fill="D6E5F9"/>
          </w:tcPr>
          <w:p>
            <w:pPr>
              <w:spacing w:after="0"/>
              <w:rPr>
                <w:sz w:val="21"/>
                <w:szCs w:val="21"/>
                <w:color w:val="auto"/>
              </w:rPr>
            </w:pPr>
          </w:p>
        </w:tc>
        <w:tc>
          <w:tcPr>
            <w:tcW w:w="1160" w:type="dxa"/>
            <w:vAlign w:val="bottom"/>
            <w:shd w:val="clear" w:color="auto" w:fill="D6E5F9"/>
          </w:tcPr>
          <w:p>
            <w:pPr>
              <w:jc w:val="right"/>
              <w:ind w:right="1"/>
              <w:spacing w:after="0"/>
              <w:rPr>
                <w:sz w:val="20"/>
                <w:szCs w:val="20"/>
                <w:color w:val="auto"/>
              </w:rPr>
            </w:pPr>
            <w:r>
              <w:rPr>
                <w:rFonts w:ascii="Verdana" w:cs="Verdana" w:eastAsia="Verdana" w:hAnsi="Verdana"/>
                <w:sz w:val="16"/>
                <w:szCs w:val="16"/>
                <w:color w:val="auto"/>
              </w:rPr>
              <w:t>15.4</w:t>
            </w:r>
          </w:p>
        </w:tc>
      </w:tr>
      <w:tr>
        <w:trPr>
          <w:trHeight w:val="237"/>
        </w:trPr>
        <w:tc>
          <w:tcPr>
            <w:tcW w:w="6960" w:type="dxa"/>
            <w:vAlign w:val="bottom"/>
            <w:tcBorders>
              <w:bottom w:val="single" w:sz="8" w:color="0C2340"/>
            </w:tcBorders>
          </w:tcPr>
          <w:p>
            <w:pPr>
              <w:ind w:left="20"/>
              <w:spacing w:after="0"/>
              <w:rPr>
                <w:sz w:val="20"/>
                <w:szCs w:val="20"/>
                <w:color w:val="auto"/>
              </w:rPr>
            </w:pPr>
            <w:r>
              <w:rPr>
                <w:rFonts w:ascii="Verdana" w:cs="Verdana" w:eastAsia="Verdana" w:hAnsi="Verdana"/>
                <w:sz w:val="16"/>
                <w:szCs w:val="16"/>
                <w:color w:val="auto"/>
              </w:rPr>
              <w:t>Capital expenditures</w:t>
            </w:r>
          </w:p>
        </w:tc>
        <w:tc>
          <w:tcPr>
            <w:tcW w:w="1600" w:type="dxa"/>
            <w:vAlign w:val="bottom"/>
            <w:tcBorders>
              <w:bottom w:val="single" w:sz="8" w:color="0C2340"/>
            </w:tcBorders>
          </w:tcPr>
          <w:p>
            <w:pPr>
              <w:spacing w:after="0"/>
              <w:rPr>
                <w:sz w:val="20"/>
                <w:szCs w:val="20"/>
                <w:color w:val="auto"/>
              </w:rPr>
            </w:pP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color w:val="auto"/>
              </w:rPr>
              <w:t>(558.7)</w:t>
            </w:r>
          </w:p>
        </w:tc>
        <w:tc>
          <w:tcPr>
            <w:tcW w:w="360" w:type="dxa"/>
            <w:vAlign w:val="bottom"/>
            <w:tcBorders>
              <w:bottom w:val="single" w:sz="8" w:color="0C2340"/>
            </w:tcBorders>
          </w:tcPr>
          <w:p>
            <w:pPr>
              <w:spacing w:after="0"/>
              <w:rPr>
                <w:sz w:val="20"/>
                <w:szCs w:val="20"/>
                <w:color w:val="auto"/>
              </w:rPr>
            </w:pPr>
          </w:p>
        </w:tc>
        <w:tc>
          <w:tcPr>
            <w:tcW w:w="116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color w:val="auto"/>
              </w:rPr>
              <w:t>(626.5)</w:t>
            </w:r>
          </w:p>
        </w:tc>
      </w:tr>
      <w:tr>
        <w:trPr>
          <w:trHeight w:val="250"/>
        </w:trPr>
        <w:tc>
          <w:tcPr>
            <w:tcW w:w="696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7"/>
                <w:szCs w:val="17"/>
                <w:b w:val="1"/>
                <w:bCs w:val="1"/>
                <w:color w:val="auto"/>
              </w:rPr>
              <w:t>Free cash flow</w:t>
            </w:r>
          </w:p>
        </w:tc>
        <w:tc>
          <w:tcPr>
            <w:tcW w:w="1600" w:type="dxa"/>
            <w:vAlign w:val="bottom"/>
            <w:tcBorders>
              <w:bottom w:val="single" w:sz="8" w:color="0C2340"/>
            </w:tcBorders>
            <w:shd w:val="clear" w:color="auto" w:fill="D6E5F9"/>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shd w:val="clear" w:color="auto" w:fill="D6E5F9"/>
          </w:tcPr>
          <w:p>
            <w:pPr>
              <w:jc w:val="right"/>
              <w:ind w:right="1"/>
              <w:spacing w:after="0"/>
              <w:rPr>
                <w:sz w:val="20"/>
                <w:szCs w:val="20"/>
                <w:color w:val="auto"/>
              </w:rPr>
            </w:pPr>
            <w:r>
              <w:rPr>
                <w:rFonts w:ascii="Verdana" w:cs="Verdana" w:eastAsia="Verdana" w:hAnsi="Verdana"/>
                <w:sz w:val="16"/>
                <w:szCs w:val="16"/>
                <w:b w:val="1"/>
                <w:bCs w:val="1"/>
                <w:color w:val="auto"/>
              </w:rPr>
              <w:t>561.4</w:t>
            </w:r>
          </w:p>
        </w:tc>
        <w:tc>
          <w:tcPr>
            <w:tcW w:w="360" w:type="dxa"/>
            <w:vAlign w:val="bottom"/>
            <w:tcBorders>
              <w:bottom w:val="single" w:sz="8" w:color="0C2340"/>
            </w:tcBorders>
            <w:shd w:val="clear" w:color="auto" w:fill="D6E5F9"/>
          </w:tcPr>
          <w:p>
            <w:pPr>
              <w:jc w:val="right"/>
              <w:ind w:right="139"/>
              <w:spacing w:after="0"/>
              <w:rPr>
                <w:sz w:val="20"/>
                <w:szCs w:val="20"/>
                <w:color w:val="auto"/>
              </w:rPr>
            </w:pPr>
            <w:r>
              <w:rPr>
                <w:rFonts w:ascii="Verdana" w:cs="Verdana" w:eastAsia="Verdana" w:hAnsi="Verdana"/>
                <w:sz w:val="16"/>
                <w:szCs w:val="16"/>
                <w:b w:val="1"/>
                <w:bCs w:val="1"/>
                <w:color w:val="auto"/>
              </w:rPr>
              <w:t>$</w:t>
            </w:r>
          </w:p>
        </w:tc>
        <w:tc>
          <w:tcPr>
            <w:tcW w:w="1160" w:type="dxa"/>
            <w:vAlign w:val="bottom"/>
            <w:tcBorders>
              <w:bottom w:val="single" w:sz="8" w:color="0C2340"/>
            </w:tcBorders>
            <w:shd w:val="clear" w:color="auto" w:fill="D6E5F9"/>
          </w:tcPr>
          <w:p>
            <w:pPr>
              <w:jc w:val="right"/>
              <w:ind w:right="1"/>
              <w:spacing w:after="0"/>
              <w:rPr>
                <w:sz w:val="20"/>
                <w:szCs w:val="20"/>
                <w:color w:val="auto"/>
              </w:rPr>
            </w:pPr>
            <w:r>
              <w:rPr>
                <w:rFonts w:ascii="Verdana" w:cs="Verdana" w:eastAsia="Verdana" w:hAnsi="Verdana"/>
                <w:sz w:val="16"/>
                <w:szCs w:val="16"/>
                <w:b w:val="1"/>
                <w:bCs w:val="1"/>
                <w:color w:val="auto"/>
              </w:rPr>
              <w:t>638.2</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93" w:hanging="594"/>
        <w:spacing w:after="0"/>
        <w:tabs>
          <w:tab w:leader="none" w:pos="693" w:val="left"/>
        </w:tabs>
        <w:numPr>
          <w:ilvl w:val="0"/>
          <w:numId w:val="138"/>
        </w:numPr>
        <w:rPr>
          <w:rFonts w:ascii="Arial" w:cs="Arial" w:eastAsia="Arial" w:hAnsi="Arial"/>
          <w:sz w:val="18"/>
          <w:szCs w:val="18"/>
          <w:color w:val="auto"/>
        </w:rPr>
      </w:pPr>
      <w:r>
        <w:rPr>
          <w:rFonts w:ascii="Verdana" w:cs="Verdana" w:eastAsia="Verdana" w:hAnsi="Verdana"/>
          <w:sz w:val="18"/>
          <w:szCs w:val="18"/>
          <w:b w:val="1"/>
          <w:bCs w:val="1"/>
          <w:color w:val="E2231A"/>
        </w:rPr>
        <w:t xml:space="preserve">|   </w:t>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203200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30" w:right="339" w:bottom="1440"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602615</wp:posOffset>
            </wp:positionH>
            <wp:positionV relativeFrom="page">
              <wp:posOffset>774700</wp:posOffset>
            </wp:positionV>
            <wp:extent cx="6351905" cy="82296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6351905" cy="8229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602615</wp:posOffset>
            </wp:positionH>
            <wp:positionV relativeFrom="page">
              <wp:posOffset>88900</wp:posOffset>
            </wp:positionV>
            <wp:extent cx="6351905" cy="82296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6351905" cy="82296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o"/>
      <w:numFmt w:val="bullet"/>
      <w:start w:val="1"/>
    </w:lvl>
  </w:abstractNum>
  <w:abstractNum w:abstractNumId="1">
    <w:nsid w:val="5F5E7FD0"/>
    <w:multiLevelType w:val="hybridMultilevel"/>
    <w:lvl w:ilvl="0">
      <w:lvlJc w:val="left"/>
      <w:lvlText w:val="x"/>
      <w:numFmt w:val="bullet"/>
      <w:start w:val="1"/>
    </w:lvl>
  </w:abstractNum>
  <w:abstractNum w:abstractNumId="2">
    <w:nsid w:val="98A3148"/>
    <w:multiLevelType w:val="hybridMultilevel"/>
    <w:lvl w:ilvl="0">
      <w:lvlJc w:val="left"/>
      <w:lvlText w:val="o"/>
      <w:numFmt w:val="bullet"/>
      <w:start w:val="1"/>
    </w:lvl>
  </w:abstractNum>
  <w:abstractNum w:abstractNumId="3">
    <w:nsid w:val="799D0247"/>
    <w:multiLevelType w:val="hybridMultilevel"/>
    <w:lvl w:ilvl="0">
      <w:lvlJc w:val="left"/>
      <w:lvlText w:val="x"/>
      <w:numFmt w:val="bullet"/>
      <w:start w:val="1"/>
    </w:lvl>
  </w:abstractNum>
  <w:abstractNum w:abstractNumId="4">
    <w:nsid w:val="6B94764"/>
    <w:multiLevelType w:val="hybridMultilevel"/>
    <w:lvl w:ilvl="0">
      <w:lvlJc w:val="left"/>
      <w:lvlText w:val="o"/>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2"/>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lvl w:ilvl="1">
      <w:lvlJc w:val="left"/>
      <w:lvlText w:val="•"/>
      <w:numFmt w:val="bullet"/>
      <w:start w:val="1"/>
    </w:lvl>
  </w:abstractNum>
  <w:abstractNum w:abstractNumId="11">
    <w:nsid w:val="7BD3EE7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51D9C564"/>
    <w:multiLevelType w:val="hybridMultilevel"/>
    <w:lvl w:ilvl="0">
      <w:lvlJc w:val="left"/>
      <w:lvlText w:val="4"/>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E"/>
      <w:numFmt w:val="bullet"/>
      <w:start w:val="1"/>
    </w:lvl>
  </w:abstractNum>
  <w:abstractNum w:abstractNumId="15">
    <w:nsid w:val="11447B73"/>
    <w:multiLevelType w:val="hybridMultilevel"/>
    <w:lvl w:ilvl="0">
      <w:lvlJc w:val="left"/>
      <w:lvlText w:val="8"/>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1"/>
      <w:numFmt w:val="decimal"/>
      <w:start w:val="10"/>
    </w:lvl>
  </w:abstractNum>
  <w:abstractNum w:abstractNumId="20">
    <w:nsid w:val="3B0FD379"/>
    <w:multiLevelType w:val="hybridMultilevel"/>
    <w:lvl w:ilvl="0">
      <w:lvlJc w:val="left"/>
      <w:lvlText w:val="%1"/>
      <w:numFmt w:val="decimal"/>
      <w:start w:val="12"/>
    </w:lvl>
  </w:abstractNum>
  <w:abstractNum w:abstractNumId="21">
    <w:nsid w:val="68EB2F63"/>
    <w:multiLevelType w:val="hybridMultilevel"/>
    <w:lvl w:ilvl="0">
      <w:lvlJc w:val="left"/>
      <w:lvlText w:val="%1"/>
      <w:numFmt w:val="decimal"/>
      <w:start w:val="14"/>
    </w:lvl>
  </w:abstractNum>
  <w:abstractNum w:abstractNumId="22">
    <w:nsid w:val="4962813B"/>
    <w:multiLevelType w:val="hybridMultilevel"/>
    <w:lvl w:ilvl="0">
      <w:lvlJc w:val="left"/>
      <w:lvlText w:val="%1"/>
      <w:numFmt w:val="decimal"/>
      <w:start w:val="16"/>
    </w:lvl>
  </w:abstractNum>
  <w:abstractNum w:abstractNumId="23">
    <w:nsid w:val="60B6DF70"/>
    <w:multiLevelType w:val="hybridMultilevel"/>
    <w:lvl w:ilvl="0">
      <w:lvlJc w:val="left"/>
      <w:lvlText w:val="%1"/>
      <w:numFmt w:val="decimal"/>
      <w:start w:val="18"/>
    </w:lvl>
  </w:abstractNum>
  <w:abstractNum w:abstractNumId="24">
    <w:nsid w:val="6A5EE64"/>
    <w:multiLevelType w:val="hybridMultilevel"/>
    <w:lvl w:ilvl="0">
      <w:lvlJc w:val="left"/>
      <w:lvlText w:val="%1"/>
      <w:numFmt w:val="decimal"/>
      <w:start w:val="20"/>
    </w:lvl>
  </w:abstractNum>
  <w:abstractNum w:abstractNumId="25">
    <w:nsid w:val="14330624"/>
    <w:multiLevelType w:val="hybridMultilevel"/>
    <w:lvl w:ilvl="0">
      <w:lvlJc w:val="left"/>
      <w:lvlText w:val="%1"/>
      <w:numFmt w:val="decimal"/>
      <w:start w:val="22"/>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1"/>
      <w:numFmt w:val="decimal"/>
      <w:start w:val="24"/>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1)"/>
      <w:numFmt w:val="decimal"/>
      <w:start w:val="1"/>
    </w:lvl>
  </w:abstractNum>
  <w:abstractNum w:abstractNumId="39">
    <w:nsid w:val="3222E7CD"/>
    <w:multiLevelType w:val="hybridMultilevel"/>
    <w:lvl w:ilvl="0">
      <w:lvlJc w:val="left"/>
      <w:lvlText w:val="%1"/>
      <w:numFmt w:val="decimal"/>
      <w:start w:val="26"/>
    </w:lvl>
  </w:abstractNum>
  <w:abstractNum w:abstractNumId="40">
    <w:nsid w:val="74DE0EE3"/>
    <w:multiLevelType w:val="hybridMultilevel"/>
    <w:lvl w:ilvl="0">
      <w:lvlJc w:val="left"/>
      <w:lvlText w:val="(%1)"/>
      <w:numFmt w:val="lowerRoman"/>
      <w:start w:val="5"/>
    </w:lvl>
  </w:abstractNum>
  <w:abstractNum w:abstractNumId="41">
    <w:nsid w:val="68EBC550"/>
    <w:multiLevelType w:val="hybridMultilevel"/>
    <w:lvl w:ilvl="0">
      <w:lvlJc w:val="left"/>
      <w:lvlText w:val="%1"/>
      <w:numFmt w:val="decimal"/>
      <w:start w:val="28"/>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decimal"/>
      <w:start w:val="30"/>
    </w:lvl>
  </w:abstractNum>
  <w:abstractNum w:abstractNumId="45">
    <w:nsid w:val="39EE015C"/>
    <w:multiLevelType w:val="hybridMultilevel"/>
    <w:lvl w:ilvl="0">
      <w:lvlJc w:val="left"/>
      <w:lvlText w:val="(%1)"/>
      <w:numFmt w:val="decimal"/>
    </w:lvl>
    <w:lvl w:ilvl="1">
      <w:lvlJc w:val="left"/>
      <w:lvlText w:val="*"/>
      <w:numFmt w:val="bullet"/>
      <w:start w:val="1"/>
    </w:lvl>
  </w:abstractNum>
  <w:abstractNum w:abstractNumId="46">
    <w:nsid w:val="57FC4FBB"/>
    <w:multiLevelType w:val="hybridMultilevel"/>
    <w:lvl w:ilvl="0">
      <w:lvlJc w:val="left"/>
      <w:lvlText w:val="(%1)"/>
      <w:numFmt w:val="decimal"/>
      <w:start w:val="6"/>
    </w:lvl>
  </w:abstractNum>
  <w:abstractNum w:abstractNumId="47">
    <w:nsid w:val="CC1016F"/>
    <w:multiLevelType w:val="hybridMultilevel"/>
    <w:lvl w:ilvl="0">
      <w:lvlJc w:val="left"/>
      <w:lvlText w:val="%1"/>
      <w:numFmt w:val="decimal"/>
      <w:start w:val="32"/>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1"/>
      <w:numFmt w:val="decimal"/>
      <w:start w:val="34"/>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1"/>
      <w:numFmt w:val="decimal"/>
      <w:start w:val="36"/>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
      <w:numFmt w:val="bullet"/>
      <w:start w:val="1"/>
    </w:lvl>
  </w:abstractNum>
  <w:abstractNum w:abstractNumId="57">
    <w:nsid w:val="5FB8011C"/>
    <w:multiLevelType w:val="hybridMultilevel"/>
    <w:lvl w:ilvl="0">
      <w:lvlJc w:val="left"/>
      <w:lvlText w:val="%1"/>
      <w:numFmt w:val="decimal"/>
      <w:start w:val="38"/>
    </w:lvl>
  </w:abstractNum>
  <w:abstractNum w:abstractNumId="58">
    <w:nsid w:val="6AA78F7F"/>
    <w:multiLevelType w:val="hybridMultilevel"/>
    <w:lvl w:ilvl="0">
      <w:lvlJc w:val="left"/>
      <w:lvlText w:val="•"/>
      <w:numFmt w:val="bullet"/>
      <w:start w:val="1"/>
    </w:lvl>
  </w:abstractNum>
  <w:abstractNum w:abstractNumId="59">
    <w:nsid w:val="7672BD23"/>
    <w:multiLevelType w:val="hybridMultilevel"/>
    <w:lvl w:ilvl="0">
      <w:lvlJc w:val="left"/>
      <w:lvlText w:val="%1"/>
      <w:numFmt w:val="decimal"/>
      <w:start w:val="40"/>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1)"/>
      <w:numFmt w:val="decimal"/>
      <w:start w:val="1"/>
    </w:lvl>
  </w:abstractNum>
  <w:abstractNum w:abstractNumId="63">
    <w:nsid w:val="5F3534A4"/>
    <w:multiLevelType w:val="hybridMultilevel"/>
    <w:lvl w:ilvl="0">
      <w:lvlJc w:val="left"/>
      <w:lvlText w:val="•"/>
      <w:numFmt w:val="bullet"/>
      <w:start w:val="1"/>
    </w:lvl>
  </w:abstractNum>
  <w:abstractNum w:abstractNumId="64">
    <w:nsid w:val="73A1821B"/>
    <w:multiLevelType w:val="hybridMultilevel"/>
    <w:lvl w:ilvl="0">
      <w:lvlJc w:val="left"/>
      <w:lvlText w:val="%1"/>
      <w:numFmt w:val="decimal"/>
      <w:start w:val="42"/>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1"/>
      <w:numFmt w:val="decimal"/>
      <w:start w:val="44"/>
    </w:lvl>
  </w:abstractNum>
  <w:abstractNum w:abstractNumId="67">
    <w:nsid w:val="3FA62ACA"/>
    <w:multiLevelType w:val="hybridMultilevel"/>
    <w:lvl w:ilvl="0">
      <w:lvlJc w:val="left"/>
      <w:lvlText w:val="(%1)"/>
      <w:numFmt w:val="decimal"/>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
      <w:numFmt w:val="bullet"/>
      <w:start w:val="1"/>
    </w:lvl>
    <w:lvl w:ilvl="1">
      <w:lvlJc w:val="left"/>
      <w:lvlText w:val="•"/>
      <w:numFmt w:val="bullet"/>
      <w:start w:val="1"/>
    </w:lvl>
  </w:abstractNum>
  <w:abstractNum w:abstractNumId="70">
    <w:nsid w:val="71C91298"/>
    <w:multiLevelType w:val="hybridMultilevel"/>
    <w:lvl w:ilvl="0">
      <w:lvlJc w:val="left"/>
      <w:lvlText w:val="(%1)"/>
      <w:numFmt w:val="decimal"/>
      <w:start w:val="1"/>
    </w:lvl>
  </w:abstractNum>
  <w:abstractNum w:abstractNumId="71">
    <w:nsid w:val="9DAF632"/>
    <w:multiLevelType w:val="hybridMultilevel"/>
    <w:lvl w:ilvl="0">
      <w:lvlJc w:val="left"/>
      <w:lvlText w:val="%1"/>
      <w:numFmt w:val="decimal"/>
      <w:start w:val="46"/>
    </w:lvl>
  </w:abstractNum>
  <w:abstractNum w:abstractNumId="72">
    <w:nsid w:val="53299938"/>
    <w:multiLevelType w:val="hybridMultilevel"/>
    <w:lvl w:ilvl="0">
      <w:lvlJc w:val="left"/>
      <w:lvlText w:val="•"/>
      <w:numFmt w:val="bullet"/>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decimal"/>
      <w:start w:val="1"/>
    </w:lvl>
  </w:abstractNum>
  <w:abstractNum w:abstractNumId="76">
    <w:nsid w:val="59ADEA3D"/>
    <w:multiLevelType w:val="hybridMultilevel"/>
    <w:lvl w:ilvl="0">
      <w:lvlJc w:val="left"/>
      <w:lvlText w:val="\endash "/>
      <w:numFmt w:val="bullet"/>
      <w:start w:val="1"/>
    </w:lvl>
  </w:abstractNum>
  <w:abstractNum w:abstractNumId="77">
    <w:nsid w:val="288F1A34"/>
    <w:multiLevelType w:val="hybridMultilevel"/>
    <w:lvl w:ilvl="0">
      <w:lvlJc w:val="left"/>
      <w:lvlText w:val="%1"/>
      <w:numFmt w:val="decimal"/>
      <w:start w:val="48"/>
    </w:lvl>
  </w:abstractNum>
  <w:abstractNum w:abstractNumId="78">
    <w:nsid w:val="2A155DBC"/>
    <w:multiLevelType w:val="hybridMultilevel"/>
    <w:lvl w:ilvl="0">
      <w:lvlJc w:val="left"/>
      <w:lvlText w:val="(%1)"/>
      <w:numFmt w:val="decimal"/>
      <w:start w:val="1"/>
    </w:lvl>
  </w:abstractNum>
  <w:abstractNum w:abstractNumId="79">
    <w:nsid w:val="1D9F6E5F"/>
    <w:multiLevelType w:val="hybridMultilevel"/>
    <w:lvl w:ilvl="0">
      <w:lvlJc w:val="left"/>
      <w:lvlText w:val="•"/>
      <w:numFmt w:val="bullet"/>
      <w:start w:val="1"/>
    </w:lvl>
    <w:lvl w:ilvl="1">
      <w:lvlJc w:val="left"/>
      <w:lvlText w:val="◦"/>
      <w:numFmt w:val="bullet"/>
      <w:start w:val="1"/>
    </w:lvl>
  </w:abstractNum>
  <w:abstractNum w:abstractNumId="80">
    <w:nsid w:val="97E1B4E"/>
    <w:multiLevelType w:val="hybridMultilevel"/>
    <w:lvl w:ilvl="0">
      <w:lvlJc w:val="left"/>
      <w:lvlText w:val="%1"/>
      <w:numFmt w:val="decimal"/>
      <w:start w:val="50"/>
    </w:lvl>
  </w:abstractNum>
  <w:abstractNum w:abstractNumId="81">
    <w:nsid w:val="51088277"/>
    <w:multiLevelType w:val="hybridMultilevel"/>
    <w:lvl w:ilvl="0">
      <w:lvlJc w:val="left"/>
      <w:lvlText w:val="%1"/>
      <w:numFmt w:val="decimal"/>
      <w:start w:val="52"/>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
      <w:numFmt w:val="bullet"/>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1"/>
      <w:numFmt w:val="decimal"/>
      <w:start w:val="54"/>
    </w:lvl>
  </w:abstractNum>
  <w:abstractNum w:abstractNumId="88">
    <w:nsid w:val="5C10FE21"/>
    <w:multiLevelType w:val="hybridMultilevel"/>
    <w:lvl w:ilvl="0">
      <w:lvlJc w:val="left"/>
      <w:lvlText w:val="(%1)"/>
      <w:numFmt w:val="decimal"/>
      <w:start w:val="1"/>
    </w:lvl>
  </w:abstractNum>
  <w:abstractNum w:abstractNumId="89">
    <w:nsid w:val="E7FFA2B"/>
    <w:multiLevelType w:val="hybridMultilevel"/>
    <w:lvl w:ilvl="0">
      <w:lvlJc w:val="left"/>
      <w:lvlText w:val="%1"/>
      <w:numFmt w:val="decimal"/>
      <w:start w:val="56"/>
    </w:lvl>
  </w:abstractNum>
  <w:abstractNum w:abstractNumId="90">
    <w:nsid w:val="3C5991AA"/>
    <w:multiLevelType w:val="hybridMultilevel"/>
    <w:lvl w:ilvl="0">
      <w:lvlJc w:val="left"/>
      <w:lvlText w:val="(%1)"/>
      <w:numFmt w:val="decimal"/>
      <w:start w:val="3"/>
    </w:lvl>
  </w:abstractNum>
  <w:abstractNum w:abstractNumId="91">
    <w:nsid w:val="4BD8591A"/>
    <w:multiLevelType w:val="hybridMultilevel"/>
    <w:lvl w:ilvl="0">
      <w:lvlJc w:val="left"/>
      <w:lvlText w:val="(%1)"/>
      <w:numFmt w:val="upperLetter"/>
      <w:start w:val="1"/>
    </w:lvl>
  </w:abstractNum>
  <w:abstractNum w:abstractNumId="92">
    <w:nsid w:val="78DF6A55"/>
    <w:multiLevelType w:val="hybridMultilevel"/>
    <w:lvl w:ilvl="0">
      <w:lvlJc w:val="left"/>
      <w:lvlText w:val="(%1)"/>
      <w:numFmt w:val="upperLetter"/>
      <w:start w:val="2"/>
    </w:lvl>
  </w:abstractNum>
  <w:abstractNum w:abstractNumId="93">
    <w:nsid w:val="39B7AAA2"/>
    <w:multiLevelType w:val="hybridMultilevel"/>
    <w:lvl w:ilvl="0">
      <w:lvlJc w:val="left"/>
      <w:lvlText w:val="%1"/>
      <w:numFmt w:val="decimal"/>
      <w:start w:val="58"/>
    </w:lvl>
  </w:abstractNum>
  <w:abstractNum w:abstractNumId="94">
    <w:nsid w:val="2B0D8DBE"/>
    <w:multiLevelType w:val="hybridMultilevel"/>
    <w:lvl w:ilvl="0">
      <w:lvlJc w:val="left"/>
      <w:lvlText w:val="(%1)"/>
      <w:numFmt w:val="decimal"/>
      <w:start w:val="1"/>
    </w:lvl>
  </w:abstractNum>
  <w:abstractNum w:abstractNumId="95">
    <w:nsid w:val="6C80EC70"/>
    <w:multiLevelType w:val="hybridMultilevel"/>
    <w:lvl w:ilvl="0">
      <w:lvlJc w:val="left"/>
      <w:lvlText w:val="(%1)"/>
      <w:numFmt w:val="decimal"/>
      <w:start w:val="4"/>
    </w:lvl>
  </w:abstractNum>
  <w:abstractNum w:abstractNumId="96">
    <w:nsid w:val="379E21B5"/>
    <w:multiLevelType w:val="hybridMultilevel"/>
    <w:lvl w:ilvl="0">
      <w:lvlJc w:val="left"/>
      <w:lvlText w:val="%1"/>
      <w:numFmt w:val="decimal"/>
      <w:start w:val="60"/>
    </w:lvl>
  </w:abstractNum>
  <w:abstractNum w:abstractNumId="97">
    <w:nsid w:val="69E373"/>
    <w:multiLevelType w:val="hybridMultilevel"/>
    <w:lvl w:ilvl="0">
      <w:lvlJc w:val="left"/>
      <w:lvlText w:val="(%1)"/>
      <w:numFmt w:val="decimal"/>
      <w:start w:val="1"/>
    </w:lvl>
  </w:abstractNum>
  <w:abstractNum w:abstractNumId="98">
    <w:nsid w:val="2C27173B"/>
    <w:multiLevelType w:val="hybridMultilevel"/>
    <w:lvl w:ilvl="0">
      <w:lvlJc w:val="left"/>
      <w:lvlText w:val="%1"/>
      <w:numFmt w:val="decimal"/>
      <w:start w:val="1"/>
    </w:lvl>
    <w:lvl w:ilvl="1">
      <w:lvlJc w:val="left"/>
      <w:lvlText w:val="(%2)"/>
      <w:numFmt w:val="upperLetter"/>
      <w:start w:val="2"/>
    </w:lvl>
  </w:abstractNum>
  <w:abstractNum w:abstractNumId="99">
    <w:nsid w:val="4C9B0904"/>
    <w:multiLevelType w:val="hybridMultilevel"/>
    <w:lvl w:ilvl="0">
      <w:lvlJc w:val="left"/>
      <w:lvlText w:val="(%1)"/>
      <w:numFmt w:val="decimal"/>
      <w:start w:val="4"/>
    </w:lvl>
    <w:lvl w:ilvl="1">
      <w:lvlJc w:val="left"/>
      <w:lvlText w:val="%2"/>
      <w:numFmt w:val="upperLetter"/>
      <w:start w:val="1"/>
    </w:lvl>
  </w:abstractNum>
  <w:abstractNum w:abstractNumId="100">
    <w:nsid w:val="6AA7B75C"/>
    <w:multiLevelType w:val="hybridMultilevel"/>
    <w:lvl w:ilvl="0">
      <w:lvlJc w:val="left"/>
      <w:lvlText w:val="(%1)"/>
      <w:numFmt w:val="decimal"/>
      <w:start w:val="1"/>
    </w:lvl>
  </w:abstractNum>
  <w:abstractNum w:abstractNumId="101">
    <w:nsid w:val="1DF029D3"/>
    <w:multiLevelType w:val="hybridMultilevel"/>
    <w:lvl w:ilvl="0">
      <w:lvlJc w:val="left"/>
      <w:lvlText w:val="(%1)"/>
      <w:numFmt w:val="decimal"/>
      <w:start w:val="2"/>
    </w:lvl>
  </w:abstractNum>
  <w:abstractNum w:abstractNumId="102">
    <w:nsid w:val="5675FF36"/>
    <w:multiLevelType w:val="hybridMultilevel"/>
    <w:lvl w:ilvl="0">
      <w:lvlJc w:val="left"/>
      <w:lvlText w:val="%1"/>
      <w:numFmt w:val="decimal"/>
      <w:start w:val="62"/>
    </w:lvl>
  </w:abstractNum>
  <w:abstractNum w:abstractNumId="103">
    <w:nsid w:val="3DD15094"/>
    <w:multiLevelType w:val="hybridMultilevel"/>
    <w:lvl w:ilvl="0">
      <w:lvlJc w:val="left"/>
      <w:lvlText w:val="(%1)"/>
      <w:numFmt w:val="decimal"/>
      <w:start w:val="1"/>
    </w:lvl>
  </w:abstractNum>
  <w:abstractNum w:abstractNumId="104">
    <w:nsid w:val="3DB012B3"/>
    <w:multiLevelType w:val="hybridMultilevel"/>
    <w:lvl w:ilvl="0">
      <w:lvlJc w:val="left"/>
      <w:lvlText w:val="•"/>
      <w:numFmt w:val="bullet"/>
      <w:start w:val="1"/>
    </w:lvl>
  </w:abstractNum>
  <w:abstractNum w:abstractNumId="105">
    <w:nsid w:val="2708C9AF"/>
    <w:multiLevelType w:val="hybridMultilevel"/>
    <w:lvl w:ilvl="0">
      <w:lvlJc w:val="left"/>
      <w:lvlText w:val="%1"/>
      <w:numFmt w:val="decimal"/>
      <w:start w:val="64"/>
    </w:lvl>
  </w:abstractNum>
  <w:abstractNum w:abstractNumId="106">
    <w:nsid w:val="5B25ACE2"/>
    <w:multiLevelType w:val="hybridMultilevel"/>
    <w:lvl w:ilvl="0">
      <w:lvlJc w:val="left"/>
      <w:lvlText w:val="(%1)"/>
      <w:numFmt w:val="decimal"/>
      <w:start w:val="1"/>
    </w:lvl>
  </w:abstractNum>
  <w:abstractNum w:abstractNumId="107">
    <w:nsid w:val="175DFCF0"/>
    <w:multiLevelType w:val="hybridMultilevel"/>
    <w:lvl w:ilvl="0">
      <w:lvlJc w:val="left"/>
      <w:lvlText w:val="%1"/>
      <w:numFmt w:val="decimal"/>
      <w:start w:val="66"/>
    </w:lvl>
  </w:abstractNum>
  <w:abstractNum w:abstractNumId="108">
    <w:nsid w:val="4F97E3E4"/>
    <w:multiLevelType w:val="hybridMultilevel"/>
    <w:lvl w:ilvl="0">
      <w:lvlJc w:val="left"/>
      <w:lvlText w:val="(%1)"/>
      <w:numFmt w:val="decimal"/>
      <w:start w:val="1"/>
    </w:lvl>
  </w:abstractNum>
  <w:abstractNum w:abstractNumId="109">
    <w:nsid w:val="53B0A9E"/>
    <w:multiLevelType w:val="hybridMultilevel"/>
    <w:lvl w:ilvl="0">
      <w:lvlJc w:val="left"/>
      <w:lvlText w:val="%1"/>
      <w:numFmt w:val="decimal"/>
      <w:start w:val="68"/>
    </w:lvl>
  </w:abstractNum>
  <w:abstractNum w:abstractNumId="110">
    <w:nsid w:val="34FD6B4F"/>
    <w:multiLevelType w:val="hybridMultilevel"/>
    <w:lvl w:ilvl="0">
      <w:lvlJc w:val="left"/>
      <w:lvlText w:val="•"/>
      <w:numFmt w:val="bullet"/>
      <w:start w:val="1"/>
    </w:lvl>
  </w:abstractNum>
  <w:abstractNum w:abstractNumId="111">
    <w:nsid w:val="5915FF32"/>
    <w:multiLevelType w:val="hybridMultilevel"/>
    <w:lvl w:ilvl="0">
      <w:lvlJc w:val="left"/>
      <w:lvlText w:val="•"/>
      <w:numFmt w:val="bullet"/>
      <w:start w:val="1"/>
    </w:lvl>
  </w:abstractNum>
  <w:abstractNum w:abstractNumId="112">
    <w:nsid w:val="56438D15"/>
    <w:multiLevelType w:val="hybridMultilevel"/>
    <w:lvl w:ilvl="0">
      <w:lvlJc w:val="left"/>
      <w:lvlText w:val="•"/>
      <w:numFmt w:val="bullet"/>
      <w:start w:val="1"/>
    </w:lvl>
  </w:abstractNum>
  <w:abstractNum w:abstractNumId="113">
    <w:nsid w:val="519E3149"/>
    <w:multiLevelType w:val="hybridMultilevel"/>
    <w:lvl w:ilvl="0">
      <w:lvlJc w:val="left"/>
      <w:lvlText w:val="•"/>
      <w:numFmt w:val="bullet"/>
      <w:start w:val="1"/>
    </w:lvl>
  </w:abstractNum>
  <w:abstractNum w:abstractNumId="114">
    <w:nsid w:val="2C6E4AFD"/>
    <w:multiLevelType w:val="hybridMultilevel"/>
    <w:lvl w:ilvl="0">
      <w:lvlJc w:val="left"/>
      <w:lvlText w:val="%1"/>
      <w:numFmt w:val="decimal"/>
      <w:start w:val="70"/>
    </w:lvl>
  </w:abstractNum>
  <w:abstractNum w:abstractNumId="115">
    <w:nsid w:val="17A1B582"/>
    <w:multiLevelType w:val="hybridMultilevel"/>
    <w:lvl w:ilvl="0">
      <w:lvlJc w:val="left"/>
      <w:lvlText w:val="(%1)"/>
      <w:numFmt w:val="decimal"/>
      <w:start w:val="1"/>
    </w:lvl>
  </w:abstractNum>
  <w:abstractNum w:abstractNumId="116">
    <w:nsid w:val="4DF72E4E"/>
    <w:multiLevelType w:val="hybridMultilevel"/>
    <w:lvl w:ilvl="0">
      <w:lvlJc w:val="left"/>
      <w:lvlText w:val="(%1)"/>
      <w:numFmt w:val="decimal"/>
      <w:start w:val="1"/>
    </w:lvl>
  </w:abstractNum>
  <w:abstractNum w:abstractNumId="117">
    <w:nsid w:val="5046B5A9"/>
    <w:multiLevelType w:val="hybridMultilevel"/>
    <w:lvl w:ilvl="0">
      <w:lvlJc w:val="left"/>
      <w:lvlText w:val="(%1)"/>
      <w:numFmt w:val="decimal"/>
      <w:start w:val="1"/>
    </w:lvl>
  </w:abstractNum>
  <w:abstractNum w:abstractNumId="118">
    <w:nsid w:val="5D888A08"/>
    <w:multiLevelType w:val="hybridMultilevel"/>
    <w:lvl w:ilvl="0">
      <w:lvlJc w:val="left"/>
      <w:lvlText w:val="%1"/>
      <w:numFmt w:val="decimal"/>
      <w:start w:val="72"/>
    </w:lvl>
  </w:abstractNum>
  <w:abstractNum w:abstractNumId="119">
    <w:nsid w:val="2A082C70"/>
    <w:multiLevelType w:val="hybridMultilevel"/>
    <w:lvl w:ilvl="0">
      <w:lvlJc w:val="left"/>
      <w:lvlText w:val="*"/>
      <w:numFmt w:val="bullet"/>
      <w:start w:val="1"/>
    </w:lvl>
  </w:abstractNum>
  <w:abstractNum w:abstractNumId="120">
    <w:nsid w:val="5EC6AFD4"/>
    <w:multiLevelType w:val="hybridMultilevel"/>
    <w:lvl w:ilvl="0">
      <w:lvlJc w:val="left"/>
      <w:lvlText w:val="•"/>
      <w:numFmt w:val="bullet"/>
      <w:start w:val="1"/>
    </w:lvl>
  </w:abstractNum>
  <w:abstractNum w:abstractNumId="121">
    <w:nsid w:val="19E21BB2"/>
    <w:multiLevelType w:val="hybridMultilevel"/>
    <w:lvl w:ilvl="0">
      <w:lvlJc w:val="left"/>
      <w:lvlText w:val="%1"/>
      <w:numFmt w:val="decimal"/>
      <w:start w:val="74"/>
    </w:lvl>
  </w:abstractNum>
  <w:abstractNum w:abstractNumId="122">
    <w:nsid w:val="75E0858A"/>
    <w:multiLevelType w:val="hybridMultilevel"/>
    <w:lvl w:ilvl="0">
      <w:lvlJc w:val="left"/>
      <w:lvlText w:val="*"/>
      <w:numFmt w:val="bullet"/>
      <w:start w:val="1"/>
    </w:lvl>
  </w:abstractNum>
  <w:abstractNum w:abstractNumId="123">
    <w:nsid w:val="57A61A29"/>
    <w:multiLevelType w:val="hybridMultilevel"/>
    <w:lvl w:ilvl="0">
      <w:lvlJc w:val="left"/>
      <w:lvlText w:val="•"/>
      <w:numFmt w:val="bullet"/>
      <w:start w:val="1"/>
    </w:lvl>
  </w:abstractNum>
  <w:abstractNum w:abstractNumId="124">
    <w:nsid w:val="5399C654"/>
    <w:multiLevelType w:val="hybridMultilevel"/>
    <w:lvl w:ilvl="0">
      <w:lvlJc w:val="left"/>
      <w:lvlText w:val="%1"/>
      <w:numFmt w:val="decimal"/>
      <w:start w:val="76"/>
    </w:lvl>
  </w:abstractNum>
  <w:abstractNum w:abstractNumId="125">
    <w:nsid w:val="20EE1348"/>
    <w:multiLevelType w:val="hybridMultilevel"/>
    <w:lvl w:ilvl="0">
      <w:lvlJc w:val="left"/>
      <w:lvlText w:val="%1"/>
      <w:numFmt w:val="decimal"/>
      <w:start w:val="78"/>
    </w:lvl>
  </w:abstractNum>
  <w:abstractNum w:abstractNumId="126">
    <w:nsid w:val="4427069A"/>
    <w:multiLevelType w:val="hybridMultilevel"/>
    <w:lvl w:ilvl="0">
      <w:lvlJc w:val="left"/>
      <w:lvlText w:val="(%1)"/>
      <w:numFmt w:val="decimal"/>
      <w:start w:val="1"/>
    </w:lvl>
  </w:abstractNum>
  <w:abstractNum w:abstractNumId="127">
    <w:nsid w:val="B37E80A"/>
    <w:multiLevelType w:val="hybridMultilevel"/>
    <w:lvl w:ilvl="0">
      <w:lvlJc w:val="left"/>
      <w:lvlText w:val="%1"/>
      <w:numFmt w:val="decimal"/>
      <w:start w:val="80"/>
    </w:lvl>
  </w:abstractNum>
  <w:abstractNum w:abstractNumId="128">
    <w:nsid w:val="2157F6BC"/>
    <w:multiLevelType w:val="hybridMultilevel"/>
    <w:lvl w:ilvl="0">
      <w:lvlJc w:val="left"/>
      <w:lvlText w:val="%1"/>
      <w:numFmt w:val="decimal"/>
      <w:start w:val="82"/>
    </w:lvl>
  </w:abstractNum>
  <w:abstractNum w:abstractNumId="129">
    <w:nsid w:val="704E1DD5"/>
    <w:multiLevelType w:val="hybridMultilevel"/>
    <w:lvl w:ilvl="0">
      <w:lvlJc w:val="left"/>
      <w:lvlText w:val="%1."/>
      <w:numFmt w:val="decimal"/>
      <w:start w:val="1"/>
    </w:lvl>
  </w:abstractNum>
  <w:abstractNum w:abstractNumId="130">
    <w:nsid w:val="57D2F10E"/>
    <w:multiLevelType w:val="hybridMultilevel"/>
    <w:lvl w:ilvl="0">
      <w:lvlJc w:val="left"/>
      <w:lvlText w:val="%1."/>
      <w:numFmt w:val="decimal"/>
      <w:start w:val="1"/>
    </w:lvl>
  </w:abstractNum>
  <w:abstractNum w:abstractNumId="131">
    <w:nsid w:val="BFFAE18"/>
    <w:multiLevelType w:val="hybridMultilevel"/>
    <w:lvl w:ilvl="0">
      <w:lvlJc w:val="left"/>
      <w:lvlText w:val="%1."/>
      <w:numFmt w:val="decimal"/>
      <w:start w:val="1"/>
    </w:lvl>
  </w:abstractNum>
  <w:abstractNum w:abstractNumId="132">
    <w:nsid w:val="E3E47A8"/>
    <w:multiLevelType w:val="hybridMultilevel"/>
    <w:lvl w:ilvl="0">
      <w:lvlJc w:val="left"/>
      <w:lvlText w:val="%1."/>
      <w:numFmt w:val="decimal"/>
      <w:start w:val="1"/>
    </w:lvl>
  </w:abstractNum>
  <w:abstractNum w:abstractNumId="133">
    <w:nsid w:val="2E48F044"/>
    <w:multiLevelType w:val="hybridMultilevel"/>
    <w:lvl w:ilvl="0">
      <w:lvlJc w:val="left"/>
      <w:lvlText w:val="%1"/>
      <w:numFmt w:val="decimal"/>
      <w:start w:val="84"/>
    </w:lvl>
  </w:abstractNum>
  <w:abstractNum w:abstractNumId="134">
    <w:nsid w:val="49D0FEAC"/>
    <w:multiLevelType w:val="hybridMultilevel"/>
    <w:lvl w:ilvl="0">
      <w:lvlJc w:val="left"/>
      <w:lvlText w:val="%1"/>
      <w:numFmt w:val="decimal"/>
      <w:start w:val="86"/>
    </w:lvl>
  </w:abstractNum>
  <w:abstractNum w:abstractNumId="135">
    <w:nsid w:val="4BEE5A5B"/>
    <w:multiLevelType w:val="hybridMultilevel"/>
    <w:lvl w:ilvl="0">
      <w:lvlJc w:val="left"/>
      <w:lvlText w:val="%1"/>
      <w:numFmt w:val="decimal"/>
      <w:start w:val="88"/>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9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2025-04-03T15:29:24Z</dcterms:created>
  <dcterms:modified xsi:type="dcterms:W3CDTF">2025-04-03T15:29:24Z</dcterms:modified>
</cp:coreProperties>
</file>