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July 4,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001-11311 </w:t>
      </w:r>
    </w:p>
    <w:p>
      <w:pPr>
        <w:pStyle w:val="TextBody"/>
        <w:bidi w:val="0"/>
        <w:spacing w:lineRule="auto" w:line="288" w:before="0" w:after="0"/>
        <w:jc w:val="center"/>
        <w:rPr/>
      </w:pPr>
      <w:r>
        <w:rPr>
          <w:color w:val="000000"/>
        </w:rPr>
        <w:t> </w:t>
      </w:r>
      <w:r>
        <w:rPr/>
        <w:drawing>
          <wp:inline distT="0" distB="0" distL="0" distR="0">
            <wp:extent cx="25146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6667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13-3386776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21557 Telegraph Road, Southfield, MI 48033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(248) 447-1500</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tbl>
      <w:tblPr>
        <w:tblW w:w="7697" w:type="dxa"/>
        <w:jc w:val="center"/>
        <w:tblInd w:w="0" w:type="dxa"/>
        <w:tblLayout w:type="fixed"/>
        <w:tblCellMar>
          <w:top w:w="28" w:type="dxa"/>
          <w:left w:w="28" w:type="dxa"/>
          <w:bottom w:w="28" w:type="dxa"/>
          <w:right w:w="28" w:type="dxa"/>
        </w:tblCellMar>
      </w:tblPr>
      <w:tblGrid>
        <w:gridCol w:w="1028"/>
        <w:gridCol w:w="903"/>
        <w:gridCol w:w="903"/>
        <w:gridCol w:w="516"/>
        <w:gridCol w:w="516"/>
        <w:gridCol w:w="516"/>
        <w:gridCol w:w="971"/>
        <w:gridCol w:w="971"/>
        <w:gridCol w:w="1373"/>
      </w:tblGrid>
      <w:tr>
        <w:trPr/>
        <w:tc>
          <w:tcPr>
            <w:tcW w:w="102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7697" w:type="dxa"/>
            <w:gridSpan w:val="9"/>
            <w:tcBorders/>
            <w:tcMar>
              <w:top w:w="0" w:type="dxa"/>
              <w:left w:w="0" w:type="dxa"/>
              <w:bottom w:w="0" w:type="dxa"/>
              <w:right w:w="0" w:type="dxa"/>
            </w:tcMar>
            <w:vAlign w:val="center"/>
          </w:tcPr>
          <w:p>
            <w:pPr>
              <w:pStyle w:val="TableContents"/>
              <w:bidi w:val="0"/>
              <w:spacing w:lineRule="auto" w:line="417"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par value $0.01 </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28, 2026, the number of shares outstanding of the registrant's common stock was 49,324,764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JULY 4, 2026</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444"/>
        <w:gridCol w:w="2964"/>
        <w:gridCol w:w="2984"/>
        <w:gridCol w:w="237"/>
        <w:gridCol w:w="237"/>
        <w:gridCol w:w="339"/>
      </w:tblGrid>
      <w:tr>
        <w:trPr/>
        <w:tc>
          <w:tcPr>
            <w:tcW w:w="344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0">
              <w:r>
                <w:rPr>
                  <w:rStyle w:val="InternetLink"/>
                  <w:rFonts w:ascii="Times New Roman;serif" w:hAnsi="Times New Roman;serif"/>
                  <w:b w:val="false"/>
                  <w:color w:val="0000FF"/>
                  <w:sz w:val="20"/>
                  <w:u w:val="single"/>
                </w:rPr>
                <w:t>Part I – Financial Information</w:t>
              </w:r>
            </w:hyperlink>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3">
              <w:r>
                <w:rPr>
                  <w:rStyle w:val="InternetLink"/>
                  <w:rFonts w:ascii="Times New Roman;serif" w:hAnsi="Times New Roman;serif"/>
                  <w:b w:val="false"/>
                  <w:color w:val="0000FF"/>
                  <w:sz w:val="20"/>
                  <w:u w:val="single"/>
                </w:rPr>
                <w:t>Item 1 - Condensed Consolidated Financial Statements</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3">
              <w:r>
                <w:rPr>
                  <w:rStyle w:val="InternetLink"/>
                  <w:rFonts w:ascii="Times New Roman;serif" w:hAnsi="Times New Roman;serif"/>
                  <w:b w:val="false"/>
                  <w:color w:val="0000FF"/>
                  <w:sz w:val="20"/>
                  <w:u w:val="single"/>
                </w:rPr>
                <w:t>3</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6">
              <w:r>
                <w:rPr>
                  <w:rStyle w:val="InternetLink"/>
                  <w:rFonts w:ascii="Times New Roman;serif" w:hAnsi="Times New Roman;serif"/>
                  <w:b w:val="false"/>
                  <w:color w:val="0000FF"/>
                  <w:sz w:val="20"/>
                  <w:u w:val="single"/>
                </w:rPr>
                <w:t>Introduction to the Condensed Consolidated Financial Statements</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6">
              <w:r>
                <w:rPr>
                  <w:rStyle w:val="InternetLink"/>
                  <w:rFonts w:ascii="Times New Roman;serif" w:hAnsi="Times New Roman;serif"/>
                  <w:b w:val="false"/>
                  <w:color w:val="0000FF"/>
                  <w:sz w:val="20"/>
                  <w:u w:val="single"/>
                </w:rPr>
                <w:t>3</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9">
              <w:r>
                <w:rPr>
                  <w:rStyle w:val="InternetLink"/>
                  <w:rFonts w:ascii="Times New Roman;serif" w:hAnsi="Times New Roman;serif"/>
                  <w:b w:val="false"/>
                  <w:color w:val="0000FF"/>
                  <w:sz w:val="20"/>
                  <w:u w:val="single"/>
                </w:rPr>
                <w:t>Condensed Consolidated Balance Sheets - July 4, 2026 (Unaudited) and December 31, 2025</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9">
              <w:r>
                <w:rPr>
                  <w:rStyle w:val="InternetLink"/>
                  <w:rFonts w:ascii="Times New Roman;serif" w:hAnsi="Times New Roman;serif"/>
                  <w:b w:val="false"/>
                  <w:color w:val="0000FF"/>
                  <w:sz w:val="20"/>
                  <w:u w:val="single"/>
                </w:rPr>
                <w:t>4</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22">
              <w:r>
                <w:rPr>
                  <w:rStyle w:val="InternetLink"/>
                  <w:rFonts w:ascii="Times New Roman;serif" w:hAnsi="Times New Roman;serif"/>
                  <w:b w:val="false"/>
                  <w:color w:val="0000FF"/>
                  <w:sz w:val="20"/>
                  <w:u w:val="single"/>
                </w:rPr>
                <w:t>Condensed Consolidated Statements of Comprehensive Income (Unaudited) - Three and Six Months Ended July 4, 2026 and June 28, 2025</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22">
              <w:r>
                <w:rPr>
                  <w:rStyle w:val="InternetLink"/>
                  <w:rFonts w:ascii="Times New Roman;serif" w:hAnsi="Times New Roman;serif"/>
                  <w:b w:val="false"/>
                  <w:color w:val="0000FF"/>
                  <w:sz w:val="20"/>
                  <w:u w:val="single"/>
                </w:rPr>
                <w:t>5</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25">
              <w:r>
                <w:rPr>
                  <w:rStyle w:val="InternetLink"/>
                  <w:rFonts w:ascii="Times New Roman;serif" w:hAnsi="Times New Roman;serif"/>
                  <w:b w:val="false"/>
                  <w:color w:val="0000FF"/>
                  <w:sz w:val="20"/>
                  <w:u w:val="single"/>
                </w:rPr>
                <w:t>Condensed Consolidated Statements of Equity (Unaudited) - Three and Six Months Ended July 4, 2026 and June 28, 2025</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25">
              <w:r>
                <w:rPr>
                  <w:rStyle w:val="InternetLink"/>
                  <w:rFonts w:ascii="Times New Roman;serif" w:hAnsi="Times New Roman;serif"/>
                  <w:b w:val="false"/>
                  <w:color w:val="0000FF"/>
                  <w:sz w:val="20"/>
                  <w:u w:val="single"/>
                </w:rPr>
                <w:t>6</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31">
              <w:r>
                <w:rPr>
                  <w:rStyle w:val="InternetLink"/>
                  <w:rFonts w:ascii="Times New Roman;serif" w:hAnsi="Times New Roman;serif"/>
                  <w:b w:val="false"/>
                  <w:color w:val="0000FF"/>
                  <w:sz w:val="20"/>
                  <w:u w:val="single"/>
                </w:rPr>
                <w:t>Condensed Consolidated Statements of Cash Flows (Unaudited) - Six Months Ended July 4, 2026 and June 28, 2025</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31">
              <w:r>
                <w:rPr>
                  <w:rStyle w:val="InternetLink"/>
                  <w:rFonts w:ascii="Times New Roman;serif" w:hAnsi="Times New Roman;serif"/>
                  <w:b w:val="false"/>
                  <w:color w:val="0000FF"/>
                  <w:sz w:val="20"/>
                  <w:u w:val="single"/>
                </w:rPr>
                <w:t>10</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34">
              <w:r>
                <w:rPr>
                  <w:rStyle w:val="InternetLink"/>
                  <w:rFonts w:ascii="Times New Roman;serif" w:hAnsi="Times New Roman;serif"/>
                  <w:b w:val="false"/>
                  <w:color w:val="0000FF"/>
                  <w:sz w:val="20"/>
                  <w:u w:val="single"/>
                </w:rPr>
                <w:t>Notes to the Condensed Consolidated Financial Statements (Unaudited)</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34">
              <w:r>
                <w:rPr>
                  <w:rStyle w:val="InternetLink"/>
                  <w:rFonts w:ascii="Times New Roman;serif" w:hAnsi="Times New Roman;serif"/>
                  <w:b w:val="false"/>
                  <w:color w:val="0000FF"/>
                  <w:sz w:val="20"/>
                  <w:u w:val="single"/>
                </w:rPr>
                <w:t>11</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94">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97">
              <w:r>
                <w:rPr>
                  <w:rStyle w:val="InternetLink"/>
                  <w:rFonts w:ascii="Times New Roman;serif" w:hAnsi="Times New Roman;serif"/>
                  <w:b w:val="false"/>
                  <w:color w:val="0000FF"/>
                  <w:sz w:val="20"/>
                  <w:u w:val="single"/>
                </w:rPr>
                <w:t>36</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21">
              <w:r>
                <w:rPr>
                  <w:rStyle w:val="InternetLink"/>
                  <w:rFonts w:ascii="Times New Roman;serif" w:hAnsi="Times New Roman;serif"/>
                  <w:b w:val="false"/>
                  <w:color w:val="0000FF"/>
                  <w:sz w:val="20"/>
                  <w:u w:val="single"/>
                </w:rPr>
                <w:t>Item 3 – Quantitative and Qualitative Disclosures about Market Risk</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21">
              <w:r>
                <w:rPr>
                  <w:rStyle w:val="InternetLink"/>
                  <w:rFonts w:ascii="Times New Roman;serif" w:hAnsi="Times New Roman;serif"/>
                  <w:b w:val="false"/>
                  <w:color w:val="0000FF"/>
                  <w:sz w:val="20"/>
                  <w:u w:val="single"/>
                </w:rPr>
                <w:t>52</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24">
              <w:r>
                <w:rPr>
                  <w:rStyle w:val="InternetLink"/>
                  <w:rFonts w:ascii="Times New Roman;serif" w:hAnsi="Times New Roman;serif"/>
                  <w:b w:val="false"/>
                  <w:color w:val="0000FF"/>
                  <w:sz w:val="20"/>
                  <w:u w:val="single"/>
                </w:rPr>
                <w:t>Item 4 – Controls and Procedures</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24">
              <w:r>
                <w:rPr>
                  <w:rStyle w:val="InternetLink"/>
                  <w:rFonts w:ascii="Times New Roman;serif" w:hAnsi="Times New Roman;serif"/>
                  <w:b w:val="false"/>
                  <w:color w:val="0000FF"/>
                  <w:sz w:val="20"/>
                  <w:u w:val="single"/>
                </w:rPr>
                <w:t>53</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27">
              <w:r>
                <w:rPr>
                  <w:rStyle w:val="InternetLink"/>
                  <w:rFonts w:ascii="Times New Roman;serif" w:hAnsi="Times New Roman;serif"/>
                  <w:b w:val="false"/>
                  <w:color w:val="0000FF"/>
                  <w:sz w:val="20"/>
                  <w:u w:val="single"/>
                </w:rPr>
                <w:t>Part II – Other Information</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30">
              <w:r>
                <w:rPr>
                  <w:rStyle w:val="InternetLink"/>
                  <w:rFonts w:ascii="Times New Roman;serif" w:hAnsi="Times New Roman;serif"/>
                  <w:b w:val="false"/>
                  <w:color w:val="0000FF"/>
                  <w:sz w:val="20"/>
                  <w:u w:val="single"/>
                </w:rPr>
                <w:t>Item 1 – Legal Proceedings</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30">
              <w:r>
                <w:rPr>
                  <w:rStyle w:val="InternetLink"/>
                  <w:rFonts w:ascii="Times New Roman;serif" w:hAnsi="Times New Roman;serif"/>
                  <w:b w:val="false"/>
                  <w:color w:val="0000FF"/>
                  <w:sz w:val="20"/>
                  <w:u w:val="single"/>
                </w:rPr>
                <w:t>54</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33">
              <w:r>
                <w:rPr>
                  <w:rStyle w:val="InternetLink"/>
                  <w:rFonts w:ascii="Times New Roman;serif" w:hAnsi="Times New Roman;serif"/>
                  <w:b w:val="false"/>
                  <w:color w:val="0000FF"/>
                  <w:sz w:val="20"/>
                  <w:u w:val="single"/>
                </w:rPr>
                <w:t>Item 1A – Risk Factors</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33">
              <w:r>
                <w:rPr>
                  <w:rStyle w:val="InternetLink"/>
                  <w:rFonts w:ascii="Times New Roman;serif" w:hAnsi="Times New Roman;serif"/>
                  <w:b w:val="false"/>
                  <w:color w:val="0000FF"/>
                  <w:sz w:val="20"/>
                  <w:u w:val="single"/>
                </w:rPr>
                <w:t>54</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36">
              <w:r>
                <w:rPr>
                  <w:rStyle w:val="InternetLink"/>
                  <w:rFonts w:ascii="Times New Roman;serif" w:hAnsi="Times New Roman;serif"/>
                  <w:b w:val="false"/>
                  <w:color w:val="0000FF"/>
                  <w:sz w:val="20"/>
                  <w:u w:val="single"/>
                </w:rPr>
                <w:t>Item 2 – Unregistered Sales of Equity Securities and Use of Proceeds</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36">
              <w:r>
                <w:rPr>
                  <w:rStyle w:val="InternetLink"/>
                  <w:rFonts w:ascii="Times New Roman;serif" w:hAnsi="Times New Roman;serif"/>
                  <w:b w:val="false"/>
                  <w:color w:val="0000FF"/>
                  <w:sz w:val="20"/>
                  <w:u w:val="single"/>
                </w:rPr>
                <w:t>54</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39">
              <w:r>
                <w:rPr>
                  <w:rStyle w:val="InternetLink"/>
                  <w:rFonts w:ascii="Times New Roman;serif" w:hAnsi="Times New Roman;serif"/>
                  <w:b w:val="false"/>
                  <w:color w:val="000080"/>
                  <w:sz w:val="20"/>
                  <w:u w:val="single"/>
                </w:rPr>
                <w:t xml:space="preserve">Item 5 </w:t>
              </w:r>
            </w:hyperlink>
            <w:hyperlink w:anchor="i98849a961253469a8e5ed420bac432b5_136">
              <w:r>
                <w:rPr>
                  <w:rStyle w:val="InternetLink"/>
                  <w:rFonts w:ascii="Times New Roman;serif" w:hAnsi="Times New Roman;serif"/>
                  <w:b w:val="false"/>
                  <w:color w:val="000080"/>
                  <w:sz w:val="20"/>
                  <w:u w:val="single"/>
                </w:rPr>
                <w:t>–</w:t>
              </w:r>
            </w:hyperlink>
            <w:hyperlink w:anchor="i98849a961253469a8e5ed420bac432b5_139">
              <w:r>
                <w:rPr>
                  <w:rStyle w:val="InternetLink"/>
                  <w:rFonts w:ascii="Times New Roman;serif" w:hAnsi="Times New Roman;serif"/>
                  <w:b w:val="false"/>
                  <w:color w:val="000080"/>
                  <w:sz w:val="20"/>
                  <w:u w:val="single"/>
                </w:rPr>
                <w:t xml:space="preserve"> Other Information</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39">
              <w:r>
                <w:rPr>
                  <w:rStyle w:val="InternetLink"/>
                  <w:rFonts w:ascii="Times New Roman;serif" w:hAnsi="Times New Roman;serif"/>
                  <w:b w:val="false"/>
                  <w:color w:val="0000FF"/>
                  <w:sz w:val="20"/>
                  <w:u w:val="single"/>
                </w:rPr>
                <w:t>55</w:t>
              </w:r>
            </w:hyperlink>
          </w:p>
        </w:tc>
      </w:tr>
      <w:tr>
        <w:trPr/>
        <w:tc>
          <w:tcPr>
            <w:tcW w:w="9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45">
              <w:r>
                <w:rPr>
                  <w:rStyle w:val="InternetLink"/>
                  <w:rFonts w:ascii="Times New Roman;serif" w:hAnsi="Times New Roman;serif"/>
                  <w:b w:val="false"/>
                  <w:color w:val="0000FF"/>
                  <w:sz w:val="20"/>
                  <w:u w:val="single"/>
                </w:rPr>
                <w:t>Item 6 – Exhibits</w:t>
              </w:r>
            </w:hyperlink>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45">
              <w:r>
                <w:rPr>
                  <w:rStyle w:val="InternetLink"/>
                  <w:rFonts w:ascii="Times New Roman;serif" w:hAnsi="Times New Roman;serif"/>
                  <w:b w:val="false"/>
                  <w:color w:val="0000FF"/>
                  <w:sz w:val="20"/>
                  <w:u w:val="single"/>
                </w:rPr>
                <w:t>56</w:t>
              </w:r>
            </w:hyperlink>
          </w:p>
        </w:tc>
      </w:tr>
      <w:tr>
        <w:trPr/>
        <w:tc>
          <w:tcPr>
            <w:tcW w:w="9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8849a961253469a8e5ed420bac432b5_148">
              <w:r>
                <w:rPr>
                  <w:rStyle w:val="InternetLink"/>
                  <w:rFonts w:ascii="Times New Roman;serif" w:hAnsi="Times New Roman;serif"/>
                  <w:b w:val="false"/>
                  <w:color w:val="0000FF"/>
                  <w:sz w:val="20"/>
                  <w:u w:val="single"/>
                </w:rPr>
                <w:t>Signatures</w:t>
              </w:r>
            </w:hyperlink>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8849a961253469a8e5ed420bac432b5_148">
              <w:r>
                <w:rPr>
                  <w:rStyle w:val="InternetLink"/>
                  <w:rFonts w:ascii="Times New Roman;serif" w:hAnsi="Times New Roman;serif"/>
                  <w:b w:val="false"/>
                  <w:color w:val="0000FF"/>
                  <w:sz w:val="20"/>
                  <w:u w:val="single"/>
                </w:rPr>
                <w:t>57</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4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480"/>
        <w:jc w:val="center"/>
        <w:rPr>
          <w:rFonts w:ascii="Times New Roman;serif" w:hAnsi="Times New Roman;serif"/>
          <w:b/>
          <w:color w:val="000000"/>
          <w:sz w:val="20"/>
        </w:rPr>
      </w:pPr>
      <w:r>
        <w:rPr>
          <w:rFonts w:ascii="Times New Roman;serif" w:hAnsi="Times New Roman;serif"/>
          <w:b/>
          <w:color w:val="000000"/>
          <w:sz w:val="20"/>
        </w:rPr>
        <w:t>ITEM 1 —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INTRODUCTION TO THE CONDENSED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prepared the unaudited condensed consolidated financial statements of Lear Corporation and subsidiaries pursuant to the rules and regulations of the Securities and Exchange Commission. Certain information and footnote disclosures normally included in financial statements prepared in accordance with accounting principles generally accepted in the United States ("GAAP") have been condensed or omitted pursuant to such rules and regulations. We believe that the disclosures are adequate to make the information presented not misleading when read in conjunction with the financial statements and the notes thereto included in our Annual Report on Form 10-K, as filed with the Securities and Exchange Commission,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presented reflects all adjustments (consisting of normal recurring adjustments) which are, in our opinion, necessary for a fair presentation of the results of operations, cash flows and financial position for the interim periods presented. These results are not necessarily indicative of a full year's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millions, except share data)</w:t>
      </w:r>
    </w:p>
    <w:tbl>
      <w:tblPr>
        <w:tblW w:w="10205" w:type="dxa"/>
        <w:jc w:val="center"/>
        <w:tblInd w:w="0" w:type="dxa"/>
        <w:tblLayout w:type="fixed"/>
        <w:tblCellMar>
          <w:top w:w="28" w:type="dxa"/>
          <w:left w:w="28" w:type="dxa"/>
          <w:bottom w:w="28" w:type="dxa"/>
          <w:right w:w="28" w:type="dxa"/>
        </w:tblCellMar>
      </w:tblPr>
      <w:tblGrid>
        <w:gridCol w:w="2782"/>
        <w:gridCol w:w="2324"/>
        <w:gridCol w:w="2344"/>
        <w:gridCol w:w="211"/>
        <w:gridCol w:w="871"/>
        <w:gridCol w:w="109"/>
        <w:gridCol w:w="109"/>
        <w:gridCol w:w="109"/>
        <w:gridCol w:w="109"/>
        <w:gridCol w:w="211"/>
        <w:gridCol w:w="871"/>
        <w:gridCol w:w="155"/>
      </w:tblGrid>
      <w:tr>
        <w:trPr/>
        <w:tc>
          <w:tcPr>
            <w:tcW w:w="2782"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July 4,</w:t>
              <w:br/>
              <w:t xml:space="preserve">2026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ASSETS: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drafts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LIABILITIES: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100,000,000 shares authorized (including 10,896,250 Series A convertible preferred stock); no shares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 shares authorized; 64,571,405 shares issued as of July 4, 2026 and December 31,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held in treasury, 15,037,974 and 13,924,658 shares as of July 4, 2026 and December 31, 2025, respectively, at cost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Lear Corporation shareholders'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16"/>
        </w:rPr>
        <w:t>(1)     </w:t>
      </w:r>
      <w:r>
        <w:rPr>
          <w:rFonts w:ascii="Times New Roman;serif" w:hAnsi="Times New Roman;serif"/>
          <w:b w:val="false"/>
          <w:color w:val="000000"/>
          <w:sz w:val="20"/>
        </w:rPr>
        <w:t>Unaudited</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 except share and per share data)</w:t>
      </w:r>
    </w:p>
    <w:tbl>
      <w:tblPr>
        <w:tblW w:w="10205" w:type="dxa"/>
        <w:jc w:val="center"/>
        <w:tblInd w:w="0" w:type="dxa"/>
        <w:tblLayout w:type="fixed"/>
        <w:tblCellMar>
          <w:top w:w="28" w:type="dxa"/>
          <w:left w:w="28" w:type="dxa"/>
          <w:bottom w:w="28" w:type="dxa"/>
          <w:right w:w="28" w:type="dxa"/>
        </w:tblCellMar>
      </w:tblPr>
      <w:tblGrid>
        <w:gridCol w:w="1612"/>
        <w:gridCol w:w="1363"/>
        <w:gridCol w:w="1383"/>
        <w:gridCol w:w="236"/>
        <w:gridCol w:w="860"/>
        <w:gridCol w:w="109"/>
        <w:gridCol w:w="109"/>
        <w:gridCol w:w="109"/>
        <w:gridCol w:w="109"/>
        <w:gridCol w:w="236"/>
        <w:gridCol w:w="860"/>
        <w:gridCol w:w="109"/>
        <w:gridCol w:w="109"/>
        <w:gridCol w:w="109"/>
        <w:gridCol w:w="109"/>
        <w:gridCol w:w="213"/>
        <w:gridCol w:w="883"/>
        <w:gridCol w:w="109"/>
        <w:gridCol w:w="109"/>
        <w:gridCol w:w="109"/>
        <w:gridCol w:w="109"/>
        <w:gridCol w:w="213"/>
        <w:gridCol w:w="883"/>
        <w:gridCol w:w="155"/>
      </w:tblGrid>
      <w:tr>
        <w:trPr/>
        <w:tc>
          <w:tcPr>
            <w:tcW w:w="161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provision for income taxes and equity in net income of affiliates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Lear</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per share attributable to Lear (Note 13)</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per share attributable to Lear (Note 13)</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share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common shares outstanding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50,302,285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53,764,586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50,678,872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53,839,060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diluted shares outstanding</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50,822,013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54,056,107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51,190,661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54,140,315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comprehensive income (Condensed Consolidated Statements of Equity)</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Lear</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 except share and per share data)</w:t>
      </w:r>
    </w:p>
    <w:tbl>
      <w:tblPr>
        <w:tblW w:w="10205" w:type="dxa"/>
        <w:jc w:val="center"/>
        <w:tblInd w:w="0" w:type="dxa"/>
        <w:tblLayout w:type="fixed"/>
        <w:tblCellMar>
          <w:top w:w="28" w:type="dxa"/>
          <w:left w:w="28" w:type="dxa"/>
          <w:bottom w:w="28" w:type="dxa"/>
          <w:right w:w="28" w:type="dxa"/>
        </w:tblCellMar>
      </w:tblPr>
      <w:tblGrid>
        <w:gridCol w:w="782"/>
        <w:gridCol w:w="614"/>
        <w:gridCol w:w="336"/>
        <w:gridCol w:w="229"/>
        <w:gridCol w:w="442"/>
        <w:gridCol w:w="119"/>
        <w:gridCol w:w="109"/>
        <w:gridCol w:w="109"/>
        <w:gridCol w:w="109"/>
        <w:gridCol w:w="221"/>
        <w:gridCol w:w="804"/>
        <w:gridCol w:w="114"/>
        <w:gridCol w:w="109"/>
        <w:gridCol w:w="109"/>
        <w:gridCol w:w="109"/>
        <w:gridCol w:w="224"/>
        <w:gridCol w:w="839"/>
        <w:gridCol w:w="116"/>
        <w:gridCol w:w="109"/>
        <w:gridCol w:w="109"/>
        <w:gridCol w:w="109"/>
        <w:gridCol w:w="214"/>
        <w:gridCol w:w="780"/>
        <w:gridCol w:w="110"/>
        <w:gridCol w:w="109"/>
        <w:gridCol w:w="109"/>
        <w:gridCol w:w="109"/>
        <w:gridCol w:w="303"/>
        <w:gridCol w:w="908"/>
        <w:gridCol w:w="158"/>
        <w:gridCol w:w="109"/>
        <w:gridCol w:w="109"/>
        <w:gridCol w:w="109"/>
        <w:gridCol w:w="231"/>
        <w:gridCol w:w="844"/>
        <w:gridCol w:w="182"/>
      </w:tblGrid>
      <w:tr>
        <w:trPr/>
        <w:tc>
          <w:tcPr>
            <w:tcW w:w="78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4, 2026</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Held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r>
      <w:tr>
        <w:trPr/>
        <w:tc>
          <w:tcPr>
            <w:tcW w:w="1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4, 2026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22,051 shares held in treasury in settlement of stock-based compensation</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735,873 shares of common stock at average price of $135.89 per share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1"/>
        <w:gridCol w:w="424"/>
        <w:gridCol w:w="370"/>
        <w:gridCol w:w="229"/>
        <w:gridCol w:w="442"/>
        <w:gridCol w:w="119"/>
        <w:gridCol w:w="109"/>
        <w:gridCol w:w="109"/>
        <w:gridCol w:w="109"/>
        <w:gridCol w:w="221"/>
        <w:gridCol w:w="804"/>
        <w:gridCol w:w="114"/>
        <w:gridCol w:w="109"/>
        <w:gridCol w:w="109"/>
        <w:gridCol w:w="109"/>
        <w:gridCol w:w="224"/>
        <w:gridCol w:w="838"/>
        <w:gridCol w:w="116"/>
        <w:gridCol w:w="109"/>
        <w:gridCol w:w="109"/>
        <w:gridCol w:w="109"/>
        <w:gridCol w:w="214"/>
        <w:gridCol w:w="780"/>
        <w:gridCol w:w="110"/>
        <w:gridCol w:w="109"/>
        <w:gridCol w:w="109"/>
        <w:gridCol w:w="109"/>
        <w:gridCol w:w="302"/>
        <w:gridCol w:w="907"/>
        <w:gridCol w:w="158"/>
        <w:gridCol w:w="109"/>
        <w:gridCol w:w="109"/>
        <w:gridCol w:w="109"/>
        <w:gridCol w:w="231"/>
        <w:gridCol w:w="843"/>
        <w:gridCol w:w="183"/>
      </w:tblGrid>
      <w:tr>
        <w:trPr/>
        <w:tc>
          <w:tcPr>
            <w:tcW w:w="9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2026</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Held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r>
      <w:tr>
        <w:trPr/>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253,361 shares held in treasury in settlement of stock-based compensation</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1,366,677 shares of common stock at average price of $128.05 per share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1763"/>
        <w:gridCol w:w="1513"/>
        <w:gridCol w:w="1386"/>
        <w:gridCol w:w="412"/>
        <w:gridCol w:w="1504"/>
        <w:gridCol w:w="215"/>
        <w:gridCol w:w="109"/>
        <w:gridCol w:w="109"/>
        <w:gridCol w:w="109"/>
        <w:gridCol w:w="365"/>
        <w:gridCol w:w="1068"/>
        <w:gridCol w:w="190"/>
        <w:gridCol w:w="109"/>
        <w:gridCol w:w="109"/>
        <w:gridCol w:w="109"/>
        <w:gridCol w:w="211"/>
        <w:gridCol w:w="766"/>
        <w:gridCol w:w="158"/>
      </w:tblGrid>
      <w:tr>
        <w:trPr/>
        <w:tc>
          <w:tcPr>
            <w:tcW w:w="176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4, 2026</w:t>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4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April 4, 2026</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22,051 shares held in treasury in settlement of stock-based compensation</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735,873 shares of common stock at average price of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$135.89 per share</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4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99"/>
        <w:gridCol w:w="1490"/>
        <w:gridCol w:w="1390"/>
        <w:gridCol w:w="409"/>
        <w:gridCol w:w="1495"/>
        <w:gridCol w:w="214"/>
        <w:gridCol w:w="109"/>
        <w:gridCol w:w="109"/>
        <w:gridCol w:w="109"/>
        <w:gridCol w:w="364"/>
        <w:gridCol w:w="1065"/>
        <w:gridCol w:w="190"/>
        <w:gridCol w:w="109"/>
        <w:gridCol w:w="109"/>
        <w:gridCol w:w="109"/>
        <w:gridCol w:w="211"/>
        <w:gridCol w:w="766"/>
        <w:gridCol w:w="158"/>
      </w:tblGrid>
      <w:tr>
        <w:trPr/>
        <w:tc>
          <w:tcPr>
            <w:tcW w:w="179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2026</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253,361 shares held in treasury in settlement of stock-based compensation</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1,366,677 shares of common stock at average price of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$128.05 per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940"/>
        <w:gridCol w:w="423"/>
        <w:gridCol w:w="369"/>
        <w:gridCol w:w="229"/>
        <w:gridCol w:w="442"/>
        <w:gridCol w:w="119"/>
        <w:gridCol w:w="109"/>
        <w:gridCol w:w="109"/>
        <w:gridCol w:w="109"/>
        <w:gridCol w:w="221"/>
        <w:gridCol w:w="804"/>
        <w:gridCol w:w="114"/>
        <w:gridCol w:w="109"/>
        <w:gridCol w:w="109"/>
        <w:gridCol w:w="109"/>
        <w:gridCol w:w="224"/>
        <w:gridCol w:w="839"/>
        <w:gridCol w:w="116"/>
        <w:gridCol w:w="109"/>
        <w:gridCol w:w="109"/>
        <w:gridCol w:w="109"/>
        <w:gridCol w:w="214"/>
        <w:gridCol w:w="780"/>
        <w:gridCol w:w="110"/>
        <w:gridCol w:w="109"/>
        <w:gridCol w:w="109"/>
        <w:gridCol w:w="109"/>
        <w:gridCol w:w="303"/>
        <w:gridCol w:w="908"/>
        <w:gridCol w:w="158"/>
        <w:gridCol w:w="109"/>
        <w:gridCol w:w="109"/>
        <w:gridCol w:w="109"/>
        <w:gridCol w:w="231"/>
        <w:gridCol w:w="844"/>
        <w:gridCol w:w="182"/>
      </w:tblGrid>
      <w:tr>
        <w:trPr/>
        <w:tc>
          <w:tcPr>
            <w:tcW w:w="94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Held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r>
      <w:tr>
        <w:trPr/>
        <w:tc>
          <w:tcPr>
            <w:tcW w:w="1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13,420 shares held in treasury in settlement of stock-based compensation</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271,117 shares of common stock at average price of $92.21 per share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noncontrolling interest holder</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4"/>
        <w:gridCol w:w="554"/>
        <w:gridCol w:w="337"/>
        <w:gridCol w:w="229"/>
        <w:gridCol w:w="442"/>
        <w:gridCol w:w="119"/>
        <w:gridCol w:w="109"/>
        <w:gridCol w:w="109"/>
        <w:gridCol w:w="109"/>
        <w:gridCol w:w="221"/>
        <w:gridCol w:w="804"/>
        <w:gridCol w:w="114"/>
        <w:gridCol w:w="109"/>
        <w:gridCol w:w="109"/>
        <w:gridCol w:w="109"/>
        <w:gridCol w:w="224"/>
        <w:gridCol w:w="838"/>
        <w:gridCol w:w="116"/>
        <w:gridCol w:w="109"/>
        <w:gridCol w:w="109"/>
        <w:gridCol w:w="109"/>
        <w:gridCol w:w="214"/>
        <w:gridCol w:w="780"/>
        <w:gridCol w:w="110"/>
        <w:gridCol w:w="109"/>
        <w:gridCol w:w="109"/>
        <w:gridCol w:w="109"/>
        <w:gridCol w:w="262"/>
        <w:gridCol w:w="970"/>
        <w:gridCol w:w="136"/>
        <w:gridCol w:w="109"/>
        <w:gridCol w:w="109"/>
        <w:gridCol w:w="109"/>
        <w:gridCol w:w="231"/>
        <w:gridCol w:w="843"/>
        <w:gridCol w:w="182"/>
      </w:tblGrid>
      <w:tr>
        <w:trPr/>
        <w:tc>
          <w:tcPr>
            <w:tcW w:w="84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Held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r>
      <w:tr>
        <w:trPr/>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161,422 shares held in treasury in settlement of stock-based compensation</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534,120 shares of common stock at average price of $93.61 per share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noncontrolling interest holder</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 except share and per share data)</w:t>
      </w:r>
    </w:p>
    <w:tbl>
      <w:tblPr>
        <w:tblW w:w="10205" w:type="dxa"/>
        <w:jc w:val="left"/>
        <w:tblInd w:w="0" w:type="dxa"/>
        <w:tblLayout w:type="fixed"/>
        <w:tblCellMar>
          <w:top w:w="28" w:type="dxa"/>
          <w:left w:w="28" w:type="dxa"/>
          <w:bottom w:w="28" w:type="dxa"/>
          <w:right w:w="28" w:type="dxa"/>
        </w:tblCellMar>
      </w:tblPr>
      <w:tblGrid>
        <w:gridCol w:w="1837"/>
        <w:gridCol w:w="1420"/>
        <w:gridCol w:w="1405"/>
        <w:gridCol w:w="412"/>
        <w:gridCol w:w="1504"/>
        <w:gridCol w:w="215"/>
        <w:gridCol w:w="109"/>
        <w:gridCol w:w="109"/>
        <w:gridCol w:w="109"/>
        <w:gridCol w:w="365"/>
        <w:gridCol w:w="1068"/>
        <w:gridCol w:w="190"/>
        <w:gridCol w:w="109"/>
        <w:gridCol w:w="109"/>
        <w:gridCol w:w="109"/>
        <w:gridCol w:w="211"/>
        <w:gridCol w:w="766"/>
        <w:gridCol w:w="158"/>
      </w:tblGrid>
      <w:tr>
        <w:trPr/>
        <w:tc>
          <w:tcPr>
            <w:tcW w:w="183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4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13,420 shares held in treasury in settlement of stock-based compensation</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271,117 shares of common stock at average price of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$92.21 per share</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noncontrolling interest holder</w:t>
            </w:r>
          </w:p>
        </w:tc>
        <w:tc>
          <w:tcPr>
            <w:tcW w:w="1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46"/>
        <w:gridCol w:w="1424"/>
        <w:gridCol w:w="1409"/>
        <w:gridCol w:w="409"/>
        <w:gridCol w:w="1495"/>
        <w:gridCol w:w="214"/>
        <w:gridCol w:w="109"/>
        <w:gridCol w:w="109"/>
        <w:gridCol w:w="109"/>
        <w:gridCol w:w="364"/>
        <w:gridCol w:w="1065"/>
        <w:gridCol w:w="190"/>
        <w:gridCol w:w="109"/>
        <w:gridCol w:w="109"/>
        <w:gridCol w:w="109"/>
        <w:gridCol w:w="211"/>
        <w:gridCol w:w="766"/>
        <w:gridCol w:w="158"/>
      </w:tblGrid>
      <w:tr>
        <w:trPr/>
        <w:tc>
          <w:tcPr>
            <w:tcW w:w="184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Lear Corporation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4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issuance of 161,422 shares held in treasury in settlement of stock-based compensation</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534,120 shares of common stock at average price of $93.61 per share</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Lear Corporation shareholders</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to noncontrolling interest holders</w:t>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from noncontrolling interest holder</w:t>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2805"/>
        <w:gridCol w:w="2457"/>
        <w:gridCol w:w="2473"/>
        <w:gridCol w:w="211"/>
        <w:gridCol w:w="766"/>
        <w:gridCol w:w="109"/>
        <w:gridCol w:w="109"/>
        <w:gridCol w:w="109"/>
        <w:gridCol w:w="109"/>
        <w:gridCol w:w="211"/>
        <w:gridCol w:w="690"/>
        <w:gridCol w:w="156"/>
      </w:tblGrid>
      <w:tr>
        <w:trPr/>
        <w:tc>
          <w:tcPr>
            <w:tcW w:w="2805"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consolidated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recoverable customer engineering, development and tooling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working capital items (see below)</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Lear Corporation shareholders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translation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as of Beginning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as of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Working Capital Items: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working capital items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Disclosure: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Lear Corporation ("Lear," and together with its consolidated subsidiaries, the "Company") and its affiliates design, develop, engineer and manufacture complete seat systems, key seat components, complete electrical distribution and connection systems, high-voltage power distribution products, including battery disconnect units ("BDUs"), and low-voltage power distribution products and electronic controllers. The Company's main customers are major automotive manufacturers. The Company operates facilities worldwide.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of Lear, a Delaware corporation, and the wholly-owned and less than wholly-owned subsidiaries controlled by Lear. In addition, Lear consolidates all entities in which it has a controlling financial interest. Investments in affiliates in which Lear does not have control, but does have the ability to exercise significant influence over operating and financial policies, are accounted for under the equity method.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annual financial results are reported on a calendar year basis, and quarterly interim results are reported using a thirteen week reporting calendar.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 Restructuring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costs include employee termination benefits, asset impairment charges and contract termination costs, as well as other incremental net costs resulting from the restructuring actions. Employee termination benefits are recorded based on existing union and employee contracts, statutory requirements, completed negotiations and Company policy. Other incremental net costs principally include equipment and personnel relocation costs and gains and losses on the sales of facilities. In addition to restructuring costs, the Company also incurs incremental manufacturing inefficiency and other charges at the operating locations impacted by the restructuring actions during the related restructuring implementation period. Restructuring costs are recognized in the Company's condensed consolidated financial statements in accordance with GAAP. Generally, charges are recorded as restructuring actions are approved, communicated and/or implemented.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Company's restructuring reserves is shown below (in millions):</w:t>
      </w:r>
    </w:p>
    <w:tbl>
      <w:tblPr>
        <w:tblW w:w="4565" w:type="dxa"/>
        <w:jc w:val="left"/>
        <w:tblInd w:w="0" w:type="dxa"/>
        <w:tblLayout w:type="fixed"/>
        <w:tblCellMar>
          <w:top w:w="28" w:type="dxa"/>
          <w:left w:w="28" w:type="dxa"/>
          <w:bottom w:w="28" w:type="dxa"/>
          <w:right w:w="28" w:type="dxa"/>
        </w:tblCellMar>
      </w:tblPr>
      <w:tblGrid>
        <w:gridCol w:w="1337"/>
        <w:gridCol w:w="1171"/>
        <w:gridCol w:w="1181"/>
        <w:gridCol w:w="211"/>
        <w:gridCol w:w="51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employee termination benefits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utilizations and foreign currency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Charges recorded in connection with the Company's restructuring actions are shown below (in millions):</w:t>
      </w:r>
    </w:p>
    <w:tbl>
      <w:tblPr>
        <w:tblW w:w="5154" w:type="dxa"/>
        <w:jc w:val="left"/>
        <w:tblInd w:w="0" w:type="dxa"/>
        <w:tblLayout w:type="fixed"/>
        <w:tblCellMar>
          <w:top w:w="28" w:type="dxa"/>
          <w:left w:w="28" w:type="dxa"/>
          <w:bottom w:w="28" w:type="dxa"/>
          <w:right w:w="28" w:type="dxa"/>
        </w:tblCellMar>
      </w:tblPr>
      <w:tblGrid>
        <w:gridCol w:w="1091"/>
        <w:gridCol w:w="959"/>
        <w:gridCol w:w="965"/>
        <w:gridCol w:w="211"/>
        <w:gridCol w:w="511"/>
        <w:gridCol w:w="109"/>
        <w:gridCol w:w="109"/>
        <w:gridCol w:w="109"/>
        <w:gridCol w:w="109"/>
        <w:gridCol w:w="211"/>
        <w:gridCol w:w="61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termination (credits) costs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related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charges by income statement account are shown below (in millions):</w:t>
      </w:r>
    </w:p>
    <w:tbl>
      <w:tblPr>
        <w:tblW w:w="5873" w:type="dxa"/>
        <w:jc w:val="left"/>
        <w:tblInd w:w="0" w:type="dxa"/>
        <w:tblLayout w:type="fixed"/>
        <w:tblCellMar>
          <w:top w:w="28" w:type="dxa"/>
          <w:left w:w="28" w:type="dxa"/>
          <w:bottom w:w="28" w:type="dxa"/>
          <w:right w:w="28" w:type="dxa"/>
        </w:tblCellMar>
      </w:tblPr>
      <w:tblGrid>
        <w:gridCol w:w="1351"/>
        <w:gridCol w:w="1183"/>
        <w:gridCol w:w="1200"/>
        <w:gridCol w:w="211"/>
        <w:gridCol w:w="511"/>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Restructuring charges by operating segment are shown below (in millions):</w:t>
      </w:r>
    </w:p>
    <w:tbl>
      <w:tblPr>
        <w:tblW w:w="5416" w:type="dxa"/>
        <w:jc w:val="left"/>
        <w:tblInd w:w="0" w:type="dxa"/>
        <w:tblLayout w:type="fixed"/>
        <w:tblCellMar>
          <w:top w:w="28" w:type="dxa"/>
          <w:left w:w="28" w:type="dxa"/>
          <w:bottom w:w="28" w:type="dxa"/>
          <w:right w:w="28" w:type="dxa"/>
        </w:tblCellMar>
      </w:tblPr>
      <w:tblGrid>
        <w:gridCol w:w="347"/>
        <w:gridCol w:w="305"/>
        <w:gridCol w:w="3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E-Systems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expects to incur approximately $26 million and approximately $10 million of additional restructuring charges in its Seating and E-Systems segments, respectively, related to activities initiated as of July 4, 2026, and expects that the components of such costs will be consistent with its historical experience.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(3) Inventories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Cost is determined using standard costing, which approximates actual cost on a first-in, first-out method. Finished goods and work-in-process inventories include material, labor and manufacturing overhead costs. The Company records reserves for inventory in excess of production and/or forecasted requirements and for obsolete inventory in production and service inventories.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inventories is shown below (in millions):</w:t>
      </w:r>
    </w:p>
    <w:tbl>
      <w:tblPr>
        <w:tblW w:w="4008" w:type="dxa"/>
        <w:jc w:val="left"/>
        <w:tblInd w:w="0" w:type="dxa"/>
        <w:tblLayout w:type="fixed"/>
        <w:tblCellMar>
          <w:top w:w="28" w:type="dxa"/>
          <w:left w:w="28" w:type="dxa"/>
          <w:bottom w:w="28" w:type="dxa"/>
          <w:right w:w="28" w:type="dxa"/>
        </w:tblCellMar>
      </w:tblPr>
      <w:tblGrid>
        <w:gridCol w:w="527"/>
        <w:gridCol w:w="462"/>
        <w:gridCol w:w="467"/>
        <w:gridCol w:w="211"/>
        <w:gridCol w:w="766"/>
        <w:gridCol w:w="109"/>
        <w:gridCol w:w="109"/>
        <w:gridCol w:w="109"/>
        <w:gridCol w:w="109"/>
        <w:gridCol w:w="212"/>
        <w:gridCol w:w="772"/>
        <w:gridCol w:w="155"/>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(4) Pre-Production Costs Related to Long-Term Supply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incurs pre-production engineering and development ("E&amp;D") and tooling costs related to the products produced for its customers under long-term supply agreements. The Company expenses all pre-production E&amp;D costs for which reimbursement is not contractually guaranteed by the customer. In addition, the Company expenses all pre-production tooling costs related to customer-owned tools for which reimbursement is not contractually guaranteed by the customer or for which the Company does not have a non-cancelable right to use the tooling.</w:t>
      </w:r>
    </w:p>
    <w:p>
      <w:pPr>
        <w:pStyle w:val="TextBody"/>
        <w:bidi w:val="0"/>
        <w:spacing w:lineRule="auto" w:line="288" w:before="120" w:after="283"/>
        <w:jc w:val="both"/>
        <w:rPr/>
      </w:pPr>
      <w:r>
        <w:rPr>
          <w:rFonts w:ascii="Times New Roman;serif" w:hAnsi="Times New Roman;serif"/>
          <w:b w:val="false"/>
          <w:color w:val="000000"/>
          <w:sz w:val="20"/>
        </w:rPr>
        <w:t>During the first six months of 2026 and 2025, the Company capitalized $142.8 million</w:t>
      </w:r>
      <w:r>
        <w:rPr>
          <w:color w:val="000000"/>
        </w:rPr>
        <w:t xml:space="preserve"> </w:t>
      </w:r>
      <w:r>
        <w:rPr>
          <w:rFonts w:ascii="Times New Roman;serif" w:hAnsi="Times New Roman;serif"/>
          <w:b w:val="false"/>
          <w:color w:val="000000"/>
          <w:sz w:val="20"/>
        </w:rPr>
        <w:t>and $134.0 million, respectively, of pre-production E&amp;D costs for which reimbursement is contractually guaranteed by the customer. During the first six months of 2026 and 2025, the Company also capitalized</w:t>
      </w:r>
      <w:r>
        <w:rPr>
          <w:color w:val="000000"/>
        </w:rPr>
        <w:t xml:space="preserve"> </w:t>
      </w:r>
      <w:r>
        <w:rPr>
          <w:rFonts w:ascii="Times New Roman;serif" w:hAnsi="Times New Roman;serif"/>
          <w:b w:val="false"/>
          <w:color w:val="000000"/>
          <w:sz w:val="20"/>
        </w:rPr>
        <w:t>$75.9 million and $55.4 million, respectively, of pre-production tooling costs related to customer-owned tools for which reimbursement is contractually guaranteed by the customer or for which the Company has a non-cancelable right to use the tooling.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pPr>
      <w:r>
        <w:rPr>
          <w:rFonts w:ascii="Times New Roman;serif" w:hAnsi="Times New Roman;serif"/>
          <w:b w:val="false"/>
          <w:color w:val="000000"/>
          <w:sz w:val="20"/>
        </w:rPr>
        <w:t>During the first six months of 2026 and 2025, the Company collected $207.3 million</w:t>
      </w:r>
      <w:r>
        <w:rPr>
          <w:color w:val="000000"/>
        </w:rPr>
        <w:t xml:space="preserve"> </w:t>
      </w:r>
      <w:r>
        <w:rPr>
          <w:rFonts w:ascii="Times New Roman;serif" w:hAnsi="Times New Roman;serif"/>
          <w:b w:val="false"/>
          <w:color w:val="000000"/>
          <w:sz w:val="20"/>
        </w:rPr>
        <w:t>and $168.5 million, respectively, of cash related to E&amp;D and tooling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classification of recoverable customer E&amp;D and tooling costs related to long-term supply agreements included in the accompanying condensed consolidated balance sheets is shown below (in millions):</w:t>
      </w:r>
    </w:p>
    <w:tbl>
      <w:tblPr>
        <w:tblW w:w="5762" w:type="dxa"/>
        <w:jc w:val="left"/>
        <w:tblInd w:w="0" w:type="dxa"/>
        <w:tblLayout w:type="fixed"/>
        <w:tblCellMar>
          <w:top w:w="28" w:type="dxa"/>
          <w:left w:w="28" w:type="dxa"/>
          <w:bottom w:w="28" w:type="dxa"/>
          <w:right w:w="28" w:type="dxa"/>
        </w:tblCellMar>
      </w:tblPr>
      <w:tblGrid>
        <w:gridCol w:w="1216"/>
        <w:gridCol w:w="1069"/>
        <w:gridCol w:w="1074"/>
        <w:gridCol w:w="211"/>
        <w:gridCol w:w="616"/>
        <w:gridCol w:w="109"/>
        <w:gridCol w:w="109"/>
        <w:gridCol w:w="109"/>
        <w:gridCol w:w="109"/>
        <w:gridCol w:w="245"/>
        <w:gridCol w:w="716"/>
        <w:gridCol w:w="179"/>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Recoverable customer E&amp;D and tooling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(5) Long-Lived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is stated at cost. Costs associated with the repair and maintenance of the Company's property, plant and equipment are expensed as incurred. Costs associated with improvements which extend the life, increase the capacity or improve the efficiency or safety of the Company's property, plant and equipment are capitalized and depreciated over the remaining useful life of the related asset. Depreciable property is depreciated over the estimated useful lives of the assets, using principally the straight-line method.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property, plant and equipment is shown below (in millions):</w:t>
      </w:r>
    </w:p>
    <w:tbl>
      <w:tblPr>
        <w:tblW w:w="5612" w:type="dxa"/>
        <w:jc w:val="left"/>
        <w:tblInd w:w="0" w:type="dxa"/>
        <w:tblLayout w:type="fixed"/>
        <w:tblCellMar>
          <w:top w:w="28" w:type="dxa"/>
          <w:left w:w="28" w:type="dxa"/>
          <w:bottom w:w="28" w:type="dxa"/>
          <w:right w:w="28" w:type="dxa"/>
        </w:tblCellMar>
      </w:tblPr>
      <w:tblGrid>
        <w:gridCol w:w="1108"/>
        <w:gridCol w:w="971"/>
        <w:gridCol w:w="981"/>
        <w:gridCol w:w="211"/>
        <w:gridCol w:w="766"/>
        <w:gridCol w:w="109"/>
        <w:gridCol w:w="109"/>
        <w:gridCol w:w="109"/>
        <w:gridCol w:w="109"/>
        <w:gridCol w:w="212"/>
        <w:gridCol w:w="772"/>
        <w:gridCol w:w="155"/>
      </w:tblGrid>
      <w:tr>
        <w:trPr/>
        <w:tc>
          <w:tcPr>
            <w:tcW w:w="11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expense was $145.7 million and $143.5 million in the three months ended July 4, 2026 and June 28, 2025, respectively, and $290.6 million and $286.0 million in the six months ended July 4, 2026 and June 28,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monitors its long-lived assets for impairment indicators on an ongoing basis in accordance with GAAP. If impairment indicators exist, the Company performs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 Fair value estimates of long-lived assets are based on independent appraisals or discounted cash flows, giving consideration to the highest and best use of the assets. Key assumptions used in the appraisals are based on a combination of market and cost approaches, as appropriate.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and 2025, the Company recognized property, plant and equipment impairment charges of $2.3 million and $3.9 million, respectively, in conjunction with its restructuring actions (Note 2, "Restructuring"). In the first six months of 2026, the Company recognized additional property, plant and equipment impairment charges of $4.3 million. The impairment charges are included in cost of sales in the accompanying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the carrying amount of goodwill, by operating segment, in the six months ended July 4, 2026, is shown below (in millions):</w:t>
      </w:r>
    </w:p>
    <w:tbl>
      <w:tblPr>
        <w:tblW w:w="7032" w:type="dxa"/>
        <w:jc w:val="left"/>
        <w:tblInd w:w="0" w:type="dxa"/>
        <w:tblLayout w:type="fixed"/>
        <w:tblCellMar>
          <w:top w:w="28" w:type="dxa"/>
          <w:left w:w="28" w:type="dxa"/>
          <w:bottom w:w="28" w:type="dxa"/>
          <w:right w:w="28" w:type="dxa"/>
        </w:tblCellMar>
      </w:tblPr>
      <w:tblGrid>
        <w:gridCol w:w="1169"/>
        <w:gridCol w:w="1024"/>
        <w:gridCol w:w="1032"/>
        <w:gridCol w:w="211"/>
        <w:gridCol w:w="766"/>
        <w:gridCol w:w="109"/>
        <w:gridCol w:w="109"/>
        <w:gridCol w:w="109"/>
        <w:gridCol w:w="109"/>
        <w:gridCol w:w="211"/>
        <w:gridCol w:w="616"/>
        <w:gridCol w:w="109"/>
        <w:gridCol w:w="109"/>
        <w:gridCol w:w="109"/>
        <w:gridCol w:w="109"/>
        <w:gridCol w:w="211"/>
        <w:gridCol w:w="766"/>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not amortized but is tested for impairment on at least an annual basis. Impairment testing is required more often than annually if an event or circumstance indicates that an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annual goodwill impairment assessment is completed as of the first day of the Company's fourth quarter.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was no impairment of goodwill in the first six months of 2026 and 2025. The Company will, however, continue to assess the impact of significant industry and other events on its recorded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lineRule="auto" w:line="288" w:before="240" w:after="120"/>
        <w:jc w:val="both"/>
        <w:rPr>
          <w:rFonts w:ascii="Times New Roman;serif" w:hAnsi="Times New Roman;serif"/>
          <w:b w:val="false"/>
          <w:i/>
          <w:color w:val="000000"/>
          <w:sz w:val="20"/>
        </w:rPr>
      </w:pPr>
      <w:r>
        <w:rPr>
          <w:rFonts w:ascii="Times New Roman;serif" w:hAnsi="Times New Roman;serif"/>
          <w:b w:val="false"/>
          <w:i/>
          <w:color w:val="000000"/>
          <w:sz w:val="20"/>
        </w:rPr>
        <w:t>Short-Term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uncommitted lines of credit as needed for its short-term working capital fluctuations. As of July 4, 2026 and December 31, 2025, the Company had lines of credit from banks totaling $376.4 million and $382.5 million, respectively. As of July 4, 2026 and December 31, 2025, the Company had short-term debt balances outstanding related to draws on its lines of credit of $28.8 million and $27.9 million, respectively.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long-term debt, net of unamortized debt issuance costs and unamortized original issue premium (discount), and the related weighted average interest rates is shown below (in millions):</w:t>
      </w:r>
    </w:p>
    <w:tbl>
      <w:tblPr>
        <w:tblW w:w="10205" w:type="dxa"/>
        <w:jc w:val="left"/>
        <w:tblInd w:w="0" w:type="dxa"/>
        <w:tblLayout w:type="fixed"/>
        <w:tblCellMar>
          <w:top w:w="28" w:type="dxa"/>
          <w:left w:w="28" w:type="dxa"/>
          <w:bottom w:w="28" w:type="dxa"/>
          <w:right w:w="28" w:type="dxa"/>
        </w:tblCellMar>
      </w:tblPr>
      <w:tblGrid>
        <w:gridCol w:w="802"/>
        <w:gridCol w:w="696"/>
        <w:gridCol w:w="626"/>
        <w:gridCol w:w="109"/>
        <w:gridCol w:w="109"/>
        <w:gridCol w:w="109"/>
        <w:gridCol w:w="217"/>
        <w:gridCol w:w="769"/>
        <w:gridCol w:w="121"/>
        <w:gridCol w:w="109"/>
        <w:gridCol w:w="109"/>
        <w:gridCol w:w="109"/>
        <w:gridCol w:w="389"/>
        <w:gridCol w:w="955"/>
        <w:gridCol w:w="216"/>
        <w:gridCol w:w="109"/>
        <w:gridCol w:w="109"/>
        <w:gridCol w:w="109"/>
        <w:gridCol w:w="532"/>
        <w:gridCol w:w="1106"/>
        <w:gridCol w:w="298"/>
        <w:gridCol w:w="109"/>
        <w:gridCol w:w="109"/>
        <w:gridCol w:w="109"/>
        <w:gridCol w:w="196"/>
        <w:gridCol w:w="691"/>
        <w:gridCol w:w="109"/>
        <w:gridCol w:w="109"/>
        <w:gridCol w:w="109"/>
        <w:gridCol w:w="109"/>
        <w:gridCol w:w="246"/>
        <w:gridCol w:w="246"/>
        <w:gridCol w:w="355"/>
      </w:tblGrid>
      <w:tr>
        <w:trPr/>
        <w:tc>
          <w:tcPr>
            <w:tcW w:w="80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r>
      <w:tr>
        <w:trPr/>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Original Issue Premium (Discount)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w:t>
              <w:br/>
              <w:t>Debt,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r>
      <w:tr>
        <w:trPr/>
        <w:tc>
          <w:tcPr>
            <w:tcW w:w="2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Delayed-Draw Term Loan Facility (the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4.625%</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3.8% Senior Notes due 2027 (the "2027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3.885%</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4.25% Senior Notes due 2029 (the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4.288%</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 Senior Notes due 2030 (the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3.525%</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2.6% Senior Notes due 2032 (the "2032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2.624%</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5.25% Senior Notes due 2049 (the "2049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5.103%</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3.55% Senior Notes due 2052 (the "2052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3.558%</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501"/>
        <w:gridCol w:w="438"/>
        <w:gridCol w:w="441"/>
        <w:gridCol w:w="109"/>
        <w:gridCol w:w="109"/>
        <w:gridCol w:w="109"/>
        <w:gridCol w:w="228"/>
        <w:gridCol w:w="807"/>
        <w:gridCol w:w="127"/>
        <w:gridCol w:w="109"/>
        <w:gridCol w:w="109"/>
        <w:gridCol w:w="109"/>
        <w:gridCol w:w="451"/>
        <w:gridCol w:w="1109"/>
        <w:gridCol w:w="251"/>
        <w:gridCol w:w="109"/>
        <w:gridCol w:w="109"/>
        <w:gridCol w:w="109"/>
        <w:gridCol w:w="652"/>
        <w:gridCol w:w="1355"/>
        <w:gridCol w:w="365"/>
        <w:gridCol w:w="109"/>
        <w:gridCol w:w="109"/>
        <w:gridCol w:w="109"/>
        <w:gridCol w:w="196"/>
        <w:gridCol w:w="691"/>
        <w:gridCol w:w="109"/>
        <w:gridCol w:w="109"/>
        <w:gridCol w:w="109"/>
        <w:gridCol w:w="109"/>
        <w:gridCol w:w="246"/>
        <w:gridCol w:w="246"/>
        <w:gridCol w:w="357"/>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Original Issue Premium (Discount)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w:t>
              <w:br/>
              <w:t>Debt,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4.772%</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3.885%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4.288%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2032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2.624%</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2049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5.103%</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2052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3.558%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Senior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issuance, maturity and interest payment dates of the Company's senior unsecured 2027 Notes, 2029 Notes, 2030 Notes, 2032 Notes, 2049 Notes and 2052 Notes (collectively, the "Notes") are shown below:</w:t>
      </w:r>
    </w:p>
    <w:tbl>
      <w:tblPr>
        <w:tblW w:w="8704" w:type="dxa"/>
        <w:jc w:val="left"/>
        <w:tblInd w:w="0" w:type="dxa"/>
        <w:tblLayout w:type="fixed"/>
        <w:tblCellMar>
          <w:top w:w="28" w:type="dxa"/>
          <w:left w:w="28" w:type="dxa"/>
          <w:bottom w:w="28" w:type="dxa"/>
          <w:right w:w="28" w:type="dxa"/>
        </w:tblCellMar>
      </w:tblPr>
      <w:tblGrid>
        <w:gridCol w:w="378"/>
        <w:gridCol w:w="333"/>
        <w:gridCol w:w="338"/>
        <w:gridCol w:w="109"/>
        <w:gridCol w:w="109"/>
        <w:gridCol w:w="109"/>
        <w:gridCol w:w="839"/>
        <w:gridCol w:w="839"/>
        <w:gridCol w:w="842"/>
        <w:gridCol w:w="109"/>
        <w:gridCol w:w="109"/>
        <w:gridCol w:w="109"/>
        <w:gridCol w:w="574"/>
        <w:gridCol w:w="574"/>
        <w:gridCol w:w="577"/>
        <w:gridCol w:w="109"/>
        <w:gridCol w:w="109"/>
        <w:gridCol w:w="109"/>
        <w:gridCol w:w="711"/>
        <w:gridCol w:w="711"/>
        <w:gridCol w:w="1007"/>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Payment Dates</w:t>
            </w:r>
          </w:p>
        </w:tc>
      </w:tr>
      <w:tr>
        <w:trPr/>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and September 15</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and November 15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and November 30</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and July 15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2019 and February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and November 15</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and July 15</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the indentures governing the Notes contain restrictive covenants that, among other things, limit the ability of the Company to: (i) create or permit certain liens and (ii) consolidate, merge or sell all or substantially all of the Company's assets. The indentures governing the Notes also provide for customary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all covenants under the indentures governing the Notes.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Credit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amended and restated $2.0 billion unsecured revolving credit agreement (the "Credit Agreement") matures July 24, 2030.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4, 2026 and June 28, 2025, there were no borrowings or repayments under the Credit Agreement. As of July 4, 2026 and December 31, 2025, there were no borrowings outstanding under the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Advances under the Credit Agreement generally bear interest based on (i) Term Benchmark, Central Bank Rate and Risk Free Rate ("RFR") (in each case, as defined in the Credit Agreement) or (ii) Alternate Base Rate ("ABR") and Canadian Prime Rate (in each case, as defined in the Credit Agreement). As of July 4, 2026, the ranges and rates are as follows (in percentages):</w:t>
      </w:r>
    </w:p>
    <w:tbl>
      <w:tblPr>
        <w:tblW w:w="10205" w:type="dxa"/>
        <w:jc w:val="left"/>
        <w:tblInd w:w="0" w:type="dxa"/>
        <w:tblLayout w:type="fixed"/>
        <w:tblCellMar>
          <w:top w:w="28" w:type="dxa"/>
          <w:left w:w="28" w:type="dxa"/>
          <w:bottom w:w="28" w:type="dxa"/>
          <w:right w:w="28" w:type="dxa"/>
        </w:tblCellMar>
      </w:tblPr>
      <w:tblGrid>
        <w:gridCol w:w="441"/>
        <w:gridCol w:w="388"/>
        <w:gridCol w:w="391"/>
        <w:gridCol w:w="109"/>
        <w:gridCol w:w="109"/>
        <w:gridCol w:w="109"/>
        <w:gridCol w:w="308"/>
        <w:gridCol w:w="308"/>
        <w:gridCol w:w="442"/>
        <w:gridCol w:w="123"/>
        <w:gridCol w:w="123"/>
        <w:gridCol w:w="123"/>
        <w:gridCol w:w="308"/>
        <w:gridCol w:w="308"/>
        <w:gridCol w:w="467"/>
        <w:gridCol w:w="123"/>
        <w:gridCol w:w="123"/>
        <w:gridCol w:w="123"/>
        <w:gridCol w:w="397"/>
        <w:gridCol w:w="288"/>
        <w:gridCol w:w="573"/>
        <w:gridCol w:w="109"/>
        <w:gridCol w:w="109"/>
        <w:gridCol w:w="109"/>
        <w:gridCol w:w="308"/>
        <w:gridCol w:w="308"/>
        <w:gridCol w:w="442"/>
        <w:gridCol w:w="123"/>
        <w:gridCol w:w="123"/>
        <w:gridCol w:w="123"/>
        <w:gridCol w:w="308"/>
        <w:gridCol w:w="308"/>
        <w:gridCol w:w="467"/>
        <w:gridCol w:w="123"/>
        <w:gridCol w:w="123"/>
        <w:gridCol w:w="123"/>
        <w:gridCol w:w="373"/>
        <w:gridCol w:w="293"/>
        <w:gridCol w:w="649"/>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Term Benchmark, Central Bank Rate </w:t>
              <w:br/>
              <w:t>and RFR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ABR and Canadian Prime Rate Loans</w:t>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 as of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 as of July 4, 2026</w:t>
            </w:r>
          </w:p>
        </w:tc>
      </w:tr>
      <w:tr>
        <w:trPr/>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0.925 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0.450 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0.125 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facility fee, which ranges from 0.075% to 0.20% of the total amount committed under the Credit Agreement, is payable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various customary representations, warranties and covenants by the Company, including, without limitation, (i) covenants regarding maximum leverage, (ii) limitations on fundamental changes involving the Company or its subsidiaries and (iii) limitations on indebtedness and liens.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all covenants under the Credit Agreement.</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the Company had $50.0 million outstanding under its unsecured delayed-draw term loan facility (the "Term Loan"), which matures September 30,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Advances under the Term Loan generally bear interest based on the Daily or Term SOFR (as defined in the Term Loan agreement) plus a margin determined in accordance with a pricing grid that ranges from 0.875% to 1.375%. As of July 4, 2026, the interest rate was 4.625%. The Term Loan contains the same covenants as the Credit Agreement.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all covenants under the Term Loan.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other long-term debt, including the current portion, consisted of amounts outstanding under unsecured working capital loans and finance lease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the Company's debt, see Note 5, "Debt," to the consolidated financial statements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(8) Leases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production, office and warehouse facilities, manufacturing and office equipment and vehicles. Operating lease assets and obligations included in the accompanying condensed consolidated balance sheets are shown below (in millions):</w:t>
      </w:r>
    </w:p>
    <w:tbl>
      <w:tblPr>
        <w:tblW w:w="6377" w:type="dxa"/>
        <w:jc w:val="left"/>
        <w:tblInd w:w="0" w:type="dxa"/>
        <w:tblLayout w:type="fixed"/>
        <w:tblCellMar>
          <w:top w:w="28" w:type="dxa"/>
          <w:left w:w="28" w:type="dxa"/>
          <w:bottom w:w="28" w:type="dxa"/>
          <w:right w:w="28" w:type="dxa"/>
        </w:tblCellMar>
      </w:tblPr>
      <w:tblGrid>
        <w:gridCol w:w="1292"/>
        <w:gridCol w:w="1136"/>
        <w:gridCol w:w="1142"/>
        <w:gridCol w:w="211"/>
        <w:gridCol w:w="616"/>
        <w:gridCol w:w="109"/>
        <w:gridCol w:w="109"/>
        <w:gridCol w:w="109"/>
        <w:gridCol w:w="109"/>
        <w:gridCol w:w="332"/>
        <w:gridCol w:w="970"/>
        <w:gridCol w:w="242"/>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under operating leases: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 under operating leases: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Maturities of lease obligations are shown below (in millions):</w:t>
      </w:r>
    </w:p>
    <w:tbl>
      <w:tblPr>
        <w:tblW w:w="4468" w:type="dxa"/>
        <w:jc w:val="left"/>
        <w:tblInd w:w="0" w:type="dxa"/>
        <w:tblLayout w:type="fixed"/>
        <w:tblCellMar>
          <w:top w:w="28" w:type="dxa"/>
          <w:left w:w="28" w:type="dxa"/>
          <w:bottom w:w="28" w:type="dxa"/>
          <w:right w:w="28" w:type="dxa"/>
        </w:tblCellMar>
      </w:tblPr>
      <w:tblGrid>
        <w:gridCol w:w="1236"/>
        <w:gridCol w:w="1083"/>
        <w:gridCol w:w="1100"/>
        <w:gridCol w:w="226"/>
        <w:gridCol w:w="659"/>
        <w:gridCol w:w="164"/>
      </w:tblGrid>
      <w:tr>
        <w:trPr/>
        <w:tc>
          <w:tcPr>
            <w:tcW w:w="123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3"/>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8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 under operating leases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the remaining six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entered into an operating lease with a lease term of ten years that is expected to commence in the second quarter of 2027. The right-of-use asset and related lease obligation are expected to be approximately $46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2025, the Company entered into an operating lease with a lease term of fifteen years that is expected to commence in the fourth quarter of 2026. The right-of-use asset and related lease obligation are expected to be approximately $11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flow information related to operating leases is shown below (in millions):</w:t>
      </w:r>
    </w:p>
    <w:tbl>
      <w:tblPr>
        <w:tblW w:w="8108" w:type="dxa"/>
        <w:jc w:val="left"/>
        <w:tblInd w:w="0" w:type="dxa"/>
        <w:tblLayout w:type="fixed"/>
        <w:tblCellMar>
          <w:top w:w="28" w:type="dxa"/>
          <w:left w:w="28" w:type="dxa"/>
          <w:bottom w:w="28" w:type="dxa"/>
          <w:right w:w="28" w:type="dxa"/>
        </w:tblCellMar>
      </w:tblPr>
      <w:tblGrid>
        <w:gridCol w:w="2164"/>
        <w:gridCol w:w="1899"/>
        <w:gridCol w:w="1906"/>
        <w:gridCol w:w="211"/>
        <w:gridCol w:w="616"/>
        <w:gridCol w:w="109"/>
        <w:gridCol w:w="109"/>
        <w:gridCol w:w="109"/>
        <w:gridCol w:w="109"/>
        <w:gridCol w:w="211"/>
        <w:gridCol w:w="511"/>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related to operating lease obligations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Lease expense included in the accompanying condensed consolidated statements of comprehensive income is shown below (in millions):</w:t>
      </w:r>
    </w:p>
    <w:tbl>
      <w:tblPr>
        <w:tblW w:w="6689" w:type="dxa"/>
        <w:jc w:val="left"/>
        <w:tblInd w:w="0" w:type="dxa"/>
        <w:tblLayout w:type="fixed"/>
        <w:tblCellMar>
          <w:top w:w="28" w:type="dxa"/>
          <w:left w:w="28" w:type="dxa"/>
          <w:bottom w:w="28" w:type="dxa"/>
          <w:right w:w="28" w:type="dxa"/>
        </w:tblCellMar>
      </w:tblPr>
      <w:tblGrid>
        <w:gridCol w:w="771"/>
        <w:gridCol w:w="677"/>
        <w:gridCol w:w="681"/>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usage-based employee transportation costs of $11.4 million and $10.7 million in the three months ended July 4, 2026 and June 28, 2025, respectively, and $21.5 million and $21.0 million in the six months ended July 4, 2026 and June 28, 2025,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28, 2025, the Company recognized impairment charges of $0.1 million related to its right-of-use assets in conjunction with its restructuring actions (Note 2, "Restructuring"). The impairment charges are included in cost of sales in the accompanying condensed consolidated statement of comprehensive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weighted average lease term and discount rate for operating leases are shown below:</w:t>
      </w:r>
    </w:p>
    <w:tbl>
      <w:tblPr>
        <w:tblW w:w="4246" w:type="dxa"/>
        <w:jc w:val="left"/>
        <w:tblInd w:w="0" w:type="dxa"/>
        <w:tblLayout w:type="fixed"/>
        <w:tblCellMar>
          <w:top w:w="28" w:type="dxa"/>
          <w:left w:w="28" w:type="dxa"/>
          <w:bottom w:w="28" w:type="dxa"/>
          <w:right w:w="28" w:type="dxa"/>
        </w:tblCellMar>
      </w:tblPr>
      <w:tblGrid>
        <w:gridCol w:w="1198"/>
        <w:gridCol w:w="1055"/>
        <w:gridCol w:w="1062"/>
        <w:gridCol w:w="208"/>
        <w:gridCol w:w="198"/>
        <w:gridCol w:w="525"/>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Six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finance lease agreements, which are not material to the accompanying condensed consolidated financial statements (Note 7,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the Company's leases, see Note 6, "Leases," to the consolidated financial statements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(9) Pension and Other Postretirement Benefit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noncontributory defined benefit pension plans covering certain domestic employees and certain employees in foreign countries, principally Canada. The Company also has postretirement benefit plans covering certain domestic and Canadian retirees. The Company's postretirement benefit plans generally provide for the continuation of medical benefits for eligible retirees.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Periodic Pension Benefit Cost and Other Postretirement Benefit (Credit) Cost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net periodic pension benefit cost are shown below (in millions):</w:t>
      </w:r>
    </w:p>
    <w:tbl>
      <w:tblPr>
        <w:tblW w:w="10205" w:type="dxa"/>
        <w:jc w:val="left"/>
        <w:tblInd w:w="0" w:type="dxa"/>
        <w:tblLayout w:type="fixed"/>
        <w:tblCellMar>
          <w:top w:w="28" w:type="dxa"/>
          <w:left w:w="28" w:type="dxa"/>
          <w:bottom w:w="28" w:type="dxa"/>
          <w:right w:w="28" w:type="dxa"/>
        </w:tblCellMar>
      </w:tblPr>
      <w:tblGrid>
        <w:gridCol w:w="849"/>
        <w:gridCol w:w="609"/>
        <w:gridCol w:w="603"/>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6"/>
      </w:tblGrid>
      <w:tr>
        <w:trPr/>
        <w:tc>
          <w:tcPr>
            <w:tcW w:w="84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gain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net periodic other postretirement benefit (credit) cost are shown below (in millions):</w:t>
      </w:r>
    </w:p>
    <w:tbl>
      <w:tblPr>
        <w:tblW w:w="10205" w:type="dxa"/>
        <w:jc w:val="left"/>
        <w:tblInd w:w="0" w:type="dxa"/>
        <w:tblLayout w:type="fixed"/>
        <w:tblCellMar>
          <w:top w:w="28" w:type="dxa"/>
          <w:left w:w="28" w:type="dxa"/>
          <w:bottom w:w="28" w:type="dxa"/>
          <w:right w:w="28" w:type="dxa"/>
        </w:tblCellMar>
      </w:tblPr>
      <w:tblGrid>
        <w:gridCol w:w="689"/>
        <w:gridCol w:w="605"/>
        <w:gridCol w:w="612"/>
        <w:gridCol w:w="211"/>
        <w:gridCol w:w="444"/>
        <w:gridCol w:w="109"/>
        <w:gridCol w:w="109"/>
        <w:gridCol w:w="109"/>
        <w:gridCol w:w="109"/>
        <w:gridCol w:w="211"/>
        <w:gridCol w:w="406"/>
        <w:gridCol w:w="109"/>
        <w:gridCol w:w="109"/>
        <w:gridCol w:w="109"/>
        <w:gridCol w:w="109"/>
        <w:gridCol w:w="211"/>
        <w:gridCol w:w="444"/>
        <w:gridCol w:w="109"/>
        <w:gridCol w:w="109"/>
        <w:gridCol w:w="109"/>
        <w:gridCol w:w="109"/>
        <w:gridCol w:w="211"/>
        <w:gridCol w:w="406"/>
        <w:gridCol w:w="109"/>
        <w:gridCol w:w="109"/>
        <w:gridCol w:w="109"/>
        <w:gridCol w:w="109"/>
        <w:gridCol w:w="211"/>
        <w:gridCol w:w="444"/>
        <w:gridCol w:w="109"/>
        <w:gridCol w:w="109"/>
        <w:gridCol w:w="109"/>
        <w:gridCol w:w="109"/>
        <w:gridCol w:w="211"/>
        <w:gridCol w:w="406"/>
        <w:gridCol w:w="109"/>
        <w:gridCol w:w="109"/>
        <w:gridCol w:w="109"/>
        <w:gridCol w:w="109"/>
        <w:gridCol w:w="211"/>
        <w:gridCol w:w="444"/>
        <w:gridCol w:w="109"/>
        <w:gridCol w:w="109"/>
        <w:gridCol w:w="109"/>
        <w:gridCol w:w="109"/>
        <w:gridCol w:w="211"/>
        <w:gridCol w:w="406"/>
        <w:gridCol w:w="159"/>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(credit)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the Company's pension and other postretirement benefit plans, see Note 8, "Pension and Other Postretirement Benefit Plans," to the consolidated financial statements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(10) 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contracts with its customers to provide production parts generally at the beginning of a vehicle's life cycle. Typically, these contracts do not provide for a specified quantity of products, but once entered into, the Company is often expected to fulfill its customers' purchasing requirements for the production life of the vehicle. Many of these contracts may be terminated by the Company's customers at any time. Historically, terminations of these contracts have been infrequent. The Company receives purchase orders from its customers, which provide the commercial terms for a particular production part, including price (but not quantities). Contracts may also provide for annual price reductions over the production life of the vehicle, and prices may be adjusted on an ongoing basis to reflect changes in product content/cost and other commercial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at a point in time when control of the product is transferred to the customer under standard commercial terms, as the Company does not have an enforceable right to payment prior to such transfer. The amount of revenue recognized reflects the consideration that the Company expects to be entitled to in exchange for those products based on the current purchase orders, annual price reductions and ongoing price adjustments. In the first six months of 2026 and 2025, revenue recognized related to prior years represented approximately 1% of consolidated net sales (excluding the reversal of certain 2025 tariff recoveries in the first six months of 2026). The Company's customers pay for products received in accordance with payment terms that are customary within the industry. The Company's contracts with its customers do not have significant financing components.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a contract liability for advances received from its customers. As of July 4, 2026 and December 31, 2025, there were no significant contract liabilities recorded. Further, in the first six months of 2026 and 2025, there were no significant contract liabilities recognized in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Amounts billed to customers related to shipping and handling costs are included in net sales in the condensed consolidated statements of comprehensive income. Shipping and handling costs are accounted for as fulfillment costs and are included in cost of sales in the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Taxes assessed by a governmental authority that are both imposed on and concurrent with a specific revenue-producing transaction that are collected by the Company from a customer are excluded from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Company's revenue by reportable operating segment and geography is shown below (in millions):</w:t>
      </w:r>
    </w:p>
    <w:tbl>
      <w:tblPr>
        <w:tblW w:w="9785" w:type="dxa"/>
        <w:jc w:val="left"/>
        <w:tblInd w:w="0" w:type="dxa"/>
        <w:tblLayout w:type="fixed"/>
        <w:tblCellMar>
          <w:top w:w="28" w:type="dxa"/>
          <w:left w:w="28" w:type="dxa"/>
          <w:bottom w:w="28" w:type="dxa"/>
          <w:right w:w="28" w:type="dxa"/>
        </w:tblCellMar>
      </w:tblPr>
      <w:tblGrid>
        <w:gridCol w:w="575"/>
        <w:gridCol w:w="505"/>
        <w:gridCol w:w="5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Africa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95" w:type="dxa"/>
        <w:jc w:val="left"/>
        <w:tblInd w:w="0" w:type="dxa"/>
        <w:tblLayout w:type="fixed"/>
        <w:tblCellMar>
          <w:top w:w="28" w:type="dxa"/>
          <w:left w:w="28" w:type="dxa"/>
          <w:bottom w:w="28" w:type="dxa"/>
          <w:right w:w="28" w:type="dxa"/>
        </w:tblCellMar>
      </w:tblPr>
      <w:tblGrid>
        <w:gridCol w:w="575"/>
        <w:gridCol w:w="505"/>
        <w:gridCol w:w="509"/>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766"/>
        <w:gridCol w:w="109"/>
        <w:gridCol w:w="109"/>
        <w:gridCol w:w="109"/>
        <w:gridCol w:w="109"/>
        <w:gridCol w:w="211"/>
        <w:gridCol w:w="766"/>
        <w:gridCol w:w="109"/>
        <w:gridCol w:w="109"/>
        <w:gridCol w:w="109"/>
        <w:gridCol w:w="109"/>
        <w:gridCol w:w="211"/>
        <w:gridCol w:w="871"/>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Africa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(11) Other Expense,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other expense, net is shown below (in millions):</w:t>
      </w:r>
    </w:p>
    <w:tbl>
      <w:tblPr>
        <w:tblW w:w="5969" w:type="dxa"/>
        <w:jc w:val="left"/>
        <w:tblInd w:w="0" w:type="dxa"/>
        <w:tblLayout w:type="fixed"/>
        <w:tblCellMar>
          <w:top w:w="28" w:type="dxa"/>
          <w:left w:w="28" w:type="dxa"/>
          <w:bottom w:w="28" w:type="dxa"/>
          <w:right w:w="28" w:type="dxa"/>
        </w:tblCellMar>
      </w:tblPr>
      <w:tblGrid>
        <w:gridCol w:w="587"/>
        <w:gridCol w:w="514"/>
        <w:gridCol w:w="51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and six months ended July 4, 2026, other expense includes net foreign currency transaction losses of $8.8 million and $13.7 million, respectively, including losses of $0.8 million and $0.5 million, respectively, related to the hyper-inflationary environment in Argentina.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June 28, 2025, other expense includes net foreign currency transaction losses of $7.3 million and $17.3 million, respectively, including losses of $3.0 million and $4.6 million, respectively, related to the hyper-inflationary environment in Argentina. In the six months ended June 28, 2025, other expense also includes a loss of $3.3 million related to the disposal of a non-core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(12) Income Taxes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provision for income taxes and the corresponding effective tax rate for the three and six months ended July 4, 2026 and June 28, 2025, is shown below (in millions, except effective tax rates):</w:t>
      </w:r>
    </w:p>
    <w:tbl>
      <w:tblPr>
        <w:tblW w:w="9932" w:type="dxa"/>
        <w:jc w:val="left"/>
        <w:tblInd w:w="0" w:type="dxa"/>
        <w:tblLayout w:type="fixed"/>
        <w:tblCellMar>
          <w:top w:w="28" w:type="dxa"/>
          <w:left w:w="28" w:type="dxa"/>
          <w:bottom w:w="28" w:type="dxa"/>
          <w:right w:w="28" w:type="dxa"/>
        </w:tblCellMar>
      </w:tblPr>
      <w:tblGrid>
        <w:gridCol w:w="1634"/>
        <w:gridCol w:w="1437"/>
        <w:gridCol w:w="1443"/>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before equity in net income of affiliates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is impacted by the level and mix of earnings among tax jurisdictions. In addition, the Company recognized discrete tax benefits (expense) on the significant items shown below (in millions):</w:t>
      </w:r>
    </w:p>
    <w:tbl>
      <w:tblPr>
        <w:tblW w:w="5859" w:type="dxa"/>
        <w:jc w:val="left"/>
        <w:tblInd w:w="0" w:type="dxa"/>
        <w:tblLayout w:type="fixed"/>
        <w:tblCellMar>
          <w:top w:w="28" w:type="dxa"/>
          <w:left w:w="28" w:type="dxa"/>
          <w:bottom w:w="28" w:type="dxa"/>
          <w:right w:w="28" w:type="dxa"/>
        </w:tblCellMar>
      </w:tblPr>
      <w:tblGrid>
        <w:gridCol w:w="1386"/>
        <w:gridCol w:w="1218"/>
        <w:gridCol w:w="1221"/>
        <w:gridCol w:w="211"/>
        <w:gridCol w:w="511"/>
        <w:gridCol w:w="109"/>
        <w:gridCol w:w="109"/>
        <w:gridCol w:w="109"/>
        <w:gridCol w:w="109"/>
        <w:gridCol w:w="211"/>
        <w:gridCol w:w="51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and various other items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reserves and audit settlements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allowances on deferred tax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Excluding the items above, the effective tax rate for the first six months of 2026 and 2025 approximated the U.S. federal statutory income tax rate of 21%, adjusted for income taxes on foreign earnings, losses and remittances, valuation allowances, tax credits, income tax incentives and other permanent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current and future provision for income taxes is impacted by the initial recognition of and changes in valuation allowances in certain countries. The Company intends to maintain these allowances until it is more likely than not that the deferred tax assets will be realized. The Company's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The Company evaluates the realizability of its deferred tax assets on a quarterly basis. In completing this evaluation, the Company considers all available evidence in order to determine whether, based on the weight of the evidence, a valuation allowance for its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 based on the weight of the evidence, it is more likely than not that all or a portion of the Company's deferred tax assets will not be realized, a valuation allowance is recorded. If operating results improve or decline on a continual basis in a particular jurisdiction, the Company's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the Company makes certain estimates and judgments, which affect its evaluation of the carrying value of its deferred tax assets, as well as its calculation of certain tax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related to the Company's income taxes, see Note 7, "Income Taxes," to the consolidated financial statements included in the Company's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(13) Net Income Per Share Attributable to Lear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Lear is computed by dividing net income attributable to Lear by the average number of common shares outstanding during the period. Common shares issuable upon the satisfaction of certain conditions pursuant to a contractual agreement are considered common shares outstanding and are included in the computation of basic net income per share attributable to Lear.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Lear is computed using the treasury stock method by dividing net income attributable to Lear by the average number of common shares outstanding, including the dilutive effect of common stock equivalents using the average share price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information used to compute basic and diluted net income per share attributable to Lear is shown below (in millions, except share and per share data):</w:t>
      </w:r>
    </w:p>
    <w:tbl>
      <w:tblPr>
        <w:tblW w:w="9836" w:type="dxa"/>
        <w:jc w:val="left"/>
        <w:tblInd w:w="0" w:type="dxa"/>
        <w:tblLayout w:type="fixed"/>
        <w:tblCellMar>
          <w:top w:w="28" w:type="dxa"/>
          <w:left w:w="28" w:type="dxa"/>
          <w:bottom w:w="28" w:type="dxa"/>
          <w:right w:w="28" w:type="dxa"/>
        </w:tblCellMar>
      </w:tblPr>
      <w:tblGrid>
        <w:gridCol w:w="1467"/>
        <w:gridCol w:w="1287"/>
        <w:gridCol w:w="1296"/>
        <w:gridCol w:w="275"/>
        <w:gridCol w:w="806"/>
        <w:gridCol w:w="109"/>
        <w:gridCol w:w="109"/>
        <w:gridCol w:w="109"/>
        <w:gridCol w:w="109"/>
        <w:gridCol w:w="275"/>
        <w:gridCol w:w="806"/>
        <w:gridCol w:w="109"/>
        <w:gridCol w:w="109"/>
        <w:gridCol w:w="109"/>
        <w:gridCol w:w="109"/>
        <w:gridCol w:w="275"/>
        <w:gridCol w:w="806"/>
        <w:gridCol w:w="109"/>
        <w:gridCol w:w="109"/>
        <w:gridCol w:w="109"/>
        <w:gridCol w:w="109"/>
        <w:gridCol w:w="275"/>
        <w:gridCol w:w="80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Lear</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53,839,060 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common stock equivalents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diluted shares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54,056,107 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54,140,315 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Lear</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Lear</w:t>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(14) Comprehensive Income and Equity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Comprehensive Income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Comprehensive income is defined as all changes in the Company's net assets except changes resulting from transactions with shareholders. It differs from net income in that certain items recorded in equity are included in comprehensive income.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changes in accumulated other comprehensive loss, net of tax, in the three and six months ended July 4, 2026, is shown below (in millions):</w:t>
      </w:r>
    </w:p>
    <w:tbl>
      <w:tblPr>
        <w:tblW w:w="10205" w:type="dxa"/>
        <w:jc w:val="left"/>
        <w:tblInd w:w="0" w:type="dxa"/>
        <w:tblLayout w:type="fixed"/>
        <w:tblCellMar>
          <w:top w:w="28" w:type="dxa"/>
          <w:left w:w="28" w:type="dxa"/>
          <w:bottom w:w="28" w:type="dxa"/>
          <w:right w:w="28" w:type="dxa"/>
        </w:tblCellMar>
      </w:tblPr>
      <w:tblGrid>
        <w:gridCol w:w="2672"/>
        <w:gridCol w:w="2008"/>
        <w:gridCol w:w="2019"/>
        <w:gridCol w:w="342"/>
        <w:gridCol w:w="1086"/>
        <w:gridCol w:w="177"/>
        <w:gridCol w:w="109"/>
        <w:gridCol w:w="109"/>
        <w:gridCol w:w="109"/>
        <w:gridCol w:w="320"/>
        <w:gridCol w:w="1016"/>
        <w:gridCol w:w="238"/>
      </w:tblGrid>
      <w:tr>
        <w:trPr/>
        <w:tc>
          <w:tcPr>
            <w:tcW w:w="267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2026</w:t>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recognized during the period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and hedging:</w:t>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(net of tax benefit of $9.7 million and $17.3 million in the three and six months ended July 4, 2026, respectively)</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recognized during the period (net of tax expense of $17.7 million and $25.6 million in the three and six months ended July 4, 2026, respectively)</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recognized during the period (net of tax expense of $1.9 million and $1.5 million in the three and six months ended July 4, 2026, respectively)</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w:t>
            </w:r>
          </w:p>
        </w:tc>
        <w:tc>
          <w:tcPr>
            <w:tcW w:w="3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w:t>
            </w:r>
          </w:p>
        </w:tc>
        <w:tc>
          <w:tcPr>
            <w:tcW w:w="1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w:t>
            </w:r>
          </w:p>
        </w:tc>
        <w:tc>
          <w:tcPr>
            <w:tcW w:w="2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July 4, 2026, foreign currency translation adjustments are primarily related to the weakening of the Euro, relative to the U.S. dollar, offset by the strengthening of the Chinese renminbi, and include pretax losses of $3.1 million related to intercompany transactions for which settlement is not planned or anticipated in the foreseeable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4, 2026, foreign currency translation adjustments are primarily related to the weakening of the Euro, relative to the U.S. dollar, offset by the strengthening of the Chinese renminbi and, to a lesser extent, the Brazilian real, and include pretax losses $3.2 million related to intercompany transactions for which settlement is not planned or anticipated in the foreseeable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July 4, 2026, foreign currency translation adjustments also include net investment hedge gains of $0.2 million and $6.9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changes in accumulated other comprehensive loss, net of tax, in the three and six months ended June 28, 2025, is shown below (in millions):</w:t>
      </w:r>
    </w:p>
    <w:tbl>
      <w:tblPr>
        <w:tblW w:w="10205" w:type="dxa"/>
        <w:jc w:val="left"/>
        <w:tblInd w:w="0" w:type="dxa"/>
        <w:tblLayout w:type="fixed"/>
        <w:tblCellMar>
          <w:top w:w="28" w:type="dxa"/>
          <w:left w:w="28" w:type="dxa"/>
          <w:bottom w:w="28" w:type="dxa"/>
          <w:right w:w="28" w:type="dxa"/>
        </w:tblCellMar>
      </w:tblPr>
      <w:tblGrid>
        <w:gridCol w:w="2652"/>
        <w:gridCol w:w="1984"/>
        <w:gridCol w:w="1996"/>
        <w:gridCol w:w="349"/>
        <w:gridCol w:w="1109"/>
        <w:gridCol w:w="180"/>
        <w:gridCol w:w="109"/>
        <w:gridCol w:w="109"/>
        <w:gridCol w:w="109"/>
        <w:gridCol w:w="327"/>
        <w:gridCol w:w="1038"/>
        <w:gridCol w:w="243"/>
      </w:tblGrid>
      <w:tr>
        <w:trPr/>
        <w:tc>
          <w:tcPr>
            <w:tcW w:w="2652"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6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1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(net of tax benefit of $1.0 million and $1.1 million in the three and six months ended June 28, 2025, respectively)</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recognized during the period</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and hedging:</w:t>
            </w:r>
          </w:p>
        </w:tc>
        <w:tc>
          <w:tcPr>
            <w:tcW w:w="16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(net of tax expense of $0.2 million and $2.9 million in the three and six months ended June 28, 2025, respectively)</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recognized during the period (net of tax expense of $31.7 million and $49.1 million in the three and six months ended June 28, 2025, respectively)</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recognized during the period (net of tax benefit of $3.8 million and $5.1 million in the three and six months ended June 28, 2025, respectively)</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w:t>
            </w:r>
          </w:p>
        </w:tc>
        <w:tc>
          <w:tcPr>
            <w:tcW w:w="3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w:t>
            </w:r>
          </w:p>
        </w:tc>
        <w:tc>
          <w:tcPr>
            <w:tcW w:w="1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w:t>
            </w:r>
          </w:p>
        </w:tc>
        <w:tc>
          <w:tcPr>
            <w:tcW w:w="2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June 28, 2025, foreign currency translation adjustments are primarily related to the strengthening of the Euro and, to a lesser extent, the Brazilian real and the Chinese renminbi, relative to the U.S. dollar.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and six months ended June 28, 2025, foreign currency translation adjustments also include net investment hedge losses of $18.1 million and $24.2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regarding reclassification adjustments related to the Company's defined benefit plans, see Note 9, "Pension and Other Postretirement Benefit Plans." For further information regarding reclassification adjustments related to the Company's derivative and hedging activities, see Note 17, "Financial Instruments."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Lear Corporation Shareholders' Equity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Common Stock Share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implement share repurchases through a variety of methods, including, but not limited to, open market purchases, accelerated stock repurchase programs and structured repurchase transactions. The extent to which the Company may repurchase its outstanding common stock and the timing of such repurchases will depend upon its financial condition, results of operations, capital requirements, prevailing market conditions, alternative uses of capital and other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 common stock share repurchase program (the "Repurchase Program") which permits the discretionary repurchase of its common stock. Since the inception of the Repurchase Program in the first quarter of 2011, the Company's Board of Directors (the "Board") has authorized $6.7 billion in share repurchases. As of July 4, 2026, the Company has repurchased, in aggregate, $6.1 billion of its outstanding common stock, at an average price of $95.72 per share, excluding commissions and related fees, and has a remaining repurchase authorization of $599.7 million, which expires on December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Share repurchases and the remaining repurchase authorization are shown below (in millions, except for share and per share amounts):</w:t>
      </w:r>
    </w:p>
    <w:tbl>
      <w:tblPr>
        <w:tblW w:w="10205" w:type="dxa"/>
        <w:jc w:val="left"/>
        <w:tblInd w:w="0" w:type="dxa"/>
        <w:tblLayout w:type="fixed"/>
        <w:tblCellMar>
          <w:top w:w="28" w:type="dxa"/>
          <w:left w:w="28" w:type="dxa"/>
          <w:bottom w:w="28" w:type="dxa"/>
          <w:right w:w="28" w:type="dxa"/>
        </w:tblCellMar>
      </w:tblPr>
      <w:tblGrid>
        <w:gridCol w:w="402"/>
        <w:gridCol w:w="1099"/>
        <w:gridCol w:w="195"/>
        <w:gridCol w:w="109"/>
        <w:gridCol w:w="109"/>
        <w:gridCol w:w="109"/>
        <w:gridCol w:w="414"/>
        <w:gridCol w:w="1216"/>
        <w:gridCol w:w="216"/>
        <w:gridCol w:w="109"/>
        <w:gridCol w:w="109"/>
        <w:gridCol w:w="109"/>
        <w:gridCol w:w="488"/>
        <w:gridCol w:w="488"/>
        <w:gridCol w:w="397"/>
        <w:gridCol w:w="109"/>
        <w:gridCol w:w="109"/>
        <w:gridCol w:w="109"/>
        <w:gridCol w:w="353"/>
        <w:gridCol w:w="1208"/>
        <w:gridCol w:w="182"/>
        <w:gridCol w:w="109"/>
        <w:gridCol w:w="109"/>
        <w:gridCol w:w="109"/>
        <w:gridCol w:w="500"/>
        <w:gridCol w:w="1392"/>
        <w:gridCol w:w="347"/>
      </w:tblGrid>
      <w:tr>
        <w:trPr/>
        <w:tc>
          <w:tcPr>
            <w:tcW w:w="40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6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4, 2026</w:t>
            </w:r>
          </w:p>
        </w:tc>
      </w:tr>
      <w:tr>
        <w:trPr/>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Aggregate Repurchases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Cash Paid for Repurchases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per Share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Purchase Authorization</w:t>
            </w:r>
          </w:p>
        </w:tc>
      </w:tr>
      <w:tr>
        <w:trPr/>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1,366,677 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excise tax and commissions.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shares repurchased under the Repurchase Program described above, the Company classifies shares withheld from the settlement of the Company's restricted stock unit and performance share awards to cover tax withholding requirements as common stock held in treasury in the condensed consolidated balance sheets.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Quarterly Dividend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Board declared a quarterly cash dividend of $0.77 per share of common stock in the first and second quarters of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Dividends declared and paid are shown below (in millions):</w:t>
      </w:r>
    </w:p>
    <w:tbl>
      <w:tblPr>
        <w:tblW w:w="3729" w:type="dxa"/>
        <w:jc w:val="left"/>
        <w:tblInd w:w="0" w:type="dxa"/>
        <w:tblLayout w:type="fixed"/>
        <w:tblCellMar>
          <w:top w:w="28" w:type="dxa"/>
          <w:left w:w="28" w:type="dxa"/>
          <w:bottom w:w="28" w:type="dxa"/>
          <w:right w:w="28" w:type="dxa"/>
        </w:tblCellMar>
      </w:tblPr>
      <w:tblGrid>
        <w:gridCol w:w="614"/>
        <w:gridCol w:w="540"/>
        <w:gridCol w:w="541"/>
        <w:gridCol w:w="211"/>
        <w:gridCol w:w="511"/>
        <w:gridCol w:w="109"/>
        <w:gridCol w:w="109"/>
        <w:gridCol w:w="109"/>
        <w:gridCol w:w="109"/>
        <w:gridCol w:w="211"/>
        <w:gridCol w:w="51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Dividends payable on shares of common stock to be distributed under the Company's stock-based compensation program will be paid when such shares are distributed.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(15) Legal and Other Contingencies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the Company had recorded reserves for pending legal disputes, including commercial disputes, product liability claims and other legal matters, of $15.5 million and $13.8 million, respectively. Such reserves reflect amounts recognized in accordance with GAAP and typically exclude the cost of legal representation. Reserves for warranty and recall matters are recorded separately from legal reserves, as described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Commercial Disputes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from time to time in legal proceedings and claims, including, without limitation, commercial or contractual disputes with its customers, suppliers and competitors. These disputes vary in nature and are usually resolved by negotiations between the parties.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Liability, Warranty and Recall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use of the Company's products results in, or is alleged to result in, bodily injury and/or property damage or other losses, the Company may be subject to product liability lawsuits and other claims. Such lawsuits generally seek compensatory damages, punitive damages and attorneys' fees and costs. In addition, if any of the Company's products are, or are alleged to be, defective, the Company may be required or requested by its customers to support warranty costs or to participate in a recall or other corrective action involving such products. The Company is party to agreements with certain of its customers, whereby these customers may pursue claims against the Company for contribution of all or a portion of the amounts sought in connection with warranty and recall matters, and certain of the Company's customers have asserted such claims against the Company. The Company can provide no assurances that it will not experience material claims in the future or that it will not incur significant costs to defend such claims.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instances, allegedly defective products may be supplied by the Company's suppliers. The Company may seek recovery from its suppliers of materials or services included within the Company's products that are associated with product liability claims or warranty and recall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carries insurance for certain legal matters, including product liability claims, but such coverage may be limited. The Company does not maintain insurance for warranty and recall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records reserves for warranty and recall matters when liability is probable and related amounts are reasonably estimable.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reserves for warranty and recall matters in the six months ended July 4, 2026, is shown below (in millions):</w:t>
      </w:r>
    </w:p>
    <w:tbl>
      <w:tblPr>
        <w:tblW w:w="4700" w:type="dxa"/>
        <w:jc w:val="left"/>
        <w:tblInd w:w="0" w:type="dxa"/>
        <w:tblLayout w:type="fixed"/>
        <w:tblCellMar>
          <w:top w:w="28" w:type="dxa"/>
          <w:left w:w="28" w:type="dxa"/>
          <w:bottom w:w="28" w:type="dxa"/>
          <w:right w:w="28" w:type="dxa"/>
        </w:tblCellMar>
      </w:tblPr>
      <w:tblGrid>
        <w:gridCol w:w="1386"/>
        <w:gridCol w:w="1214"/>
        <w:gridCol w:w="1224"/>
        <w:gridCol w:w="211"/>
        <w:gridCol w:w="51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net (including changes in estimates)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subject to local, state, federal and foreign laws, regulations and ordinances which govern activities or operations that may have or have had adverse environmental effects. These regulations impose liability for clean-up costs resulting from past spills, disposals or other releases of hazardous wastes and environmental compliance. The Company's policy is to comply with all applicable environmental laws and to maintain an environmental management program based on ISO 14001 to ensure compliance with this standard. However, the Company currently is, has been and in the future may become, the subject of formal or informal enforcement actions or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the Company had recorded environmental reserves of $4.8 million and $4.9 million, respectively. The Company does not believe that the environmental liabilities associated with its current and former properties will have a material adverse impact on its business, financial condition, results of operations or cash flows; however, no assurances can be given in this regard.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from time to time in various other legal proceedings and claims, including, without limitation, intellectual property matters, tax claims and employment matters. Although the outcome of any legal matter cannot be predicted with certainty, the Company does not believe that any of the other legal proceedings or claims in which the Company is currently involved, either individually or in the aggregate, will have a material adverse impact on its business, financial condition, results of operations or cash flows. However, no assurances can be given in this regard.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records reserves for legal disputes, warranty and recall matters, and environmental and other matters in accordance with GAAP, the ultimate outcomes of these matters are inherently uncertain. Actual results may differ significantly from current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(16) Segment Reporting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organized under two reportable operating segments: Seating and E-Systems. Each of these segments has a varied product and technology portfolio across a number of component categories. Further, the Company continuously evaluates this portfolio, aligning it with industry trends while balancing risk-adjusted returns, which allows the Company to offer value-added solutions to its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Seating segment consists of the design, development, engineering and manufacture of complete seat systems and key seat components. The Company's capabilities in operations and supply chain management enable synchronized assembly and just-in-time delivery of complex complete seat systems at high volumes to its customers.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Thermal comfort systems are facilitated by the Company's seat system, component and integration capabilities, together with the Company's competencies in electronics, sensors, software and algorithms.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E-Systems segment consists of the design, development, engineering and manufacture of complete electrical distribution and connection systems; high-voltage power distribution products, including BDUs; and low-voltage power distribution products and electronic controllers.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the Company's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High-voltage power distribution products control the flow and distribution of high-voltage power throughout electric and hybrid vehicles and include BDUs, which control all electrical energy flowing into and out of high-voltage batteries in electrified vehicles.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The Company's software offerings include embedded control, cybersecurity software and software to control hardware devices. The Company's customers traditionally have sourced the Company's electronic hardware together with the software that the Company integrates and embeds in 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other category includes unallocated costs related to corporate headquarters, regional headquarters and the elimination of intercompany activities, including intersegment revenues and cost of sales, none of which meets the requirements for being classified as an operating segment. Corporate and regional headquarters costs include various support functions, such as information technology, corporate finance, legal, executive administration and human resources. Such costs are reflected in the operating segment results to the extent they are directly attributable to an operating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Raymond E. Scott, President and Chief Executive Officer. Each of the Company's operating segments reports its results from operations and makes its requests for capital expenditures directly to the CODM. The CODM assesses the operating performance of each segment based on segment earnings (as defined below), which is driven primarily by automotive production volumes in the geographic regions in which it operates, as well as by the success of the vehicle platforms for which it supplies products. Also, each operating segment operates in the competitive Tier 1 automotive supplier environment and is continually working with its customers to manage costs and improve quality. The Company's production processes generally make use of an hourly workforce, dedicated facilities, sequential manufacturing and assembly processes and commodity raw materials.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CODM evaluates the performance of its operating segments based primarily on (i) revenues from external customers, (ii) pretax income before equity in net income of affiliates, interest expense, net and other expense, net ("segment earnings") and (iii) cash flows, being defined as segment earnings less capital expenditures plus 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Company's operating segments are the same as those described in this note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earnings to consolidated income before provision for income taxes and equity in net income of affiliates is shown below (in millions):</w:t>
      </w:r>
    </w:p>
    <w:tbl>
      <w:tblPr>
        <w:tblW w:w="10205" w:type="dxa"/>
        <w:jc w:val="left"/>
        <w:tblInd w:w="0" w:type="dxa"/>
        <w:tblLayout w:type="fixed"/>
        <w:tblCellMar>
          <w:top w:w="28" w:type="dxa"/>
          <w:left w:w="28" w:type="dxa"/>
          <w:bottom w:w="28" w:type="dxa"/>
          <w:right w:w="28" w:type="dxa"/>
        </w:tblCellMar>
      </w:tblPr>
      <w:tblGrid>
        <w:gridCol w:w="1898"/>
        <w:gridCol w:w="1513"/>
        <w:gridCol w:w="1523"/>
        <w:gridCol w:w="211"/>
        <w:gridCol w:w="766"/>
        <w:gridCol w:w="109"/>
        <w:gridCol w:w="109"/>
        <w:gridCol w:w="109"/>
        <w:gridCol w:w="109"/>
        <w:gridCol w:w="211"/>
        <w:gridCol w:w="766"/>
        <w:gridCol w:w="109"/>
        <w:gridCol w:w="109"/>
        <w:gridCol w:w="109"/>
        <w:gridCol w:w="109"/>
        <w:gridCol w:w="211"/>
        <w:gridCol w:w="665"/>
        <w:gridCol w:w="109"/>
        <w:gridCol w:w="109"/>
        <w:gridCol w:w="109"/>
        <w:gridCol w:w="109"/>
        <w:gridCol w:w="211"/>
        <w:gridCol w:w="766"/>
        <w:gridCol w:w="156"/>
      </w:tblGrid>
      <w:tr>
        <w:trPr/>
        <w:tc>
          <w:tcPr>
            <w:tcW w:w="1898"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4, 2026</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support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earnings</w:t>
            </w:r>
            <w:r>
              <w:rPr>
                <w:color w:val="000000"/>
              </w:rPr>
              <w:t xml:space="preserv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segment earnings: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provision for income taxes and equity in net income of affiliates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31"/>
        <w:gridCol w:w="1549"/>
        <w:gridCol w:w="1558"/>
        <w:gridCol w:w="211"/>
        <w:gridCol w:w="766"/>
        <w:gridCol w:w="109"/>
        <w:gridCol w:w="109"/>
        <w:gridCol w:w="109"/>
        <w:gridCol w:w="109"/>
        <w:gridCol w:w="211"/>
        <w:gridCol w:w="766"/>
        <w:gridCol w:w="109"/>
        <w:gridCol w:w="109"/>
        <w:gridCol w:w="109"/>
        <w:gridCol w:w="109"/>
        <w:gridCol w:w="211"/>
        <w:gridCol w:w="561"/>
        <w:gridCol w:w="109"/>
        <w:gridCol w:w="109"/>
        <w:gridCol w:w="109"/>
        <w:gridCol w:w="109"/>
        <w:gridCol w:w="211"/>
        <w:gridCol w:w="766"/>
        <w:gridCol w:w="156"/>
      </w:tblGrid>
      <w:tr>
        <w:trPr/>
        <w:tc>
          <w:tcPr>
            <w:tcW w:w="1931"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5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support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earnings</w:t>
            </w:r>
            <w:r>
              <w:rPr>
                <w:color w:val="000000"/>
              </w:rPr>
              <w:t xml:space="preserv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segment earnings: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provision for income taxes and equity in net income of affiliates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864"/>
        <w:gridCol w:w="1478"/>
        <w:gridCol w:w="1487"/>
        <w:gridCol w:w="211"/>
        <w:gridCol w:w="766"/>
        <w:gridCol w:w="109"/>
        <w:gridCol w:w="109"/>
        <w:gridCol w:w="109"/>
        <w:gridCol w:w="109"/>
        <w:gridCol w:w="211"/>
        <w:gridCol w:w="766"/>
        <w:gridCol w:w="109"/>
        <w:gridCol w:w="109"/>
        <w:gridCol w:w="109"/>
        <w:gridCol w:w="109"/>
        <w:gridCol w:w="211"/>
        <w:gridCol w:w="664"/>
        <w:gridCol w:w="109"/>
        <w:gridCol w:w="109"/>
        <w:gridCol w:w="109"/>
        <w:gridCol w:w="109"/>
        <w:gridCol w:w="211"/>
        <w:gridCol w:w="871"/>
        <w:gridCol w:w="157"/>
      </w:tblGrid>
      <w:tr>
        <w:trPr/>
        <w:tc>
          <w:tcPr>
            <w:tcW w:w="186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2026</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support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earnings</w:t>
            </w:r>
            <w:r>
              <w:rPr>
                <w:color w:val="000000"/>
              </w:rPr>
              <w:t xml:space="preserv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segment earnings: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provision for income taxes and equity in net income of affiliates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64"/>
        <w:gridCol w:w="1478"/>
        <w:gridCol w:w="1487"/>
        <w:gridCol w:w="211"/>
        <w:gridCol w:w="766"/>
        <w:gridCol w:w="109"/>
        <w:gridCol w:w="109"/>
        <w:gridCol w:w="109"/>
        <w:gridCol w:w="109"/>
        <w:gridCol w:w="211"/>
        <w:gridCol w:w="766"/>
        <w:gridCol w:w="109"/>
        <w:gridCol w:w="109"/>
        <w:gridCol w:w="109"/>
        <w:gridCol w:w="109"/>
        <w:gridCol w:w="211"/>
        <w:gridCol w:w="664"/>
        <w:gridCol w:w="109"/>
        <w:gridCol w:w="109"/>
        <w:gridCol w:w="109"/>
        <w:gridCol w:w="109"/>
        <w:gridCol w:w="211"/>
        <w:gridCol w:w="871"/>
        <w:gridCol w:w="157"/>
      </w:tblGrid>
      <w:tr>
        <w:trPr/>
        <w:tc>
          <w:tcPr>
            <w:tcW w:w="186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Intersegment revenues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support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earnings</w:t>
            </w:r>
            <w:r>
              <w:rPr>
                <w:color w:val="000000"/>
              </w:rPr>
              <w:t xml:space="preserve"> </w:t>
            </w:r>
            <w:r>
              <w:rPr>
                <w:rFonts w:ascii="Times New Roman;serif" w:hAnsi="Times New Roman;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segment earnings: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provision for income taxes and equity in net income of affiliates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Intersegment transactions are accounted for at values comparable to unaffiliated third-party transactions.</w:t>
      </w:r>
    </w:p>
    <w:p>
      <w:pPr>
        <w:pStyle w:val="TextBody"/>
        <w:bidi w:val="0"/>
        <w:spacing w:lineRule="auto" w:line="288" w:before="0" w:after="0"/>
        <w:ind w:left="0" w:right="0" w:hanging="180"/>
        <w:jc w:val="left"/>
        <w:rPr/>
      </w:pPr>
      <w:r>
        <w:rPr>
          <w:rFonts w:ascii="Times New Roman;serif" w:hAnsi="Times New Roman;serif"/>
          <w:b w:val="false"/>
          <w:color w:val="000000"/>
          <w:sz w:val="10"/>
        </w:rPr>
        <w:t>(2)     </w:t>
      </w:r>
      <w:r>
        <w:rPr>
          <w:rFonts w:ascii="Times New Roman;serif" w:hAnsi="Times New Roman;serif"/>
          <w:b w:val="false"/>
          <w:color w:val="000000"/>
          <w:sz w:val="16"/>
        </w:rPr>
        <w:t>The significant expense categories and amounts align with the segment-level information that is regularly provided to the CODM. Intersegment expenses are included within the amounts shown.</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See definition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Other segment related disclosures are shown below (in millions):</w:t>
      </w:r>
    </w:p>
    <w:tbl>
      <w:tblPr>
        <w:tblW w:w="6290" w:type="dxa"/>
        <w:jc w:val="left"/>
        <w:tblInd w:w="0" w:type="dxa"/>
        <w:tblLayout w:type="fixed"/>
        <w:tblCellMar>
          <w:top w:w="28" w:type="dxa"/>
          <w:left w:w="28" w:type="dxa"/>
          <w:bottom w:w="28" w:type="dxa"/>
          <w:right w:w="28" w:type="dxa"/>
        </w:tblCellMar>
      </w:tblPr>
      <w:tblGrid>
        <w:gridCol w:w="657"/>
        <w:gridCol w:w="578"/>
        <w:gridCol w:w="580"/>
        <w:gridCol w:w="211"/>
        <w:gridCol w:w="511"/>
        <w:gridCol w:w="109"/>
        <w:gridCol w:w="109"/>
        <w:gridCol w:w="109"/>
        <w:gridCol w:w="109"/>
        <w:gridCol w:w="213"/>
        <w:gridCol w:w="517"/>
        <w:gridCol w:w="111"/>
        <w:gridCol w:w="109"/>
        <w:gridCol w:w="109"/>
        <w:gridCol w:w="109"/>
        <w:gridCol w:w="211"/>
        <w:gridCol w:w="406"/>
        <w:gridCol w:w="109"/>
        <w:gridCol w:w="109"/>
        <w:gridCol w:w="109"/>
        <w:gridCol w:w="109"/>
        <w:gridCol w:w="235"/>
        <w:gridCol w:w="688"/>
        <w:gridCol w:w="173"/>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4, 2026</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657"/>
        <w:gridCol w:w="578"/>
        <w:gridCol w:w="580"/>
        <w:gridCol w:w="211"/>
        <w:gridCol w:w="511"/>
        <w:gridCol w:w="109"/>
        <w:gridCol w:w="109"/>
        <w:gridCol w:w="109"/>
        <w:gridCol w:w="109"/>
        <w:gridCol w:w="213"/>
        <w:gridCol w:w="517"/>
        <w:gridCol w:w="111"/>
        <w:gridCol w:w="109"/>
        <w:gridCol w:w="109"/>
        <w:gridCol w:w="109"/>
        <w:gridCol w:w="211"/>
        <w:gridCol w:w="406"/>
        <w:gridCol w:w="109"/>
        <w:gridCol w:w="109"/>
        <w:gridCol w:w="109"/>
        <w:gridCol w:w="109"/>
        <w:gridCol w:w="235"/>
        <w:gridCol w:w="688"/>
        <w:gridCol w:w="173"/>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80" w:type="dxa"/>
        <w:jc w:val="left"/>
        <w:tblInd w:w="0" w:type="dxa"/>
        <w:tblLayout w:type="fixed"/>
        <w:tblCellMar>
          <w:top w:w="28" w:type="dxa"/>
          <w:left w:w="28" w:type="dxa"/>
          <w:bottom w:w="28" w:type="dxa"/>
          <w:right w:w="28" w:type="dxa"/>
        </w:tblCellMar>
      </w:tblPr>
      <w:tblGrid>
        <w:gridCol w:w="657"/>
        <w:gridCol w:w="578"/>
        <w:gridCol w:w="580"/>
        <w:gridCol w:w="211"/>
        <w:gridCol w:w="616"/>
        <w:gridCol w:w="109"/>
        <w:gridCol w:w="109"/>
        <w:gridCol w:w="109"/>
        <w:gridCol w:w="109"/>
        <w:gridCol w:w="223"/>
        <w:gridCol w:w="543"/>
        <w:gridCol w:w="111"/>
        <w:gridCol w:w="109"/>
        <w:gridCol w:w="109"/>
        <w:gridCol w:w="109"/>
        <w:gridCol w:w="261"/>
        <w:gridCol w:w="505"/>
        <w:gridCol w:w="109"/>
        <w:gridCol w:w="109"/>
        <w:gridCol w:w="109"/>
        <w:gridCol w:w="109"/>
        <w:gridCol w:w="235"/>
        <w:gridCol w:w="688"/>
        <w:gridCol w:w="173"/>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4, 2026</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80" w:type="dxa"/>
        <w:jc w:val="left"/>
        <w:tblInd w:w="0" w:type="dxa"/>
        <w:tblLayout w:type="fixed"/>
        <w:tblCellMar>
          <w:top w:w="28" w:type="dxa"/>
          <w:left w:w="28" w:type="dxa"/>
          <w:bottom w:w="28" w:type="dxa"/>
          <w:right w:w="28" w:type="dxa"/>
        </w:tblCellMar>
      </w:tblPr>
      <w:tblGrid>
        <w:gridCol w:w="657"/>
        <w:gridCol w:w="578"/>
        <w:gridCol w:w="580"/>
        <w:gridCol w:w="211"/>
        <w:gridCol w:w="616"/>
        <w:gridCol w:w="109"/>
        <w:gridCol w:w="109"/>
        <w:gridCol w:w="109"/>
        <w:gridCol w:w="109"/>
        <w:gridCol w:w="223"/>
        <w:gridCol w:w="543"/>
        <w:gridCol w:w="111"/>
        <w:gridCol w:w="109"/>
        <w:gridCol w:w="109"/>
        <w:gridCol w:w="109"/>
        <w:gridCol w:w="223"/>
        <w:gridCol w:w="543"/>
        <w:gridCol w:w="109"/>
        <w:gridCol w:w="109"/>
        <w:gridCol w:w="109"/>
        <w:gridCol w:w="109"/>
        <w:gridCol w:w="235"/>
        <w:gridCol w:w="688"/>
        <w:gridCol w:w="173"/>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(17) Financial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Debt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values of the Notes vary from their fair values. The fair values of the Notes were determined by reference to the quoted market prices of these securities (Level 2 input based on the GAAP fair value hierarchy). The carrying value of the Term Loan approximates its fair value (Level 3 input based on the GAAP fair value hierarchy). The estimated fair value, as well as the carrying value, of the Company's debt instruments are shown below (in millions):</w:t>
      </w:r>
    </w:p>
    <w:tbl>
      <w:tblPr>
        <w:tblW w:w="5342" w:type="dxa"/>
        <w:jc w:val="left"/>
        <w:tblInd w:w="0" w:type="dxa"/>
        <w:tblLayout w:type="fixed"/>
        <w:tblCellMar>
          <w:top w:w="28" w:type="dxa"/>
          <w:left w:w="28" w:type="dxa"/>
          <w:bottom w:w="28" w:type="dxa"/>
          <w:right w:w="28" w:type="dxa"/>
        </w:tblCellMar>
      </w:tblPr>
      <w:tblGrid>
        <w:gridCol w:w="1010"/>
        <w:gridCol w:w="887"/>
        <w:gridCol w:w="893"/>
        <w:gridCol w:w="211"/>
        <w:gridCol w:w="766"/>
        <w:gridCol w:w="109"/>
        <w:gridCol w:w="109"/>
        <w:gridCol w:w="109"/>
        <w:gridCol w:w="109"/>
        <w:gridCol w:w="212"/>
        <w:gridCol w:w="772"/>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aggregate fair value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Aggregate carrying value </w:t>
            </w:r>
            <w:r>
              <w:rPr>
                <w:rFonts w:ascii="Times New Roman;serif" w:hAnsi="Times New Roman;serif"/>
                <w:b w:val="false"/>
                <w:color w:val="000000"/>
                <w:sz w:val="13"/>
              </w:rPr>
              <w:t>(1)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erif" w:hAnsi="Times New Roman;serif"/>
          <w:b w:val="false"/>
          <w:color w:val="000000"/>
          <w:sz w:val="10"/>
        </w:rPr>
        <w:t>(1)    </w:t>
      </w:r>
      <w:r>
        <w:rPr>
          <w:rFonts w:ascii="Times New Roman;serif" w:hAnsi="Times New Roman;serif"/>
          <w:b w:val="false"/>
          <w:color w:val="000000"/>
          <w:sz w:val="16"/>
        </w:rPr>
        <w:t>Excludes "other" debt.</w:t>
      </w:r>
    </w:p>
    <w:p>
      <w:pPr>
        <w:pStyle w:val="TextBody"/>
        <w:bidi w:val="0"/>
        <w:spacing w:lineRule="auto" w:line="288" w:before="0" w:after="0"/>
        <w:ind w:left="0" w:right="0" w:hanging="180"/>
        <w:jc w:val="both"/>
        <w:rPr/>
      </w:pPr>
      <w:r>
        <w:rPr>
          <w:rFonts w:ascii="Times New Roman;serif" w:hAnsi="Times New Roman;serif"/>
          <w:b w:val="false"/>
          <w:color w:val="000000"/>
          <w:sz w:val="10"/>
        </w:rPr>
        <w:t>(2)    </w:t>
      </w:r>
      <w:r>
        <w:rPr>
          <w:rFonts w:ascii="Times New Roman;serif" w:hAnsi="Times New Roman;serif"/>
          <w:b w:val="false"/>
          <w:color w:val="000000"/>
          <w:sz w:val="16"/>
        </w:rPr>
        <w:t>Excludes the impact of unamortized debt issuance costs and unamortized original issue premium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and Restricted Cash</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cash on deposit that is legally restricted as to use or withdrawal. A reconciliation of cash and cash equivalents reported on the accompanying condensed consolidated balance sheets to cash, cash equivalents and restricted cash reported on the accompanying condensed consolidated statements of cash flows is shown below (in millions):</w:t>
      </w:r>
    </w:p>
    <w:tbl>
      <w:tblPr>
        <w:tblW w:w="6533" w:type="dxa"/>
        <w:jc w:val="left"/>
        <w:tblInd w:w="0" w:type="dxa"/>
        <w:tblLayout w:type="fixed"/>
        <w:tblCellMar>
          <w:top w:w="28" w:type="dxa"/>
          <w:left w:w="28" w:type="dxa"/>
          <w:bottom w:w="28" w:type="dxa"/>
          <w:right w:w="28" w:type="dxa"/>
        </w:tblCellMar>
      </w:tblPr>
      <w:tblGrid>
        <w:gridCol w:w="1501"/>
        <w:gridCol w:w="1312"/>
        <w:gridCol w:w="1326"/>
        <w:gridCol w:w="211"/>
        <w:gridCol w:w="766"/>
        <w:gridCol w:w="109"/>
        <w:gridCol w:w="109"/>
        <w:gridCol w:w="109"/>
        <w:gridCol w:w="109"/>
        <w:gridCol w:w="211"/>
        <w:gridCol w:w="616"/>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cash flows: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allowance for credit losses on financial assets measured at amortized cost, primarily accounts receivable, reflects management's estimate of credit losses over the remaining expected life of such assets, measured primarily using historical experience, as well as current conditions and forecasts that affect the collectability of the reported amount. Expected credit losses for newly recognized financial assets, as well as changes to expected credit losses during the period, are recognized in earnings. The Company also considers geographic and segment specific risk factors in the development of expected credit losses. As of July 4, 2026 and December 31, 2025, accounts receivable are reflected net of reserves of $26.7 million and $28.4 million, respectively. Changes in expected credit losses were not significant in the first six months of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Marketable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Marketable equity securities, which the Company accounts for under the fair value option, are included in the accompanying condensed consolidated balance sheets as shown below (in millions):</w:t>
      </w:r>
    </w:p>
    <w:tbl>
      <w:tblPr>
        <w:tblW w:w="4323" w:type="dxa"/>
        <w:jc w:val="left"/>
        <w:tblInd w:w="0" w:type="dxa"/>
        <w:tblLayout w:type="fixed"/>
        <w:tblCellMar>
          <w:top w:w="28" w:type="dxa"/>
          <w:left w:w="28" w:type="dxa"/>
          <w:bottom w:w="28" w:type="dxa"/>
          <w:right w:w="28" w:type="dxa"/>
        </w:tblCellMar>
      </w:tblPr>
      <w:tblGrid>
        <w:gridCol w:w="695"/>
        <w:gridCol w:w="611"/>
        <w:gridCol w:w="614"/>
        <w:gridCol w:w="211"/>
        <w:gridCol w:w="616"/>
        <w:gridCol w:w="109"/>
        <w:gridCol w:w="109"/>
        <w:gridCol w:w="109"/>
        <w:gridCol w:w="109"/>
        <w:gridCol w:w="245"/>
        <w:gridCol w:w="716"/>
        <w:gridCol w:w="17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arising from changes in the fair value of the marketable equity securities are recognized in other expense, net in the condensed consolidated statements of comprehensive income. The fair value of the marketable equity securities is determined by reference to quoted market prices in active markets (Level 1 input based on the GAAP fair value hierarchy).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Equity Securities Without Readily Determinable Fair Values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investments in equity securities without readily determinable fair values of $8.7 million are included in other long-term assets in the accompanying condensed consolidated balance sheets. Such investments are valued at cost, less cumulative impairments of $19.6 million.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 and Hedging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used derivative financial instruments, including forwards, futures, options, swaps and other derivative contracts, to reduce the effects of fluctuations in foreign exchange rates and interest rates and the resulting variability of the Company's operating results. The Company is not a party to leveraged derivatives. The Company's derivative financial instruments are subject to master arrangements that provide for the net settlement of contracts, by counterparty, in the event of default or termination. On the date that a derivative contract for a hedge instrument is entered into, the Company designates the derivative as either (1) a hedge of the exposure to changes in the fair value of a recognized asset or liability or of an unrecognized firm commitment (a fair value hedge), (2) a hedge of the exposure of a forecasted transaction or of the variability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cash flows of a recognized asset or liability (a cash flow hedge), (3) a hedge of a net investment in a foreign operation (a net investment hedge) or (4) a contract not designated as a hedge instrument.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fair value hedge, the change in the fair value of the derivative is recorded in earnings and reflected in the condensed consolidated statements of comprehensive income on the same line as the gain or loss on the hedged item attributable to the hedged risk. For a cash flow hedge, the change in the fair value of the derivative is recorded in accumulated other comprehensive loss in the condensed consolidated balance sheets. When the underlying hedged transaction is realized, the gain or loss included in accumulated other comprehensive loss is recorded in earnings and reflected in the condensed consolidated statements of comprehensive income on the same line as the gain or loss on the hedged item attributable to the hedged risk. For a net investment hedge, the change in the fair value of the derivative is recorded in cumulative translation adjustment, which is a component of accumulated other comprehensive loss in the condensed consolidated balance sheets. When the related currency translation adjustment is required to be reclassified, usually upon the sale or liquidation of the investment, the gain or loss included in accumulated other comprehensive loss is recorded in earnings and reflected in other expense, net in the condensed consolidated statements of comprehensive income. Changes in the fair value of contracts not designated as hedge instruments are recorded in earnings and reflected in other expense, net in the condensed consolidated statements of comprehensive income. Cash flows attributable to derivatives used to manage foreign currency risks are classified on the same line as the hedged item attributable to the hedged risk in the condensed consolidated statements of cash flows. Upon settlement, cash flows attributable to derivatives designated as net investment hedges are classified as investing activities in the condensed consolidated statements of cash flows. Cash flows attributable to forward starting interest rate swaps are classified as financing activities in the condensed consolidated statements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its hedge relationships, including the identification of the hedge instruments and the related hedged items, as well as its risk management objectives and strategies for undertaking the hedge transaction. Derivatives are recorded at fair value in other current and long-term assets and other current and long-term liabilities in the condensed consolidated balance sheets. The Company also formally assesses whether a derivative used in a hedge transaction is highly effective in offsetting changes in either the fair value or the cash flows of the hedged item. When it is determined that a hedged transaction is no longer probable to occur, the Company discontinues hedge accounting.</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Foreign Exchange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forwards, swaps and other derivative contracts to reduce the effects of fluctuations in foreign exchange rates on known foreign currency exposures. Gains and losses on the derivative instruments are intended to offset gains and losses on the hedged transaction in an effort to reduce exposure to fluctuations in foreign exchange rates. The principal currencies hedged by the Company include the Mexican peso, various European currencies and the Moroccan dirham.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derivative contracts not designated as hedging instruments consist principally of hedges of cash transactions, intercompany loans and certain other balance sheet exposures.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Investment Hedges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cross-currency interest rate swaps, which are designated as net investment hedges of the foreign currency rate exposure of its investment in certain Euro-denominated subsidiaries. In the six months ended July 4, 2026 and June 28, 2025, contra interest expense on net investment hedges of $2.0 million and $1.5 million, respectively, is included in interest expense, net in the accompanying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Balance Sheet Classification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notional amount, estimated aggregate fair value and related balance sheet classification of the Company's foreign currency and net investment hedge contracts are shown below (in millions, except for maturities):</w:t>
      </w:r>
    </w:p>
    <w:tbl>
      <w:tblPr>
        <w:tblW w:w="8896" w:type="dxa"/>
        <w:jc w:val="left"/>
        <w:tblInd w:w="0" w:type="dxa"/>
        <w:tblLayout w:type="fixed"/>
        <w:tblCellMar>
          <w:top w:w="28" w:type="dxa"/>
          <w:left w:w="28" w:type="dxa"/>
          <w:bottom w:w="28" w:type="dxa"/>
          <w:right w:w="28" w:type="dxa"/>
        </w:tblCellMar>
      </w:tblPr>
      <w:tblGrid>
        <w:gridCol w:w="2296"/>
        <w:gridCol w:w="2018"/>
        <w:gridCol w:w="2030"/>
        <w:gridCol w:w="211"/>
        <w:gridCol w:w="766"/>
        <w:gridCol w:w="109"/>
        <w:gridCol w:w="109"/>
        <w:gridCol w:w="109"/>
        <w:gridCol w:w="109"/>
        <w:gridCol w:w="212"/>
        <w:gridCol w:w="772"/>
        <w:gridCol w:w="155"/>
      </w:tblGrid>
      <w:tr>
        <w:trPr/>
        <w:tc>
          <w:tcPr>
            <w:tcW w:w="229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foreign currency contracts designated as cash flow hedges: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maturities in months, not to exceed</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derivatives designated as net investment hedges: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maturities in months, not to exceed</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foreign currency contracts not designated as hedge instruments: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maturities in months, not to exceed</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notional amount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Accumulated Other Comprehensive Loss — Derivative Instruments and Hedge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Pretax amounts related to foreign currency and net investment hedge contracts that were recognized in and reclassified from accumulated other comprehensive loss are shown below (in millions):</w:t>
      </w:r>
    </w:p>
    <w:tbl>
      <w:tblPr>
        <w:tblW w:w="10205" w:type="dxa"/>
        <w:jc w:val="left"/>
        <w:tblInd w:w="0" w:type="dxa"/>
        <w:tblLayout w:type="fixed"/>
        <w:tblCellMar>
          <w:top w:w="28" w:type="dxa"/>
          <w:left w:w="28" w:type="dxa"/>
          <w:bottom w:w="28" w:type="dxa"/>
          <w:right w:w="28" w:type="dxa"/>
        </w:tblCellMar>
      </w:tblPr>
      <w:tblGrid>
        <w:gridCol w:w="2008"/>
        <w:gridCol w:w="1761"/>
        <w:gridCol w:w="176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008"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38"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recognized in accumulated other comprehensive loss: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 contracts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reclassified from accumulated other comprehensive loss to:</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pretax net gains of $239.3 million and $192.3 million, respectively, related to the Company's derivative instruments and hedge activities were recorded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next twelve-month period, net gains (losses) expected to be reclassified into earnings are shown below (in millions):</w:t>
      </w:r>
    </w:p>
    <w:tbl>
      <w:tblPr>
        <w:tblW w:w="3276" w:type="dxa"/>
        <w:jc w:val="left"/>
        <w:tblInd w:w="0" w:type="dxa"/>
        <w:tblLayout w:type="fixed"/>
        <w:tblCellMar>
          <w:top w:w="28" w:type="dxa"/>
          <w:left w:w="28" w:type="dxa"/>
          <w:bottom w:w="28" w:type="dxa"/>
          <w:right w:w="28" w:type="dxa"/>
        </w:tblCellMar>
      </w:tblPr>
      <w:tblGrid>
        <w:gridCol w:w="831"/>
        <w:gridCol w:w="729"/>
        <w:gridCol w:w="735"/>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Such gains (losses) will be reclassified at the time that the underlying hedged transactions are realized.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GAAP provides that fair value is an exit price, defined as a market-based measurement that represents the amount that would be received to sell an asset or paid to transfer a liability in an orderly transaction between market participants. Fair value measurements are based on one or more of the following three valuation techniques: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77"/>
        <w:gridCol w:w="2649"/>
        <w:gridCol w:w="377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approach uses prices and other relevant information generated by market transactions involving identical or comparable assets or liabilities.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Income</w:t>
            </w: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approach uses valuation techniques to convert future amounts to a single present value amount based on current market expectations.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This approach is based on the amount that would be required to replace the service capacity of an asset (replacement cost).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Further, GAAP prioritizes the inputs and assumptions used in the valuation techniques described above into a three-tier fair value hierarchy as follows: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2699"/>
        <w:gridCol w:w="2667"/>
        <w:gridCol w:w="3781"/>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Observable inputs, such as quoted market prices in active markets for identical assets or liabilities that are accessible at the measurement date.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Inputs, other than quoted market prices included in Level 1, that are observable either directly or indirectly for the asset or liability.</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Unobservable inputs that reflect the entity's own assumptions about the exit price of the asset or liability. Unobservable inputs may be used if there is little or no market data for the asset or liability at the measurement date.</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discloses fair value measurements and the related valuation techniques and fair value hierarchy level for its assets and liabilities that are measured or disclosed at fair value.</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Items Measured at Fair Value on a 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Fair value measurements and the related valuation techniques and fair value hierarchy level for the Company's assets and liabilities measured at fair value on a recurring basis as of July 4, 2026 and December 31, 2025, are shown below (in millions):</w:t>
      </w:r>
    </w:p>
    <w:tbl>
      <w:tblPr>
        <w:tblW w:w="9983" w:type="dxa"/>
        <w:jc w:val="left"/>
        <w:tblInd w:w="0" w:type="dxa"/>
        <w:tblLayout w:type="fixed"/>
        <w:tblCellMar>
          <w:top w:w="28" w:type="dxa"/>
          <w:left w:w="28" w:type="dxa"/>
          <w:bottom w:w="28" w:type="dxa"/>
          <w:right w:w="28" w:type="dxa"/>
        </w:tblCellMar>
      </w:tblPr>
      <w:tblGrid>
        <w:gridCol w:w="966"/>
        <w:gridCol w:w="850"/>
        <w:gridCol w:w="853"/>
        <w:gridCol w:w="304"/>
        <w:gridCol w:w="304"/>
        <w:gridCol w:w="308"/>
        <w:gridCol w:w="109"/>
        <w:gridCol w:w="109"/>
        <w:gridCol w:w="109"/>
        <w:gridCol w:w="211"/>
        <w:gridCol w:w="616"/>
        <w:gridCol w:w="109"/>
        <w:gridCol w:w="109"/>
        <w:gridCol w:w="109"/>
        <w:gridCol w:w="109"/>
        <w:gridCol w:w="464"/>
        <w:gridCol w:w="464"/>
        <w:gridCol w:w="466"/>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Frequency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w:t>
              <w:br/>
              <w:t>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 net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 contracts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9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83" w:type="dxa"/>
        <w:jc w:val="left"/>
        <w:tblInd w:w="0" w:type="dxa"/>
        <w:tblLayout w:type="fixed"/>
        <w:tblCellMar>
          <w:top w:w="28" w:type="dxa"/>
          <w:left w:w="28" w:type="dxa"/>
          <w:bottom w:w="28" w:type="dxa"/>
          <w:right w:w="28" w:type="dxa"/>
        </w:tblCellMar>
      </w:tblPr>
      <w:tblGrid>
        <w:gridCol w:w="966"/>
        <w:gridCol w:w="850"/>
        <w:gridCol w:w="853"/>
        <w:gridCol w:w="304"/>
        <w:gridCol w:w="304"/>
        <w:gridCol w:w="308"/>
        <w:gridCol w:w="109"/>
        <w:gridCol w:w="109"/>
        <w:gridCol w:w="109"/>
        <w:gridCol w:w="211"/>
        <w:gridCol w:w="616"/>
        <w:gridCol w:w="109"/>
        <w:gridCol w:w="109"/>
        <w:gridCol w:w="109"/>
        <w:gridCol w:w="109"/>
        <w:gridCol w:w="464"/>
        <w:gridCol w:w="464"/>
        <w:gridCol w:w="466"/>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Frequency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w:t>
              <w:br/>
              <w:t>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 net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 contracts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9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Market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the fair value of its derivative contracts using quoted market prices to calculate the forward values and then discounts such forward values to the present value. The discount rates used are based on quoted bank deposit or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rates. If a derivative contract is in a net liability position, the Company adjusts these discount rates, if required, by an estimate of the credit spread that would be applied by market participants purchasing these contracts from the Company's counterparties. If an estimate of the credit spread is required, the Company uses significant assumptions and factors other than quoted market rates, which would result in the classification of its derivative liabilities within Level 3 of the fair value hierarchy. As of July 4, 2026 and December 31, 2025, there were no derivative contracts that were classified within Level 3 of the fair value hierarchy. In addition, there were no transfers in or out of Level 3 of the fair value hierarchy in the first six months of 2026.</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Items Measured at Fair Value on a Non-Recurring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and liabilities at fair value on a non-recurring basis, which are not included in the table above. As these non-recurring fair value measurements are generally determined using unobservable inputs, these fair value measurements are classified within Level 3 of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4, 2026, the Company completed impairment assessments and recorded related impairment charges of $6.6 million related to its property, plant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28, 2025, the Company completed impairment assessments and recorded related impairment charges of $3.9 million and $0.1 million, respectively, related to its property, plant and equipment and right-of-use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estimates of the related assets were based on management's estimates using a discounted cash flow method.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there were no additional significant assets or liabilities measured at fair value on a non-recurring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(18) Accounting Pronouncements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Updates ("ASU") Issued But Not Yet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ASU 2024-03 (issued November 2024), "Disaggregation of Income Statement Expenses." The ASU requires the disaggregation of certain expenses presented on the face of the income statement in a tabular footnote disclosure. The expense categories include purchases of inventory, employee compensation, depreciation and amortization. It also requires the definition and disclosure of selling expense, a qualitative description of expense amounts not disaggregated and inclusion of existing expense disclosures within the same tabular footnote disclosure. The update is effective for fiscal years beginning after December 15, 2026, with early adoption permitted. The update is to be adopted prospectively; however, retrospective application is permitted. The ASU will modify the Company's financial statement disclosures but is not expected to have a significant impact on its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ASU 2025-06 (issued September 2025), "Targeted Improvements to the Accounting for Internal-Use Software." The ASU removes all references to project development stages and provides new guidance on evaluating whether the recognition threshold to capitalize software costs has been met. The update is effective for fiscal years beginning after December 15, 2027, with early adoption permitted. The update may be adopted prospectively, retrospectively or using a modified transition approach. The ASU will not have a significant impact on the Company's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ASU 2025-09 (issued November 2025), "Hedge Accounting Improvements." The ASU makes five targeted changes to the hedge accounting model including providing detailed guidance on how the analysis to demonstrate that individual transactions have a similar risk exposure is to be performed. The update is effective for fiscal years beginning after December 15, 2026, with early adoption permitted, and is to be adopted prospectively. The ASU will not have a significant impact on the Company's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ASU 2025-10 (issued December 2025), "Accounting for Government Grants Received by Business Entities." The ASU leverages guidance in International Accounting Standard ("IAS") 20, "Accounting for Government Grants and Disclosure of Government Assistance," which is largely followed in the absence of current GAAP guidance. The update provides recognition, measurement and presentation guidance related to government grants depending on whether the grant is related to an asset or to income. The update also explicitly excludes certain items from government grant accounting not addressed by IAS 20. The update is effective for fiscal years beginning after December 15, 2028, with early adoption permitted. The update may be adopted using a modified prospective, modified retrospective or full retrospective approach. The ASU will not have a significant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LEAR CORPORATION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issued by the Financial Accounting Standards Board. Other recently issued accounting pronouncements are not expected to have a significant impact or are not relevant to the Company's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ITEM 2 — MANAGEMENT'S DISCUSSION AND ANALYSIS OF FINANCIAL CONDITION AND </w: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 </w:t>
      </w:r>
    </w:p>
    <w:p>
      <w:pPr>
        <w:pStyle w:val="TextBody"/>
        <w:bidi w:val="0"/>
        <w:spacing w:lineRule="auto" w:line="288" w:before="120" w:after="283"/>
        <w:jc w:val="both"/>
        <w:rPr/>
      </w:pPr>
      <w:r>
        <w:rPr>
          <w:rFonts w:ascii="Times New Roman;serif" w:hAnsi="Times New Roman;serif"/>
          <w:b w:val="false"/>
          <w:color w:val="000000"/>
          <w:sz w:val="20"/>
        </w:rPr>
        <w:t xml:space="preserve">Lear is built on a strong foundation and culture of innovation, operational excellence, and engineering and program management capabilities. We use our product and process design and technological expertise, as well as our global reach and competitive manufacturing footprint, to achieve our financial goals and objectives. These financial goals and objectives include continuing to deliver profitable growth while balancing risks and returns, investing in product and process innovations to drive business growth and profitability, maintaining a strong balance sheet with investment grade credit metrics, and generating strong cash flow and returning excess cash to shareholders. Further, we have aligned our strategy with key trends affecting our business. At Lear, we are </w:t>
      </w:r>
      <w:r>
        <w:rPr>
          <w:rFonts w:ascii="Times New Roman;serif" w:hAnsi="Times New Roman;serif"/>
          <w:b w:val="false"/>
          <w:i/>
          <w:color w:val="000000"/>
          <w:sz w:val="20"/>
        </w:rPr>
        <w:t>Making every drive better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by providing technology for safer, smarter and more comfortable journeys, while adhering to our values — </w:t>
      </w:r>
      <w:r>
        <w:rPr>
          <w:rFonts w:ascii="Times New Roman;serif" w:hAnsi="Times New Roman;serif"/>
          <w:b w:val="false"/>
          <w:i/>
          <w:color w:val="000000"/>
          <w:sz w:val="20"/>
        </w:rPr>
        <w:t>Be Inclusive. Be Inventive. Get Results the Right Way.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Seating business consists of the design, development, engineering and manufacture of complete seat systems and key seat components. Our capabilities in operations and supply chain management enable synchronized assembly and just-in-time delivery of complex complete seat systems at high volumes to our customers. 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E-Systems business consists of the design, development, engineering and manufacture of complete 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 High-voltage battery connection systems include intercell connect boards, bus bars and main battery interface connection systems.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High-voltage power distribution products control the flow and distribution of high-voltage power throughout electric and hybrid vehicles and include BDUs, which control all electrical energy flowing into and out of high-voltage batteries in electrified vehicles.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serve all of the world's major automotive manufacturers through both our Seating and E-Systems businesses, and we have automotive content on more than 500 vehicle nameplates worldwide as of December 31, 2025. It is common for us to have both seating and electrical and/or electronic content on the same vehicle platform.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businesses benefit globally from leveraging common operating standards and disciplines, including world-class product development and manufacturing processes, as well as common customer support and regional infrastructures, all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contribute to our reputation for operational excellence. Our core capabilities are shared across component categories and include high-precision manufacturing and assembly with short lead times, complex, global supply chain management, global engineering and program management, the agility to establish and/or transfer production between facilities,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logistics, as well as all major administrative functions, such as corporate finance, executive administration, health and safety, human resources, information technology and legal.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build on our reputation for operational excellence through organic and inorganic investments in automation and other advanced manufacturing technologies and the digital transformation of both our operations and administrative functions. These investments and transformation involve the integration of new technologies, such as artificial intelligence ("AI"), machine learning and advanced automation, into production facilities and business operations. These technologies enable smart and automated machines and smart factories to communicate, analyze and optimize products and processes, resulting in higher efficiency, quality and responsiveness to customers.</w:t>
      </w:r>
    </w:p>
    <w:p>
      <w:pPr>
        <w:pStyle w:val="TextBody"/>
        <w:bidi w:val="0"/>
        <w:spacing w:lineRule="auto" w:line="288" w:before="120" w:after="283"/>
        <w:jc w:val="both"/>
        <w:rPr/>
      </w:pPr>
      <w:r>
        <w:rPr>
          <w:rFonts w:ascii="Times New Roman;serif" w:hAnsi="Times New Roman;serif"/>
          <w:b w:val="false"/>
          <w:color w:val="000000"/>
          <w:sz w:val="20"/>
        </w:rPr>
        <w:t>IDEA by Lear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Innovative. Digital. Engineered. Automated. - reflects our commitment to continue to strengthen our competitive position in both of our business segments and to enhance the efficiency of our administrative functions. IDEA by Lear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supports our strategy to drive growth and improve profitability through the development of innovative products and the utilization of advanced technologies and process automation that increase efficiency and extend our leadership position in operational excellence. We are leveraging our internal capabilities through strategic partnerships (e.g., Palantir Technologies, Inc.) and acquisitions to rapidly develop and deploy automation and AI solutions. Our strategic acquisitions of ASI Automation, InTouch Automation, StoneShield Engineering, Thagora Technology SRL and WIP Industrial Automation are further enhancing our automation system integration expertise. Our advanced manufacturing integration center in Rochester Hills, Michigan showcases our industry-leading capabilities in automation and digital tools, including fully automated ComfortFlex by Lear</w:t>
      </w:r>
      <w:r>
        <w:rPr>
          <w:rFonts w:ascii="Times New Roman;serif" w:hAnsi="Times New Roman;serif"/>
          <w:b w:val="false"/>
          <w:color w:val="000000"/>
          <w:sz w:val="13"/>
        </w:rPr>
        <w:t>TM</w:t>
      </w:r>
      <w:r>
        <w:rPr>
          <w:rFonts w:ascii="Times New Roman;serif" w:hAnsi="Times New Roman;serif"/>
          <w:b w:val="false"/>
          <w:color w:val="000000"/>
          <w:sz w:val="20"/>
        </w:rPr>
        <w:t>, ComfortMax Seat by Lear</w:t>
      </w:r>
      <w:r>
        <w:rPr>
          <w:rFonts w:ascii="Times New Roman;serif" w:hAnsi="Times New Roman;serif"/>
          <w:b w:val="false"/>
          <w:color w:val="000000"/>
          <w:sz w:val="13"/>
        </w:rPr>
        <w:t xml:space="preserve">TM </w:t>
      </w:r>
      <w:r>
        <w:rPr>
          <w:rFonts w:ascii="Times New Roman;serif" w:hAnsi="Times New Roman;serif"/>
          <w:b w:val="false"/>
          <w:color w:val="000000"/>
          <w:sz w:val="20"/>
        </w:rPr>
        <w:t>and FlexAir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assembly lines, as well as automated end-of-line testing, sewing and wire taping capabilities. These strategic initiatives further advance our leadership in automotive technology and enable greater efficiency, superior quality and faster execution.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our products, processes, technology and strategic initiatives, we are well-positioned to capitalize on business growth opportunities. We are focused on profitably growing our businesses and have implemented a strategy designed to deliver industry-leading, long-term financial returns. This strategy is based on the following four pillars designed to drive growth and profitability in both of our business segments: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Extend our market leadership position in Seating through differentiated product offerings and industry-leading vertical integration capabilities;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Expand margins in E-Systems through a focused portfolio that leverages our strong operating capabilities and customer relationships;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Build on our reputation for operational excellence through organic and inorganic investments, including partnerships, in automation and digital technologies;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Prioritize our employee and sustainability initiatives that drive business growth, cost reductions and improved workforce retention.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our strategy, see Item 1, "Business," in our Annual Report on Form 10-K for the year ended December 31, 2025.</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Industry 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supply all vehicle segments of the automotive light vehicle original equipment market in every major automotive producing region in the world. Our sales are driven by the number of vehicles produced by the automotive manufacturers and our content per vehicle.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2020, the global economy, as well as the automotive industry, have been influenced directly and indirectly by macroeconomic events resulting in unfavorable conditions, including the imposition of or increases in tariffs, shortages of semiconductor chips and other components, elevated inflation levels on commodities and labor, higher interest rates and energy shortages in certain markets. Certain of these factors, among others, continue to impact consumer demand. Our strategy to mitigate these impacts encompasses our comprehensive cost management process, including cost technology optimization, actions to further align our manufacturing capacity to the current industry production environment and investments in automation and other advanced manufacturing technologies, as well as commercial recovery mechanisms. This is designed to allow us to enhance operational efficiencies, improve the utilization of existing facilities and equipment to reduce future expenditures, and streamline administrative functions.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interconnectedness of the global economy, policy changes in one area of the world can have an immediate and material impact on markets around the world. Since his inauguration in January 2025, U.S. President Donald J. Trump has announced various tariffs that impact industries around the world, including the automotive industry. As of the date of this Report, many of the tariffs announced, implemented or threatened by the current U.S. administration apply to (a) the countries in which we do business or from which we purchase, either directly or indirectly, materials or components, including Mexico, Canada and China, and (b) the materials or components that we purchase, either directly or indirectly, or produce, including steel, aluminum and automobile parts, among others, and therefore could adversely impact our business by increasing our operating costs, requiring us to incur costs to transition to alternative suppliers if our mitigation efforts are unsuccessful, or negatively impacting our customers' production. In addition to tariffs, the U.S. and foreign governments have implemented sanctions, export controls and other trade restrictions that impact industries around the world, including the automotive industry.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tariffs did not have a material impact on our gross profit in the first six months of 2026, the tariff and trade landscape continues to evolve, including with respect to the type of tariff or export control, the tariff rates, the countries, components and materials to which such tariffs apply, and the existence and applicability of any credits, refunds or exemptions. In particular, in April 2025, with revisions in October 2025, the U.S. administration implemented a policy allowing U.S. automotive manufacturers to offset a portion of the tariffs imposed under Section 232 of the Trade Expansion Act of 1962 ("auto parts tariffs") through government-provided import adjustment offset amounts ("tariff offset credits"). In addition, the U.S. tariffs imposed under the International Emergency Economic Powers Act ("IEEPA") became subject to refund after the U.S. Supreme Court issued an opinion on February 20, 2026, invalidating such tariffs. In 2025, we paid approximately $110 million of auto parts tariffs, for which we were allocated tariff offset credits by our customers in the first six months of 2026, and $85 million of IEEPA tariffs, nearly all of which were recovered from our customers and are now subject to refund from the government.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allocation of tariff offset credits by our customers and the U.S. Supreme Court opinion, certain 2025 tariff amounts are now recoverable from the government and no longer due from our customers, which resulted in lower first half 2026 sales and cost of sales corresponding to certain of our 2025 auto parts and all of our 2025 IEEPA tariff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tariffs, during the mandatory joint review on the six-year anniversary of the United States-Mexico-Canada Agreement ("USMCA") on July 1, 2026, the United States declined to extend the USMCA for another 16-year term in its current form. This decision triggered rolling annual reviews that could lead to the agreement's expiration in 2036 if extensions are not ultimately agreed upon. While the USMCA currently remains in force, there are no assurances that the USMCA will continue to be renewed or, if renewed, any newly negotiated terms in the USMCA will not adversely affect our business. Also, the strain in U.S.-China relations presents unique risks to U.S. automotive manufacturers due to the level of integration with key components in our global supply chain. It remains unclear what additional actions the current U.S. administration may take with respect to trade issues involving China and other countries.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 U.S. and other governments could impose additional sanctions, export controls or other trade restrictions that could restrict us from doing business directly or indirectly in or with certain countries or parties, which could include affiliates (e.g., China has imposed tariffs and taken other retaliatory actions). The current trade environment could impact the status of other trade agreements between the United States and countries other than Mexico, Canada or China.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monitoring the evolving trade landscape, as the actual impacts of tariffs and other trade restrictions on our business, financial condition and results of operations continue to be subject to a number of factors that are not yet known or are subject to change, including the effect such tariffs or restrictions may have on consumer demand and global automotive production volumes, the duration of such tariffs or trade restrictions, future changes in the amounts and scope of tariffs, the potential withdrawal of such tariffs or restrictions, in whole or in part, the scope and effective date of any exemptions or credits with respect to such tariffs, countermeasures that target countries may take in response to such tariffs, the impact such tariffs may have on our customers and our supply chain, and whether and to what extent such tariffs are impacted by judicial review. To mitigate the impact of tariffs, we have entered into contractual agreements with our customers to recover substantially all tariff costs incurred to date; however, no assurance can be provided that our customers will continue to provide such recovery. In addition, we have implemented certain actions, and continue to consider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 alternatives in our supply chain. To date, our mitigation efforts have been successful; however, no assurance can be given that future government actions will not adversely impact our customers' production or undermine our mitigation efforts, which could in turn adversely impact our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the ongoing war in Iran and geopolitical tensions in the region could lead to significant disruption of global energy supplies and increases in global energy prices, adversely affect global supply chains, and heighten inflationary pressures on our costs and supply chain. We are continuing to evaluate the evolving macroeconomic environment; however, at this time, these factors have not had a material impact on our operations, our financial condition or our operating results. Any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above factors could impact our supply chain, as well as our operations, and adversely affect our financial condition and operating results.</w:t>
      </w:r>
    </w:p>
    <w:p>
      <w:pPr>
        <w:pStyle w:val="TextBody"/>
        <w:bidi w:val="0"/>
        <w:spacing w:lineRule="auto" w:line="288" w:before="120" w:after="283"/>
        <w:jc w:val="both"/>
        <w:rPr/>
      </w:pPr>
      <w:r>
        <w:rPr>
          <w:rFonts w:ascii="Times New Roman;serif" w:hAnsi="Times New Roman;serif"/>
          <w:b w:val="false"/>
          <w:color w:val="000000"/>
          <w:sz w:val="20"/>
        </w:rPr>
        <w:t>Although industry production returned to pre-pandemic levels in 2023, industry production in 2025 remained approximately 2% below 2017 peak levels, and 2025 industry production levels in North America and Europe, our two largest markets, remained approximately 11% and 24%, respectively, below prior peak levels. Industry production in 2026 is expected to decrease approximately 2% as compared to 2025 (based on July 2026 Mobility Global projections). On a Lear sales-weighted basis</w:t>
      </w:r>
      <w:r>
        <w:rPr>
          <w:rFonts w:ascii="Times New Roman;serif" w:hAnsi="Times New Roman;serif"/>
          <w:b w:val="false"/>
          <w:color w:val="000000"/>
          <w:sz w:val="13"/>
        </w:rPr>
        <w:t>(1)</w:t>
      </w:r>
      <w:r>
        <w:rPr>
          <w:rFonts w:ascii="Times New Roman;serif" w:hAnsi="Times New Roman;serif"/>
          <w:b w:val="false"/>
          <w:color w:val="000000"/>
          <w:sz w:val="20"/>
        </w:rPr>
        <w:t xml:space="preserve">, industry production in 2026 is expected to decrease approximately 2% as compared to 2025. </w:t>
      </w:r>
    </w:p>
    <w:p>
      <w:pPr>
        <w:pStyle w:val="TextBody"/>
        <w:bidi w:val="0"/>
        <w:spacing w:lineRule="auto" w:line="288" w:before="60" w:after="283"/>
        <w:ind w:left="0" w:right="0" w:hanging="27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production change on a Lear sales-weighted basis is calculated using Lear's prior year regional sales mix. Management believes this provides a more meaningful comparison of our global revenue growth relative to global vehicle production.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of risks related to tariffs and other trade restrictions, see Item 1A, "Risk Factors," in our Annual Report on Form 10-K for the year ended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Global automotive industry production volumes in certain key regions in the first six months of 2026, as compared to the first six months of 2025, are shown below (in thousands of units):</w:t>
      </w:r>
    </w:p>
    <w:tbl>
      <w:tblPr>
        <w:tblW w:w="6741" w:type="dxa"/>
        <w:jc w:val="left"/>
        <w:tblInd w:w="0" w:type="dxa"/>
        <w:tblLayout w:type="fixed"/>
        <w:tblCellMar>
          <w:top w:w="28" w:type="dxa"/>
          <w:left w:w="28" w:type="dxa"/>
          <w:bottom w:w="28" w:type="dxa"/>
          <w:right w:w="28" w:type="dxa"/>
        </w:tblCellMar>
      </w:tblPr>
      <w:tblGrid>
        <w:gridCol w:w="1199"/>
        <w:gridCol w:w="1053"/>
        <w:gridCol w:w="1062"/>
        <w:gridCol w:w="273"/>
        <w:gridCol w:w="273"/>
        <w:gridCol w:w="280"/>
        <w:gridCol w:w="156"/>
        <w:gridCol w:w="156"/>
        <w:gridCol w:w="156"/>
        <w:gridCol w:w="274"/>
        <w:gridCol w:w="274"/>
        <w:gridCol w:w="278"/>
        <w:gridCol w:w="109"/>
        <w:gridCol w:w="109"/>
        <w:gridCol w:w="109"/>
        <w:gridCol w:w="218"/>
        <w:gridCol w:w="218"/>
        <w:gridCol w:w="544"/>
      </w:tblGrid>
      <w:tr>
        <w:trPr/>
        <w:tc>
          <w:tcPr>
            <w:tcW w:w="119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July 4,</w:t>
              <w:br/>
              <w:t xml:space="preserve">2026 </w:t>
            </w:r>
            <w:r>
              <w:rPr>
                <w:rFonts w:ascii="Times New Roman;serif" w:hAnsi="Times New Roman;serif"/>
                <w:b/>
                <w:color w:val="000000"/>
                <w:sz w:val="10"/>
              </w:rPr>
              <w:t>(1)</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June 28,</w:t>
              <w:br/>
              <w:t xml:space="preserve">2025 </w:t>
            </w:r>
            <w:r>
              <w:rPr>
                <w:rFonts w:ascii="Times New Roman;serif" w:hAnsi="Times New Roman;serif"/>
                <w:b/>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7,668.5</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Africa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25,105.3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automotive industry production</w:t>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44,024.0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    </w:t>
      </w:r>
      <w:r>
        <w:rPr>
          <w:rFonts w:ascii="Times New Roman;serif" w:hAnsi="Times New Roman;serif"/>
          <w:b w:val="false"/>
          <w:color w:val="000000"/>
          <w:sz w:val="16"/>
        </w:rPr>
        <w:t>Production data based on Mobility Global.</w:t>
      </w:r>
    </w:p>
    <w:p>
      <w:pPr>
        <w:pStyle w:val="TextBody"/>
        <w:bidi w:val="0"/>
        <w:spacing w:lineRule="auto" w:line="288" w:before="0" w:after="0"/>
        <w:ind w:left="0" w:right="0" w:hanging="180"/>
        <w:jc w:val="both"/>
        <w:rPr/>
      </w:pPr>
      <w:r>
        <w:rPr>
          <w:rFonts w:ascii="Times New Roman;serif" w:hAnsi="Times New Roman;serif"/>
          <w:b w:val="false"/>
          <w:color w:val="000000"/>
          <w:sz w:val="10"/>
        </w:rPr>
        <w:t>(2)    </w:t>
      </w:r>
      <w:r>
        <w:rPr>
          <w:rFonts w:ascii="Times New Roman;serif" w:hAnsi="Times New Roman;serif"/>
          <w:b w:val="false"/>
          <w:color w:val="000000"/>
          <w:sz w:val="16"/>
        </w:rPr>
        <w:t>Production data for 2025 has been updated from our second quarter 2025 Quarterly Report on Form 10-Q to reflect actual production levels.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Automotive sales and production can also be affected by the age of the vehicle fleet and related scrappage rates, labor relations issues, labor shortages, fuel prices, regulatory requirements, government initiatives and incentives, trade agreements, tariffs and other non-tariff trade barriers (including recent U.S. tariffs imposed or threatened to be imposed on Mexico, Canada and China, as well as other countries and any retaliatory actions taken by such countries), the availability and cost of raw materials and critical components, logistics issues, cybersecurity incidents, and the availability and cost of credit, as well as vehicle affordability and consumer preferences regarding vehicle powertrains (including preferences regarding electric and hybrid vehicles), size, configuration and features, among other factors. In light of these uncertainties, we can provide no assurances that any mitigating actions that may become available to us. Our sales and production may be further affected by new entrants to the industry, as well as various automakers and suppliers entering or expanding in certain regions, and the restructuring actions, including facility closures, of our customers and suppliers. Our operating results are also significantly impacted by the overall commercial success of the vehicle platforms for which we supply particular products, as well as the profitability of the products that we supply for these platforms, which is determined, in part, by the level of vertical integration. The loss of business with respect to any vehicle model for which we are a significant supplier, or a decrease in the production levels of any such models, 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percentage of consolidated net sales by region in the first six months of 2026 and 2025 is shown below:</w:t>
      </w:r>
    </w:p>
    <w:tbl>
      <w:tblPr>
        <w:tblW w:w="3658" w:type="dxa"/>
        <w:jc w:val="left"/>
        <w:tblInd w:w="0" w:type="dxa"/>
        <w:tblLayout w:type="fixed"/>
        <w:tblCellMar>
          <w:top w:w="28" w:type="dxa"/>
          <w:left w:w="28" w:type="dxa"/>
          <w:bottom w:w="28" w:type="dxa"/>
          <w:right w:w="28" w:type="dxa"/>
        </w:tblCellMar>
      </w:tblPr>
      <w:tblGrid>
        <w:gridCol w:w="575"/>
        <w:gridCol w:w="505"/>
        <w:gridCol w:w="509"/>
        <w:gridCol w:w="232"/>
        <w:gridCol w:w="234"/>
        <w:gridCol w:w="333"/>
        <w:gridCol w:w="117"/>
        <w:gridCol w:w="117"/>
        <w:gridCol w:w="117"/>
        <w:gridCol w:w="232"/>
        <w:gridCol w:w="234"/>
        <w:gridCol w:w="45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Africa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reduce the risks inherent in certain concentrations of our business, and thereby maintain our financial performance in the future, will depend, in part, on our ability to continue to diversify our sales on a customer, product, platform and geographic basis to better reflect the market overall.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automotive industry, and our business, continue to be shaped by the broad trend of electrification. The adoption of electrified vehicles has been slower than anticipated, particularly in the United States. Demand for, and regulatory developments related to, energy efficiency and sustainability (e.g., government mandates related to fuel economy and carbon emissions) have also had a significant impact on this trend.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material cost as a percentage of net sales was 63.4% in the first six months of 2026, as compared to 63.7% in the first six months of 2025. Raw material, energy, commodity and product component costs can be volatile, reflecting, among other things, changes in supply and demand, logistics issues, global trade and tariff policies, and geopolitical issues. We have commodity price risk with respect to purchases of certain raw materials, including steel, copper, diesel fuel, chemicals, resins and leather. Our primary commodity cost exposures relate to steel, copper and leather. Our exposure to changes in steel prices is primarily indirect, through purchased components, and a significant portion of our copper,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commodity and product component costs, these strategies, together with commercial negotiations with our customers and suppliers and improved manufacturing productivity through automation and other advanced technologies, have more than offset the adverse impact. In addition, the availability of raw materials, energy, commodities and product components fluctuates from time to time due to factors outside of our control. If these costs increase further or availability is restricted, it could have an adverse impact on our operating results in the foreseeable future. See "— Forward-Looking Statements" below and Item 1A, "Risk Factors," in our Annual Report on Form 10-K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customers typically require us to reduce our prices over the life of a vehicle model and, at the same time, assume significant responsibility for the design, development and engineering of our products. Our financial performance is largely dependent on our ability to offset these price reductions with product cost reductions through product design enhancements, supply chain management, manufacturing efficiencies and restructuring actions. We also seek to enhance our financial performance by investing in product development, design capabilities and new product initiatives that respond to and anticipate the needs of our customers and consumers. We continually evaluate operational and strategic alternatives to improve our business structure and align our business with the changing needs of our customers and major industry trends affecting our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evaluating our financial condition and operating performance, we focus primarily on earnings, operating margins, cash flows and return on invested capital. Our strategy includes expanding our business with new and existing customers globally through new products and our reputation for operational excellence and cost competitiveness. We have also increased our vertical integration capabilities globally, as well as expanded our component manufacturing capacity in Asia, Central America, Eastern Europe, Mexico and Northern Africa and our low-cost engineering capabilities in Asia, Eastern Europe and Northern Africa.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success in generating cash flow will depend, in part, on our ability to manage working capital effectively. Working capital can be significantly impacted by the timing of cash flows from sales, purchases, and tariff costs and recoveries. Historically, we generally have been successful in aligning our supplier payment terms with our customer payment terms. However, our ability to continue to do so may be impacted by adverse automotive industry conditions, including inconsistent production schedules due to supply shortages and lower consumer demand, changes to our customers' payment terms and the financial condition of our suppliers. In addition, our cash flow is impacted by our ability to manage our inventory and capital spending effectively. We utilize return on invested capital as a measure of the efficiency with which our assets generate earnings. Improvements in our return on invested capital will depend on our ability to maintain an appropriate asset base for our business and to increase productivity and operating efficiency.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Operational Restructuring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we incurred pretax restructuring costs of $69 million and related manufacturing inefficiency and other charges of approximately $4 million, as compared to pretax restructuring costs of $118 million and related manufacturing inefficiency and other charges of approximately $2 million in the first six months of 2025. None of the individual restructuring actions initiated in the first six months of 2026 were material. Further, there have been no changes in previously initiated restructuring actions that have resulted (or will result) in a material change to our restructuring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restructuring actions include plant closures and workforce reductions and are initiated to maintain our competitive footprint or are in response to customer initiatives or changes in global and regional automotive markets. Our restructuring actions are designed to maintain or improve our operating results and profitability throughout the automotive industry cycles. Restructuring actions are generally funded within twelve months of initiation and are funded by cash flows from operating activities and existing cash balances. We expect to incur approximately $36 million of additional restructuring costs related to activities initiated as of July 4, 2026, all of which are expected to be incurred in the next twelve months. We plan to implement additional restructuring actions in order to align our manufacturing capacity and other costs with prevailing regional automotive production levels. Such future restructuring actions are dependent on market conditions, customer actions and other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see Note 2, "Restructuring," to the condensed consolidated financial statements included in this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Common Stock Share Repurchase Program and Quarterly Cash Dividends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implement share repurchases through a variety of methods, including, but not limited to, open market purchases, accelerated stock repurchase programs and structured repurchase transactions. The extent to which we may repurchase our outstanding common stock and the timing of such repurchases will depend upon our financial condition, results of operations, capital requirements, prevailing market conditions, alternative uses of capital and other factors. See "— Forward-Looking Statements"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the first quarter of 2011, our Board of Directors (the "Board") has authorized $6.7 billion in share repurchases under our common stock share repurchase program (the "Repurchase Program"). As of July 4, 2026, we have repurchased, in aggregate, $6.1 billion of our outstanding common stock, at an average price of $95.72 per share, excluding commissions and related fees, and have a remaining repurchase authorization of $600 million, which expires on December 31, 2026. In the first six months of 2026, we repurchased $175 million of our outstanding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declared a quarterly cash dividend of $0.77 per share of common stock in the first and second quarters of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our common stock share repurchase program and our quarterly cash dividends, see "— Liquidity and Capital Resources — Capitalization" below and Note 14, "Comprehensive Income and Equity," to the condensed consolidated financial statements included in this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recognized net tax benefits of $10 million and $27 million, respectively, in the three and six months ended July 4, 2026, and $16 million and $24 million, respectively, in the three and six months ended June 28, 2025, related to the release of tax reserves at foreign subsidiaries, restructuring charges and various other items.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results for the three and six months ended July 4, 2026 and June 28, 2025, reflect the following items (in millions):</w:t>
      </w:r>
    </w:p>
    <w:tbl>
      <w:tblPr>
        <w:tblW w:w="10205" w:type="dxa"/>
        <w:jc w:val="left"/>
        <w:tblInd w:w="0" w:type="dxa"/>
        <w:tblLayout w:type="fixed"/>
        <w:tblCellMar>
          <w:top w:w="28" w:type="dxa"/>
          <w:left w:w="28" w:type="dxa"/>
          <w:bottom w:w="28" w:type="dxa"/>
          <w:right w:w="28" w:type="dxa"/>
        </w:tblCellMar>
      </w:tblPr>
      <w:tblGrid>
        <w:gridCol w:w="2296"/>
        <w:gridCol w:w="2019"/>
        <w:gridCol w:w="2024"/>
        <w:gridCol w:w="211"/>
        <w:gridCol w:w="361"/>
        <w:gridCol w:w="109"/>
        <w:gridCol w:w="109"/>
        <w:gridCol w:w="109"/>
        <w:gridCol w:w="109"/>
        <w:gridCol w:w="213"/>
        <w:gridCol w:w="365"/>
        <w:gridCol w:w="110"/>
        <w:gridCol w:w="109"/>
        <w:gridCol w:w="109"/>
        <w:gridCol w:w="109"/>
        <w:gridCol w:w="211"/>
        <w:gridCol w:w="361"/>
        <w:gridCol w:w="109"/>
        <w:gridCol w:w="109"/>
        <w:gridCol w:w="109"/>
        <w:gridCol w:w="109"/>
        <w:gridCol w:w="211"/>
        <w:gridCol w:w="466"/>
        <w:gridCol w:w="158"/>
      </w:tblGrid>
      <w:tr>
        <w:trPr/>
        <w:tc>
          <w:tcPr>
            <w:tcW w:w="229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related to restructuring actions, including manufacturing inefficiencies and other (credits) charges of $3 million and $4 million, respectively, in the three and six months ended July 4, 2026, and ($2) million and $2 million, respectively, in the three and six months ended June 28,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related to disposal of a non-core business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refinancing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related to Fisker Inc.</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related to Russian operations,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due to foreign exchange rate volatility related to Russia</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net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these items, see Note 2, "Restructuring," Note 11, "Other Expense, Net," and Note 12, "Income Taxes," to the condensed consolidated financial statements included in this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Item 2, "Management's Discussion and Analysis of Financial Condition and Results of Operations," includes forward-looking statements that are subject to risks and uncertainties. For further information regarding these and other factors that have had, or may have in the future, a significant impact on our business, financial condition or results of operations, see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below and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our operating results in millions of dollars and as a percentage of net sales is shown below:</w:t>
      </w:r>
    </w:p>
    <w:tbl>
      <w:tblPr>
        <w:tblW w:w="11577" w:type="dxa"/>
        <w:jc w:val="left"/>
        <w:tblInd w:w="0" w:type="dxa"/>
        <w:tblLayout w:type="fixed"/>
        <w:tblCellMar>
          <w:top w:w="28" w:type="dxa"/>
          <w:left w:w="28" w:type="dxa"/>
          <w:bottom w:w="28" w:type="dxa"/>
          <w:right w:w="28" w:type="dxa"/>
        </w:tblCellMar>
      </w:tblPr>
      <w:tblGrid>
        <w:gridCol w:w="591"/>
        <w:gridCol w:w="466"/>
        <w:gridCol w:w="294"/>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E-Systems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Lear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Three Months Ended July 4, 2026 vs. Three Months Ended June 28,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second quarter of 2026 were $6.2 billion, as compared to $6.0 billion in the second quarter of 2025, an increase of $179 million or 3%. The impact of foreign exchange rate fluctuations and new business in Asia, Europe/Africa and South America increased net sales by $106 million and $94 million, respectively. These increases were partially offset by lower production volumes on Lear platforms in Asia and North America, which reduced net sales by $171 million. Commercial recoveries were partially offset by the impact of selling price reductions.</w:t>
      </w:r>
    </w:p>
    <w:tbl>
      <w:tblPr>
        <w:tblW w:w="3258" w:type="dxa"/>
        <w:jc w:val="left"/>
        <w:tblInd w:w="0" w:type="dxa"/>
        <w:tblLayout w:type="fixed"/>
        <w:tblCellMar>
          <w:top w:w="28" w:type="dxa"/>
          <w:left w:w="28" w:type="dxa"/>
          <w:bottom w:w="28" w:type="dxa"/>
          <w:right w:w="28" w:type="dxa"/>
        </w:tblCellMar>
      </w:tblPr>
      <w:tblGrid>
        <w:gridCol w:w="652"/>
        <w:gridCol w:w="573"/>
        <w:gridCol w:w="575"/>
        <w:gridCol w:w="109"/>
        <w:gridCol w:w="109"/>
        <w:gridCol w:w="109"/>
        <w:gridCol w:w="211"/>
        <w:gridCol w:w="766"/>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Sales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sales was $5.7 billion in the second quarter of 2026, as compared to $5.6 billion in the second quarter of 2025. The impact of foreign exchange rate fluctuations and new business increased costs of sales. These increases were partially offset by lower production volumes on Lear platforms, which reduced cost of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and gross margin were $470 million and 7.6% of net sales, respectively, in the second quarter of 2026, as compared to $439 million and 7.3% of net sales, respectively, in the second quarter of 2025. The impact of favorable operating performance, including the benefit of restructuring actions, net of selling price reductions, increased gross profit by $55 million. Gross profit also benefited from new business in Asia, Europe/Africa and South America and the impact of foreign exchange rate fluctuations by $10 million and $4 million, respectively. These increases were partially offset by lower production volumes on Lear platforms in Asia and North America, which reduced gross profit by $35 million. These factors had a corresponding impact on gross margin.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including engineering and development expenses, were $198 million in the second quarter of 2026, as compared to $186 million in the second quarter of 2025. As a percentage of net sales, selling, general and administrative expenses were 3.2% in the second quarter of 2026 and 3.1% in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$5 million in the second quarters of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was $24 million in the second quarter of 2026, as compared to $25 million in the second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$3 million in the second quarter of 2026, as compared to $5 million in the second quarter of 2025. In the second quarters of 2026 and 2025, we recognized foreign exchange losses of $9 million and $7 million, respectively, including losses of $1 million and $3 million, respectively, related to the hyper-inflationary environment in Argentina.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the provision for income taxes was $49 million, representing an effective tax rate of 20.1% on pretax income before equity in net income of affiliates of $241 million. In the second quarter of 2025, the provision for income taxes was $42 million, representing an effective tax rate of 19.1% on pretax income before equity in net income of affiliates of $218 million, for the reasons described below. For further information, see Note 12, "Income Taxes," to the condensed consolidated financial statements included in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second quarters of 2026 and 2025, the provision for income taxes was primarily impacted by the level and mix of earnings among tax jurisdictions. In the second quarters of 2026 and 2025, we recognized net tax benefits of $10 million and $16 million, respectively, related to the release of tax reserves at foreign subsidiaries, restructuring charges and various other items. Excluding these items, the effective tax rate for the second quarters of 2026 and 2025 approximated the U.S. federal statutory income tax rate of 21%, adjusted for income taxes on foreign earnings, losses and remittances, valuation allowances, tax credits, income tax incentives and other permanent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Equity in net income of affiliates was $19 million in the second quarter of 2026, as compared to $16 million in the second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Lear was $193 million, or $3.79 per diluted share, in the second quarter of 2026, as compared to $165 million, or $3.06 per diluted share, in the second quarter of 2025. Net income and diluted net income per share increased for the reasons described above. Diluted net income per share also benefited from a reduction in shares outstanding between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Reportable Operating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two reportable operating segments: Seating and E-Systems. For a description of our reportable operating segments, see "Executive Overview"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presented below is for our two reportable operating segments and our other category for the periods presented. The other category includes unallocated costs related to corporate headquarters, regional headquarters and the elimination of intercompany activities, none of which meets the requirements for being classified as an operating segment. Corporate and regional headquarters costs include various support functions, such as information technology, corporate finance, legal, executive administration and human resources. Financial measures regarding each segment's pretax income before equity in net income of affiliates, interest expense, net and other expense, net ("segment earnings") and segment earnings divided by net sales ("margin") are not measures of performance under accounting principles generally accepted in the United States ("GAAP"). Segment earnings and the related margin are used by management to evaluate the performance of our reportable operating segments. Segment earnings should not be considered in isolation or as a substitute for net income attributable to Lear, net cash provided by operating activities or other income statement or cash flow statement data prepared in accordance with GAAP or as measures of profitability or liquidity. In addition, segment earnings, as we determine it, may not be comparable to related or similarly titled measures reported by other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reconciliation of consolidated segment earnings to consolidated income before provision for income taxes and equity in net income of affiliates, see Note 16, "Segment Reporting," to the condensed consolidated financial statements included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Seating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financial measures for our Seating segment is shown below (dollar amounts in millions):</w:t>
      </w:r>
    </w:p>
    <w:tbl>
      <w:tblPr>
        <w:tblW w:w="4623" w:type="dxa"/>
        <w:jc w:val="left"/>
        <w:tblInd w:w="0" w:type="dxa"/>
        <w:tblLayout w:type="fixed"/>
        <w:tblCellMar>
          <w:top w:w="28" w:type="dxa"/>
          <w:left w:w="28" w:type="dxa"/>
          <w:bottom w:w="28" w:type="dxa"/>
          <w:right w:w="28" w:type="dxa"/>
        </w:tblCellMar>
      </w:tblPr>
      <w:tblGrid>
        <w:gridCol w:w="636"/>
        <w:gridCol w:w="556"/>
        <w:gridCol w:w="563"/>
        <w:gridCol w:w="211"/>
        <w:gridCol w:w="766"/>
        <w:gridCol w:w="271"/>
        <w:gridCol w:w="109"/>
        <w:gridCol w:w="109"/>
        <w:gridCol w:w="109"/>
        <w:gridCol w:w="211"/>
        <w:gridCol w:w="766"/>
        <w:gridCol w:w="316"/>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earnings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     </w:t>
      </w:r>
      <w:r>
        <w:rPr>
          <w:rFonts w:ascii="Times New Roman;serif" w:hAnsi="Times New Roman;serif"/>
          <w:b w:val="false"/>
          <w:color w:val="000000"/>
          <w:sz w:val="16"/>
        </w:rPr>
        <w:t>See definition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Seating net sales were $4.6 billion in the second quarter of 2026, as compared to $4.5 billion in the second quarter of 2025, an increase of $150 million or 3%. New business and the impact of foreign exchange rate fluctuations increased net sales by $107 million and $77 million, respectively. These increases were partially offset by lower production volumes on Lear platforms, which reduced net sales by $83 million. Commercial recoveries were partially offset by the impact of selling price reductions.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Segment earnings, including restructuring costs, and the related margin on net sales were $286 million and 6.2% in the second quarter of 2026, as compared to $285 million and 6.4% in the second quarter of 2025. The impact of favorable operating performance, including the benefit of operational restructuring actions, net of selling price reductions and higher restructuring costs, increased segment earnings by $11 million. Segment earnings also benefited from the impact of foreign exchange rate fluctuations by $3 million. These increases were offset by lower production volumes on Lear platforms, net of new business, which reduced segment earnings by $12 million. </w:t>
      </w:r>
    </w:p>
    <w:p>
      <w:pPr>
        <w:pStyle w:val="TextBody"/>
        <w:bidi w:val="0"/>
        <w:spacing w:lineRule="auto" w:line="288" w:before="24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E-Systems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financial measures for our E-Systems segment is shown below (dollar amounts in millions):</w:t>
      </w:r>
    </w:p>
    <w:tbl>
      <w:tblPr>
        <w:tblW w:w="4623" w:type="dxa"/>
        <w:jc w:val="left"/>
        <w:tblInd w:w="0" w:type="dxa"/>
        <w:tblLayout w:type="fixed"/>
        <w:tblCellMar>
          <w:top w:w="28" w:type="dxa"/>
          <w:left w:w="28" w:type="dxa"/>
          <w:bottom w:w="28" w:type="dxa"/>
          <w:right w:w="28" w:type="dxa"/>
        </w:tblCellMar>
      </w:tblPr>
      <w:tblGrid>
        <w:gridCol w:w="636"/>
        <w:gridCol w:w="556"/>
        <w:gridCol w:w="563"/>
        <w:gridCol w:w="211"/>
        <w:gridCol w:w="766"/>
        <w:gridCol w:w="271"/>
        <w:gridCol w:w="109"/>
        <w:gridCol w:w="109"/>
        <w:gridCol w:w="109"/>
        <w:gridCol w:w="211"/>
        <w:gridCol w:w="766"/>
        <w:gridCol w:w="316"/>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earnings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    </w:t>
      </w:r>
      <w:r>
        <w:rPr>
          <w:rFonts w:ascii="Times New Roman;serif" w:hAnsi="Times New Roman;serif"/>
          <w:b w:val="false"/>
          <w:color w:val="000000"/>
          <w:sz w:val="16"/>
        </w:rPr>
        <w:t>See definition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E-Systems net sales in the second quarter of both 2026 and 2025 were $1.6 billion, an increase of $29 million or 2%. The impact of foreign exchange rate fluctuations increased net sales by $29 million. This increase was offset by lower production volumes on Lear platforms and the winddown of certain businesses, which reduced net sales by $31 million and $25 million, respectively. Commercial recoveries were partially offset by the impact of selling price reductions.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earnings, including restructuring costs, and the related margin on net sales were $85 million and 5.4% in the second quarter of 2026, as compared to $55 million and 3.5% in the second quarter of 2025. The impact of favorable operating performance, including the benefit of operational restructuring actions, and lower restructuring costs, net of selling price reductions, increased segment earnings by $40 million. This increase was partially offset by lower production volumes on Lear platforms and the winddown of certain businesses, which reduced segment earnings by $9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financial measures for our other category, which is not an operating segment, is shown below (dollar amounts in millions):</w:t>
      </w:r>
    </w:p>
    <w:tbl>
      <w:tblPr>
        <w:tblW w:w="3652" w:type="dxa"/>
        <w:jc w:val="left"/>
        <w:tblInd w:w="0" w:type="dxa"/>
        <w:tblLayout w:type="fixed"/>
        <w:tblCellMar>
          <w:top w:w="28" w:type="dxa"/>
          <w:left w:w="28" w:type="dxa"/>
          <w:bottom w:w="28" w:type="dxa"/>
          <w:right w:w="28" w:type="dxa"/>
        </w:tblCellMar>
      </w:tblPr>
      <w:tblGrid>
        <w:gridCol w:w="636"/>
        <w:gridCol w:w="556"/>
        <w:gridCol w:w="563"/>
        <w:gridCol w:w="235"/>
        <w:gridCol w:w="455"/>
        <w:gridCol w:w="109"/>
        <w:gridCol w:w="109"/>
        <w:gridCol w:w="109"/>
        <w:gridCol w:w="109"/>
        <w:gridCol w:w="211"/>
        <w:gridCol w:w="40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earnings </w:t>
            </w:r>
            <w:r>
              <w:rPr>
                <w:rFonts w:ascii="Times New Roman;serif" w:hAnsi="Times New Roman;serif"/>
                <w:b w:val="false"/>
                <w:color w:val="000000"/>
                <w:sz w:val="12"/>
              </w:rPr>
              <w:t>(1)</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    </w:t>
      </w:r>
      <w:r>
        <w:rPr>
          <w:rFonts w:ascii="Times New Roman;serif" w:hAnsi="Times New Roman;serif"/>
          <w:b w:val="false"/>
          <w:color w:val="000000"/>
          <w:sz w:val="16"/>
        </w:rPr>
        <w:t>See definition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Segment earnings related to our other category were ($103) million in the second quarter of 2026, as compared to ($92) million in the second quarter of 2025, primarily reflecting higher compensation-related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Six Months Ended July 4, 2026 vs. Six Months Ended June 28,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for the six months ended July 4, 2026 were $12.0 billion, as compared to $11.6 billion for the six months ended June 28, 2025, an increase of $442 million or 4%. The impact of foreign exchange rate fluctuations, higher production volumes on Lear platforms in Europe/Africa and North America, and new business in Asia and South America increased net sales by $380 million, $263 million and $124 million, respectively. These increases were partially offset by the reversal of certain 2025 tariff recoveries, lower production volumes on Lear platforms in Asia and the impact of selling price reductions.</w:t>
      </w:r>
    </w:p>
    <w:tbl>
      <w:tblPr>
        <w:tblW w:w="3648" w:type="dxa"/>
        <w:jc w:val="left"/>
        <w:tblInd w:w="0" w:type="dxa"/>
        <w:tblLayout w:type="fixed"/>
        <w:tblCellMar>
          <w:top w:w="28" w:type="dxa"/>
          <w:left w:w="28" w:type="dxa"/>
          <w:bottom w:w="28" w:type="dxa"/>
          <w:right w:w="28" w:type="dxa"/>
        </w:tblCellMar>
      </w:tblPr>
      <w:tblGrid>
        <w:gridCol w:w="755"/>
        <w:gridCol w:w="662"/>
        <w:gridCol w:w="668"/>
        <w:gridCol w:w="109"/>
        <w:gridCol w:w="109"/>
        <w:gridCol w:w="109"/>
        <w:gridCol w:w="211"/>
        <w:gridCol w:w="8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 of Sales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First six months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First six months of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sales was $11.1 billion in the first six months of 2026, as compared to $10.8 billion in the first six months of 2025. The impact of foreign exchange rate fluctuations, new business and higher production volumes on Lear platforms increased costs of sales. These increases were partially offset by the reversal of certain 2025 tariff costs, which reduced cost of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Gross profit and gross margin were $921 million and 7.7% of net sales, respectively, in the six months ended July 4, 2026, as compared to $798 million and 6.9% of net sales, respectively, in the six months ended June 28, 2025. The impact of favorable operating performance, including the benefit of restructuring actions, net of selling price reductions, increased gross profit by $58 million. Gross profit also benefited from higher production volumes on Lear platforms in Europe/Africa and North America and the impact of foreign exchange rate fluctuations by $39 million and $20 million, respectively. These increases were partially offset by lower production volumes on Lear platforms in Asia, which reduced gross profit by $44 million. These factors had a corresponding impact on gross margin.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including engineering and development expenses, were $388 million in the first six months of 2026, as compared to $359 million in the first six months of 2025. As a percentage of net sales, selling, general and administrative expenses were 3.2% in the first six months of 2026, as compared to 3.1% in the first six months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was $10 million in the first six months of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net was $50 million in the first six months of 2026, as compared to $51 million in the first six months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$16 million in the six months ended July 4, 2026, as compared to $26 million in the six months ended June 28, 2025. In the first six months of 2026 and 2025, we recognized foreign exchange losses of $14 million and $17 million, respectively, including losses of $1 million and $5 million, respectively, related to the hyper-inflationary environment in Argentina. In the first six months of 2025, we also recognized a loss of $3 million on the disposal of a non-core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4, 2026, the provision for income taxes was $87 million, representing an effective tax rate of 19.0% on pretax income before equity in net income of affiliates of $458 million. For the six months ended June 28, 2025, the provision for income taxes was $87 million, representing an effective tax rate of 24.6% on pretax income before equity in net income of affiliates of $353 million, for reasons described below. For further information, see Note 12, "Income Taxes," to the condensed consolidated financial statements included in this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and 2025, the provision for income taxes was primarily impacted by the level and mix of earnings among tax jurisdictions. In the first six months of 2026 and 2025, we recognized net tax benefits of $27 million and $24 million, respectively, related to the release of tax reserves at foreign subsidiaries, restructuring charges and various other items. Excluding these items, the effective tax rate for the first six months of 2026 and 2025 approximated the U.S. federal statutory income tax rate of 21%, adjusted for income taxes on foreign earnings, losses and remittances, valuation allowances, tax credits, income tax incentives and other permanent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Equity in net income of affiliates was $34 million in the first six months of 2026, as compared to $28 million in the first six months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Lear was $365 million, or $7.13 per diluted share, in the six months ended July 4, 2026, as compared to $246 million, or $4.54 per diluted share, in the six months ended June 28, 2025. Net income and diluted net income per share increased for the reasons described above. Diluted net income per share also benefited from a reduction in shares outstanding between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Reportable Operating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two reportable operating segments: Seating and E-Systems. For a description of our reportable operating segments, see "Executive Overview" and "Three Months Ended July 4, 2026 vs. Three Months Ended June 28, 2025 — Reportable Operating Segments" above.</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Seating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financial measures for our Seating segment is shown below (dollar amounts in millions):</w:t>
      </w:r>
    </w:p>
    <w:tbl>
      <w:tblPr>
        <w:tblW w:w="4623" w:type="dxa"/>
        <w:jc w:val="left"/>
        <w:tblInd w:w="0" w:type="dxa"/>
        <w:tblLayout w:type="fixed"/>
        <w:tblCellMar>
          <w:top w:w="28" w:type="dxa"/>
          <w:left w:w="28" w:type="dxa"/>
          <w:bottom w:w="28" w:type="dxa"/>
          <w:right w:w="28" w:type="dxa"/>
        </w:tblCellMar>
      </w:tblPr>
      <w:tblGrid>
        <w:gridCol w:w="636"/>
        <w:gridCol w:w="556"/>
        <w:gridCol w:w="563"/>
        <w:gridCol w:w="211"/>
        <w:gridCol w:w="766"/>
        <w:gridCol w:w="271"/>
        <w:gridCol w:w="109"/>
        <w:gridCol w:w="109"/>
        <w:gridCol w:w="109"/>
        <w:gridCol w:w="211"/>
        <w:gridCol w:w="766"/>
        <w:gridCol w:w="316"/>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earnings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definition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Seating net sales were $9.0 billion for the six months ended July 4, 2026, as compared to $8.6 billion for the six months ended June 28, 2025, an increase of $404 million or 5%. The impact of foreign exchange rate fluctuations, new business and higher production volumes on Lear platforms increased net sales by $271 million, $166 million and $45 million, respectively. The reversal of certain 2025 tariff recoveries and the impact of selling price reductions were partially offset by commercial recoveries.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earnings, including restructuring costs, and the related margin on net sales were $564 million and 6.2% in the six months ended July 4, 2026, as compared to $500 million and 5.8% in the six months ended June 28, 2025. The impact of favorable operating performance, including the benefit of operational restructuring actions, and lower restructuring costs, net of selling price reductions, increased segment earnings by $42 million. Segment earnings also benefited from the impact of foreign exchange rate fluctuations and new business, net of lower production volumes on Lear platforms, by $13 million and $9 million, respectively.</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E-Systems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financial measures for our E-Systems segment is shown below (dollar amounts in millions):</w:t>
      </w:r>
    </w:p>
    <w:tbl>
      <w:tblPr>
        <w:tblW w:w="4623" w:type="dxa"/>
        <w:jc w:val="left"/>
        <w:tblInd w:w="0" w:type="dxa"/>
        <w:tblLayout w:type="fixed"/>
        <w:tblCellMar>
          <w:top w:w="28" w:type="dxa"/>
          <w:left w:w="28" w:type="dxa"/>
          <w:bottom w:w="28" w:type="dxa"/>
          <w:right w:w="28" w:type="dxa"/>
        </w:tblCellMar>
      </w:tblPr>
      <w:tblGrid>
        <w:gridCol w:w="636"/>
        <w:gridCol w:w="556"/>
        <w:gridCol w:w="563"/>
        <w:gridCol w:w="211"/>
        <w:gridCol w:w="766"/>
        <w:gridCol w:w="271"/>
        <w:gridCol w:w="109"/>
        <w:gridCol w:w="109"/>
        <w:gridCol w:w="109"/>
        <w:gridCol w:w="211"/>
        <w:gridCol w:w="766"/>
        <w:gridCol w:w="316"/>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earnings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definition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E-Systems net sales in both the six months ended July 4, 2026 and the six months ended June 28, 2025 were $3.0 billion, an increase of $38 million or 1%. The impact of foreign exchange rate fluctuations and higher production volumes on Lear platforms increased net sales by $109 million and $30 million, respectively. The reversal of certain 2025 tariff recoveries and the impact of selling price reductions were partially offset by commercial recoveries.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earnings, including restructuring costs, and the related margin on net sales were $158 million and 5.3% in the six months ended July 4, 2026, as compared to $111 million and 3.7% in the six months ended June 28, 2025. The impact of favorable operating performance, including the benefit of operational restructuring actions, and lower restructuring costs, net of selling price reductions, increased segment earnings by $44 million. Segment earnings also benefited from the impact of foreign exchange rate fluctuations by $9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financial measures for our other category, which is not an operating segment, is shown below (dollar amounts in millions):</w:t>
      </w:r>
    </w:p>
    <w:tbl>
      <w:tblPr>
        <w:tblW w:w="4256" w:type="dxa"/>
        <w:jc w:val="left"/>
        <w:tblInd w:w="0" w:type="dxa"/>
        <w:tblLayout w:type="fixed"/>
        <w:tblCellMar>
          <w:top w:w="28" w:type="dxa"/>
          <w:left w:w="28" w:type="dxa"/>
          <w:bottom w:w="28" w:type="dxa"/>
          <w:right w:w="28" w:type="dxa"/>
        </w:tblCellMar>
      </w:tblPr>
      <w:tblGrid>
        <w:gridCol w:w="636"/>
        <w:gridCol w:w="556"/>
        <w:gridCol w:w="563"/>
        <w:gridCol w:w="292"/>
        <w:gridCol w:w="562"/>
        <w:gridCol w:w="151"/>
        <w:gridCol w:w="109"/>
        <w:gridCol w:w="109"/>
        <w:gridCol w:w="109"/>
        <w:gridCol w:w="320"/>
        <w:gridCol w:w="616"/>
        <w:gridCol w:w="233"/>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earnings </w:t>
            </w:r>
            <w:r>
              <w:rPr>
                <w:rFonts w:ascii="Times New Roman;serif" w:hAnsi="Times New Roman;serif"/>
                <w:b w:val="false"/>
                <w:color w:val="000000"/>
                <w:sz w:val="12"/>
              </w:rPr>
              <w:t>(1)</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definition above.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Segment earnings related to our other category were ($199) million in the first six months of 2026, as compared to ($181) million in the first six months of 2025, primarily reflecting higher compensation-related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primary liquidity needs are to fund general business requirements, including working capital requirements, capital expenditures, operational restructuring actions and debt service requirements. Our principal sources of liquidity are cash flows from operating activities, borrowings under available credit facilities and our existing cash balance.</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Cash Provided by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operating income is generated by our subsidiaries. As a result, we are dependent on the earnings and cash flows of and the combination of dividends, royalties, intercompany loan repayments and other distributions and advances from our subsidiaries to provide the funds necessary to meet our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cash and cash equivalents of $630 million and $741 million, respectively, were held in foreign subsidiaries and can be repatriated, primarily through the repayment of intercompany loans and the payment of dividends. There are no restrictions on the ability of our subsidiaries to pay dividends or make other distributions to Lear that would have a material impact on Lear.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related to potential dividends from our non-U.S. subsidiaries, see Note 7, "Income Taxes," to the consolidated financial statements included in our Annual Report on Form 10-K for the year ended December 31, 2025.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Adequacy of Liquidity 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we had $1.0 billion of cash and cash equivalents on hand and $2.0 billion in available borrowing capacity under our unsecured revolving credit agreement. Together with cash provided by operating activities, we believe that this will enable us to meet our liquidity needs for the foreseeable future and to satisfy ordinary course business obligations. In addition, we expect to continue to pay quarterly cash dividends and repurchase shares of our common stock pursuant to our Repurchase Program, although such actions are at the discretion of our Board and will depend upon our financial condition, results of operations, capital requirements, prevailing market conditions, alternative uses of capital and other factors that our Board may consider at its discretion.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financial results and our ability to continue to meet our liquidity needs are subject to, and will be affected by, cash flows from operations, as well as restructuring activities, automotive industry conditions, the financial condition of our customers and suppliers, supply chain disruptions and other related factors. Additionally, an economic downturn or further reduction in production levels could negatively impact our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discussion of the risks and uncertainties affecting our cash flows from operations and our overall liquidity, see "— Executive Overview" above, "— Forward-Looking Statements" below and Item 1A, "Risk Factors,"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our cash flows is shown below (in millions):</w:t>
      </w:r>
    </w:p>
    <w:tbl>
      <w:tblPr>
        <w:tblW w:w="9111" w:type="dxa"/>
        <w:jc w:val="left"/>
        <w:tblInd w:w="0" w:type="dxa"/>
        <w:tblLayout w:type="fixed"/>
        <w:tblCellMar>
          <w:top w:w="28" w:type="dxa"/>
          <w:left w:w="28" w:type="dxa"/>
          <w:bottom w:w="28" w:type="dxa"/>
          <w:right w:w="28" w:type="dxa"/>
        </w:tblCellMar>
      </w:tblPr>
      <w:tblGrid>
        <w:gridCol w:w="1807"/>
        <w:gridCol w:w="1590"/>
        <w:gridCol w:w="1598"/>
        <w:gridCol w:w="211"/>
        <w:gridCol w:w="541"/>
        <w:gridCol w:w="109"/>
        <w:gridCol w:w="109"/>
        <w:gridCol w:w="109"/>
        <w:gridCol w:w="109"/>
        <w:gridCol w:w="211"/>
        <w:gridCol w:w="541"/>
        <w:gridCol w:w="109"/>
        <w:gridCol w:w="109"/>
        <w:gridCol w:w="109"/>
        <w:gridCol w:w="109"/>
        <w:gridCol w:w="423"/>
        <w:gridCol w:w="1005"/>
        <w:gridCol w:w="312"/>
      </w:tblGrid>
      <w:tr>
        <w:trPr/>
        <w:tc>
          <w:tcPr>
            <w:tcW w:w="180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 in</w:t>
              <w:br/>
              <w:t>Cash Flow</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 and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working capital items: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working capital items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$559 million in the first six months of 2026, as compared to $169 million in the first six months of 2025. The increase in operating cash flow between periods reflects higher earnings and a decrease in working capital cash usage in the first six months of 2026, as compared to the first six months of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$281 million in the first six months of 2026, as compared to $190 million in the first six months of 2025. In the first six months of 2025, we received proceeds of $36 million related to the sale of a non-core business in the Company's Seating segment. Capital spending was $297 million in the first six months of 2026, as compared to $229 million in the first six months of 2025. Capital spending is estimated to be $660 million in 2026.</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$320 million in the first six months of 2026, as compared to $159 million in the first six months of 2025. In the first six months of 2026, we paid $175 million for repurchases of our common stock, $81 million in dividends to Lear shareholders and $40 million in dividends to noncontrolling interest holders. In the first six months of 2025, we paid $48 million for repurchases of our common stock, $85 million in dividends to Lear shareholders and $45 million in dividends to noncontrolling interest 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Short-Term Borrowings</w:t>
      </w:r>
    </w:p>
    <w:p>
      <w:pPr>
        <w:pStyle w:val="TextBody"/>
        <w:bidi w:val="0"/>
        <w:spacing w:lineRule="auto" w:line="288" w:before="120" w:after="283"/>
        <w:jc w:val="both"/>
        <w:rPr/>
      </w:pPr>
      <w:r>
        <w:rPr>
          <w:rFonts w:ascii="Times New Roman;serif" w:hAnsi="Times New Roman;serif"/>
          <w:b w:val="false"/>
          <w:color w:val="000000"/>
          <w:sz w:val="20"/>
        </w:rPr>
        <w:t xml:space="preserve">We utilize uncommitted lines of credit as needed for our short-term working capital fluctuations. As of July 4, 2026 and December 31, 2025, we had lines of credit from banks </w:t>
      </w:r>
      <w:r>
        <w:rPr>
          <w:rFonts w:ascii="Times New Roman;serif" w:hAnsi="Times New Roman;serif"/>
          <w:b w:val="false"/>
          <w:color w:val="000000"/>
          <w:sz w:val="20"/>
          <w:shd w:fill="FFFFFF" w:val="clear"/>
        </w:rPr>
        <w:t>totaling $376 million and $383 million, respectivel</w:t>
      </w:r>
      <w:r>
        <w:rPr>
          <w:rFonts w:ascii="Times New Roman;serif" w:hAnsi="Times New Roman;serif"/>
          <w:b w:val="false"/>
          <w:color w:val="000000"/>
          <w:sz w:val="20"/>
        </w:rPr>
        <w:t>y. As of July 4, 2026 and December 31, 2025, we had short-term debt balances outstanding related to draws on our lines of credit of $29 million and $28 million,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Senior Notes and Credit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our senior notes and credit agreement, see Note 7, "Debt," to the condensed consolidated financial statements included in this Report and Note 5, "Debt," to the consolidated financial statements included in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Share Repurchase Program and Quarterly Cash Dividends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related to our common stock share repurchase program and dividends, see "— Executive Overview — Share Repurchase Program and Quarterly Cash Dividends" above, Note 14, "Comprehensive Income and Equity," to the condensed consolidated financial statements included in this Report and Note 10, "Capital Stock, Accumulated Other Comprehensive Loss and Equity," to the consolidated financial statements included in our Annual Report on Form 10-K for the year ended December 31, 2025.</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Commodity Prices</w:t>
      </w:r>
    </w:p>
    <w:p>
      <w:pPr>
        <w:pStyle w:val="TextBody"/>
        <w:bidi w:val="0"/>
        <w:spacing w:lineRule="auto" w:line="288" w:before="120" w:after="283"/>
        <w:jc w:val="both"/>
        <w:rPr/>
      </w:pPr>
      <w:r>
        <w:rPr>
          <w:rFonts w:ascii="Times New Roman;serif" w:hAnsi="Times New Roman;serif"/>
          <w:b w:val="false"/>
          <w:color w:val="000000"/>
          <w:sz w:val="20"/>
        </w:rPr>
        <w:t>Raw material, energy and commodity costs can be volatile, reflecting, among other things, changes in supply and demand, logistics issues, global trade and tariff policies, and geopolitical issues. We have commodity price risk with respect to purchases of certain raw materials, including steel, copper, diesel fuel, chemicals, resins and leather. Our primary commodity cost exposures relate to steel, copper and leather.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purchased components. Additionally, approximately 88%</w:t>
      </w:r>
      <w:r>
        <w:rPr>
          <w:color w:val="000000"/>
        </w:rPr>
        <w:t xml:space="preserve"> </w:t>
      </w:r>
      <w:r>
        <w:rPr>
          <w:rFonts w:ascii="Times New Roman;serif" w:hAnsi="Times New Roman;serif"/>
          <w:b w:val="false"/>
          <w:color w:val="000000"/>
          <w:sz w:val="20"/>
        </w:rPr>
        <w:t>of our copper purchases and a significant portion of our leather and direct steel purchases are subject to price index agreements with our customers and suppliers. We have developed and implemented additional strategies to mitigate the impact of any such cost increases, including the selective in-sourcing of components, the continued consolidation of our supply base, longer-term purchase commitments, commercial recovery mechanisms and the selective expansion of low-cost country sourcing and engineering, as well as value engineering and product benchmarking. Certain of these strategies may limit our opportunities in a declining commodity price environment. In the current environment of elevated raw material, energy and commodity costs, these strategies, together with commercial negotiations with our customers and suppliers and improved manufacturing productivity through automation and other advanced technologies, have more than offset the adverse impact. However, no assurances can be provided that these costs will continue to be offset in the future. If these costs increase further, it could have an adverse impact on our operating results in the foreseeable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 Forward-Looking Statements" below and Item 1A, "Risk Factors — Increases in the costs and restrictions on the availability of raw materials, energy, commodities, product components and labor could adversely affect our financial performance," in our Annual Report on Form 10-K for the year ended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related to the financial instruments described above, see Note 17, "Financial Instruments,"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Legal and 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involved from time to time in various legal proceedings and claims, including, without limitation, commercial and contractual disputes, product liability claims, and environmental and other matters. As of July 4, 2026, we had recorded reserves for pending legal disputes, including commercial and contractual disputes, product liability claims and other legal matters of $16 million. In addition, as of July 4, 2026, we had recorded reserves for warranty and recall matters of $37 million and environmental matters of $5 million. We carry insurance for certain legal matters, including product liability claims, but such coverage may be limited. We do not maintain insurance for warranty and recall matters. Although these reserves were determined in accordance with GAAP, the ultimate outcomes of these matters are inherently uncertain, and actual results may differ significantly from current estimates. For a description of risks related to various legal proceedings and claims, see Item 1A, "Risk Factors," in our Annual Report on Form 10-K for the year ended December 31, 2025. For a more complete description of our outstanding material legal proceedings, see Note 15, "Legal and Other Contingencies," to the condensed consolidated financial statements included in this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subject to an inherent degree of uncertainty. Accordingly, actual results in these areas may differ significantly from our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our significant accounting policies and critical accounting estimates, see Item 7, "Management's Discussion and Analysis of Financial Condition and Results of Operations — Other Matters — Critical Accounting Estimates," and Note 2, "Summary of Significant Accounting Policies," to the consolidated financial statements included in our Annual Report on Form 10-K for the year ended December 31, 2025. There have been no significant changes in our significant accounting policies or critical accounting estimates during the first six months of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on the impact of recently issued accounting pronouncements, see Note 18, "Accounting Pronouncements," to the condensed consolidated financial statements included in this Report.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Private Securities Litigation Reform Act of 1995 provides a safe harbor for forward-looking statements made by us or on our behalf. The words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Report or in any other public statements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general economic conditions in the markets in which we operate, including changes in interest rates or currency exchange rates;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administrative policy, including trade policies and tariffs, in the United States and related actions by countries in which we do business;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changes in actual industry vehicle production levels from our current estimates;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fluctuations in the production of vehicles or the loss of business with respect to, or the lack of commercial success of, a vehicle model for which we are a significant supplier;</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outcome of customer negotiations and the impact of customer-imposed price reductions;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increases in the costs and restrictions on the availability of raw materials, energy, commodities, product components and labor and our ability to mitigate such costs and insufficient availability;</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disruptions in relationships with our customers and suppliers;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financial condition of and adverse developments affecting our customers and suppliers;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risks associated with conducting business in foreign countries, including the risk of war (including the war with Iran) or other geopolitical conflicts;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currency controls and the ability to economically hedge currencies;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global sovereign fiscal matters and creditworthiness, including potential defaults and the related impacts on economic activity, including the possible effects on credit markets, currency values, monetary unions, international treaties and fiscal policies;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competitive conditions impacting us and our key customers and suppliers;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labor disputes, including disruptions, involving us or our significant customers or suppliers or that otherwise affect us or our significant customers or suppliers;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 xml:space="preserve">the consequences of violations of law by our employees, agents or business partners, including violations related to anti-bribery, competition, export and import, trade sanctions, data privacy, environmental, human rights and other laws;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operational and financial success of our joint ventures;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 xml:space="preserve">our ability to attract, develop, engage and retain qualified employees;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our ability to respond to the evolution of the global transportation industry;</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outcome of an increased emphasis on global climate change and other sustainability matters by stakeholders;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global climate change;</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pandemics, epidemics, disease outbreaks and other public health crises on our business;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and timing of program launch costs and our management of new program launches;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delayed program launches due to customer planning decisions;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changes in discount rates and the actual return on pension assets;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impairment charges initiated by adverse industry or market developments;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our ability to execute our strategic objectives;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limitations imposed by our existing indebtedness and our ability to access capital markets on commercially reasonable terms;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disruptions to our information technology systems, or those of our customers or suppliers, including those related to cybersecurity;</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increases in our warranty, product liability or recall costs;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outcome of legal or regulatory proceedings to which we are or may become a party;</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pending legislation and regulations or changes in existing federal, state, local or foreign laws or regulations;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regulations on our foreign operations;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costs associated with compliance with environmental laws and regulations;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developments or assertions by or against us relating to intellectual property rights;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impact of changes in our effective tax rate, the adoption of new tax legislation or exposure to additional income tax liabilities on our profitability; and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other risks, described in Item 1A, "Risk Factors," in our Annual Report on Form 10-K for the year ended December 31, 2025, and in ou</w:t>
      </w:r>
      <w:r>
        <w:rPr>
          <w:rFonts w:ascii="Times New Roman;serif" w:hAnsi="Times New Roman;serif"/>
          <w:b w:val="false"/>
          <w:color w:val="000000"/>
          <w:sz w:val="20"/>
          <w:shd w:fill="FFFFFF" w:val="clear"/>
        </w:rPr>
        <w:t>r other Securities and Exchange Commission filings.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Report are made as of the date hereof, and we do not assume any obligation to update, amend or clarify them to reflect events, new information or circumstances occurring after the date hereof.</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MARKET RISK SENSITIVITY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market risks associated with fluctuations in foreign exchange rates, interest rates and commodity prices. We manage a portion of these risks through the use of derivative financial instruments in accordance with our policies. We enter into all hedging transactions for periods consistent with the underlying exposures. We do not enter into derivative instruments for trading purposes.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Exchange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results may be impacted by our buying, selling and financing in currencies other than the functional currency of our operating companies ("transactional exposure"). Currently, our most significant foreign currency transactional exposures relate to the Mexican peso, various European currencies, the Chinese renminbi, the Moroccan dirham and the Honduran lempira. We may mitigate a portion of this risk by entering into forward foreign exchange, futures and option contracts. The foreign exchange contracts are executed with banks that we believe are creditworthy.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notional amount and estimated aggregate fair value of our outstanding foreign exchange contracts is shown below (in millions):</w:t>
      </w:r>
    </w:p>
    <w:tbl>
      <w:tblPr>
        <w:tblW w:w="6633" w:type="dxa"/>
        <w:jc w:val="left"/>
        <w:tblInd w:w="0" w:type="dxa"/>
        <w:tblLayout w:type="fixed"/>
        <w:tblCellMar>
          <w:top w:w="28" w:type="dxa"/>
          <w:left w:w="28" w:type="dxa"/>
          <w:bottom w:w="28" w:type="dxa"/>
          <w:right w:w="28" w:type="dxa"/>
        </w:tblCellMar>
      </w:tblPr>
      <w:tblGrid>
        <w:gridCol w:w="1531"/>
        <w:gridCol w:w="1345"/>
        <w:gridCol w:w="1354"/>
        <w:gridCol w:w="211"/>
        <w:gridCol w:w="616"/>
        <w:gridCol w:w="109"/>
        <w:gridCol w:w="109"/>
        <w:gridCol w:w="109"/>
        <w:gridCol w:w="109"/>
        <w:gridCol w:w="245"/>
        <w:gridCol w:w="716"/>
        <w:gridCol w:w="179"/>
      </w:tblGrid>
      <w:tr>
        <w:trPr/>
        <w:tc>
          <w:tcPr>
            <w:tcW w:w="153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Notional amount (contract maturities &lt; 36 months)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the potential change in fair value of our outstanding foreign exchange contracts assuming a hypothetical 10% adverse move in foreign currency exchange rates would result in a loss of approximately $285 million and $292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July 4, 2026 and December 31, 2025, the potential change in fair value of our outstanding foreign exchange contracts assuming a hypothetical 10% favorable move in foreign currency exchange rates would result in a gain of approximately $341 million and $351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foreign currency exchange rates typically do not all move in the same direction, the estimated impact from changes in foreign currency exchange rates on the net fair value of the Company's foreign exchange contracts may be overstated. Gains and losses related to foreign exchange contracts are deferred where appropriate and included in the measurement of the foreign currency transaction subject to the hedge. Gains and losses related to foreign exchange contracts are generally offset by the direct effects of foreign currency exchange rate movements on the underlying transactions.</w:t>
      </w:r>
    </w:p>
    <w:p>
      <w:pPr>
        <w:pStyle w:val="TextBody"/>
        <w:bidi w:val="0"/>
        <w:spacing w:lineRule="auto" w:line="276" w:before="120" w:after="283"/>
        <w:jc w:val="both"/>
        <w:rPr/>
      </w:pPr>
      <w:r>
        <w:rPr>
          <w:rFonts w:ascii="Times New Roman;serif" w:hAnsi="Times New Roman;serif"/>
          <w:b w:val="false"/>
          <w:color w:val="000000"/>
          <w:sz w:val="20"/>
        </w:rPr>
        <w:t>In addition to the transactional exposure described above, our operating results are impacted by the translation of our foreign operating income into U.S. dollars ("translational exposure"). In 2025, net sales outside of the United States accounted for 77% of our consolidated net sales, although certain non-U.S. sales are U.S. dollar denominated. We do not enter into foreign exchange contracts to mitigate our translational exposure.</w:t>
      </w:r>
      <w:r>
        <w:rPr>
          <w:color w:val="FF009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240" w:after="12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under the supervision and with the participation of the Company's management, including the Company's President and Chief Executive Officer along with the Company's Senior Vice President and Chief Financial Officer, the effectiveness of the Company's disclosure controls and procedures (as defined in Rules 13a-15(e) and 15d-15(e) under the Securities Exchange Act of 1934, as amended) as of the end of the period covered by this Report. The Company's disclosure controls and procedures are designed to provide reasonable assurance of achieving their objectives. Because of the inherent limitations in all control systems, no evaluation of controls can provide absolute assurance that all control issues and instances of fraud, if any, within the Company have been detected. Based on the evaluation described above, the Company's President and Chief Executive Officer along with the Company's Senior Vice President and Chief Financial Officer have concluded that the Company's disclosure controls and procedures were effective to provide reasonable assurance that the desired control objectives were achieved as of the end of the period covered by this Report.</w:t>
      </w:r>
    </w:p>
    <w:p>
      <w:pPr>
        <w:pStyle w:val="TextBody"/>
        <w:bidi w:val="0"/>
        <w:spacing w:lineRule="auto" w:line="288" w:before="24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was no change in the Company's internal control over financial reporting that occurred during the fiscal quarter ended July 4,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involved from time to time in various legal proceedings and claims, including, without limitation, commercial or contractual disputes, product liability claims, and environmental and other matters. For a description of risks related to various legal proceedings and claims, see Item 1A, "Risk Factors," in our Annual Report on Form 10-K for the year ended December 31, 2025. For a description of our outstanding material legal proceedings, see Note 15, "Legal and Other Contingencies,"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our risk factors, see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ITEM 2 —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discussed in Part I — Item 2, "Management's Discussion and Analysis of Financial Condition and Results of Operations — Executive Overview — Share Repurchase Program and Quarterly Cash Dividends," and Note 14, "Comprehensive Income and Equity," to the condensed consolidated financial statements included in this Report, we have a remaining repurchase authorization of $599.7 million under our ongoing common stock share repurchase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shares of our common stock repurchased during the quarter ended July 4, 2026, is shown below:</w:t>
      </w:r>
    </w:p>
    <w:tbl>
      <w:tblPr>
        <w:tblW w:w="9577" w:type="dxa"/>
        <w:jc w:val="left"/>
        <w:tblInd w:w="0" w:type="dxa"/>
        <w:tblLayout w:type="fixed"/>
        <w:tblCellMar>
          <w:top w:w="28" w:type="dxa"/>
          <w:left w:w="28" w:type="dxa"/>
          <w:bottom w:w="28" w:type="dxa"/>
          <w:right w:w="28" w:type="dxa"/>
        </w:tblCellMar>
      </w:tblPr>
      <w:tblGrid>
        <w:gridCol w:w="1091"/>
        <w:gridCol w:w="961"/>
        <w:gridCol w:w="977"/>
        <w:gridCol w:w="109"/>
        <w:gridCol w:w="109"/>
        <w:gridCol w:w="109"/>
        <w:gridCol w:w="413"/>
        <w:gridCol w:w="413"/>
        <w:gridCol w:w="376"/>
        <w:gridCol w:w="109"/>
        <w:gridCol w:w="109"/>
        <w:gridCol w:w="109"/>
        <w:gridCol w:w="285"/>
        <w:gridCol w:w="285"/>
        <w:gridCol w:w="286"/>
        <w:gridCol w:w="109"/>
        <w:gridCol w:w="109"/>
        <w:gridCol w:w="109"/>
        <w:gridCol w:w="515"/>
        <w:gridCol w:w="515"/>
        <w:gridCol w:w="516"/>
        <w:gridCol w:w="109"/>
        <w:gridCol w:w="109"/>
        <w:gridCol w:w="109"/>
        <w:gridCol w:w="351"/>
        <w:gridCol w:w="1027"/>
        <w:gridCol w:w="258"/>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w:t>
              <w:br/>
              <w:t>Shares Purchased </w:t>
              <w:br/>
              <w:t>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Shares that</w:t>
              <w:br/>
              <w:t>May Yet be</w:t>
              <w:br/>
              <w:t>Purchased Under</w:t>
              <w:br/>
              <w:t>the Program</w:t>
              <w:br/>
              <w:t>(in millions)</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5, 2026 through May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178,256 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 2026 through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143,337 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143,337 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through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414,280 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735,873 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735,873 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RULE 10b5-1 TRADING PLAN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Insider Adoption or Termination of Trading Arrangements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4, 2026, no director or officer of the Company adopted or terminated a "Rule 10b5-1 trading arrangement" or "non-Rule 10b5-1 trading arrangement," as each term is defined in Item 408 of Regulation S-K.</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AMENDED AND RESTATED 2019 LONG-TERM STOCK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14, 2026, the Company held its 2026 Annual Meeting of Shareholders (the "Annual Meeting"). At the Annual Meeting, the Company’s shareholders approved the amendment and restatement of the Company’s 2019 Long-Term Stock Incentive Plan, as previously amended and restated as of May 18, 2023 (the "Plan"). The amendments approved by the shareholders include (1) a 1,725,000-share increase in the total number of shares of the Company’s common stock available for issuance under the Plan, (2) a definition of the events constituting "Good Reason" and (3) language granting the Company the ability to grant awards to current or prospective consultants to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Plan amendments is qualified in its entirety by the full text of the Plan, as amended and restated, which is filed as Exhibit 10.1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186"/>
        <w:gridCol w:w="163"/>
        <w:gridCol w:w="163"/>
        <w:gridCol w:w="282"/>
        <w:gridCol w:w="282"/>
        <w:gridCol w:w="284"/>
        <w:gridCol w:w="117"/>
        <w:gridCol w:w="117"/>
        <w:gridCol w:w="117"/>
        <w:gridCol w:w="2571"/>
        <w:gridCol w:w="2449"/>
        <w:gridCol w:w="3474"/>
      </w:tblGrid>
      <w:tr>
        <w:trPr/>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4" w:type="dxa"/>
            <w:tcBorders/>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Name</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lear-2026jul4_ex101.htm">
              <w:r>
                <w:rPr>
                  <w:rStyle w:val="InternetLink"/>
                  <w:rFonts w:ascii="Times New Roman;serif" w:hAnsi="Times New Roman;serif"/>
                  <w:b w:val="false"/>
                  <w:color w:val="0000FF"/>
                  <w:sz w:val="20"/>
                  <w:u w:val="single"/>
                </w:rPr>
                <w:t>Lear Corporation 2019 Long-Term Stock Incentive Plan (amended and restated as of May 14, 2026)</w:t>
              </w:r>
            </w:hyperlink>
            <w:r>
              <w:rPr>
                <w:rFonts w:ascii="Times New Roman;serif" w:hAnsi="Times New Roman;serif"/>
                <w:b w:val="false"/>
                <w:color w:val="000000"/>
                <w:sz w:val="20"/>
                <w:u w:val="single"/>
              </w:rPr>
              <w:t>.</w:t>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ear-2026jul4_ex311.htm">
              <w:r>
                <w:rPr>
                  <w:rStyle w:val="InternetLink"/>
                  <w:rFonts w:ascii="Times New Roman;serif" w:hAnsi="Times New Roman;serif"/>
                  <w:b w:val="false"/>
                  <w:color w:val="0000FF"/>
                  <w:sz w:val="20"/>
                  <w:u w:val="single"/>
                </w:rPr>
                <w:t>Rule 13a-14(a)/15d-14(a) Certification of Principal Executive Officer.</w:t>
              </w:r>
            </w:hyperlink>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lear-2026jul4_ex312.htm">
              <w:r>
                <w:rPr>
                  <w:rStyle w:val="InternetLink"/>
                  <w:rFonts w:ascii="Times New Roman;serif" w:hAnsi="Times New Roman;serif"/>
                  <w:b w:val="false"/>
                  <w:color w:val="0000FF"/>
                  <w:sz w:val="20"/>
                  <w:u w:val="single"/>
                </w:rPr>
                <w:t>Rule 13a-14(a)/15d-14(a) Certification of Principal Financial Officer.</w:t>
              </w:r>
            </w:hyperlink>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ear-2026jul4_ex321.htm">
              <w:r>
                <w:rPr>
                  <w:rStyle w:val="InternetLink"/>
                  <w:rFonts w:ascii="Times New Roman;serif" w:hAnsi="Times New Roman;serif"/>
                  <w:b w:val="false"/>
                  <w:color w:val="0000FF"/>
                  <w:sz w:val="20"/>
                  <w:u w:val="single"/>
                </w:rPr>
                <w:t>Certification by Chief Executive Officer pursuant to 18 U.S.C. Section 1350, as adopted pursuant to Section 906 of the Sarbanes-Oxley Act of 2002.</w:t>
              </w:r>
            </w:hyperlink>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lear-2026jul4_ex322.htm">
              <w:r>
                <w:rPr>
                  <w:rStyle w:val="InternetLink"/>
                  <w:rFonts w:ascii="Times New Roman;serif" w:hAnsi="Times New Roman;serif"/>
                  <w:b w:val="false"/>
                  <w:color w:val="0000FF"/>
                  <w:sz w:val="20"/>
                  <w:u w:val="single"/>
                </w:rPr>
                <w:t>Certification by Chief Financial Officer pursuant to 18 U.S.C. Section 1350, as adopted pursuant to Section 906 of the Sarbanes-Oxley Act of 2002.</w:t>
              </w:r>
            </w:hyperlink>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Compensatory plan or arrangement.</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XBRL Instance Document and Cover Page Interactive Data File do not appear in the Interactive Data File because their XBRL tags are embedded within the Inline XBRL document.</w:t>
            </w:r>
          </w:p>
        </w:tc>
      </w:tr>
      <w:tr>
        <w:trPr/>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with the Report.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8849a961253469a8e5ed420bac432b5_7">
        <w:r>
          <w:rPr>
            <w:rStyle w:val="InternetLink"/>
            <w:rFonts w:ascii="Times New Roman;serif" w:hAnsi="Times New Roman;serif"/>
            <w:b w:val="false"/>
            <w:color w:val="0000FF"/>
            <w:sz w:val="20"/>
            <w:u w:val="single"/>
          </w:rPr>
          <w:t>Table of Contents</w:t>
        </w:r>
      </w:hyperlink>
    </w:p>
    <w:p>
      <w:pPr>
        <w:pStyle w:val="TextBody"/>
        <w:bidi w:val="0"/>
        <w:spacing w:before="0" w:after="480"/>
        <w:jc w:val="center"/>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4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799" w:type="dxa"/>
        <w:jc w:val="left"/>
        <w:tblInd w:w="0" w:type="dxa"/>
        <w:tblLayout w:type="fixed"/>
        <w:tblCellMar>
          <w:top w:w="28" w:type="dxa"/>
          <w:left w:w="28" w:type="dxa"/>
          <w:bottom w:w="28" w:type="dxa"/>
          <w:right w:w="28" w:type="dxa"/>
        </w:tblCellMar>
      </w:tblPr>
      <w:tblGrid>
        <w:gridCol w:w="377"/>
        <w:gridCol w:w="332"/>
        <w:gridCol w:w="332"/>
        <w:gridCol w:w="404"/>
        <w:gridCol w:w="404"/>
        <w:gridCol w:w="406"/>
        <w:gridCol w:w="134"/>
        <w:gridCol w:w="134"/>
        <w:gridCol w:w="136"/>
        <w:gridCol w:w="1211"/>
        <w:gridCol w:w="1211"/>
        <w:gridCol w:w="1718"/>
      </w:tblGrid>
      <w:tr>
        <w:trPr/>
        <w:tc>
          <w:tcPr>
            <w:tcW w:w="3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2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LEAR CORPORATION</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Raymond E. Scott</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Raymond E. Scott</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M. Cardew</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M. Cardew</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0"/>
        <w:jc w:val="center"/>
        <w:rPr/>
      </w:pPr>
      <w:r>
        <w:rPr/>
      </w:r>
    </w:p>
    <w:p>
      <w:pPr>
        <w:pStyle w:val="TextBody"/>
        <w:bidi w:val="0"/>
        <w:spacing w:lineRule="auto" w:line="333" w:before="0" w:after="0"/>
        <w:jc w:val="center"/>
        <w:rPr>
          <w:rFonts w:ascii="Verdana;sans-serif" w:hAnsi="Verdana;sans-serif"/>
          <w:b/>
          <w:color w:val="000000"/>
          <w:sz w:val="18"/>
        </w:rPr>
      </w:pPr>
      <w:r>
        <w:rPr>
          <w:rFonts w:ascii="Verdana;sans-serif" w:hAnsi="Verdana;sans-serif"/>
          <w:b/>
          <w:color w:val="000000"/>
          <w:sz w:val="18"/>
        </w:rPr>
        <w:t>LEAR CORPORATION</w:t>
        <w:br/>
        <w:t>2019 LONG-TERM STOCK INCENTIVE PLAN</w:t>
      </w:r>
    </w:p>
    <w:p>
      <w:pPr>
        <w:pStyle w:val="TextBody"/>
        <w:bidi w:val="0"/>
        <w:spacing w:lineRule="auto" w:line="333" w:before="0" w:after="0"/>
        <w:jc w:val="center"/>
        <w:rPr>
          <w:rFonts w:ascii="Verdana;sans-serif" w:hAnsi="Verdana;sans-serif"/>
          <w:b/>
          <w:color w:val="000000"/>
          <w:sz w:val="18"/>
        </w:rPr>
      </w:pPr>
      <w:r>
        <w:rPr>
          <w:rFonts w:ascii="Verdana;sans-serif" w:hAnsi="Verdana;sans-serif"/>
          <w:b/>
          <w:color w:val="000000"/>
          <w:sz w:val="18"/>
        </w:rPr>
        <w:t>(As Amended and Restated as of May 14, 2026)</w:t>
      </w:r>
    </w:p>
    <w:p>
      <w:pPr>
        <w:pStyle w:val="TextBody"/>
        <w:bidi w:val="0"/>
        <w:spacing w:before="0" w:after="0"/>
        <w:jc w:val="center"/>
        <w:rPr/>
      </w:pPr>
      <w:r>
        <w:rPr/>
      </w:r>
    </w:p>
    <w:p>
      <w:pPr>
        <w:pStyle w:val="TextBody"/>
        <w:bidi w:val="0"/>
        <w:spacing w:lineRule="auto" w:line="333" w:before="0" w:after="120"/>
        <w:jc w:val="left"/>
        <w:rPr/>
      </w:pPr>
      <w:r>
        <w:rPr>
          <w:rFonts w:ascii="Verdana;sans-serif" w:hAnsi="Verdana;sans-serif"/>
          <w:b/>
          <w:color w:val="000000"/>
          <w:sz w:val="18"/>
        </w:rPr>
        <w:t>Article 1.    </w:t>
      </w:r>
      <w:r>
        <w:rPr>
          <w:rFonts w:ascii="Verdana;sans-serif" w:hAnsi="Verdana;sans-serif"/>
          <w:b/>
          <w:color w:val="000000"/>
          <w:sz w:val="18"/>
          <w:u w:val="single"/>
        </w:rPr>
        <w:t>Establishment, Objectives and Duration</w:t>
      </w:r>
    </w:p>
    <w:p>
      <w:pPr>
        <w:pStyle w:val="TextBody"/>
        <w:bidi w:val="0"/>
        <w:spacing w:lineRule="auto" w:line="333" w:before="0" w:after="120"/>
        <w:jc w:val="left"/>
        <w:rPr/>
      </w:pPr>
      <w:r>
        <w:rPr>
          <w:rFonts w:ascii="Verdana;sans-serif" w:hAnsi="Verdana;sans-serif"/>
          <w:b/>
          <w:color w:val="000000"/>
          <w:sz w:val="18"/>
        </w:rPr>
        <w:t>1.1    Establishment of the Plan.</w:t>
      </w:r>
      <w:r>
        <w:rPr>
          <w:color w:val="000000"/>
        </w:rPr>
        <w:t xml:space="preserve"> </w:t>
      </w:r>
      <w:r>
        <w:rPr>
          <w:rFonts w:ascii="Verdana;sans-serif" w:hAnsi="Verdana;sans-serif"/>
          <w:b w:val="false"/>
          <w:color w:val="000000"/>
          <w:sz w:val="18"/>
        </w:rPr>
        <w:t xml:space="preserve">Lear Corporation, a Delaware corporation (the </w:t>
      </w:r>
      <w:r>
        <w:rPr>
          <w:color w:val="000000"/>
        </w:rPr>
        <w:t>“</w:t>
      </w:r>
      <w:r>
        <w:rPr>
          <w:rFonts w:ascii="Verdana;sans-serif" w:hAnsi="Verdana;sans-serif"/>
          <w:b/>
          <w:color w:val="000000"/>
          <w:sz w:val="18"/>
        </w:rPr>
        <w:t>Company”</w:t>
      </w:r>
      <w:r>
        <w:rPr>
          <w:rFonts w:ascii="Verdana;sans-serif" w:hAnsi="Verdana;sans-serif"/>
          <w:b w:val="false"/>
          <w:color w:val="000000"/>
          <w:sz w:val="18"/>
        </w:rPr>
        <w:t>), hereby establishes this</w:t>
      </w:r>
      <w:r>
        <w:rPr>
          <w:color w:val="000000"/>
        </w:rPr>
        <w:t xml:space="preserve"> </w:t>
      </w:r>
      <w:r>
        <w:rPr>
          <w:rFonts w:ascii="Verdana;sans-serif" w:hAnsi="Verdana;sans-serif"/>
          <w:b w:val="false"/>
          <w:color w:val="000000"/>
          <w:sz w:val="18"/>
        </w:rPr>
        <w:t xml:space="preserve">Lear Corporation 2019 Long-Term Stock Incentive Plan, as set forth in this document and as may be amended or amended and restated from time to time (the </w:t>
      </w:r>
      <w:r>
        <w:rPr>
          <w:color w:val="000000"/>
        </w:rPr>
        <w:t>“</w:t>
      </w:r>
      <w:r>
        <w:rPr>
          <w:rFonts w:ascii="Verdana;sans-serif" w:hAnsi="Verdana;sans-serif"/>
          <w:b/>
          <w:color w:val="000000"/>
          <w:sz w:val="18"/>
        </w:rPr>
        <w:t>Plan”</w:t>
      </w:r>
      <w:r>
        <w:rPr>
          <w:rFonts w:ascii="Verdana;sans-serif" w:hAnsi="Verdana;sans-serif"/>
          <w:b w:val="false"/>
          <w:color w:val="000000"/>
          <w:sz w:val="18"/>
        </w:rPr>
        <w:t xml:space="preserve">).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Performance Units and other cash and equity incentive Awards. The Plan was first approved by the Committee on March 26, 2019, and by the Company’s shareholders on May 16, 2019 (the </w:t>
      </w:r>
      <w:r>
        <w:rPr>
          <w:color w:val="000000"/>
        </w:rPr>
        <w:t>“</w:t>
      </w:r>
      <w:r>
        <w:rPr>
          <w:rFonts w:ascii="Verdana;sans-serif" w:hAnsi="Verdana;sans-serif"/>
          <w:b/>
          <w:color w:val="000000"/>
          <w:sz w:val="18"/>
        </w:rPr>
        <w:t>Effective Date”</w:t>
      </w:r>
      <w:r>
        <w:rPr>
          <w:rFonts w:ascii="Verdana;sans-serif" w:hAnsi="Verdana;sans-serif"/>
          <w:b w:val="false"/>
          <w:color w:val="000000"/>
          <w:sz w:val="18"/>
        </w:rPr>
        <w:t xml:space="preserve">). It was subsequently amended and restated on May 14, 2023, and the Company’s shareholders approved an increase in the number of Shares that could be awarded under the Plan. The Plan was most recently amended and restated by the Committee on March 23, 2026, and approved by the Company’s shareholders on May 14, 2026. The Plan will remain in effect as provided in Section 1.3 hereof. </w:t>
      </w:r>
    </w:p>
    <w:p>
      <w:pPr>
        <w:pStyle w:val="TextBody"/>
        <w:bidi w:val="0"/>
        <w:spacing w:lineRule="auto" w:line="333" w:before="0" w:after="120"/>
        <w:jc w:val="left"/>
        <w:rPr/>
      </w:pPr>
      <w:r>
        <w:rPr>
          <w:rFonts w:ascii="Verdana;sans-serif" w:hAnsi="Verdana;sans-serif"/>
          <w:b/>
          <w:color w:val="000000"/>
          <w:sz w:val="18"/>
        </w:rPr>
        <w:t>1.2    Objectives of the Plan.</w:t>
      </w:r>
      <w:r>
        <w:rPr>
          <w:color w:val="000000"/>
        </w:rPr>
        <w:t xml:space="preserve"> </w:t>
      </w:r>
      <w:r>
        <w:rPr>
          <w:rFonts w:ascii="Verdana;sans-serif" w:hAnsi="Verdana;sans-serif"/>
          <w:b w:val="false"/>
          <w:color w:val="000000"/>
          <w:sz w:val="18"/>
        </w:rPr>
        <w:t>The objectives of the Plan are to optimize the profitability and growth of the Company through long-term incentives that are 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pStyle w:val="TextBody"/>
        <w:bidi w:val="0"/>
        <w:spacing w:lineRule="auto" w:line="333" w:before="0" w:after="120"/>
        <w:jc w:val="left"/>
        <w:rPr/>
      </w:pPr>
      <w:r>
        <w:rPr>
          <w:rFonts w:ascii="Verdana;sans-serif" w:hAnsi="Verdana;sans-serif"/>
          <w:b/>
          <w:color w:val="000000"/>
          <w:sz w:val="18"/>
        </w:rPr>
        <w:t>1.3    Duration of the Plan.</w:t>
      </w:r>
      <w:r>
        <w:rPr>
          <w:color w:val="000000"/>
        </w:rPr>
        <w:t xml:space="preserve"> </w:t>
      </w:r>
      <w:r>
        <w:rPr>
          <w:rFonts w:ascii="Verdana;sans-serif" w:hAnsi="Verdana;sans-serif"/>
          <w:b w:val="false"/>
          <w:color w:val="000000"/>
          <w:sz w:val="18"/>
        </w:rPr>
        <w:t>The Plan commenced on the Effective Date, as defined in Article 2, and will remain in effect, subject to the right of the Committee to amend or terminate the Plan at any time pursuant to Article 15, until all Shares subject to it pursuant to Article 4 have been issued or transferred according to the Plan’s provisions. In no event may an Award be granted under the Plan on or after the ten (10) year anniversary of the Effective Date.</w:t>
      </w:r>
    </w:p>
    <w:p>
      <w:pPr>
        <w:pStyle w:val="TextBody"/>
        <w:bidi w:val="0"/>
        <w:spacing w:lineRule="auto" w:line="333" w:before="0" w:after="120"/>
        <w:jc w:val="left"/>
        <w:rPr/>
      </w:pPr>
      <w:r>
        <w:rPr>
          <w:rFonts w:ascii="Verdana;sans-serif" w:hAnsi="Verdana;sans-serif"/>
          <w:b/>
          <w:color w:val="000000"/>
          <w:sz w:val="18"/>
        </w:rPr>
        <w:t>Article 2.    </w:t>
      </w:r>
      <w:r>
        <w:rPr>
          <w:rFonts w:ascii="Verdana;sans-serif" w:hAnsi="Verdana;sans-serif"/>
          <w:b/>
          <w:color w:val="000000"/>
          <w:sz w:val="18"/>
          <w:u w:val="single"/>
        </w:rPr>
        <w:t>Definitions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Whenever used in the Plan, the following terms have the meanings set forth below, and when the meaning is intended, the initial letter of the word is capitalized:</w:t>
      </w:r>
    </w:p>
    <w:p>
      <w:pPr>
        <w:pStyle w:val="TextBody"/>
        <w:bidi w:val="0"/>
        <w:spacing w:lineRule="auto" w:line="333" w:before="0" w:after="120"/>
        <w:jc w:val="left"/>
        <w:rPr/>
      </w:pPr>
      <w:r>
        <w:rPr>
          <w:color w:val="000000"/>
        </w:rPr>
        <w:t>“</w:t>
      </w:r>
      <w:r>
        <w:rPr>
          <w:rFonts w:ascii="Verdana;sans-serif" w:hAnsi="Verdana;sans-serif"/>
          <w:b/>
          <w:color w:val="000000"/>
          <w:sz w:val="18"/>
        </w:rPr>
        <w:t>Affiliates”</w:t>
      </w:r>
      <w:r>
        <w:rPr>
          <w:color w:val="000000"/>
        </w:rPr>
        <w:t xml:space="preserve"> </w:t>
      </w:r>
      <w:r>
        <w:rPr>
          <w:rFonts w:ascii="Verdana;sans-serif" w:hAnsi="Verdana;sans-serif"/>
          <w:b w:val="false"/>
          <w:color w:val="000000"/>
          <w:sz w:val="18"/>
        </w:rPr>
        <w:t xml:space="preserve">means any entity that, directly or indirectly, is controlled by, controls or is under common control with, the Company or in which the Company has a significant equity interest, in either case as determined by the Committee; provided, however, that the definition of Affiliate shall be limited to entities that are eligible issuers of service recipient stock (as defined in Treas. Reg. Section 1.409A-1(b)(5)(iii)(E), or applicable successor regulation) for Awards that would otherwise be subject to Section 409A, unless the Committee determines otherwise. Notwithstanding the foregoing, for purposes of determining whether a Participant has terminated employment with the Company and all Affiliates, “Affiliates” means any corporation (or partnership, limited liability company, joint venture, or other enterprise) of which the Company owns or controls, directly or indirectly, at least ten percent (10%) of the outstanding shares of stock normally entitled to vote for the election of directors (or comparable equity participation and voting power). The minimum percentage of ownership or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in the previous sentence shall be raised from ten percent (10%) to twenty percent (20%) for purposes of determining timing of payment of an Award, or amount payable with respect to an Award, that is “deferred compensation” for purposes of Code Section 409A, if payment of such Award or amount would be accelerated or otherwise triggered by a Participant’s termination of employment.</w:t>
      </w:r>
    </w:p>
    <w:p>
      <w:pPr>
        <w:pStyle w:val="TextBody"/>
        <w:bidi w:val="0"/>
        <w:spacing w:lineRule="auto" w:line="333" w:before="0" w:after="120"/>
        <w:jc w:val="left"/>
        <w:rPr/>
      </w:pPr>
      <w:r>
        <w:rPr>
          <w:color w:val="000000"/>
        </w:rPr>
        <w:t>“</w:t>
      </w:r>
      <w:r>
        <w:rPr>
          <w:rFonts w:ascii="Verdana;sans-serif" w:hAnsi="Verdana;sans-serif"/>
          <w:b/>
          <w:color w:val="000000"/>
          <w:sz w:val="18"/>
        </w:rPr>
        <w:t>Automatic Exercise Date”</w:t>
      </w:r>
      <w:r>
        <w:rPr>
          <w:color w:val="000000"/>
        </w:rPr>
        <w:t xml:space="preserve"> </w:t>
      </w:r>
      <w:r>
        <w:rPr>
          <w:rFonts w:ascii="Verdana;sans-serif" w:hAnsi="Verdana;sans-serif"/>
          <w:b w:val="false"/>
          <w:color w:val="000000"/>
          <w:sz w:val="18"/>
        </w:rPr>
        <w:t>means, with respect to an Option or a Stock Appreciation Right, the last business day of the applicable term of the Option pursuant to Section 6.12 or the Stock Appreciation Right pursuant to Section 7.9.</w:t>
      </w:r>
    </w:p>
    <w:p>
      <w:pPr>
        <w:pStyle w:val="TextBody"/>
        <w:bidi w:val="0"/>
        <w:spacing w:lineRule="auto" w:line="333" w:before="0" w:after="120"/>
        <w:jc w:val="left"/>
        <w:rPr/>
      </w:pPr>
      <w:r>
        <w:rPr>
          <w:color w:val="000000"/>
        </w:rPr>
        <w:t>“</w:t>
      </w:r>
      <w:r>
        <w:rPr>
          <w:rFonts w:ascii="Verdana;sans-serif" w:hAnsi="Verdana;sans-serif"/>
          <w:b/>
          <w:color w:val="000000"/>
          <w:sz w:val="18"/>
        </w:rPr>
        <w:t>Award”</w:t>
      </w:r>
      <w:r>
        <w:rPr>
          <w:color w:val="000000"/>
        </w:rPr>
        <w:t xml:space="preserve"> </w:t>
      </w:r>
      <w:r>
        <w:rPr>
          <w:rFonts w:ascii="Verdana;sans-serif" w:hAnsi="Verdana;sans-serif"/>
          <w:b w:val="false"/>
          <w:color w:val="000000"/>
          <w:sz w:val="18"/>
        </w:rPr>
        <w:t>means, individually or collectively, a grant under this Plan to a Participant of Nonqualified Stock Options, Incentive Stock Options, Stock Appreciation Rights, Restricted Stock, Restricted Units, Restricted Stock Units, Performance Shares, Performance Units or other types of equity-based or cash-based incentives hereafter approved by the Committee.</w:t>
      </w:r>
    </w:p>
    <w:p>
      <w:pPr>
        <w:pStyle w:val="TextBody"/>
        <w:bidi w:val="0"/>
        <w:spacing w:lineRule="auto" w:line="333" w:before="0" w:after="120"/>
        <w:jc w:val="left"/>
        <w:rPr/>
      </w:pPr>
      <w:r>
        <w:rPr>
          <w:color w:val="000000"/>
        </w:rPr>
        <w:t>“</w:t>
      </w:r>
      <w:r>
        <w:rPr>
          <w:rFonts w:ascii="Verdana;sans-serif" w:hAnsi="Verdana;sans-serif"/>
          <w:b/>
          <w:color w:val="000000"/>
          <w:sz w:val="18"/>
        </w:rPr>
        <w:t>Award Agreement”</w:t>
      </w:r>
      <w:r>
        <w:rPr>
          <w:color w:val="000000"/>
        </w:rPr>
        <w:t xml:space="preserve"> </w:t>
      </w:r>
      <w:r>
        <w:rPr>
          <w:rFonts w:ascii="Verdana;sans-serif" w:hAnsi="Verdana;sans-serif"/>
          <w:b w:val="false"/>
          <w:color w:val="000000"/>
          <w:sz w:val="18"/>
        </w:rPr>
        <w:t>means an agreement entered into by the Company and a Participant setting forth the terms and provisions applicable to an Award or Awards granted to the Participant.</w:t>
      </w:r>
    </w:p>
    <w:p>
      <w:pPr>
        <w:pStyle w:val="TextBody"/>
        <w:bidi w:val="0"/>
        <w:spacing w:lineRule="auto" w:line="333" w:before="0" w:after="120"/>
        <w:jc w:val="left"/>
        <w:rPr/>
      </w:pPr>
      <w:r>
        <w:rPr>
          <w:color w:val="000000"/>
        </w:rPr>
        <w:t>“</w:t>
      </w:r>
      <w:r>
        <w:rPr>
          <w:rFonts w:ascii="Verdana;sans-serif" w:hAnsi="Verdana;sans-serif"/>
          <w:b/>
          <w:color w:val="000000"/>
          <w:sz w:val="18"/>
        </w:rPr>
        <w:t>Beneficial Owner”</w:t>
      </w:r>
      <w:r>
        <w:rPr>
          <w:color w:val="000000"/>
        </w:rPr>
        <w:t xml:space="preserve"> </w:t>
      </w:r>
      <w:r>
        <w:rPr>
          <w:rFonts w:ascii="Verdana;sans-serif" w:hAnsi="Verdana;sans-serif"/>
          <w:b w:val="false"/>
          <w:color w:val="000000"/>
          <w:sz w:val="18"/>
        </w:rPr>
        <w:t>has the meaning ascribed to that term in Rule 13d-3 of the General Rules and Regulations under the Exchange Act.</w:t>
      </w:r>
    </w:p>
    <w:p>
      <w:pPr>
        <w:pStyle w:val="TextBody"/>
        <w:bidi w:val="0"/>
        <w:spacing w:lineRule="auto" w:line="333" w:before="0" w:after="120"/>
        <w:jc w:val="left"/>
        <w:rPr/>
      </w:pPr>
      <w:r>
        <w:rPr>
          <w:color w:val="000000"/>
        </w:rPr>
        <w:t>“</w:t>
      </w:r>
      <w:r>
        <w:rPr>
          <w:rFonts w:ascii="Verdana;sans-serif" w:hAnsi="Verdana;sans-serif"/>
          <w:b/>
          <w:color w:val="000000"/>
          <w:sz w:val="18"/>
        </w:rPr>
        <w:t>Board”</w:t>
      </w:r>
      <w:r>
        <w:rPr>
          <w:color w:val="000000"/>
        </w:rPr>
        <w:t xml:space="preserve"> </w:t>
      </w:r>
      <w:r>
        <w:rPr>
          <w:rFonts w:ascii="Verdana;sans-serif" w:hAnsi="Verdana;sans-serif"/>
          <w:b w:val="false"/>
          <w:color w:val="000000"/>
          <w:sz w:val="18"/>
        </w:rPr>
        <w:t xml:space="preserve">or </w:t>
      </w:r>
      <w:r>
        <w:rPr>
          <w:color w:val="000000"/>
        </w:rPr>
        <w:t>“</w:t>
      </w:r>
      <w:r>
        <w:rPr>
          <w:rFonts w:ascii="Verdana;sans-serif" w:hAnsi="Verdana;sans-serif"/>
          <w:b/>
          <w:color w:val="000000"/>
          <w:sz w:val="18"/>
        </w:rPr>
        <w:t>Board of Directors”</w:t>
      </w:r>
      <w:r>
        <w:rPr>
          <w:color w:val="000000"/>
        </w:rPr>
        <w:t xml:space="preserve"> </w:t>
      </w:r>
      <w:r>
        <w:rPr>
          <w:rFonts w:ascii="Verdana;sans-serif" w:hAnsi="Verdana;sans-serif"/>
          <w:b w:val="false"/>
          <w:color w:val="000000"/>
          <w:sz w:val="18"/>
        </w:rPr>
        <w:t>means the Board of Directors of the Company.</w:t>
      </w:r>
    </w:p>
    <w:p>
      <w:pPr>
        <w:pStyle w:val="TextBody"/>
        <w:bidi w:val="0"/>
        <w:spacing w:lineRule="auto" w:line="333" w:before="0" w:after="120"/>
        <w:jc w:val="left"/>
        <w:rPr/>
      </w:pPr>
      <w:r>
        <w:rPr>
          <w:color w:val="000000"/>
        </w:rPr>
        <w:t>“</w:t>
      </w:r>
      <w:r>
        <w:rPr>
          <w:rFonts w:ascii="Verdana;sans-serif" w:hAnsi="Verdana;sans-serif"/>
          <w:b/>
          <w:color w:val="000000"/>
          <w:sz w:val="18"/>
        </w:rPr>
        <w:t>Cause”</w:t>
      </w:r>
      <w:r>
        <w:rPr>
          <w:color w:val="000000"/>
        </w:rPr>
        <w:t xml:space="preserve"> </w:t>
      </w:r>
      <w:r>
        <w:rPr>
          <w:rFonts w:ascii="Verdana;sans-serif" w:hAnsi="Verdana;sans-serif"/>
          <w:b w:val="false"/>
          <w:color w:val="000000"/>
          <w:sz w:val="18"/>
        </w:rPr>
        <w:t>means, unless otherwise set forth in the applicable Award Agreement, with respect to a Participant, “Cause” as defined in any unexpired, written employment or severance or similar agreement between the Participant and the Company or an Affiliate. If there is no such agreement or if such agreement does not define “Cause,” then “Cause” means: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(a)    the willful and continued failure of the Participant substantially to perform his or her duties with or for the Company or an Affiliate;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the Participant’s engaging in conduct that is significantly injurious to the Company or an Affiliate, monetarily, reputationally or otherwise;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(c)    the Participant’s commission of a crime that is significantly injurious to the Company or an Affiliate, monetarily, reputationally or otherwise;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(d)    the Participant’s abuse of illegal drugs or other controlled substances or intoxication that impairs the Participant’s ability to perform his or her duties with or for the Company or an Affiliate; </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(e)    the Participant’s breach of any non-competition, non-solicitation or confidentiality covenants contained in any written agreement between the Participant and the Company or an Affiliate; or</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(f)    prior to a Change in Control, such other events as shall be determined by the Committee as to whether “Cause” exists.</w:t>
      </w:r>
    </w:p>
    <w:p>
      <w:pPr>
        <w:pStyle w:val="TextBody"/>
        <w:bidi w:val="0"/>
        <w:spacing w:lineRule="auto" w:line="333" w:before="0" w:after="120"/>
        <w:jc w:val="left"/>
        <w:rPr/>
      </w:pPr>
      <w:r>
        <w:rPr>
          <w:rFonts w:ascii="Verdana;sans-serif" w:hAnsi="Verdana;sans-serif"/>
          <w:b w:val="false"/>
          <w:color w:val="000000"/>
          <w:sz w:val="18"/>
        </w:rPr>
        <w:t xml:space="preserve">Unless otherwise defined in the Participant’s written employment or severance or similar agreement, an act or omission is “willful” for the purpose of determining whether a termination of employment was made for “cause”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Verdana;sans-serif" w:hAnsi="Verdana;sans-serif"/>
          <w:b w:val="false"/>
          <w:i/>
          <w:color w:val="000000"/>
          <w:sz w:val="18"/>
        </w:rPr>
        <w:t>nolo contendere</w:t>
      </w:r>
      <w:r>
        <w:rPr>
          <w:color w:val="000000"/>
        </w:rPr>
        <w:t xml:space="preserve"> </w:t>
      </w:r>
      <w:r>
        <w:rPr>
          <w:rFonts w:ascii="Verdana;sans-serif" w:hAnsi="Verdana;sans-serif"/>
          <w:b w:val="false"/>
          <w:color w:val="000000"/>
          <w:sz w:val="18"/>
        </w:rPr>
        <w:t>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 Following a Change in Control, any determination by the Committee as to whether “Cause” exists shall be subject to de novo review.</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rFonts w:ascii="Verdana;sans-serif" w:hAnsi="Verdana;sans-serif"/>
          <w:b w:val="false"/>
          <w:color w:val="000000"/>
          <w:sz w:val="18"/>
        </w:rPr>
        <w:t xml:space="preserve">A </w:t>
      </w:r>
      <w:r>
        <w:rPr>
          <w:color w:val="000000"/>
        </w:rPr>
        <w:t>“</w:t>
      </w:r>
      <w:r>
        <w:rPr>
          <w:rFonts w:ascii="Verdana;sans-serif" w:hAnsi="Verdana;sans-serif"/>
          <w:b/>
          <w:color w:val="000000"/>
          <w:sz w:val="18"/>
        </w:rPr>
        <w:t>Change in Control”</w:t>
      </w:r>
      <w:r>
        <w:rPr>
          <w:color w:val="000000"/>
        </w:rPr>
        <w:t xml:space="preserve"> </w:t>
      </w:r>
      <w:r>
        <w:rPr>
          <w:rFonts w:ascii="Verdana;sans-serif" w:hAnsi="Verdana;sans-serif"/>
          <w:b w:val="false"/>
          <w:color w:val="000000"/>
          <w:sz w:val="18"/>
        </w:rPr>
        <w:t>of the Company will be deemed to have occurred (as of a particular day, as specified by the Board) as of the first day any one or more of the following paragraphs is satisfied.</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(a)    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(20%) of the combined voting power of the Company’s then outstanding securities.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During any period of twenty-four (24) consecutive months beginning on or after the Effective Date, individuals who at the beginning of the period constituted the Board cease for any reason (other than death, Disability or Retirement) to constitute a majority of the Board. For this purpose, any new Director whose election by the Board, or nomination for election by the Company’s shareholders, was approved by a vote of at least two-thirds (2/3) of the Directors then still in office, and who either were Directors at the beginning of the period or whose election or nomination for election was so approved, will be deemed to have been a Director at the beginning of any twenty-four (24) month period under consideration.</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(c)    Consummation of: (i) a sale or disposition of all or substantially all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(d)    The shareholders of the Company approve a plan of complete liquidation or dissolution of the Company.</w:t>
      </w:r>
    </w:p>
    <w:p>
      <w:pPr>
        <w:pStyle w:val="TextBody"/>
        <w:bidi w:val="0"/>
        <w:spacing w:lineRule="auto" w:line="333" w:before="0" w:after="120"/>
        <w:jc w:val="left"/>
        <w:rPr/>
      </w:pPr>
      <w:r>
        <w:rPr>
          <w:rFonts w:ascii="Verdana;sans-serif" w:hAnsi="Verdana;sans-serif"/>
          <w:b w:val="false"/>
          <w:color w:val="000000"/>
          <w:sz w:val="18"/>
        </w:rPr>
        <w:t>Notwithstanding the foregoing, if an Award, or amount payable with respect to an Award, is “deferred compensation” for purposes of Code Section 409A, and if a payment of such Award or amount would be accelerated or otherwise triggered upon a “Change in Control,” then the foregoing definition is modified, to the extent necessary to avoid the imposition of an excise tax under Code Section 409A, to mean a “change in control event” as such term is defined for purposes of Code Section 409A. For purposes of clarity, if an Award would, for example, vest and be paid on a “Change in Control” as defined herein but payment of such Award would violate the provisions of Code Section 409A, then the Award shall vest but will be paid only in compliance with its terms and Code Section 409A (</w:t>
      </w:r>
      <w:r>
        <w:rPr>
          <w:rFonts w:ascii="Verdana;sans-serif" w:hAnsi="Verdana;sans-serif"/>
          <w:b w:val="false"/>
          <w:i/>
          <w:color w:val="000000"/>
          <w:sz w:val="18"/>
        </w:rPr>
        <w:t xml:space="preserve">i.e., </w:t>
      </w:r>
      <w:r>
        <w:rPr>
          <w:rFonts w:ascii="Verdana;sans-serif" w:hAnsi="Verdana;sans-serif"/>
          <w:b w:val="false"/>
          <w:color w:val="000000"/>
          <w:sz w:val="18"/>
        </w:rPr>
        <w:t>upon a permissible payment event).</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Change in Control Price” </w:t>
      </w:r>
      <w:r>
        <w:rPr>
          <w:rFonts w:ascii="Verdana;sans-serif" w:hAnsi="Verdana;sans-serif"/>
          <w:b w:val="false"/>
          <w:color w:val="000000"/>
          <w:sz w:val="18"/>
        </w:rPr>
        <w:t>means the Fair Market Value of a Share upon a Change in Control. To the extent that the consideration paid in any such Change in Control transaction consists all or in part of securities or other non-cash consideration, the value of such securities or other non-cash consideration shall be determined in good faith by the Committee.</w:t>
      </w:r>
    </w:p>
    <w:p>
      <w:pPr>
        <w:pStyle w:val="TextBody"/>
        <w:bidi w:val="0"/>
        <w:spacing w:lineRule="auto" w:line="333" w:before="0" w:after="120"/>
        <w:jc w:val="left"/>
        <w:rPr/>
      </w:pPr>
      <w:r>
        <w:rPr>
          <w:color w:val="000000"/>
        </w:rPr>
        <w:t>“</w:t>
      </w:r>
      <w:r>
        <w:rPr>
          <w:rFonts w:ascii="Verdana;sans-serif" w:hAnsi="Verdana;sans-serif"/>
          <w:b/>
          <w:color w:val="000000"/>
          <w:sz w:val="18"/>
        </w:rPr>
        <w:t>Code”</w:t>
      </w:r>
      <w:r>
        <w:rPr>
          <w:color w:val="000000"/>
        </w:rPr>
        <w:t xml:space="preserve"> </w:t>
      </w:r>
      <w:r>
        <w:rPr>
          <w:rFonts w:ascii="Verdana;sans-serif" w:hAnsi="Verdana;sans-serif"/>
          <w:b w:val="false"/>
          <w:color w:val="000000"/>
          <w:sz w:val="18"/>
        </w:rPr>
        <w:t>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color w:val="000000"/>
        </w:rPr>
        <w:t>“</w:t>
      </w:r>
      <w:r>
        <w:rPr>
          <w:rFonts w:ascii="Verdana;sans-serif" w:hAnsi="Verdana;sans-serif"/>
          <w:b/>
          <w:color w:val="000000"/>
          <w:sz w:val="18"/>
        </w:rPr>
        <w:t>Committee”</w:t>
      </w:r>
      <w:r>
        <w:rPr>
          <w:color w:val="000000"/>
        </w:rPr>
        <w:t xml:space="preserve"> </w:t>
      </w:r>
      <w:r>
        <w:rPr>
          <w:rFonts w:ascii="Verdana;sans-serif" w:hAnsi="Verdana;sans-serif"/>
          <w:b w:val="false"/>
          <w:color w:val="000000"/>
          <w:sz w:val="18"/>
        </w:rPr>
        <w:t>means, as designated in accordance with Section 3.1, the People and Compensation Committee of the Board or such other committee as may be appointed by the Board to administer the Plan.</w:t>
      </w:r>
    </w:p>
    <w:p>
      <w:pPr>
        <w:pStyle w:val="TextBody"/>
        <w:bidi w:val="0"/>
        <w:spacing w:lineRule="auto" w:line="333" w:before="0" w:after="120"/>
        <w:jc w:val="left"/>
        <w:rPr/>
      </w:pPr>
      <w:r>
        <w:rPr>
          <w:color w:val="000000"/>
        </w:rPr>
        <w:t>“</w:t>
      </w:r>
      <w:r>
        <w:rPr>
          <w:rFonts w:ascii="Verdana;sans-serif" w:hAnsi="Verdana;sans-serif"/>
          <w:b/>
          <w:color w:val="000000"/>
          <w:sz w:val="18"/>
        </w:rPr>
        <w:t>Company”</w:t>
      </w:r>
      <w:r>
        <w:rPr>
          <w:color w:val="000000"/>
        </w:rPr>
        <w:t xml:space="preserve"> </w:t>
      </w:r>
      <w:r>
        <w:rPr>
          <w:rFonts w:ascii="Verdana;sans-serif" w:hAnsi="Verdana;sans-serif"/>
          <w:b w:val="false"/>
          <w:color w:val="000000"/>
          <w:sz w:val="18"/>
        </w:rPr>
        <w:t>has the meaning given to such term in Section 1.1 hereof, and includes, without limitation, any successor thereto as provided in Article 18.</w:t>
      </w:r>
    </w:p>
    <w:p>
      <w:pPr>
        <w:pStyle w:val="TextBody"/>
        <w:bidi w:val="0"/>
        <w:spacing w:lineRule="auto" w:line="333" w:before="0" w:after="120"/>
        <w:jc w:val="left"/>
        <w:rPr/>
      </w:pPr>
      <w:r>
        <w:rPr>
          <w:color w:val="000000"/>
        </w:rPr>
        <w:t>“</w:t>
      </w:r>
      <w:r>
        <w:rPr>
          <w:rFonts w:ascii="Verdana;sans-serif" w:hAnsi="Verdana;sans-serif"/>
          <w:b/>
          <w:color w:val="000000"/>
          <w:sz w:val="18"/>
        </w:rPr>
        <w:t>Consultant”</w:t>
      </w:r>
      <w:r>
        <w:rPr>
          <w:color w:val="000000"/>
        </w:rPr>
        <w:t xml:space="preserve"> </w:t>
      </w:r>
      <w:r>
        <w:rPr>
          <w:rFonts w:ascii="Verdana;sans-serif" w:hAnsi="Verdana;sans-serif"/>
          <w:b w:val="false"/>
          <w:color w:val="000000"/>
          <w:sz w:val="18"/>
        </w:rPr>
        <w:t>means any current or prospective consultant or independent contractor of the Company or an Affiliate thereof, in each case, who is not an Employee, executive officer (within the meaning of Rule 3b-7 under the Exchange Act) of the Company or a Director. Notwithstanding the foregoing, a person is treated as a Consultant for purposes of this Plan only if a registration statement on Form S-8 or a successor form under the Securities Act of 1933, as amended from time to time, is available to register either the offer or the sale of the Company’s securities to such person.</w:t>
      </w:r>
    </w:p>
    <w:p>
      <w:pPr>
        <w:pStyle w:val="TextBody"/>
        <w:bidi w:val="0"/>
        <w:spacing w:lineRule="auto" w:line="333" w:before="0" w:after="120"/>
        <w:jc w:val="left"/>
        <w:rPr/>
      </w:pPr>
      <w:r>
        <w:rPr>
          <w:color w:val="000000"/>
        </w:rPr>
        <w:t>“</w:t>
      </w:r>
      <w:r>
        <w:rPr>
          <w:rFonts w:ascii="Verdana;sans-serif" w:hAnsi="Verdana;sans-serif"/>
          <w:b/>
          <w:color w:val="000000"/>
          <w:sz w:val="18"/>
        </w:rPr>
        <w:t>Director”</w:t>
      </w:r>
      <w:r>
        <w:rPr>
          <w:color w:val="000000"/>
        </w:rPr>
        <w:t xml:space="preserve"> </w:t>
      </w:r>
      <w:r>
        <w:rPr>
          <w:rFonts w:ascii="Verdana;sans-serif" w:hAnsi="Verdana;sans-serif"/>
          <w:b w:val="false"/>
          <w:color w:val="000000"/>
          <w:sz w:val="18"/>
        </w:rPr>
        <w:t>means any individual who is a member of the Board of Directors and who is not employed by the Company or an Affiliate thereof.</w:t>
      </w:r>
    </w:p>
    <w:p>
      <w:pPr>
        <w:pStyle w:val="TextBody"/>
        <w:bidi w:val="0"/>
        <w:spacing w:lineRule="auto" w:line="333" w:before="0" w:after="120"/>
        <w:jc w:val="left"/>
        <w:rPr/>
      </w:pPr>
      <w:r>
        <w:rPr>
          <w:color w:val="000000"/>
        </w:rPr>
        <w:t>“</w:t>
      </w:r>
      <w:r>
        <w:rPr>
          <w:rFonts w:ascii="Verdana;sans-serif" w:hAnsi="Verdana;sans-serif"/>
          <w:b/>
          <w:color w:val="000000"/>
          <w:sz w:val="18"/>
        </w:rPr>
        <w:t>Disability”</w:t>
      </w:r>
      <w:r>
        <w:rPr>
          <w:color w:val="000000"/>
        </w:rPr>
        <w:t xml:space="preserve"> </w:t>
      </w:r>
      <w:r>
        <w:rPr>
          <w:rFonts w:ascii="Verdana;sans-serif" w:hAnsi="Verdana;sans-serif"/>
          <w:b w:val="false"/>
          <w:color w:val="000000"/>
          <w:sz w:val="18"/>
        </w:rPr>
        <w:t>means, with respect to any Participant, (a) long-term disability as defined under the long-term disability plan of the Company or an Affiliate that covers such Participant, or (b) if the Participant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Code Section 22(e)(3),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(12) months.</w:t>
      </w:r>
    </w:p>
    <w:p>
      <w:pPr>
        <w:pStyle w:val="TextBody"/>
        <w:bidi w:val="0"/>
        <w:spacing w:lineRule="auto" w:line="333" w:before="0" w:after="120"/>
        <w:jc w:val="left"/>
        <w:rPr/>
      </w:pPr>
      <w:r>
        <w:rPr>
          <w:rFonts w:ascii="Verdana;sans-serif" w:hAnsi="Verdana;sans-serif"/>
          <w:b w:val="false"/>
          <w:color w:val="000000"/>
          <w:sz w:val="18"/>
        </w:rPr>
        <w:t>Notwithstanding the foregoing, if an Award, or amount payable with respect to an Award, is “deferred compensation” for purposes of Code Section 409A, and if a payment of such Award or amount would be accelerated or otherwise triggered upon a “Disability,” then the foregoing definition is modified, to the extent necessary to avoid the imposition of an excise tax under Code Section 409A, to refer to a Participant who is “disabled,” as such term is defined for purposes of Code Section 409A. For purposes of clarity, if an Award would, for example, vest and be paid on a “Disability” as defined herein but payment of such Award would violate the provisions of Code Section 409A, then the Award shall vest but will be paid only in compliance with its terms and Code Section 409A (</w:t>
      </w:r>
      <w:r>
        <w:rPr>
          <w:rFonts w:ascii="Verdana;sans-serif" w:hAnsi="Verdana;sans-serif"/>
          <w:b w:val="false"/>
          <w:i/>
          <w:color w:val="000000"/>
          <w:sz w:val="18"/>
        </w:rPr>
        <w:t>i.e.,</w:t>
      </w:r>
      <w:r>
        <w:rPr>
          <w:color w:val="000000"/>
        </w:rPr>
        <w:t xml:space="preserve"> </w:t>
      </w:r>
      <w:r>
        <w:rPr>
          <w:rFonts w:ascii="Verdana;sans-serif" w:hAnsi="Verdana;sans-serif"/>
          <w:b w:val="false"/>
          <w:color w:val="000000"/>
          <w:sz w:val="18"/>
        </w:rPr>
        <w:t>upon a permissible payment event).</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Disaffiliation” </w:t>
      </w:r>
      <w:r>
        <w:rPr>
          <w:rFonts w:ascii="Verdana;sans-serif" w:hAnsi="Verdana;sans-serif"/>
          <w:b w:val="false"/>
          <w:color w:val="000000"/>
          <w:sz w:val="18"/>
        </w:rPr>
        <w:t>means an Affiliate’s ceasing to be an Affiliate for any reason (including as a result of a public offering, or a spinoff or sale by the Company, of the stock of the Affiliate) or a sale of a division of the Company and its Affiliates.</w:t>
      </w:r>
    </w:p>
    <w:p>
      <w:pPr>
        <w:pStyle w:val="TextBody"/>
        <w:bidi w:val="0"/>
        <w:spacing w:lineRule="auto" w:line="333" w:before="0" w:after="120"/>
        <w:jc w:val="left"/>
        <w:rPr/>
      </w:pPr>
      <w:r>
        <w:rPr>
          <w:color w:val="000000"/>
        </w:rPr>
        <w:t>“</w:t>
      </w:r>
      <w:r>
        <w:rPr>
          <w:rFonts w:ascii="Verdana;sans-serif" w:hAnsi="Verdana;sans-serif"/>
          <w:b/>
          <w:color w:val="000000"/>
          <w:sz w:val="18"/>
        </w:rPr>
        <w:t>Effective Date”</w:t>
      </w:r>
      <w:r>
        <w:rPr>
          <w:color w:val="000000"/>
        </w:rPr>
        <w:t xml:space="preserve"> </w:t>
      </w:r>
      <w:r>
        <w:rPr>
          <w:rFonts w:ascii="Verdana;sans-serif" w:hAnsi="Verdana;sans-serif"/>
          <w:b w:val="false"/>
          <w:color w:val="000000"/>
          <w:sz w:val="18"/>
        </w:rPr>
        <w:t>has the meaning given to such term in Section 1.1 hereof.</w:t>
      </w:r>
    </w:p>
    <w:p>
      <w:pPr>
        <w:pStyle w:val="TextBody"/>
        <w:bidi w:val="0"/>
        <w:spacing w:lineRule="auto" w:line="333" w:before="0" w:after="120"/>
        <w:jc w:val="left"/>
        <w:rPr/>
      </w:pPr>
      <w:r>
        <w:rPr>
          <w:color w:val="000000"/>
        </w:rPr>
        <w:t>“</w:t>
      </w:r>
      <w:r>
        <w:rPr>
          <w:rFonts w:ascii="Verdana;sans-serif" w:hAnsi="Verdana;sans-serif"/>
          <w:b/>
          <w:color w:val="000000"/>
          <w:sz w:val="18"/>
        </w:rPr>
        <w:t>Eligible Person”</w:t>
      </w:r>
      <w:r>
        <w:rPr>
          <w:color w:val="000000"/>
        </w:rPr>
        <w:t xml:space="preserve"> </w:t>
      </w:r>
      <w:r>
        <w:rPr>
          <w:rFonts w:ascii="Verdana;sans-serif" w:hAnsi="Verdana;sans-serif"/>
          <w:b w:val="false"/>
          <w:color w:val="000000"/>
          <w:sz w:val="18"/>
        </w:rPr>
        <w:t xml:space="preserve">means any Employee, Consultant or Director. </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Employee” </w:t>
      </w:r>
      <w:r>
        <w:rPr>
          <w:rFonts w:ascii="Verdana;sans-serif" w:hAnsi="Verdana;sans-serif"/>
          <w:b w:val="false"/>
          <w:color w:val="000000"/>
          <w:sz w:val="18"/>
        </w:rPr>
        <w:t>means any employee of the Company or any of its Affiliates.</w:t>
      </w:r>
    </w:p>
    <w:p>
      <w:pPr>
        <w:pStyle w:val="TextBody"/>
        <w:bidi w:val="0"/>
        <w:spacing w:lineRule="auto" w:line="333" w:before="0" w:after="120"/>
        <w:jc w:val="left"/>
        <w:rPr/>
      </w:pPr>
      <w:r>
        <w:rPr>
          <w:color w:val="000000"/>
        </w:rPr>
        <w:t>“</w:t>
      </w:r>
      <w:r>
        <w:rPr>
          <w:rFonts w:ascii="Verdana;sans-serif" w:hAnsi="Verdana;sans-serif"/>
          <w:b/>
          <w:color w:val="000000"/>
          <w:sz w:val="18"/>
        </w:rPr>
        <w:t>Exchange Act”</w:t>
      </w:r>
      <w:r>
        <w:rPr>
          <w:color w:val="000000"/>
        </w:rPr>
        <w:t xml:space="preserve"> </w:t>
      </w:r>
      <w:r>
        <w:rPr>
          <w:rFonts w:ascii="Verdana;sans-serif" w:hAnsi="Verdana;sans-serif"/>
          <w:b w:val="false"/>
          <w:color w:val="000000"/>
          <w:sz w:val="18"/>
        </w:rPr>
        <w:t>means the Securities Exchange Act of 1934, as amended from time to time, or any successor act thereto.</w:t>
      </w:r>
    </w:p>
    <w:p>
      <w:pPr>
        <w:pStyle w:val="TextBody"/>
        <w:bidi w:val="0"/>
        <w:spacing w:lineRule="auto" w:line="333" w:before="0" w:after="120"/>
        <w:jc w:val="left"/>
        <w:rPr/>
      </w:pPr>
      <w:r>
        <w:rPr>
          <w:color w:val="000000"/>
        </w:rPr>
        <w:t>“</w:t>
      </w:r>
      <w:r>
        <w:rPr>
          <w:rFonts w:ascii="Verdana;sans-serif" w:hAnsi="Verdana;sans-serif"/>
          <w:b/>
          <w:color w:val="000000"/>
          <w:sz w:val="18"/>
        </w:rPr>
        <w:t>Exercise Price”</w:t>
      </w:r>
      <w:r>
        <w:rPr>
          <w:color w:val="000000"/>
        </w:rPr>
        <w:t xml:space="preserve"> </w:t>
      </w:r>
      <w:r>
        <w:rPr>
          <w:rFonts w:ascii="Verdana;sans-serif" w:hAnsi="Verdana;sans-serif"/>
          <w:b w:val="false"/>
          <w:color w:val="000000"/>
          <w:sz w:val="18"/>
        </w:rPr>
        <w:t>means the price at which a Share may be purchased by a Participant pursuant to an Option.</w:t>
      </w:r>
    </w:p>
    <w:p>
      <w:pPr>
        <w:pStyle w:val="TextBody"/>
        <w:bidi w:val="0"/>
        <w:spacing w:lineRule="auto" w:line="333" w:before="0" w:after="120"/>
        <w:jc w:val="left"/>
        <w:rPr/>
      </w:pPr>
      <w:r>
        <w:rPr>
          <w:color w:val="000000"/>
        </w:rPr>
        <w:t>“</w:t>
      </w:r>
      <w:r>
        <w:rPr>
          <w:rFonts w:ascii="Verdana;sans-serif" w:hAnsi="Verdana;sans-serif"/>
          <w:b/>
          <w:color w:val="000000"/>
          <w:sz w:val="18"/>
        </w:rPr>
        <w:t>Fair Market Value”</w:t>
      </w:r>
      <w:r>
        <w:rPr>
          <w:color w:val="000000"/>
        </w:rPr>
        <w:t xml:space="preserve"> </w:t>
      </w:r>
      <w:r>
        <w:rPr>
          <w:rFonts w:ascii="Verdana;sans-serif" w:hAnsi="Verdana;sans-serif"/>
          <w:b w:val="false"/>
          <w:color w:val="000000"/>
          <w:sz w:val="18"/>
        </w:rPr>
        <w:t>means, except as otherwise determined by the Committee: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(a)    the closing trading price of the Shares on the measurement date on the New York Stock Exchange or, if the Shares are not traded on the New York Stock Exchange, on the NASDAQ Stock Market or any other exchange on which they are traded or, if Shares were not traded on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exchange on such measurement date, then the closing trading price of the Shares on the preceding date on which Shares were traded on the applicable exchange; or</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if the Shares are not traded on any exchange, the mean between the closing bid and asked prices of the Shares in the over-the-counter market; or</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(c)    if those bid and asked prices are not available, then the fair market value as reported by any nationally recognized quotation service selected by the Committee or as determined in good faith by the Committee.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Notwithstanding the foregoing, for purposes of Awards intended to be exempt from Code Section 409A, the Fair Market Value shall be no less than the “fair market value,” as such term is defined for purposes of Code Section 409A.</w:t>
      </w:r>
    </w:p>
    <w:p>
      <w:pPr>
        <w:pStyle w:val="TextBody"/>
        <w:bidi w:val="0"/>
        <w:spacing w:lineRule="auto" w:line="333" w:before="0" w:after="120"/>
        <w:jc w:val="left"/>
        <w:rPr/>
      </w:pPr>
      <w:r>
        <w:rPr>
          <w:color w:val="000000"/>
        </w:rPr>
        <w:t>“</w:t>
      </w:r>
      <w:r>
        <w:rPr>
          <w:rFonts w:ascii="Verdana;sans-serif" w:hAnsi="Verdana;sans-serif"/>
          <w:b/>
          <w:color w:val="000000"/>
          <w:sz w:val="18"/>
        </w:rPr>
        <w:t>Good Reason”</w:t>
      </w:r>
      <w:r>
        <w:rPr>
          <w:color w:val="000000"/>
        </w:rPr>
        <w:t xml:space="preserve"> </w:t>
      </w:r>
      <w:r>
        <w:rPr>
          <w:rFonts w:ascii="Verdana;sans-serif" w:hAnsi="Verdana;sans-serif"/>
          <w:b w:val="false"/>
          <w:color w:val="000000"/>
          <w:sz w:val="18"/>
        </w:rPr>
        <w:t>has the meaning set forth in any unexpired, written employment or severance or similar agreement between a Participant and the Company or an Affiliate, solely if and to the extent that such term is defined in such an agreement. If a Participant does not have a written employment or severance or similar agreement with the Company or an Affiliate, or if such agreement does not define “Good Reason,” it shall mean the occurrence of the following circumstances or events: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(a)    any reduction by the Company in the Participant’s base salary or adverse change in the manner of computing the Participant’s incentive compensation opportunity, as in effect from time to time;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the failure by the Company to pay or provide to the Participant any amounts of base salary or earned incentive compensation or any benefits which are due, owing and payable to the Participant, or to pay to the Participant any portion of an installment of deferred compensation due under any deferred compensation program of the Company;</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(c)    the failure by the Company to continue to provide the Participant with benefits substantially similar in the aggregate to the Company’s life insurance, medical, dental, health, accident or disability plans in which the Participant is participating immediately prior to the Change in Control;</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(d)    except on a temporary basis due to the Participant’s Disability, a material adverse change in the Participant’s responsibilities, position, reporting relationships, authority or duties. For purposes of clarification, the Participant agrees that it will not be a material adverse change for the Company to reassign the Participant to a position with at least substantially similar responsibilities and authority; or</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(e)    the transfer of the Participant’s principal place of employment to a location fifty (50) or more miles from its location immediately preceding the transfer.</w:t>
      </w:r>
    </w:p>
    <w:p>
      <w:pPr>
        <w:pStyle w:val="TextBody"/>
        <w:bidi w:val="0"/>
        <w:spacing w:lineRule="auto" w:line="333" w:before="0" w:after="0"/>
        <w:ind w:left="0" w:right="0" w:firstLine="720"/>
        <w:jc w:val="both"/>
        <w:rPr>
          <w:rFonts w:ascii="Verdana;sans-serif" w:hAnsi="Verdana;sans-serif"/>
          <w:b w:val="false"/>
          <w:color w:val="000000"/>
          <w:sz w:val="18"/>
        </w:rPr>
      </w:pPr>
      <w:r>
        <w:rPr>
          <w:rFonts w:ascii="Verdana;sans-serif" w:hAnsi="Verdana;sans-serif"/>
          <w:b w:val="false"/>
          <w:color w:val="000000"/>
          <w:sz w:val="18"/>
        </w:rPr>
        <w:t>Notwithstanding anything else herein, Good Reason shall not exist if, with regard to the circumstances or events relied upon in the Participant’s notice of termination of employment given to the Company (the “Notice of Termination”): (x) the Participant failed to provide a Notice of Termination to the Company within sixty (60) days of the date the Participant knew or should have known of such circumstances or events, (y) the circumstances or events are fully corrected by the Company prior to the date of termination of employment or (z) the Participant gives Participant’s express written consent to the circumstances or events.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color w:val="000000"/>
        </w:rPr>
        <w:t>“</w:t>
      </w:r>
      <w:r>
        <w:rPr>
          <w:rFonts w:ascii="Verdana;sans-serif" w:hAnsi="Verdana;sans-serif"/>
          <w:b/>
          <w:color w:val="000000"/>
          <w:sz w:val="18"/>
        </w:rPr>
        <w:t>Incentive Stock Option”</w:t>
      </w:r>
      <w:r>
        <w:rPr>
          <w:color w:val="000000"/>
        </w:rPr>
        <w:t xml:space="preserve"> </w:t>
      </w:r>
      <w:r>
        <w:rPr>
          <w:rFonts w:ascii="Verdana;sans-serif" w:hAnsi="Verdana;sans-serif"/>
          <w:b w:val="false"/>
          <w:color w:val="000000"/>
          <w:sz w:val="18"/>
        </w:rPr>
        <w:t xml:space="preserve">or </w:t>
      </w:r>
      <w:r>
        <w:rPr>
          <w:color w:val="000000"/>
        </w:rPr>
        <w:t>“</w:t>
      </w:r>
      <w:r>
        <w:rPr>
          <w:rFonts w:ascii="Verdana;sans-serif" w:hAnsi="Verdana;sans-serif"/>
          <w:b/>
          <w:color w:val="000000"/>
          <w:sz w:val="18"/>
        </w:rPr>
        <w:t>ISO”</w:t>
      </w:r>
      <w:r>
        <w:rPr>
          <w:color w:val="000000"/>
        </w:rPr>
        <w:t xml:space="preserve"> </w:t>
      </w:r>
      <w:r>
        <w:rPr>
          <w:rFonts w:ascii="Verdana;sans-serif" w:hAnsi="Verdana;sans-serif"/>
          <w:b w:val="false"/>
          <w:color w:val="000000"/>
          <w:sz w:val="18"/>
        </w:rPr>
        <w:t>means an Option to purchase Shares granted under Article 6 that is designated as an Incentive Stock Option and that is intended to meet the requirements of Code Section 422.</w:t>
      </w:r>
    </w:p>
    <w:p>
      <w:pPr>
        <w:pStyle w:val="TextBody"/>
        <w:bidi w:val="0"/>
        <w:spacing w:lineRule="auto" w:line="333" w:before="0" w:after="120"/>
        <w:jc w:val="left"/>
        <w:rPr/>
      </w:pPr>
      <w:r>
        <w:rPr>
          <w:color w:val="000000"/>
        </w:rPr>
        <w:t>“</w:t>
      </w:r>
      <w:r>
        <w:rPr>
          <w:rFonts w:ascii="Verdana;sans-serif" w:hAnsi="Verdana;sans-serif"/>
          <w:b/>
          <w:color w:val="000000"/>
          <w:sz w:val="18"/>
        </w:rPr>
        <w:t>Nonqualified Stock Option”</w:t>
      </w:r>
      <w:r>
        <w:rPr>
          <w:color w:val="000000"/>
        </w:rPr>
        <w:t xml:space="preserve"> </w:t>
      </w:r>
      <w:r>
        <w:rPr>
          <w:rFonts w:ascii="Verdana;sans-serif" w:hAnsi="Verdana;sans-serif"/>
          <w:b w:val="false"/>
          <w:color w:val="000000"/>
          <w:sz w:val="18"/>
        </w:rPr>
        <w:t xml:space="preserve">or </w:t>
      </w:r>
      <w:r>
        <w:rPr>
          <w:color w:val="000000"/>
        </w:rPr>
        <w:t>“</w:t>
      </w:r>
      <w:r>
        <w:rPr>
          <w:rFonts w:ascii="Verdana;sans-serif" w:hAnsi="Verdana;sans-serif"/>
          <w:b/>
          <w:color w:val="000000"/>
          <w:sz w:val="18"/>
        </w:rPr>
        <w:t>NQSO”</w:t>
      </w:r>
      <w:r>
        <w:rPr>
          <w:color w:val="000000"/>
        </w:rPr>
        <w:t xml:space="preserve"> </w:t>
      </w:r>
      <w:r>
        <w:rPr>
          <w:rFonts w:ascii="Verdana;sans-serif" w:hAnsi="Verdana;sans-serif"/>
          <w:b w:val="false"/>
          <w:color w:val="000000"/>
          <w:sz w:val="18"/>
        </w:rPr>
        <w:t>means an Option to purchase Shares granted under Article 6 that is not intended to meet the requirements of Code Section 422.</w:t>
      </w:r>
    </w:p>
    <w:p>
      <w:pPr>
        <w:pStyle w:val="TextBody"/>
        <w:bidi w:val="0"/>
        <w:spacing w:lineRule="auto" w:line="333" w:before="0" w:after="120"/>
        <w:jc w:val="left"/>
        <w:rPr/>
      </w:pPr>
      <w:r>
        <w:rPr>
          <w:color w:val="000000"/>
        </w:rPr>
        <w:t>“</w:t>
      </w:r>
      <w:r>
        <w:rPr>
          <w:rFonts w:ascii="Verdana;sans-serif" w:hAnsi="Verdana;sans-serif"/>
          <w:b/>
          <w:color w:val="000000"/>
          <w:sz w:val="18"/>
        </w:rPr>
        <w:t>Option”</w:t>
      </w:r>
      <w:r>
        <w:rPr>
          <w:color w:val="000000"/>
        </w:rPr>
        <w:t xml:space="preserve"> </w:t>
      </w:r>
      <w:r>
        <w:rPr>
          <w:rFonts w:ascii="Verdana;sans-serif" w:hAnsi="Verdana;sans-serif"/>
          <w:b w:val="false"/>
          <w:color w:val="000000"/>
          <w:sz w:val="18"/>
        </w:rPr>
        <w:t>means an Incentive Stock Option or a Nonqualified Stock Option, as described in Article 6.</w:t>
      </w:r>
    </w:p>
    <w:p>
      <w:pPr>
        <w:pStyle w:val="TextBody"/>
        <w:bidi w:val="0"/>
        <w:spacing w:lineRule="auto" w:line="333" w:before="0" w:after="120"/>
        <w:jc w:val="left"/>
        <w:rPr/>
      </w:pPr>
      <w:r>
        <w:rPr>
          <w:color w:val="000000"/>
        </w:rPr>
        <w:t>“</w:t>
      </w:r>
      <w:r>
        <w:rPr>
          <w:rFonts w:ascii="Verdana;sans-serif" w:hAnsi="Verdana;sans-serif"/>
          <w:b/>
          <w:color w:val="000000"/>
          <w:sz w:val="18"/>
        </w:rPr>
        <w:t>Participant”</w:t>
      </w:r>
      <w:r>
        <w:rPr>
          <w:color w:val="000000"/>
        </w:rPr>
        <w:t xml:space="preserve"> </w:t>
      </w:r>
      <w:r>
        <w:rPr>
          <w:rFonts w:ascii="Verdana;sans-serif" w:hAnsi="Verdana;sans-serif"/>
          <w:b w:val="false"/>
          <w:color w:val="000000"/>
          <w:sz w:val="18"/>
        </w:rPr>
        <w:t xml:space="preserve">means an Eligible Person who has been selected by the Committee to participate in the Plan pursuant to Section 5.2 and who has outstanding an Award granted under the Plan. </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Performance Goals” </w:t>
      </w:r>
      <w:r>
        <w:rPr>
          <w:rFonts w:ascii="Verdana;sans-serif" w:hAnsi="Verdana;sans-serif"/>
          <w:b w:val="false"/>
          <w:color w:val="000000"/>
          <w:sz w:val="18"/>
        </w:rPr>
        <w:t>means</w:t>
      </w:r>
      <w:r>
        <w:rPr>
          <w:color w:val="000000"/>
        </w:rPr>
        <w:t xml:space="preserve"> </w:t>
      </w:r>
      <w:r>
        <w:rPr>
          <w:rFonts w:ascii="Verdana;sans-serif" w:hAnsi="Verdana;sans-serif"/>
          <w:b w:val="false"/>
          <w:color w:val="000000"/>
          <w:sz w:val="18"/>
        </w:rPr>
        <w:t>the performance goals established by the Committee in connection with the grant of an Award which may be based on attainment of specified levels of one or more of the following measures, or of any other measures determined by the Committee in its discretion: earnings (including, but not limited to, earnings before interest and taxes, earnings before taxes, and net earnings), operating earnings or income, earnings growth, net sales growth, net income (absolute or competitive growth rates comparative), net income applicable to common stock, cash flow (including operating cash flow, free cash flow, discounted cash flow return on investment and cash flow in excess of cost of capital), earnings per share, return on shareholders equity (absolute or peer-group comparative), stock price (absolute or peer-group comparative), absolute and/or relative return on common shareholders equity, absolute and/or relative return on capital, absolute and/or relative return on assets, economic value added (income in excess of cost of capital), customer satisfaction, quality metrics, expense reduction, and ratio of operating expenses to operating revenues.</w:t>
      </w:r>
    </w:p>
    <w:p>
      <w:pPr>
        <w:pStyle w:val="TextBody"/>
        <w:bidi w:val="0"/>
        <w:spacing w:lineRule="auto" w:line="333" w:before="0" w:after="120"/>
        <w:jc w:val="left"/>
        <w:rPr/>
      </w:pPr>
      <w:r>
        <w:rPr>
          <w:rFonts w:ascii="Verdana;sans-serif" w:hAnsi="Verdana;sans-serif"/>
          <w:b/>
          <w:color w:val="000000"/>
          <w:sz w:val="18"/>
        </w:rPr>
        <w:t>Performance Period”</w:t>
      </w:r>
      <w:r>
        <w:rPr>
          <w:color w:val="000000"/>
        </w:rPr>
        <w:t xml:space="preserve"> </w:t>
      </w:r>
      <w:r>
        <w:rPr>
          <w:rFonts w:ascii="Verdana;sans-serif" w:hAnsi="Verdana;sans-serif"/>
          <w:b w:val="false"/>
          <w:color w:val="000000"/>
          <w:sz w:val="18"/>
        </w:rPr>
        <w:t>means the time period, set by the Committee in its discretion, during which performance objectives must be met in order for a Participant to earn Performance Units or Performance Shares granted under Article 9.</w:t>
      </w:r>
    </w:p>
    <w:p>
      <w:pPr>
        <w:pStyle w:val="TextBody"/>
        <w:bidi w:val="0"/>
        <w:spacing w:lineRule="auto" w:line="333" w:before="0" w:after="120"/>
        <w:jc w:val="left"/>
        <w:rPr/>
      </w:pPr>
      <w:r>
        <w:rPr>
          <w:color w:val="000000"/>
        </w:rPr>
        <w:t>“</w:t>
      </w:r>
      <w:r>
        <w:rPr>
          <w:rFonts w:ascii="Verdana;sans-serif" w:hAnsi="Verdana;sans-serif"/>
          <w:b/>
          <w:color w:val="000000"/>
          <w:sz w:val="18"/>
        </w:rPr>
        <w:t>Performance Share”</w:t>
      </w:r>
      <w:r>
        <w:rPr>
          <w:color w:val="000000"/>
        </w:rPr>
        <w:t xml:space="preserve"> </w:t>
      </w:r>
      <w:r>
        <w:rPr>
          <w:rFonts w:ascii="Verdana;sans-serif" w:hAnsi="Verdana;sans-serif"/>
          <w:b w:val="false"/>
          <w:color w:val="000000"/>
          <w:sz w:val="18"/>
        </w:rPr>
        <w:t>means an Award with an initial value equal to the Fair Market Value on the date of grant which is based on the attainment of Performance Goals, as described in Article 9.</w:t>
      </w:r>
    </w:p>
    <w:p>
      <w:pPr>
        <w:pStyle w:val="TextBody"/>
        <w:bidi w:val="0"/>
        <w:spacing w:lineRule="auto" w:line="333" w:before="0" w:after="120"/>
        <w:jc w:val="left"/>
        <w:rPr/>
      </w:pPr>
      <w:r>
        <w:rPr>
          <w:color w:val="000000"/>
        </w:rPr>
        <w:t>“</w:t>
      </w:r>
      <w:r>
        <w:rPr>
          <w:rFonts w:ascii="Verdana;sans-serif" w:hAnsi="Verdana;sans-serif"/>
          <w:b/>
          <w:color w:val="000000"/>
          <w:sz w:val="18"/>
        </w:rPr>
        <w:t>Performance Unit”</w:t>
      </w:r>
      <w:r>
        <w:rPr>
          <w:color w:val="000000"/>
        </w:rPr>
        <w:t xml:space="preserve"> </w:t>
      </w:r>
      <w:r>
        <w:rPr>
          <w:rFonts w:ascii="Verdana;sans-serif" w:hAnsi="Verdana;sans-serif"/>
          <w:b w:val="false"/>
          <w:color w:val="000000"/>
          <w:sz w:val="18"/>
        </w:rPr>
        <w:t>means an Award with an initial value established by the Committee at the time of grant which is based on the attainment of performance objectives, as described in Article 9.</w:t>
      </w:r>
    </w:p>
    <w:p>
      <w:pPr>
        <w:pStyle w:val="TextBody"/>
        <w:bidi w:val="0"/>
        <w:spacing w:lineRule="auto" w:line="333" w:before="0" w:after="120"/>
        <w:jc w:val="left"/>
        <w:rPr/>
      </w:pPr>
      <w:r>
        <w:rPr>
          <w:color w:val="000000"/>
        </w:rPr>
        <w:t>“</w:t>
      </w:r>
      <w:r>
        <w:rPr>
          <w:rFonts w:ascii="Verdana;sans-serif" w:hAnsi="Verdana;sans-serif"/>
          <w:b/>
          <w:color w:val="000000"/>
          <w:sz w:val="18"/>
        </w:rPr>
        <w:t>Person”</w:t>
      </w:r>
      <w:r>
        <w:rPr>
          <w:color w:val="000000"/>
        </w:rPr>
        <w:t xml:space="preserve"> </w:t>
      </w:r>
      <w:r>
        <w:rPr>
          <w:rFonts w:ascii="Verdana;sans-serif" w:hAnsi="Verdana;sans-serif"/>
          <w:b w:val="false"/>
          <w:color w:val="000000"/>
          <w:sz w:val="18"/>
        </w:rPr>
        <w:t>has the meaning ascribed to that term in Section 3(a)(9) of the Exchange Act and used in Sections 13(d) and 14(d) thereof, including a “group” as defined in Section 13(d) thereof.</w:t>
      </w:r>
    </w:p>
    <w:p>
      <w:pPr>
        <w:pStyle w:val="TextBody"/>
        <w:bidi w:val="0"/>
        <w:spacing w:lineRule="auto" w:line="333" w:before="0" w:after="120"/>
        <w:jc w:val="left"/>
        <w:rPr/>
      </w:pPr>
      <w:r>
        <w:rPr>
          <w:color w:val="000000"/>
        </w:rPr>
        <w:t>“</w:t>
      </w:r>
      <w:r>
        <w:rPr>
          <w:rFonts w:ascii="Verdana;sans-serif" w:hAnsi="Verdana;sans-serif"/>
          <w:b/>
          <w:color w:val="000000"/>
          <w:sz w:val="18"/>
        </w:rPr>
        <w:t>Plan”</w:t>
      </w:r>
      <w:r>
        <w:rPr>
          <w:color w:val="000000"/>
        </w:rPr>
        <w:t xml:space="preserve"> </w:t>
      </w:r>
      <w:r>
        <w:rPr>
          <w:rFonts w:ascii="Verdana;sans-serif" w:hAnsi="Verdana;sans-serif"/>
          <w:b w:val="false"/>
          <w:color w:val="000000"/>
          <w:sz w:val="18"/>
        </w:rPr>
        <w:t>has the meaning given to such term in Section 1.1 hereof.</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Prior Plan” </w:t>
      </w:r>
      <w:r>
        <w:rPr>
          <w:rFonts w:ascii="Verdana;sans-serif" w:hAnsi="Verdana;sans-serif"/>
          <w:b w:val="false"/>
          <w:color w:val="000000"/>
          <w:sz w:val="18"/>
        </w:rPr>
        <w:t>means the Lear Corporation 2009 Long-Term Stock Incentive Plan, as amended.</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Replacement Award” </w:t>
      </w:r>
      <w:r>
        <w:rPr>
          <w:rFonts w:ascii="Verdana;sans-serif" w:hAnsi="Verdana;sans-serif"/>
          <w:b w:val="false"/>
          <w:color w:val="000000"/>
          <w:sz w:val="18"/>
        </w:rPr>
        <w:t>means an Award resulting from the exchange or substitution specified in Section 14.1 upon a Change in Control and meeting the applicable conditions specified in Section 14.1, provided that such Award is issued by a company (foreign or domestic) the majority of the equity of which is listed under and in compliance with the domestic company listing rules of the New York Stock Exchange or with a similarly liquid exchange which has comparable standards to the domestic listing standards of the New York Stock Exchange.</w:t>
      </w:r>
    </w:p>
    <w:p>
      <w:pPr>
        <w:pStyle w:val="TextBody"/>
        <w:bidi w:val="0"/>
        <w:spacing w:lineRule="auto" w:line="333" w:before="0" w:after="120"/>
        <w:jc w:val="left"/>
        <w:rPr/>
      </w:pPr>
      <w:r>
        <w:rPr>
          <w:color w:val="000000"/>
        </w:rPr>
        <w:t>“</w:t>
      </w:r>
      <w:r>
        <w:rPr>
          <w:rFonts w:ascii="Verdana;sans-serif" w:hAnsi="Verdana;sans-serif"/>
          <w:b/>
          <w:color w:val="000000"/>
          <w:sz w:val="18"/>
        </w:rPr>
        <w:t>Restricted Stock”</w:t>
      </w:r>
      <w:r>
        <w:rPr>
          <w:color w:val="000000"/>
        </w:rPr>
        <w:t xml:space="preserve"> </w:t>
      </w:r>
      <w:r>
        <w:rPr>
          <w:rFonts w:ascii="Verdana;sans-serif" w:hAnsi="Verdana;sans-serif"/>
          <w:b w:val="false"/>
          <w:color w:val="000000"/>
          <w:sz w:val="18"/>
        </w:rPr>
        <w:t>means a contingent grant of Shares awarded to a Participant pursuant to Article 8.</w:t>
      </w:r>
    </w:p>
    <w:p>
      <w:pPr>
        <w:pStyle w:val="TextBody"/>
        <w:bidi w:val="0"/>
        <w:spacing w:lineRule="auto" w:line="333" w:before="0" w:after="120"/>
        <w:jc w:val="left"/>
        <w:rPr/>
      </w:pPr>
      <w:r>
        <w:rPr>
          <w:color w:val="000000"/>
        </w:rPr>
        <w:t>“</w:t>
      </w:r>
      <w:r>
        <w:rPr>
          <w:rFonts w:ascii="Verdana;sans-serif" w:hAnsi="Verdana;sans-serif"/>
          <w:b/>
          <w:color w:val="000000"/>
          <w:sz w:val="18"/>
        </w:rPr>
        <w:t>Restricted Stock Unit”</w:t>
      </w:r>
      <w:r>
        <w:rPr>
          <w:color w:val="000000"/>
        </w:rPr>
        <w:t xml:space="preserve"> </w:t>
      </w:r>
      <w:r>
        <w:rPr>
          <w:rFonts w:ascii="Verdana;sans-serif" w:hAnsi="Verdana;sans-serif"/>
          <w:b w:val="false"/>
          <w:color w:val="000000"/>
          <w:sz w:val="18"/>
        </w:rPr>
        <w:t>means a Restricted Unit granted to a Participant, as described in Article 8, that is payable in Shares.</w:t>
      </w:r>
    </w:p>
    <w:p>
      <w:pPr>
        <w:pStyle w:val="TextBody"/>
        <w:bidi w:val="0"/>
        <w:spacing w:lineRule="auto" w:line="333" w:before="0" w:after="120"/>
        <w:jc w:val="left"/>
        <w:rPr/>
      </w:pPr>
      <w:r>
        <w:rPr>
          <w:color w:val="000000"/>
        </w:rPr>
        <w:t>“</w:t>
      </w:r>
      <w:r>
        <w:rPr>
          <w:rFonts w:ascii="Verdana;sans-serif" w:hAnsi="Verdana;sans-serif"/>
          <w:b/>
          <w:color w:val="000000"/>
          <w:sz w:val="18"/>
        </w:rPr>
        <w:t>Restricted Unit”</w:t>
      </w:r>
      <w:r>
        <w:rPr>
          <w:color w:val="000000"/>
        </w:rPr>
        <w:t xml:space="preserve"> </w:t>
      </w:r>
      <w:r>
        <w:rPr>
          <w:rFonts w:ascii="Verdana;sans-serif" w:hAnsi="Verdana;sans-serif"/>
          <w:b w:val="false"/>
          <w:color w:val="000000"/>
          <w:sz w:val="18"/>
        </w:rPr>
        <w:t>means a notional account established pursuant to an Award granted to a Participant, as described in Article 8, that is (a) credited with amounts equal to Shares or some other unit of measurement specified in the Award Agreement, (b) subject to restrictions, including, without limitation, a Restriction Period, and (c) payable in cash or Shares.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color w:val="000000"/>
        </w:rPr>
        <w:t>“</w:t>
      </w:r>
      <w:r>
        <w:rPr>
          <w:rFonts w:ascii="Verdana;sans-serif" w:hAnsi="Verdana;sans-serif"/>
          <w:b/>
          <w:color w:val="000000"/>
          <w:sz w:val="18"/>
        </w:rPr>
        <w:t>Restriction</w:t>
      </w:r>
      <w:r>
        <w:rPr>
          <w:color w:val="000000"/>
        </w:rPr>
        <w:t xml:space="preserve"> </w:t>
      </w:r>
      <w:r>
        <w:rPr>
          <w:rFonts w:ascii="Verdana;sans-serif" w:hAnsi="Verdana;sans-serif"/>
          <w:b/>
          <w:color w:val="000000"/>
          <w:sz w:val="18"/>
        </w:rPr>
        <w:t>Period”</w:t>
      </w:r>
      <w:r>
        <w:rPr>
          <w:color w:val="000000"/>
        </w:rPr>
        <w:t xml:space="preserve"> </w:t>
      </w:r>
      <w:r>
        <w:rPr>
          <w:rFonts w:ascii="Verdana;sans-serif" w:hAnsi="Verdana;sans-serif"/>
          <w:b w:val="false"/>
          <w:color w:val="000000"/>
          <w:sz w:val="18"/>
        </w:rPr>
        <w:t>means the period during which the transfer of shares of Restricted Stock is limited in some way (based on the passage of time, the achievement of performance objectives, or the occurrence of other events as determined by the Committee, at its discretion) or the shares of Restricted Stock, Restricted Stock Units or Restricted Units are not vested.</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Retirement” </w:t>
      </w:r>
      <w:r>
        <w:rPr>
          <w:rFonts w:ascii="Verdana;sans-serif" w:hAnsi="Verdana;sans-serif"/>
          <w:b w:val="false"/>
          <w:color w:val="000000"/>
          <w:sz w:val="18"/>
        </w:rPr>
        <w:t xml:space="preserve">means termination of employment or service on or after (a) reaching the age established by the Company as the normal retirement age in any unexpired employment, severance or similar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(b) attaining a combination of years of age and service with the Company and its Affiliates (including, to the extent applicable and credited by the Company, service with another company prior to it becoming an Affiliate) of at least 65, with a minimum age of 55 and at least five years of service with the Company and its Affiliates (only if an Affiliate at the time of service) or (c) solely with respect to a Director, the Participant’s cessation of service as a Director as a result of being ineligible to stand for re-election after attaining a certain age. </w:t>
      </w:r>
    </w:p>
    <w:p>
      <w:pPr>
        <w:pStyle w:val="TextBody"/>
        <w:bidi w:val="0"/>
        <w:spacing w:lineRule="auto" w:line="333" w:before="0" w:after="120"/>
        <w:jc w:val="left"/>
        <w:rPr/>
      </w:pPr>
      <w:r>
        <w:rPr>
          <w:color w:val="000000"/>
        </w:rPr>
        <w:t>“</w:t>
      </w:r>
      <w:r>
        <w:rPr>
          <w:rFonts w:ascii="Verdana;sans-serif" w:hAnsi="Verdana;sans-serif"/>
          <w:b/>
          <w:color w:val="000000"/>
          <w:sz w:val="18"/>
        </w:rPr>
        <w:t>Shares”</w:t>
      </w:r>
      <w:r>
        <w:rPr>
          <w:color w:val="000000"/>
        </w:rPr>
        <w:t xml:space="preserve"> </w:t>
      </w:r>
      <w:r>
        <w:rPr>
          <w:rFonts w:ascii="Verdana;sans-serif" w:hAnsi="Verdana;sans-serif"/>
          <w:b w:val="false"/>
          <w:color w:val="000000"/>
          <w:sz w:val="18"/>
        </w:rPr>
        <w:t>means the shares of common stock, $0.01 par value, of the Company, including their associated preferred share purchase rights, if applicable.</w:t>
      </w:r>
    </w:p>
    <w:p>
      <w:pPr>
        <w:pStyle w:val="TextBody"/>
        <w:bidi w:val="0"/>
        <w:spacing w:lineRule="auto" w:line="333" w:before="0" w:after="120"/>
        <w:jc w:val="left"/>
        <w:rPr/>
      </w:pPr>
      <w:r>
        <w:rPr>
          <w:color w:val="000000"/>
        </w:rPr>
        <w:t>“</w:t>
      </w:r>
      <w:r>
        <w:rPr>
          <w:rFonts w:ascii="Verdana;sans-serif" w:hAnsi="Verdana;sans-serif"/>
          <w:b/>
          <w:color w:val="000000"/>
          <w:sz w:val="18"/>
        </w:rPr>
        <w:t>Stock Appreciation Right”</w:t>
      </w:r>
      <w:r>
        <w:rPr>
          <w:color w:val="000000"/>
        </w:rPr>
        <w:t xml:space="preserve"> </w:t>
      </w:r>
      <w:r>
        <w:rPr>
          <w:rFonts w:ascii="Verdana;sans-serif" w:hAnsi="Verdana;sans-serif"/>
          <w:b w:val="false"/>
          <w:color w:val="000000"/>
          <w:sz w:val="18"/>
        </w:rPr>
        <w:t xml:space="preserve">or </w:t>
      </w:r>
      <w:r>
        <w:rPr>
          <w:color w:val="000000"/>
        </w:rPr>
        <w:t>“</w:t>
      </w:r>
      <w:r>
        <w:rPr>
          <w:rFonts w:ascii="Verdana;sans-serif" w:hAnsi="Verdana;sans-serif"/>
          <w:b/>
          <w:color w:val="000000"/>
          <w:sz w:val="18"/>
        </w:rPr>
        <w:t>SAR”</w:t>
      </w:r>
      <w:r>
        <w:rPr>
          <w:color w:val="000000"/>
        </w:rPr>
        <w:t xml:space="preserve"> </w:t>
      </w:r>
      <w:r>
        <w:rPr>
          <w:rFonts w:ascii="Verdana;sans-serif" w:hAnsi="Verdana;sans-serif"/>
          <w:b w:val="false"/>
          <w:color w:val="000000"/>
          <w:sz w:val="18"/>
        </w:rPr>
        <w:t>means an Award designated as an SAR pursuant to the terms of Article 7.</w:t>
      </w:r>
    </w:p>
    <w:p>
      <w:pPr>
        <w:pStyle w:val="TextBody"/>
        <w:bidi w:val="0"/>
        <w:spacing w:lineRule="auto" w:line="333" w:before="0" w:after="120"/>
        <w:jc w:val="left"/>
        <w:rPr/>
      </w:pPr>
      <w:r>
        <w:rPr>
          <w:color w:val="000000"/>
        </w:rPr>
        <w:t>“</w:t>
      </w:r>
      <w:r>
        <w:rPr>
          <w:rFonts w:ascii="Verdana;sans-serif" w:hAnsi="Verdana;sans-serif"/>
          <w:b/>
          <w:color w:val="000000"/>
          <w:sz w:val="18"/>
        </w:rPr>
        <w:t>Substitute Award”</w:t>
      </w:r>
      <w:r>
        <w:rPr>
          <w:color w:val="000000"/>
        </w:rPr>
        <w:t xml:space="preserve"> </w:t>
      </w:r>
      <w:r>
        <w:rPr>
          <w:rFonts w:ascii="Verdana;sans-serif" w:hAnsi="Verdana;sans-serif"/>
          <w:b w:val="false"/>
          <w:color w:val="000000"/>
          <w:sz w:val="18"/>
        </w:rPr>
        <w:t>means an Award granted under the Plan upon the assumption of, or in substitution for, outstanding equity awards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SAR.</w:t>
      </w:r>
    </w:p>
    <w:p>
      <w:pPr>
        <w:pStyle w:val="TextBody"/>
        <w:bidi w:val="0"/>
        <w:spacing w:lineRule="auto" w:line="333" w:before="0" w:after="120"/>
        <w:jc w:val="left"/>
        <w:rPr/>
      </w:pPr>
      <w:r>
        <w:rPr>
          <w:color w:val="000000"/>
        </w:rPr>
        <w:t>“</w:t>
      </w:r>
      <w:r>
        <w:rPr>
          <w:rFonts w:ascii="Verdana;sans-serif" w:hAnsi="Verdana;sans-serif"/>
          <w:b/>
          <w:color w:val="000000"/>
          <w:sz w:val="18"/>
        </w:rPr>
        <w:t xml:space="preserve">Termination of Service” </w:t>
      </w:r>
      <w:r>
        <w:rPr>
          <w:rFonts w:ascii="Verdana;sans-serif" w:hAnsi="Verdana;sans-serif"/>
          <w:b w:val="false"/>
          <w:color w:val="000000"/>
          <w:sz w:val="18"/>
        </w:rPr>
        <w:t>means the termination of the applicable Participant’s employment with, or performance of services for, the Company and its Affiliates. Unless otherwise determined by the Committee: (i) if a Participant’s employment with the Company and its Affiliates terminates but such Participant continues to provide services to the Company and its Affiliates in a consultant capacity, such change in status shall not be deemed a Termination of Service and (ii) a Participant employed by, or performing services for, an Affiliate or a division of the Company and its Affiliates shall be deemed to incur a Termination of Service if, as a result of a Disaffiliation, the Participant does not immediately thereafter become an employee of, or consultant for, the Company or another Affiliate. Temporary absences from employment because of illness, vacation or leave of absence and transfers among the Company and its Affiliates shall not be considered a Termination of Service. Subject to applicable law, absences from employment by reason of notice periods, garden leaves or similar paid leaves implemented in contemplation of a permanent termination of employment shall not be recognized as service under this Plan. Notwithstanding the foregoing provisions of this definition, with respect to any Award that constitutes “nonqualified deferred compensation” subject to Section 409A of the Code, a Participant shall not be considered to have experienced a “Termination of Service” unless the Participant has experienced a “separation from service” within the meaning of Section 409A of the Code (a “Separation from Service”), and a Separation from Service shall be deemed to occur where the Participant and the Company and its Affiliates reasonably anticipate that the bona fide level of services that the Participant will perform (whether as an employee or as an independent contractor) will be permanently reduced to a level that is less than twenty (20%) of the average level of bona fide services the Participant performed during the immediately preceding 36 months (or the entire period the Participant has provided services if the Participant has been providing services to the Company and/or any Affiliates for less than 36 months).</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color w:val="000000"/>
        </w:rPr>
        <w:t>“</w:t>
      </w:r>
      <w:r>
        <w:rPr>
          <w:rFonts w:ascii="Verdana;sans-serif" w:hAnsi="Verdana;sans-serif"/>
          <w:b/>
          <w:color w:val="000000"/>
          <w:sz w:val="18"/>
        </w:rPr>
        <w:t>Vested Options and SARs”</w:t>
      </w:r>
      <w:r>
        <w:rPr>
          <w:color w:val="000000"/>
        </w:rPr>
        <w:t xml:space="preserve"> </w:t>
      </w:r>
      <w:r>
        <w:rPr>
          <w:rFonts w:ascii="Verdana;sans-serif" w:hAnsi="Verdana;sans-serif"/>
          <w:b w:val="false"/>
          <w:color w:val="000000"/>
          <w:sz w:val="18"/>
        </w:rPr>
        <w:t>has the meaning given to such term in Section 14.1(a)(i) hereof.</w:t>
      </w:r>
    </w:p>
    <w:p>
      <w:pPr>
        <w:pStyle w:val="TextBody"/>
        <w:bidi w:val="0"/>
        <w:spacing w:lineRule="auto" w:line="333" w:before="0" w:after="120"/>
        <w:jc w:val="left"/>
        <w:rPr/>
      </w:pPr>
      <w:r>
        <w:rPr>
          <w:rFonts w:ascii="Verdana;sans-serif" w:hAnsi="Verdana;sans-serif"/>
          <w:b/>
          <w:color w:val="000000"/>
          <w:sz w:val="18"/>
        </w:rPr>
        <w:t>Article 3.    </w:t>
      </w:r>
      <w:r>
        <w:rPr>
          <w:rFonts w:ascii="Verdana;sans-serif" w:hAnsi="Verdana;sans-serif"/>
          <w:b/>
          <w:color w:val="000000"/>
          <w:sz w:val="18"/>
          <w:u w:val="single"/>
        </w:rPr>
        <w:t>Administration</w:t>
      </w:r>
    </w:p>
    <w:p>
      <w:pPr>
        <w:pStyle w:val="TextBody"/>
        <w:bidi w:val="0"/>
        <w:spacing w:lineRule="auto" w:line="333" w:before="0" w:after="120"/>
        <w:jc w:val="left"/>
        <w:rPr/>
      </w:pPr>
      <w:r>
        <w:rPr>
          <w:rFonts w:ascii="Verdana;sans-serif" w:hAnsi="Verdana;sans-serif"/>
          <w:b/>
          <w:color w:val="000000"/>
          <w:sz w:val="18"/>
        </w:rPr>
        <w:t>3.1    The Committee.</w:t>
      </w:r>
      <w:r>
        <w:rPr>
          <w:color w:val="000000"/>
        </w:rPr>
        <w:t xml:space="preserve"> </w:t>
      </w:r>
      <w:r>
        <w:rPr>
          <w:rFonts w:ascii="Verdana;sans-serif" w:hAnsi="Verdana;sans-serif"/>
          <w:b w:val="false"/>
          <w:color w:val="000000"/>
          <w:sz w:val="18"/>
        </w:rPr>
        <w:t>The Plan will be administered by the People and Compensation Committee, or by any other committee appointed by the Board, which Committee (unless otherwise determined by the Board) will satisfy the “non-employee director” requirements of Rule 16b-3 under the Exchange Act and the regulations of Rule 16b-3 under the Exchange Act, or any successor regulations or provisions, so long as the Company is subject to the registration requirements of the Exchange Act. The members of the Committee will be appointed from time to time by, and serve at the discretion of, the Board of Directors. The Committee will act by a majority of its members at the time in office and eligible to vote on any particular matter, and Committee action may be taken either by a vote at a meeting or in writing without a meeting.</w:t>
      </w:r>
    </w:p>
    <w:p>
      <w:pPr>
        <w:pStyle w:val="TextBody"/>
        <w:bidi w:val="0"/>
        <w:spacing w:lineRule="auto" w:line="333" w:before="0" w:after="120"/>
        <w:jc w:val="left"/>
        <w:rPr/>
      </w:pPr>
      <w:r>
        <w:rPr>
          <w:rFonts w:ascii="Verdana;sans-serif" w:hAnsi="Verdana;sans-serif"/>
          <w:b/>
          <w:color w:val="000000"/>
          <w:sz w:val="18"/>
        </w:rPr>
        <w:t>3.2    Authority of the Committee.</w:t>
      </w:r>
      <w:r>
        <w:rPr>
          <w:color w:val="000000"/>
        </w:rPr>
        <w:t xml:space="preserve"> </w:t>
      </w:r>
      <w:r>
        <w:rPr>
          <w:rFonts w:ascii="Verdana;sans-serif" w:hAnsi="Verdana;sans-serif"/>
          <w:b w:val="false"/>
          <w:color w:val="000000"/>
          <w:sz w:val="18"/>
        </w:rPr>
        <w:t xml:space="preserve">Except as limited by law and subject to the provisions of this Plan, the Committee will have full power to: select Eligible Persons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correct any defect, supply any omission or reconcile any inconsistency in the Plan or in any Award in the manner and to the extent it deems necessary to carry out the intent of the Plan; and (subject to the provisions of Section 4.5 and 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the Committee may delegate some or all of its authority under the Plan to any person or persons selected by it so long as no delegation would cause a transaction under the Plan to be subject to (and not exempt from) Section 16(b) of the Exchange Act. The Committee may revoke a delegation at any time. </w:t>
      </w:r>
    </w:p>
    <w:p>
      <w:pPr>
        <w:pStyle w:val="TextBody"/>
        <w:bidi w:val="0"/>
        <w:spacing w:lineRule="auto" w:line="333" w:before="0" w:after="120"/>
        <w:jc w:val="left"/>
        <w:rPr/>
      </w:pPr>
      <w:r>
        <w:rPr>
          <w:rFonts w:ascii="Verdana;sans-serif" w:hAnsi="Verdana;sans-serif"/>
          <w:b/>
          <w:color w:val="000000"/>
          <w:sz w:val="18"/>
        </w:rPr>
        <w:t>3.3    Decisions Binding.</w:t>
      </w:r>
      <w:r>
        <w:rPr>
          <w:color w:val="000000"/>
        </w:rPr>
        <w:t xml:space="preserve"> </w:t>
      </w:r>
      <w:r>
        <w:rPr>
          <w:rFonts w:ascii="Verdana;sans-serif" w:hAnsi="Verdana;sans-serif"/>
          <w:b w:val="false"/>
          <w:color w:val="000000"/>
          <w:sz w:val="18"/>
        </w:rPr>
        <w:t>All determinations and decisions made by the Committee or any appropriately delegated person pursuant to the provisions of the Plan will be final, conclusive and binding on all persons, including, without limitation, the Company, its Board of Directors, its shareholders, all Affiliates, Employees, Participants and their estates and beneficiaries.</w:t>
      </w:r>
    </w:p>
    <w:p>
      <w:pPr>
        <w:pStyle w:val="TextBody"/>
        <w:bidi w:val="0"/>
        <w:spacing w:lineRule="auto" w:line="333" w:before="0" w:after="120"/>
        <w:jc w:val="left"/>
        <w:rPr/>
      </w:pPr>
      <w:r>
        <w:rPr>
          <w:rFonts w:ascii="Verdana;sans-serif" w:hAnsi="Verdana;sans-serif"/>
          <w:b/>
          <w:color w:val="000000"/>
          <w:sz w:val="18"/>
        </w:rPr>
        <w:t>Article 4.    </w:t>
      </w:r>
      <w:r>
        <w:rPr>
          <w:rFonts w:ascii="Verdana;sans-serif" w:hAnsi="Verdana;sans-serif"/>
          <w:b/>
          <w:color w:val="000000"/>
          <w:sz w:val="18"/>
          <w:u w:val="single"/>
        </w:rPr>
        <w:t>Shares Subject to the Plan and Limitations on Awards</w:t>
      </w:r>
    </w:p>
    <w:p>
      <w:pPr>
        <w:pStyle w:val="TextBody"/>
        <w:bidi w:val="0"/>
        <w:spacing w:lineRule="auto" w:line="333" w:before="0" w:after="120"/>
        <w:jc w:val="left"/>
        <w:rPr/>
      </w:pPr>
      <w:r>
        <w:rPr>
          <w:rFonts w:ascii="Verdana;sans-serif" w:hAnsi="Verdana;sans-serif"/>
          <w:b w:val="false"/>
          <w:color w:val="000000"/>
          <w:sz w:val="18"/>
        </w:rPr>
        <w:t>4.1    </w:t>
      </w:r>
      <w:r>
        <w:rPr>
          <w:rFonts w:ascii="Verdana;sans-serif" w:hAnsi="Verdana;sans-serif"/>
          <w:b/>
          <w:color w:val="000000"/>
          <w:sz w:val="18"/>
        </w:rPr>
        <w:t>Number of Shares Available for Grants.</w:t>
      </w:r>
      <w:r>
        <w:rPr>
          <w:color w:val="000000"/>
        </w:rPr>
        <w:t xml:space="preserve"> </w:t>
      </w:r>
      <w:r>
        <w:rPr>
          <w:rFonts w:ascii="Verdana;sans-serif" w:hAnsi="Verdana;sans-serif"/>
          <w:b w:val="false"/>
          <w:color w:val="000000"/>
          <w:sz w:val="18"/>
        </w:rPr>
        <w:t xml:space="preserve">Subject to adjustment as provided in Sections 4.1 and 4.3, the number of Shares that may be issued or transferred to Participants under the Plan shall not exceed the sum of (a) 5,951,858 (being the sum of (i) 2,526,858, the number of shares authorized when the Plan was first adopted, (ii) 1,700,000, the increase approved by shareholders in 2023 and (iii) 1,725,000, the increase approved by shareholders in 2026) and (b) any Shares under the Prior Plan subject to awards that, after May 16, 2019, are forfeited, terminated, lapsed or satisfied thereunder in cash or property other than Shares. Subject to adjustment as provided in Section 4.3, the maximum number of Shares and Share equivalent units that may be granted during any calendar year to any one Participant under Options, SARs, Restricted Stock, Restricted Units, Restricted Stock Units, Performance Shares or any other Award is 1,000,000. The maximum number of Shares that may be issued pursuant to Options intended to be ISOs is 1,000,000. The maximum aggregate dollar amount that may be paid to any one Participant during any calendar year under Performance Units or any cash incentive Award granted under Section 9.10 is $20,000,000. The Shares with respect to which Awards may be made will include authorized but unissued Shares, and Shares that are currently held or subsequently acquired by the Company as treasury Shares, including Shares purchased in the open market or in private transactions. For the avoidance of doubt, Shares underlying Awards that are subject to the achievement of performance goals shall be counted against the share reserve and the limits in this Section 4.1 based on the target value of such Awards unless and until such time as such Awards become vested and settled in Shares.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rFonts w:ascii="Verdana;sans-serif" w:hAnsi="Verdana;sans-serif"/>
          <w:b/>
          <w:color w:val="000000"/>
          <w:sz w:val="18"/>
        </w:rPr>
        <w:t>4.2    Lapsed Awards.</w:t>
      </w:r>
      <w:r>
        <w:rPr>
          <w:color w:val="000000"/>
        </w:rPr>
        <w:t xml:space="preserve"> </w:t>
      </w:r>
      <w:r>
        <w:rPr>
          <w:rFonts w:ascii="Verdana;sans-serif" w:hAnsi="Verdana;sans-serif"/>
          <w:b w:val="false"/>
          <w:color w:val="000000"/>
          <w:sz w:val="18"/>
        </w:rPr>
        <w:t>Any Shares subject to an Award under the Plan that, after the Effective Date, are forfeited, canceled, settled or otherwise terminated without a distribution of Shares to a Participant will thereafter be deemed to be available for Awards. In applying the immediately preceding sentence, if (a) Shares otherwise issuable or issued in respect of, or as part of, any Award are withheld to cover taxes or any applicable Exercise Price, such Shares shall be treated as having been issued under the Plan and shall not be available for issuance under the Plan, and (b) any Share-settled SARs are exercised, the aggregate number of Shares subject to such SARs shall be deemed issued under the Plan and shall not be available for issuance under the Plan. In addition, Shares tendered to exercise outstanding Options or other Awards or to cover applicable taxes on Awards shall not be available for issuance under the Plan.</w:t>
      </w:r>
    </w:p>
    <w:p>
      <w:pPr>
        <w:pStyle w:val="TextBody"/>
        <w:bidi w:val="0"/>
        <w:spacing w:lineRule="auto" w:line="333" w:before="0" w:after="120"/>
        <w:jc w:val="left"/>
        <w:rPr>
          <w:rFonts w:ascii="Verdana;sans-serif" w:hAnsi="Verdana;sans-serif"/>
          <w:b/>
          <w:color w:val="000000"/>
          <w:sz w:val="18"/>
        </w:rPr>
      </w:pPr>
      <w:r>
        <w:rPr>
          <w:rFonts w:ascii="Verdana;sans-serif" w:hAnsi="Verdana;sans-serif"/>
          <w:b/>
          <w:color w:val="000000"/>
          <w:sz w:val="18"/>
        </w:rPr>
        <w:t>4.3    Adjustments in Authorized Shares.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(a)    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 similar change in the corporate structure of the Company affecting the Shares)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Outstanding Awards will also be appropriately adjusted as to price and other terms, to the extent necessary to reflect the events described above.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pStyle w:val="TextBody"/>
        <w:bidi w:val="0"/>
        <w:spacing w:lineRule="auto" w:line="333" w:before="0" w:after="120"/>
        <w:jc w:val="both"/>
        <w:rPr/>
      </w:pPr>
      <w:r>
        <w:rPr>
          <w:rFonts w:ascii="Verdana;sans-serif" w:hAnsi="Verdana;sans-serif"/>
          <w:b/>
          <w:color w:val="000000"/>
          <w:sz w:val="18"/>
        </w:rPr>
        <w:t>4.4    Limitation on Non-Employee Director Compensation.</w:t>
      </w:r>
      <w:r>
        <w:rPr>
          <w:color w:val="000000"/>
        </w:rPr>
        <w:t xml:space="preserve"> </w:t>
      </w:r>
      <w:r>
        <w:rPr>
          <w:rFonts w:ascii="Verdana;sans-serif" w:hAnsi="Verdana;sans-serif"/>
          <w:b w:val="false"/>
          <w:color w:val="000000"/>
          <w:sz w:val="18"/>
        </w:rPr>
        <w:t>Notwithstanding anything herein to the contrary, compensation paid to a Director, including cash fees and Awards under the Plan (based on the grant date Fair Market Value of such Awards for financial reporting purposes), shall not exceed $900,000 per fiscal year in respect of his or her service as a Director. For the avoidance of doubt, compensation shall be counted towards this limit for the Board compensation year in which it is earned (and not when it is paid or settled in the event that it is deferred).</w:t>
      </w:r>
    </w:p>
    <w:p>
      <w:pPr>
        <w:pStyle w:val="TextBody"/>
        <w:bidi w:val="0"/>
        <w:spacing w:lineRule="auto" w:line="333" w:before="0" w:after="120"/>
        <w:jc w:val="both"/>
        <w:rPr/>
      </w:pPr>
      <w:r>
        <w:rPr>
          <w:rFonts w:ascii="Verdana;sans-serif" w:hAnsi="Verdana;sans-serif"/>
          <w:b/>
          <w:color w:val="000000"/>
          <w:sz w:val="18"/>
        </w:rPr>
        <w:t xml:space="preserve">4.5    Minimum Vesting Requirements. </w:t>
      </w:r>
      <w:r>
        <w:rPr>
          <w:rFonts w:ascii="Verdana;sans-serif" w:hAnsi="Verdana;sans-serif"/>
          <w:b w:val="false"/>
          <w:color w:val="000000"/>
          <w:sz w:val="18"/>
        </w:rPr>
        <w:t>Except in the case of Substitute Awards granted pursuant to Section 4.6 and subject to the following sentence, Awards granted under the Plan shall be subject to a minimum vesting period of one (1) year. Notwithstanding the foregoing, (a) the Committee may provide that the vesting of an Award shall accelerate in the event of the Participant’s death, Disability, or Retirement, or the occurrence of a Change in Control, and (b) the Committee may grant Awards covering five percent (5%) or fewer of the total number of Shares authorized under the Plan without respect to the above-described minimum vesting requirement. Notwithstanding the foregoing, with respect to Awards to Directors, the vesting of such Awards will be deemed to satisfy the one (1) year minimum vesting requirement to the extent that the Awards vest on the earlier of the one (1) year anniversary of the date of grant and the next annual meeting of the Company’s shareholders that is at least fifty (50) weeks after the immediately preceding year’s annual meeting.</w:t>
      </w:r>
    </w:p>
    <w:p>
      <w:pPr>
        <w:pStyle w:val="TextBody"/>
        <w:bidi w:val="0"/>
        <w:spacing w:lineRule="auto" w:line="333" w:before="0" w:after="120"/>
        <w:jc w:val="both"/>
        <w:rPr>
          <w:rFonts w:ascii="Verdana;sans-serif" w:hAnsi="Verdana;sans-serif"/>
          <w:b/>
          <w:color w:val="000000"/>
          <w:sz w:val="18"/>
        </w:rPr>
      </w:pPr>
      <w:r>
        <w:rPr>
          <w:rFonts w:ascii="Verdana;sans-serif" w:hAnsi="Verdana;sans-serif"/>
          <w:b/>
          <w:color w:val="000000"/>
          <w:sz w:val="18"/>
        </w:rPr>
        <w:t xml:space="preserve">4.6    Substitute Awards. </w:t>
      </w:r>
    </w:p>
    <w:p>
      <w:pPr>
        <w:pStyle w:val="TextBody"/>
        <w:bidi w:val="0"/>
        <w:spacing w:lineRule="auto" w:line="333" w:before="0" w:after="120"/>
        <w:jc w:val="both"/>
        <w:rPr>
          <w:rFonts w:ascii="Verdana;sans-serif" w:hAnsi="Verdana;sans-serif"/>
          <w:b w:val="false"/>
          <w:color w:val="000000"/>
          <w:sz w:val="18"/>
        </w:rPr>
      </w:pPr>
      <w:r>
        <w:rPr>
          <w:rFonts w:ascii="Verdana;sans-serif" w:hAnsi="Verdana;sans-serif"/>
          <w:b w:val="false"/>
          <w:color w:val="000000"/>
          <w:sz w:val="18"/>
        </w:rPr>
        <w:t xml:space="preserve">(a)    Substitute Awards shall not reduce the Shares authorized for grant under the Plan. In the event that a company acquired by the Company or any Affiliate or with which the Company or any Affiliate combines has shares available under a pre-existing plan approved by stockholders not adopted in contemplation of such acquisition or combination, the shares available for grant pursuant to the terms of such pre-existing plan (as adjusted, to the extent appropriate, using the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both"/>
        <w:rPr>
          <w:rFonts w:ascii="Verdana;sans-serif" w:hAnsi="Verdana;sans-serif"/>
          <w:b w:val="false"/>
          <w:color w:val="000000"/>
          <w:sz w:val="18"/>
        </w:rPr>
      </w:pPr>
      <w:r>
        <w:rPr>
          <w:rFonts w:ascii="Verdana;sans-serif" w:hAnsi="Verdana;sans-serif"/>
          <w:b w:val="false"/>
          <w:color w:val="000000"/>
          <w:sz w:val="18"/>
        </w:rPr>
        <w:t xml:space="preserve">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 </w:t>
      </w:r>
    </w:p>
    <w:p>
      <w:pPr>
        <w:pStyle w:val="TextBody"/>
        <w:bidi w:val="0"/>
        <w:spacing w:lineRule="auto" w:line="333" w:before="0" w:after="120"/>
        <w:jc w:val="both"/>
        <w:rPr>
          <w:rFonts w:ascii="Verdana;sans-serif" w:hAnsi="Verdana;sans-serif"/>
          <w:b w:val="false"/>
          <w:color w:val="000000"/>
          <w:sz w:val="18"/>
        </w:rPr>
      </w:pPr>
      <w:r>
        <w:rPr>
          <w:rFonts w:ascii="Verdana;sans-serif" w:hAnsi="Verdana;sans-serif"/>
          <w:b w:val="false"/>
          <w:color w:val="000000"/>
          <w:sz w:val="18"/>
        </w:rPr>
        <w:t>(b)    In the event that the Company or an Affiliate consummates a transaction described in Code Section 424(a) (e.g., the acquisition of property or stock from an unrelated corporation), persons who become Employees or Directors on account of such transaction may be granted Substitute Awards in substitution for awards granted by their former employer, and any such substitute Options or SARs may be granted with an Exercise Price less than the Fair Market Value of a Share on the grant date thereof; provided, however, the grant of such substitute Option or SAR shall not constitute a “modification” as defined in Code Section 424(h)(3) and the applicable Treasury regulations.</w:t>
      </w:r>
    </w:p>
    <w:p>
      <w:pPr>
        <w:pStyle w:val="TextBody"/>
        <w:bidi w:val="0"/>
        <w:spacing w:lineRule="auto" w:line="333" w:before="0" w:after="120"/>
        <w:jc w:val="left"/>
        <w:rPr/>
      </w:pPr>
      <w:r>
        <w:rPr>
          <w:rFonts w:ascii="Verdana;sans-serif" w:hAnsi="Verdana;sans-serif"/>
          <w:b/>
          <w:color w:val="000000"/>
          <w:sz w:val="18"/>
        </w:rPr>
        <w:t>Article 5.    </w:t>
      </w:r>
      <w:r>
        <w:rPr>
          <w:rFonts w:ascii="Verdana;sans-serif" w:hAnsi="Verdana;sans-serif"/>
          <w:b/>
          <w:color w:val="000000"/>
          <w:sz w:val="18"/>
          <w:u w:val="single"/>
        </w:rPr>
        <w:t>Eligibility and Participation</w:t>
      </w:r>
    </w:p>
    <w:p>
      <w:pPr>
        <w:pStyle w:val="TextBody"/>
        <w:bidi w:val="0"/>
        <w:spacing w:lineRule="auto" w:line="333" w:before="0" w:after="120"/>
        <w:jc w:val="left"/>
        <w:rPr/>
      </w:pPr>
      <w:r>
        <w:rPr>
          <w:rFonts w:ascii="Verdana;sans-serif" w:hAnsi="Verdana;sans-serif"/>
          <w:b/>
          <w:color w:val="000000"/>
          <w:sz w:val="18"/>
        </w:rPr>
        <w:t>5.1    Eligibility.</w:t>
      </w:r>
      <w:r>
        <w:rPr>
          <w:color w:val="000000"/>
        </w:rPr>
        <w:t xml:space="preserve"> </w:t>
      </w:r>
      <w:r>
        <w:rPr>
          <w:rFonts w:ascii="Verdana;sans-serif" w:hAnsi="Verdana;sans-serif"/>
          <w:b w:val="false"/>
          <w:color w:val="000000"/>
          <w:sz w:val="18"/>
        </w:rPr>
        <w:t>All Eligible Persons, including Eligible Persons who are members of the Board, are eligible to participate in this Plan.</w:t>
      </w:r>
    </w:p>
    <w:p>
      <w:pPr>
        <w:pStyle w:val="TextBody"/>
        <w:bidi w:val="0"/>
        <w:spacing w:lineRule="auto" w:line="333" w:before="0" w:after="120"/>
        <w:jc w:val="left"/>
        <w:rPr/>
      </w:pPr>
      <w:r>
        <w:rPr>
          <w:rFonts w:ascii="Verdana;sans-serif" w:hAnsi="Verdana;sans-serif"/>
          <w:b/>
          <w:color w:val="000000"/>
          <w:sz w:val="18"/>
        </w:rPr>
        <w:t>5.2    Actual Participation.</w:t>
      </w:r>
      <w:r>
        <w:rPr>
          <w:color w:val="000000"/>
        </w:rPr>
        <w:t xml:space="preserve"> </w:t>
      </w:r>
      <w:r>
        <w:rPr>
          <w:rFonts w:ascii="Verdana;sans-serif" w:hAnsi="Verdana;sans-serif"/>
          <w:b w:val="false"/>
          <w:color w:val="000000"/>
          <w:sz w:val="18"/>
        </w:rPr>
        <w:t>Subject to the provisions of the Plan, the Committee will, from time to time, select those Eligible Persons to whom Awards will be granted, and will determine the nature and amount of each Award.</w:t>
      </w:r>
    </w:p>
    <w:p>
      <w:pPr>
        <w:pStyle w:val="TextBody"/>
        <w:bidi w:val="0"/>
        <w:spacing w:lineRule="auto" w:line="333" w:before="0" w:after="120"/>
        <w:jc w:val="left"/>
        <w:rPr/>
      </w:pPr>
      <w:r>
        <w:rPr>
          <w:rFonts w:ascii="Verdana;sans-serif" w:hAnsi="Verdana;sans-serif"/>
          <w:b/>
          <w:color w:val="000000"/>
          <w:sz w:val="18"/>
        </w:rPr>
        <w:t>Article 6.    </w:t>
      </w:r>
      <w:r>
        <w:rPr>
          <w:rFonts w:ascii="Verdana;sans-serif" w:hAnsi="Verdana;sans-serif"/>
          <w:b/>
          <w:color w:val="000000"/>
          <w:sz w:val="18"/>
          <w:u w:val="single"/>
        </w:rPr>
        <w:t>Stock Options</w:t>
      </w:r>
    </w:p>
    <w:p>
      <w:pPr>
        <w:pStyle w:val="TextBody"/>
        <w:bidi w:val="0"/>
        <w:spacing w:lineRule="auto" w:line="333" w:before="0" w:after="120"/>
        <w:jc w:val="left"/>
        <w:rPr/>
      </w:pPr>
      <w:r>
        <w:rPr>
          <w:rFonts w:ascii="Verdana;sans-serif" w:hAnsi="Verdana;sans-serif"/>
          <w:b/>
          <w:color w:val="000000"/>
          <w:sz w:val="18"/>
        </w:rPr>
        <w:t>6.1    Grant of Options.</w:t>
      </w:r>
      <w:r>
        <w:rPr>
          <w:color w:val="000000"/>
        </w:rPr>
        <w:t xml:space="preserve"> </w:t>
      </w:r>
      <w:r>
        <w:rPr>
          <w:rFonts w:ascii="Verdana;sans-serif" w:hAnsi="Verdana;sans-serif"/>
          <w:b w:val="false"/>
          <w:color w:val="000000"/>
          <w:sz w:val="18"/>
        </w:rPr>
        <w:t>Subject to the terms and provisions of the Plan, Options may be granted to Eligible Persons in the number, and upon the terms, and at any time and from time to time, as determined by the Committee.</w:t>
      </w:r>
    </w:p>
    <w:p>
      <w:pPr>
        <w:pStyle w:val="TextBody"/>
        <w:bidi w:val="0"/>
        <w:spacing w:lineRule="auto" w:line="333" w:before="0" w:after="120"/>
        <w:jc w:val="left"/>
        <w:rPr/>
      </w:pPr>
      <w:r>
        <w:rPr>
          <w:rFonts w:ascii="Verdana;sans-serif" w:hAnsi="Verdana;sans-serif"/>
          <w:b/>
          <w:color w:val="000000"/>
          <w:sz w:val="18"/>
        </w:rPr>
        <w:t>6.2    Award Agreement.</w:t>
      </w:r>
      <w:r>
        <w:rPr>
          <w:color w:val="000000"/>
        </w:rPr>
        <w:t xml:space="preserve"> </w:t>
      </w:r>
      <w:r>
        <w:rPr>
          <w:rFonts w:ascii="Verdana;sans-serif" w:hAnsi="Verdana;sans-serif"/>
          <w:b w:val="false"/>
          <w:color w:val="000000"/>
          <w:sz w:val="18"/>
        </w:rPr>
        <w:t>Each Option grant will be evidenced by an Award Agreement that specifies the Exercise Price, the duration of the Option, the number of Shares to which the Option pertains, the manner, time and rate of exercise or vesting of the Option, and such other provisions as the Committee determines. The Award Agreement will also specify whether the Option is intended to be an ISO or an NQSO.</w:t>
      </w:r>
    </w:p>
    <w:p>
      <w:pPr>
        <w:pStyle w:val="TextBody"/>
        <w:bidi w:val="0"/>
        <w:spacing w:lineRule="auto" w:line="333" w:before="0" w:after="120"/>
        <w:jc w:val="left"/>
        <w:rPr/>
      </w:pPr>
      <w:r>
        <w:rPr>
          <w:rFonts w:ascii="Verdana;sans-serif" w:hAnsi="Verdana;sans-serif"/>
          <w:b/>
          <w:color w:val="000000"/>
          <w:sz w:val="18"/>
        </w:rPr>
        <w:t>6.3    Exercise Price.</w:t>
      </w:r>
      <w:r>
        <w:rPr>
          <w:color w:val="000000"/>
        </w:rPr>
        <w:t xml:space="preserve"> </w:t>
      </w:r>
      <w:r>
        <w:rPr>
          <w:rFonts w:ascii="Verdana;sans-serif" w:hAnsi="Verdana;sans-serif"/>
          <w:b w:val="false"/>
          <w:color w:val="000000"/>
          <w:sz w:val="18"/>
        </w:rPr>
        <w:t>The Exercise Price for each Share subject to an Option will be at least one hundred percent (100%) of the Fair Market Value on the date the Option is granted.</w:t>
      </w:r>
    </w:p>
    <w:p>
      <w:pPr>
        <w:pStyle w:val="TextBody"/>
        <w:bidi w:val="0"/>
        <w:spacing w:lineRule="auto" w:line="333" w:before="0" w:after="120"/>
        <w:jc w:val="left"/>
        <w:rPr/>
      </w:pPr>
      <w:r>
        <w:rPr>
          <w:rFonts w:ascii="Verdana;sans-serif" w:hAnsi="Verdana;sans-serif"/>
          <w:b/>
          <w:color w:val="000000"/>
          <w:sz w:val="18"/>
        </w:rPr>
        <w:t>6.4    Duration of Options.</w:t>
      </w:r>
      <w:r>
        <w:rPr>
          <w:color w:val="000000"/>
        </w:rPr>
        <w:t xml:space="preserve"> </w:t>
      </w:r>
      <w:r>
        <w:rPr>
          <w:rFonts w:ascii="Verdana;sans-serif" w:hAnsi="Verdana;sans-serif"/>
          <w:b w:val="false"/>
          <w:color w:val="000000"/>
          <w:sz w:val="18"/>
        </w:rPr>
        <w:t>Each Option will expire at the time determined by the Committee at the time of grant, but no later than the tenth (10</w:t>
      </w:r>
      <w:r>
        <w:rPr>
          <w:rFonts w:ascii="Verdana;sans-serif" w:hAnsi="Verdana;sans-serif"/>
          <w:b w:val="false"/>
          <w:color w:val="000000"/>
          <w:sz w:val="12"/>
        </w:rPr>
        <w:t>th</w:t>
      </w:r>
      <w:r>
        <w:rPr>
          <w:rFonts w:ascii="Verdana;sans-serif" w:hAnsi="Verdana;sans-serif"/>
          <w:b w:val="false"/>
          <w:color w:val="000000"/>
          <w:sz w:val="18"/>
        </w:rPr>
        <w:t xml:space="preserve">) anniversary of the date of its grant. Notwithstanding any contrary provision herein,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except to the extent such extension would violate Section 409A, to a date that is thirty (30) calendar days after the date the exercise of the Option would no longer violate applicable securities laws or any such insider trading policy. </w:t>
      </w:r>
    </w:p>
    <w:p>
      <w:pPr>
        <w:pStyle w:val="TextBody"/>
        <w:bidi w:val="0"/>
        <w:spacing w:lineRule="auto" w:line="333" w:before="0" w:after="120"/>
        <w:jc w:val="left"/>
        <w:rPr/>
      </w:pPr>
      <w:r>
        <w:rPr>
          <w:rFonts w:ascii="Verdana;sans-serif" w:hAnsi="Verdana;sans-serif"/>
          <w:b/>
          <w:color w:val="000000"/>
          <w:sz w:val="18"/>
        </w:rPr>
        <w:t>6.5    No Dividend Equivalents.</w:t>
      </w:r>
      <w:r>
        <w:rPr>
          <w:color w:val="000000"/>
        </w:rPr>
        <w:t xml:space="preserve"> </w:t>
      </w:r>
      <w:r>
        <w:rPr>
          <w:rFonts w:ascii="Verdana;sans-serif" w:hAnsi="Verdana;sans-serif"/>
          <w:b w:val="false"/>
          <w:color w:val="000000"/>
          <w:sz w:val="18"/>
        </w:rPr>
        <w:t>Subject to Section 4.3, the Committee may not grant payments in connection with Options that are equivalent to dividends declared and paid on the Shares underlying the Options.</w:t>
      </w:r>
    </w:p>
    <w:p>
      <w:pPr>
        <w:pStyle w:val="TextBody"/>
        <w:bidi w:val="0"/>
        <w:spacing w:lineRule="auto" w:line="333" w:before="0" w:after="120"/>
        <w:jc w:val="left"/>
        <w:rPr/>
      </w:pPr>
      <w:r>
        <w:rPr>
          <w:rFonts w:ascii="Verdana;sans-serif" w:hAnsi="Verdana;sans-serif"/>
          <w:b/>
          <w:color w:val="000000"/>
          <w:sz w:val="18"/>
        </w:rPr>
        <w:t>6.6    Exercise of Options.</w:t>
      </w:r>
      <w:r>
        <w:rPr>
          <w:color w:val="000000"/>
        </w:rPr>
        <w:t xml:space="preserve"> </w:t>
      </w:r>
      <w:r>
        <w:rPr>
          <w:rFonts w:ascii="Verdana;sans-serif" w:hAnsi="Verdana;sans-serif"/>
          <w:b w:val="false"/>
          <w:color w:val="000000"/>
          <w:sz w:val="18"/>
        </w:rPr>
        <w:t>Options will be exercisable at such times and be subject to such restrictions and conditions as the Committee in each instance approves, which need not be the same for each Award or for each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rFonts w:ascii="Verdana;sans-serif" w:hAnsi="Verdana;sans-serif"/>
          <w:b/>
          <w:color w:val="000000"/>
          <w:sz w:val="18"/>
        </w:rPr>
        <w:t>6.7    Payment.</w:t>
      </w:r>
      <w:r>
        <w:rPr>
          <w:color w:val="000000"/>
        </w:rPr>
        <w:t xml:space="preserve"> </w:t>
      </w:r>
      <w:r>
        <w:rPr>
          <w:rFonts w:ascii="Verdana;sans-serif" w:hAnsi="Verdana;sans-serif"/>
          <w:b w:val="false"/>
          <w:color w:val="000000"/>
          <w:sz w:val="18"/>
        </w:rPr>
        <w:t>The holder of an Option may exercise the Option only by delivering a written notice of exercise to the Company setting forth the number of Shares as to which the Option is to be exercised, together with full payment at the Exercise Price for the Shares and any withholding tax relating to the exercise of the Option.</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The Exercise Price and any related withholding taxes will be payable to the Company in full either: (a) in cash, or its equivalent, in United States dollars; (b) by tendering Shares owned by the Participant and duly endorsed for transfer to the Company, Shares issuable to the Participant upon exercise of the Option, or any combination of cash, certified or cashier’s check and Shares described in this clause (b); or (c) by any other means the Committee determines to be consistent with the Plan’s purposes and applicable law. Cashless exercise must meet the requirements of the Federal Reserve Board’s Regulation T and any applicable securities law restrictions. For this purpose, “cashless” exercise will mean that the Participant notifies the Company it will exercise, and the Company is instructed to deliver the Share issuable on exercise to a broker, who sells the Shares and holds back the Exercise Price (and, often, the federal and state withholdings). Notwithstanding anything herein to the contrary, the Committee may, in its sole discretion, permit a Participant to satisfy such Participant’s tax withholding obligation by tendering Shares having a Fair Market Value equal to the amount required to be withheld or other greater amount up to the maximum statutory rate under applicable law, as applicable to such Participant, if such other greater amount would not result in adverse financial accounting treatment, as determined by the Committee (including in connection with the effectiveness of FASB Accounting Standards Update 2016-09).</w:t>
      </w:r>
    </w:p>
    <w:p>
      <w:pPr>
        <w:pStyle w:val="TextBody"/>
        <w:bidi w:val="0"/>
        <w:spacing w:lineRule="auto" w:line="333" w:before="0" w:after="120"/>
        <w:jc w:val="left"/>
        <w:rPr/>
      </w:pPr>
      <w:r>
        <w:rPr>
          <w:rFonts w:ascii="Verdana;sans-serif" w:hAnsi="Verdana;sans-serif"/>
          <w:b/>
          <w:color w:val="000000"/>
          <w:sz w:val="18"/>
        </w:rPr>
        <w:t>6.8    Restrictions on Share Transferability.</w:t>
      </w:r>
      <w:r>
        <w:rPr>
          <w:color w:val="000000"/>
        </w:rPr>
        <w:t xml:space="preserve"> </w:t>
      </w:r>
      <w:r>
        <w:rPr>
          <w:rFonts w:ascii="Verdana;sans-serif" w:hAnsi="Verdana;sans-serif"/>
          <w:b w:val="false"/>
          <w:color w:val="000000"/>
          <w:sz w:val="18"/>
        </w:rPr>
        <w:t>The Committee may impose such restrictions on any Shares acquired through exercise of an Option as it 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pStyle w:val="TextBody"/>
        <w:bidi w:val="0"/>
        <w:spacing w:lineRule="auto" w:line="333" w:before="0" w:after="120"/>
        <w:jc w:val="left"/>
        <w:rPr/>
      </w:pPr>
      <w:r>
        <w:rPr>
          <w:rFonts w:ascii="Verdana;sans-serif" w:hAnsi="Verdana;sans-serif"/>
          <w:b/>
          <w:color w:val="000000"/>
          <w:sz w:val="18"/>
        </w:rPr>
        <w:t>6.9    Termination of Service.</w:t>
      </w:r>
      <w:r>
        <w:rPr>
          <w:color w:val="000000"/>
        </w:rPr>
        <w:t xml:space="preserve"> </w:t>
      </w:r>
      <w:r>
        <w:rPr>
          <w:rFonts w:ascii="Verdana;sans-serif" w:hAnsi="Verdana;sans-serif"/>
          <w:b w:val="false"/>
          <w:color w:val="000000"/>
          <w:sz w:val="18"/>
        </w:rPr>
        <w:t>Each Option Award Agreement will set forth the extent to which the Participant has the right to exercise the Option after his or her Termination of Service. These terms will be determined by the Committee in its sole discretion, need not be uniform among all Options, and may reflect, among other things, distinctions based on the reasons for termination.</w:t>
      </w:r>
    </w:p>
    <w:p>
      <w:pPr>
        <w:pStyle w:val="TextBody"/>
        <w:bidi w:val="0"/>
        <w:spacing w:lineRule="auto" w:line="333" w:before="0" w:after="120"/>
        <w:jc w:val="left"/>
        <w:rPr/>
      </w:pPr>
      <w:r>
        <w:rPr>
          <w:rFonts w:ascii="Verdana;sans-serif" w:hAnsi="Verdana;sans-serif"/>
          <w:b/>
          <w:color w:val="000000"/>
          <w:sz w:val="18"/>
        </w:rPr>
        <w:t xml:space="preserve">6.10    Nontransferability of Options. </w:t>
      </w:r>
      <w:r>
        <w:rPr>
          <w:rFonts w:ascii="Verdana;sans-serif" w:hAnsi="Verdana;sans-serif"/>
          <w:b w:val="false"/>
          <w:color w:val="000000"/>
          <w:sz w:val="18"/>
        </w:rPr>
        <w:t>Except as otherwise provided in a Participant’s Award Agreement, no Option granted under the Plan may be 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pStyle w:val="TextBody"/>
        <w:bidi w:val="0"/>
        <w:spacing w:lineRule="auto" w:line="333" w:before="0" w:after="120"/>
        <w:jc w:val="left"/>
        <w:rPr/>
      </w:pPr>
      <w:r>
        <w:rPr>
          <w:rFonts w:ascii="Verdana;sans-serif" w:hAnsi="Verdana;sans-serif"/>
          <w:b/>
          <w:color w:val="000000"/>
          <w:sz w:val="18"/>
        </w:rPr>
        <w:t>6.11    Incentive Stock Options.</w:t>
      </w:r>
      <w:r>
        <w:rPr>
          <w:color w:val="000000"/>
        </w:rPr>
        <w:t xml:space="preserve"> </w:t>
      </w:r>
      <w:r>
        <w:rPr>
          <w:rFonts w:ascii="Verdana;sans-serif" w:hAnsi="Verdana;sans-serif"/>
          <w:b w:val="false"/>
          <w:color w:val="000000"/>
          <w:sz w:val="18"/>
        </w:rPr>
        <w:t>The grant of ISOs hereunder shall be subject to all of the requirements of Code Section 422, including the following limitations:</w:t>
      </w:r>
    </w:p>
    <w:p>
      <w:pPr>
        <w:pStyle w:val="TextBody"/>
        <w:bidi w:val="0"/>
        <w:spacing w:lineRule="auto" w:line="333" w:before="0" w:after="120"/>
        <w:ind w:left="0" w:right="0" w:hanging="720"/>
        <w:jc w:val="left"/>
        <w:rPr/>
      </w:pPr>
      <w:r>
        <w:rPr>
          <w:rFonts w:ascii="Verdana;sans-serif" w:hAnsi="Verdana;sans-serif"/>
          <w:b w:val="false"/>
          <w:color w:val="000000"/>
          <w:sz w:val="18"/>
        </w:rPr>
        <w:t>(a)    If an ISO is granted to a Participant who (together with persons whose stock ownership is attributed to the Participant pursuant to Code Section 424(d)) owns stock possessing more than ten percent (10%) of the total combined voting power of all classes of stock of the Company or any of its subsidiaries, (i) the Exercise Price for each Share subject to the ISO shall not be less than one-hundred and ten percent (110%) of the Fair Market Value of a Share on the date of grant, and (ii) the ISO will expire upon the earlier of the time specified by the Committee in the Award Agreement and the fifth (5</w:t>
      </w:r>
      <w:r>
        <w:rPr>
          <w:rFonts w:ascii="Verdana;sans-serif" w:hAnsi="Verdana;sans-serif"/>
          <w:b w:val="false"/>
          <w:color w:val="000000"/>
          <w:sz w:val="12"/>
        </w:rPr>
        <w:t>th</w:t>
      </w:r>
      <w:r>
        <w:rPr>
          <w:rFonts w:ascii="Verdana;sans-serif" w:hAnsi="Verdana;sans-serif"/>
          <w:b w:val="false"/>
          <w:color w:val="000000"/>
          <w:sz w:val="18"/>
        </w:rPr>
        <w:t>) anniversary of the date of grant.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ind w:left="0" w:right="0" w:hanging="720"/>
        <w:jc w:val="left"/>
        <w:rPr>
          <w:rFonts w:ascii="Verdana;sans-serif" w:hAnsi="Verdana;sans-serif"/>
          <w:b w:val="false"/>
          <w:color w:val="000000"/>
          <w:sz w:val="18"/>
        </w:rPr>
      </w:pPr>
      <w:r>
        <w:rPr>
          <w:rFonts w:ascii="Verdana;sans-serif" w:hAnsi="Verdana;sans-serif"/>
          <w:b w:val="false"/>
          <w:color w:val="000000"/>
          <w:sz w:val="18"/>
        </w:rPr>
        <w:t>(b)    ISOs may be granted only to persons who are, as of the date of grant, common-law Employees of the Company or a subsidiary (as such term is defined in Code Sections 424(e) and (f)).</w:t>
      </w:r>
    </w:p>
    <w:p>
      <w:pPr>
        <w:pStyle w:val="TextBody"/>
        <w:bidi w:val="0"/>
        <w:spacing w:lineRule="auto" w:line="333" w:before="0" w:after="120"/>
        <w:ind w:left="0" w:right="0" w:hanging="720"/>
        <w:jc w:val="left"/>
        <w:rPr>
          <w:rFonts w:ascii="Verdana;sans-serif" w:hAnsi="Verdana;sans-serif"/>
          <w:b w:val="false"/>
          <w:color w:val="000000"/>
          <w:sz w:val="18"/>
        </w:rPr>
      </w:pPr>
      <w:r>
        <w:rPr>
          <w:rFonts w:ascii="Verdana;sans-serif" w:hAnsi="Verdana;sans-serif"/>
          <w:b w:val="false"/>
          <w:color w:val="000000"/>
          <w:sz w:val="18"/>
        </w:rPr>
        <w:t>(c)    To the extent that the aggregate Fair Market Value of the Shares with respect to which ISOs are exercisable for the first time by any individual during any calendar year (under all plans of the Company) exceeds $100,000, such Options will be treated as NQSOs to the extent required by Code Section 422. For purposes of this Section 6.11(c), ISOs shall be taken into account in the order in which they were granted. The Fair Market Value of the Shares shall be determined as of the time the Option with respect to such Shares is granted.</w:t>
      </w:r>
    </w:p>
    <w:p>
      <w:pPr>
        <w:pStyle w:val="TextBody"/>
        <w:bidi w:val="0"/>
        <w:spacing w:lineRule="auto" w:line="333" w:before="0" w:after="120"/>
        <w:ind w:left="0" w:right="0" w:hanging="720"/>
        <w:jc w:val="left"/>
        <w:rPr>
          <w:rFonts w:ascii="Verdana;sans-serif" w:hAnsi="Verdana;sans-serif"/>
          <w:b w:val="false"/>
          <w:color w:val="000000"/>
          <w:sz w:val="18"/>
        </w:rPr>
      </w:pPr>
      <w:r>
        <w:rPr>
          <w:rFonts w:ascii="Verdana;sans-serif" w:hAnsi="Verdana;sans-serif"/>
          <w:b w:val="false"/>
          <w:color w:val="000000"/>
          <w:sz w:val="18"/>
        </w:rPr>
        <w:t>(d)    No Option that is intended to be an ISO may be granted under the Plan unless the Company’s shareholders approve the Plan within twelve (12) months after the Committee’s adoption of the Plan.</w:t>
      </w:r>
    </w:p>
    <w:p>
      <w:pPr>
        <w:pStyle w:val="TextBody"/>
        <w:bidi w:val="0"/>
        <w:spacing w:lineRule="auto" w:line="333" w:before="0" w:after="120"/>
        <w:ind w:left="0" w:right="0" w:hanging="720"/>
        <w:jc w:val="left"/>
        <w:rPr>
          <w:rFonts w:ascii="Verdana;sans-serif" w:hAnsi="Verdana;sans-serif"/>
          <w:b w:val="false"/>
          <w:color w:val="000000"/>
          <w:sz w:val="18"/>
        </w:rPr>
      </w:pPr>
      <w:r>
        <w:rPr>
          <w:rFonts w:ascii="Verdana;sans-serif" w:hAnsi="Verdana;sans-serif"/>
          <w:b w:val="false"/>
          <w:color w:val="000000"/>
          <w:sz w:val="18"/>
        </w:rPr>
        <w:t>(e)    In the event of a Participant’s change of status from Employee to Director, an ISO held by the Participant shall cease to be treated as an ISO and shall be treated for tax purposes as an NQSO three (3) months and one (1) day following such change of status.</w:t>
      </w:r>
    </w:p>
    <w:p>
      <w:pPr>
        <w:pStyle w:val="TextBody"/>
        <w:bidi w:val="0"/>
        <w:spacing w:lineRule="auto" w:line="333" w:before="0" w:after="120"/>
        <w:jc w:val="left"/>
        <w:rPr/>
      </w:pPr>
      <w:r>
        <w:rPr>
          <w:rFonts w:ascii="Verdana;sans-serif" w:hAnsi="Verdana;sans-serif"/>
          <w:b/>
          <w:color w:val="000000"/>
          <w:sz w:val="18"/>
        </w:rPr>
        <w:t>6.12    Automatic Exercise.</w:t>
      </w:r>
      <w:r>
        <w:rPr>
          <w:color w:val="000000"/>
        </w:rPr>
        <w:t xml:space="preserve"> </w:t>
      </w:r>
      <w:r>
        <w:rPr>
          <w:rFonts w:ascii="Verdana;sans-serif" w:hAnsi="Verdana;sans-serif"/>
          <w:b w:val="false"/>
          <w:color w:val="000000"/>
          <w:sz w:val="18"/>
        </w:rPr>
        <w:t>Unless provided by the Committee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shall automatically and without further action by the Participant or the Company be exercised on the Automatic Exercise Date. In the sole discretion of the Committee, payment of the Exercise Price of any such Option shall be made pursuant to Section 6.7 and the Company or any Affiliate shall deduct or withhold an amount sufficient to satisfy all taxes associated with such exercise in accordance with Section 16.1. Unless otherwise determined by the Committee, this Section 6.12 shall not apply to an Option if the Participant’s employment or service has terminated on or before the Automatic Exercise Date. For the avoidance of doubt, no Option with an Exercise Price per Share that is equal to or greater than the Fair Market Value per Share on the Automatic Exercise Date shall be exercised pursuant to this Section 6.12.</w:t>
      </w:r>
    </w:p>
    <w:p>
      <w:pPr>
        <w:pStyle w:val="TextBody"/>
        <w:bidi w:val="0"/>
        <w:spacing w:lineRule="auto" w:line="333" w:before="0" w:after="120"/>
        <w:jc w:val="left"/>
        <w:rPr/>
      </w:pPr>
      <w:r>
        <w:rPr>
          <w:rFonts w:ascii="Verdana;sans-serif" w:hAnsi="Verdana;sans-serif"/>
          <w:b/>
          <w:color w:val="000000"/>
          <w:sz w:val="18"/>
        </w:rPr>
        <w:t>Article 7.    </w:t>
      </w:r>
      <w:r>
        <w:rPr>
          <w:rFonts w:ascii="Verdana;sans-serif" w:hAnsi="Verdana;sans-serif"/>
          <w:b/>
          <w:color w:val="000000"/>
          <w:sz w:val="18"/>
          <w:u w:val="single"/>
        </w:rPr>
        <w:t>Stock Appreciation Rights</w:t>
      </w:r>
    </w:p>
    <w:p>
      <w:pPr>
        <w:pStyle w:val="TextBody"/>
        <w:bidi w:val="0"/>
        <w:spacing w:lineRule="auto" w:line="333" w:before="0" w:after="120"/>
        <w:jc w:val="left"/>
        <w:rPr/>
      </w:pPr>
      <w:r>
        <w:rPr>
          <w:rFonts w:ascii="Verdana;sans-serif" w:hAnsi="Verdana;sans-serif"/>
          <w:b/>
          <w:color w:val="000000"/>
          <w:sz w:val="18"/>
        </w:rPr>
        <w:t>7.1    Grant of SARs.</w:t>
      </w:r>
      <w:r>
        <w:rPr>
          <w:color w:val="000000"/>
        </w:rPr>
        <w:t xml:space="preserve"> </w:t>
      </w:r>
      <w:r>
        <w:rPr>
          <w:rFonts w:ascii="Verdana;sans-serif" w:hAnsi="Verdana;sans-serif"/>
          <w:b w:val="false"/>
          <w:color w:val="000000"/>
          <w:sz w:val="18"/>
        </w:rPr>
        <w:t>Subject to the terms and conditions of the Plan, SARs may be granted to Participants at any time and from time to time, as determined by the Committee.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Within the limits of Article 4, the Committee will have sole discretion to determine the number of SARs granted to each Participant and, consistent with the provisions of the Plan, to determine the terms and conditions pertaining to SARs.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The grant price of a SAR will be equal to or greater than the Fair Market Value on the date of grant of the SAR.</w:t>
      </w:r>
    </w:p>
    <w:p>
      <w:pPr>
        <w:pStyle w:val="TextBody"/>
        <w:bidi w:val="0"/>
        <w:spacing w:lineRule="auto" w:line="333" w:before="0" w:after="120"/>
        <w:jc w:val="left"/>
        <w:rPr/>
      </w:pPr>
      <w:r>
        <w:rPr>
          <w:rFonts w:ascii="Verdana;sans-serif" w:hAnsi="Verdana;sans-serif"/>
          <w:b/>
          <w:color w:val="000000"/>
          <w:sz w:val="18"/>
        </w:rPr>
        <w:t>7.2    Exercise of SARs.</w:t>
      </w:r>
      <w:r>
        <w:rPr>
          <w:color w:val="000000"/>
        </w:rPr>
        <w:t xml:space="preserve"> </w:t>
      </w:r>
      <w:r>
        <w:rPr>
          <w:rFonts w:ascii="Verdana;sans-serif" w:hAnsi="Verdana;sans-serif"/>
          <w:b w:val="false"/>
          <w:color w:val="000000"/>
          <w:sz w:val="18"/>
        </w:rPr>
        <w:t>SARs may be exercised upon whatever terms and conditions the Committee, in its sole discretion, imposes.</w:t>
      </w:r>
    </w:p>
    <w:p>
      <w:pPr>
        <w:pStyle w:val="TextBody"/>
        <w:bidi w:val="0"/>
        <w:spacing w:lineRule="auto" w:line="333" w:before="0" w:after="120"/>
        <w:jc w:val="left"/>
        <w:rPr/>
      </w:pPr>
      <w:r>
        <w:rPr>
          <w:rFonts w:ascii="Verdana;sans-serif" w:hAnsi="Verdana;sans-serif"/>
          <w:b/>
          <w:color w:val="000000"/>
          <w:sz w:val="18"/>
        </w:rPr>
        <w:t>7.3    Award Agreement.</w:t>
      </w:r>
      <w:r>
        <w:rPr>
          <w:color w:val="000000"/>
        </w:rPr>
        <w:t xml:space="preserve"> </w:t>
      </w:r>
      <w:r>
        <w:rPr>
          <w:rFonts w:ascii="Verdana;sans-serif" w:hAnsi="Verdana;sans-serif"/>
          <w:b w:val="false"/>
          <w:color w:val="000000"/>
          <w:sz w:val="18"/>
        </w:rPr>
        <w:t>Each SAR grant will be evidenced by an Award Agreement that specifies the grant price, the term of the SAR and such other provisions as the Committee determines.</w:t>
      </w:r>
    </w:p>
    <w:p>
      <w:pPr>
        <w:pStyle w:val="TextBody"/>
        <w:bidi w:val="0"/>
        <w:spacing w:lineRule="auto" w:line="333" w:before="0" w:after="120"/>
        <w:jc w:val="left"/>
        <w:rPr/>
      </w:pPr>
      <w:r>
        <w:rPr>
          <w:rFonts w:ascii="Verdana;sans-serif" w:hAnsi="Verdana;sans-serif"/>
          <w:b/>
          <w:color w:val="000000"/>
          <w:sz w:val="18"/>
        </w:rPr>
        <w:t>7.4    Term of SARs.</w:t>
      </w:r>
      <w:r>
        <w:rPr>
          <w:color w:val="000000"/>
        </w:rPr>
        <w:t xml:space="preserve"> </w:t>
      </w:r>
      <w:r>
        <w:rPr>
          <w:rFonts w:ascii="Verdana;sans-serif" w:hAnsi="Verdana;sans-serif"/>
          <w:b w:val="false"/>
          <w:color w:val="000000"/>
          <w:sz w:val="18"/>
        </w:rPr>
        <w:t>The term of an SAR will be determined by the Committee, in its sole discretion, but may not exceed ten (10) years. Notwithstanding any contrary provision herein, if, on the date an outstanding SAR would expire, the exercise of the SAR would violate applicable securities laws or any insider trading policy maintained by the Company from time to time, the expiration date applicable to the SAR will be extended, except to the extent such extension would violate Section 409A, to a date that is thirty (30) calendar days after the date the exercise of the SAR would no longer violate applicable securities laws or any such insider trading policy.</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rFonts w:ascii="Verdana;sans-serif" w:hAnsi="Verdana;sans-serif"/>
          <w:b/>
          <w:color w:val="000000"/>
          <w:sz w:val="18"/>
        </w:rPr>
        <w:t>7.5    Payment of SAR Amount.</w:t>
      </w:r>
      <w:r>
        <w:rPr>
          <w:color w:val="000000"/>
        </w:rPr>
        <w:t xml:space="preserve"> </w:t>
      </w:r>
      <w:r>
        <w:rPr>
          <w:rFonts w:ascii="Verdana;sans-serif" w:hAnsi="Verdana;sans-serif"/>
          <w:b w:val="false"/>
          <w:color w:val="000000"/>
          <w:sz w:val="18"/>
        </w:rPr>
        <w:t>Upon exercise of an SAR, a Participant will be entitled to receive payment from the Company in an amount determined by multiplying:</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(a)    the excess (or some portion of the excess as determined at the time of the grant by the Committee) if any, of the Fair Market Value on the date of exercise of the SAR over the grant price specified in the Award Agreement; by</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the number of Shares as to which the SAR is exercised.</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The payment upon SAR exercise may be made in cash, in Shares of equivalent Fair Market Value or in some combination of the two, as specified in the Award Agreement.</w:t>
      </w:r>
    </w:p>
    <w:p>
      <w:pPr>
        <w:pStyle w:val="TextBody"/>
        <w:bidi w:val="0"/>
        <w:spacing w:lineRule="auto" w:line="333" w:before="0" w:after="120"/>
        <w:jc w:val="left"/>
        <w:rPr/>
      </w:pPr>
      <w:r>
        <w:rPr>
          <w:rFonts w:ascii="Verdana;sans-serif" w:hAnsi="Verdana;sans-serif"/>
          <w:b/>
          <w:color w:val="000000"/>
          <w:sz w:val="18"/>
        </w:rPr>
        <w:t>7.6    Termination of Service.</w:t>
      </w:r>
      <w:r>
        <w:rPr>
          <w:color w:val="000000"/>
        </w:rPr>
        <w:t xml:space="preserve"> </w:t>
      </w:r>
      <w:r>
        <w:rPr>
          <w:rFonts w:ascii="Verdana;sans-serif" w:hAnsi="Verdana;sans-serif"/>
          <w:b w:val="false"/>
          <w:color w:val="000000"/>
          <w:sz w:val="18"/>
        </w:rPr>
        <w:t>Each SAR Award Agreement will set forth the extent to which the Participant has the right to exercise the SAR after his or her Termination of Service. These terms will be determined by the Committee in its sole discretion, need not be uniform among all SARs issued under the Plan, and may reflect, among other things, distinctions based on the reasons for termination.</w:t>
      </w:r>
    </w:p>
    <w:p>
      <w:pPr>
        <w:pStyle w:val="TextBody"/>
        <w:bidi w:val="0"/>
        <w:spacing w:lineRule="auto" w:line="333" w:before="0" w:after="120"/>
        <w:jc w:val="left"/>
        <w:rPr/>
      </w:pPr>
      <w:r>
        <w:rPr>
          <w:rFonts w:ascii="Verdana;sans-serif" w:hAnsi="Verdana;sans-serif"/>
          <w:b/>
          <w:color w:val="000000"/>
          <w:sz w:val="18"/>
        </w:rPr>
        <w:t>7.7    Nontransferability of SARs.</w:t>
      </w:r>
      <w:r>
        <w:rPr>
          <w:color w:val="000000"/>
        </w:rPr>
        <w:t xml:space="preserve"> </w:t>
      </w:r>
      <w:r>
        <w:rPr>
          <w:rFonts w:ascii="Verdana;sans-serif" w:hAnsi="Verdana;sans-serif"/>
          <w:b w:val="false"/>
          <w:color w:val="000000"/>
          <w:sz w:val="18"/>
        </w:rPr>
        <w:t>Except as otherwise provided in a Participant’s Award Agreement, no SAR may be 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pStyle w:val="TextBody"/>
        <w:bidi w:val="0"/>
        <w:spacing w:lineRule="auto" w:line="333" w:before="0" w:after="120"/>
        <w:jc w:val="left"/>
        <w:rPr/>
      </w:pPr>
      <w:r>
        <w:rPr>
          <w:rFonts w:ascii="Verdana;sans-serif" w:hAnsi="Verdana;sans-serif"/>
          <w:b/>
          <w:color w:val="000000"/>
          <w:sz w:val="18"/>
        </w:rPr>
        <w:t>7.8    No Dividend Equivalents.</w:t>
      </w:r>
      <w:r>
        <w:rPr>
          <w:color w:val="000000"/>
        </w:rPr>
        <w:t xml:space="preserve"> </w:t>
      </w:r>
      <w:r>
        <w:rPr>
          <w:rFonts w:ascii="Verdana;sans-serif" w:hAnsi="Verdana;sans-serif"/>
          <w:b w:val="false"/>
          <w:color w:val="000000"/>
          <w:sz w:val="18"/>
        </w:rPr>
        <w:t>Subject to Section 4.3, the Committee may not grant payments in connection with SARs that are equivalent to dividends declared and paid on the Shares underlying the SARs.</w:t>
      </w:r>
    </w:p>
    <w:p>
      <w:pPr>
        <w:pStyle w:val="TextBody"/>
        <w:bidi w:val="0"/>
        <w:spacing w:lineRule="auto" w:line="333" w:before="0" w:after="120"/>
        <w:jc w:val="left"/>
        <w:rPr/>
      </w:pPr>
      <w:r>
        <w:rPr>
          <w:rFonts w:ascii="Verdana;sans-serif" w:hAnsi="Verdana;sans-serif"/>
          <w:b/>
          <w:color w:val="000000"/>
          <w:sz w:val="18"/>
        </w:rPr>
        <w:t>7.9    Automatic Exercise.</w:t>
      </w:r>
      <w:r>
        <w:rPr>
          <w:color w:val="000000"/>
        </w:rPr>
        <w:t xml:space="preserve"> </w:t>
      </w:r>
      <w:r>
        <w:rPr>
          <w:rFonts w:ascii="Verdana;sans-serif" w:hAnsi="Verdana;sans-serif"/>
          <w:b w:val="false"/>
          <w:color w:val="000000"/>
          <w:sz w:val="18"/>
        </w:rPr>
        <w:t>Unless provided by the Committee in an Award Agreement or otherwise, or as otherwise directed by the Participant in writing to the Company, each vested and exercisable SAR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16.1. Unless otherwise determined by the Committee, this Section 7.9 shall not apply to a SAR if the Participant’s employment or service has terminated on or before the Automatic Exercise Date. For the avoidance of doubt, no SAR with an Exercise Price per Share that is equal to or greater than the Fair Market Value per Share on the Automatic Exercise Date shall be exercised pursuant to this Section 7.9.</w:t>
      </w:r>
    </w:p>
    <w:p>
      <w:pPr>
        <w:pStyle w:val="TextBody"/>
        <w:bidi w:val="0"/>
        <w:spacing w:lineRule="auto" w:line="333" w:before="0" w:after="120"/>
        <w:jc w:val="left"/>
        <w:rPr/>
      </w:pPr>
      <w:r>
        <w:rPr>
          <w:rFonts w:ascii="Verdana;sans-serif" w:hAnsi="Verdana;sans-serif"/>
          <w:b/>
          <w:color w:val="000000"/>
          <w:sz w:val="18"/>
        </w:rPr>
        <w:t>Article 8.    </w:t>
      </w:r>
      <w:r>
        <w:rPr>
          <w:rFonts w:ascii="Verdana;sans-serif" w:hAnsi="Verdana;sans-serif"/>
          <w:b/>
          <w:color w:val="000000"/>
          <w:sz w:val="18"/>
          <w:u w:val="single"/>
        </w:rPr>
        <w:t>Restricted Stock, Restricted Stock Units and Restricted Units</w:t>
      </w:r>
    </w:p>
    <w:p>
      <w:pPr>
        <w:pStyle w:val="TextBody"/>
        <w:bidi w:val="0"/>
        <w:spacing w:lineRule="auto" w:line="333" w:before="0" w:after="120"/>
        <w:jc w:val="left"/>
        <w:rPr/>
      </w:pPr>
      <w:r>
        <w:rPr>
          <w:rFonts w:ascii="Verdana;sans-serif" w:hAnsi="Verdana;sans-serif"/>
          <w:b/>
          <w:color w:val="000000"/>
          <w:sz w:val="18"/>
        </w:rPr>
        <w:t>8.1    Grant of Restricted Stock, Restricted Stock Units or Restricted Units.</w:t>
      </w:r>
      <w:r>
        <w:rPr>
          <w:color w:val="000000"/>
        </w:rPr>
        <w:t xml:space="preserve"> </w:t>
      </w:r>
      <w:r>
        <w:rPr>
          <w:rFonts w:ascii="Verdana;sans-serif" w:hAnsi="Verdana;sans-serif"/>
          <w:b w:val="false"/>
          <w:color w:val="000000"/>
          <w:sz w:val="18"/>
        </w:rPr>
        <w:t>Subject to the terms and provisions of the Plan, the Committee may, at any time and from time to time, grant Restricted Stock, Restricted Stock Units or Restricted Units to Participants in such amounts as it determines.</w:t>
      </w:r>
    </w:p>
    <w:p>
      <w:pPr>
        <w:pStyle w:val="TextBody"/>
        <w:bidi w:val="0"/>
        <w:spacing w:lineRule="auto" w:line="333" w:before="0" w:after="120"/>
        <w:jc w:val="left"/>
        <w:rPr/>
      </w:pPr>
      <w:r>
        <w:rPr>
          <w:rFonts w:ascii="Verdana;sans-serif" w:hAnsi="Verdana;sans-serif"/>
          <w:b/>
          <w:color w:val="000000"/>
          <w:sz w:val="18"/>
        </w:rPr>
        <w:t>8.2    Award Agreement.</w:t>
      </w:r>
      <w:r>
        <w:rPr>
          <w:color w:val="000000"/>
        </w:rPr>
        <w:t xml:space="preserve"> </w:t>
      </w:r>
      <w:r>
        <w:rPr>
          <w:rFonts w:ascii="Verdana;sans-serif" w:hAnsi="Verdana;sans-serif"/>
          <w:b w:val="false"/>
          <w:color w:val="000000"/>
          <w:sz w:val="18"/>
        </w:rPr>
        <w:t>Each grant of Restricted Stock, Restricted Units or Restricted Stock Units will be evidenced by an Award Agreement that specifies the Restriction Periods, the number of Shares or Share equivalent units granted, and such other provisions as the Committee determines.</w:t>
      </w:r>
    </w:p>
    <w:p>
      <w:pPr>
        <w:pStyle w:val="TextBody"/>
        <w:bidi w:val="0"/>
        <w:spacing w:lineRule="auto" w:line="333" w:before="0" w:after="120"/>
        <w:jc w:val="left"/>
        <w:rPr/>
      </w:pPr>
      <w:r>
        <w:rPr>
          <w:rFonts w:ascii="Verdana;sans-serif" w:hAnsi="Verdana;sans-serif"/>
          <w:b/>
          <w:color w:val="000000"/>
          <w:sz w:val="18"/>
        </w:rPr>
        <w:t>8.3    Nontransferability.</w:t>
      </w:r>
      <w:r>
        <w:rPr>
          <w:color w:val="000000"/>
        </w:rPr>
        <w:t xml:space="preserve"> </w:t>
      </w:r>
      <w:r>
        <w:rPr>
          <w:rFonts w:ascii="Verdana;sans-serif" w:hAnsi="Verdana;sans-serif"/>
          <w:b w:val="false"/>
          <w:color w:val="000000"/>
          <w:sz w:val="18"/>
        </w:rPr>
        <w:t xml:space="preserve">Restricted Stock, Restricted Units and Restricted Stock Units granted herein may not be sold, transferred, pledged, assigned, or otherwise alienated or hypothecated, other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than by will or by the laws of descent and distribution, or pursuant to a domestic relations order (as defined in Code Section 414(p)), until the end of the applicable Restriction Period as specified in the Award Agreement, or upon earlier satisfaction of any other conditions specified by the Committee in its sole discretion and set forth in the Award Agreement. All rights with respect to Restricted Stock, Restricted Units and Restricted Stock Units will be available during the 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pStyle w:val="TextBody"/>
        <w:bidi w:val="0"/>
        <w:spacing w:lineRule="auto" w:line="333" w:before="0" w:after="120"/>
        <w:jc w:val="left"/>
        <w:rPr/>
      </w:pPr>
      <w:r>
        <w:rPr>
          <w:rFonts w:ascii="Verdana;sans-serif" w:hAnsi="Verdana;sans-serif"/>
          <w:b/>
          <w:color w:val="000000"/>
          <w:sz w:val="18"/>
        </w:rPr>
        <w:t>8.4    Other Restrictions.</w:t>
      </w:r>
      <w:r>
        <w:rPr>
          <w:color w:val="000000"/>
        </w:rPr>
        <w:t xml:space="preserve"> </w:t>
      </w:r>
      <w:r>
        <w:rPr>
          <w:rFonts w:ascii="Verdana;sans-serif" w:hAnsi="Verdana;sans-serif"/>
          <w:b w:val="false"/>
          <w:color w:val="000000"/>
          <w:sz w:val="18"/>
        </w:rPr>
        <w:t>The Committee may impose such other conditions or restrictions on any Restricted Stock, Restricted Units or Restricted Stock 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8.4 as to any given Award will lapse all at once or in installments.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The Company will retain the certificates representing Shares of Restricted Stock in its possession until all conditions and restrictions applicable to the Shares have been satisfied.</w:t>
      </w:r>
    </w:p>
    <w:p>
      <w:pPr>
        <w:pStyle w:val="TextBody"/>
        <w:bidi w:val="0"/>
        <w:spacing w:lineRule="auto" w:line="333" w:before="0" w:after="120"/>
        <w:jc w:val="left"/>
        <w:rPr/>
      </w:pPr>
      <w:r>
        <w:rPr>
          <w:rFonts w:ascii="Verdana;sans-serif" w:hAnsi="Verdana;sans-serif"/>
          <w:b/>
          <w:color w:val="000000"/>
          <w:sz w:val="18"/>
        </w:rPr>
        <w:t>8.5    Payment of Awards.</w:t>
      </w:r>
      <w:r>
        <w:rPr>
          <w:color w:val="000000"/>
        </w:rPr>
        <w:t xml:space="preserve"> </w:t>
      </w:r>
      <w:r>
        <w:rPr>
          <w:rFonts w:ascii="Verdana;sans-serif" w:hAnsi="Verdana;sans-serif"/>
          <w:b w:val="false"/>
          <w:color w:val="000000"/>
          <w:sz w:val="18"/>
        </w:rPr>
        <w:t>Except as otherwise provided in this Article 8, Shares covered by each Restricted Stock grant will become freely transferable by the Participant after the last day of the applicable Restriction Period, and Share equivalent units covered by a Restricted Unit or Restricted Stock Unit will be paid out in cash or Shares to the Participant following the last day of the applicable Restriction Period, or on a later date provided in the Award Agreement.</w:t>
      </w:r>
    </w:p>
    <w:p>
      <w:pPr>
        <w:pStyle w:val="TextBody"/>
        <w:bidi w:val="0"/>
        <w:spacing w:lineRule="auto" w:line="333" w:before="0" w:after="120"/>
        <w:jc w:val="left"/>
        <w:rPr/>
      </w:pPr>
      <w:r>
        <w:rPr>
          <w:rFonts w:ascii="Verdana;sans-serif" w:hAnsi="Verdana;sans-serif"/>
          <w:b/>
          <w:color w:val="000000"/>
          <w:sz w:val="18"/>
        </w:rPr>
        <w:t>8.6    Voting Rights.</w:t>
      </w:r>
      <w:r>
        <w:rPr>
          <w:color w:val="000000"/>
        </w:rPr>
        <w:t xml:space="preserve"> </w:t>
      </w:r>
      <w:r>
        <w:rPr>
          <w:rFonts w:ascii="Verdana;sans-serif" w:hAnsi="Verdana;sans-serif"/>
          <w:b w:val="false"/>
          <w:color w:val="000000"/>
          <w:sz w:val="18"/>
        </w:rPr>
        <w:t>During the Restriction Period, Participants holding Shares of Restricted Stock may exercise full voting rights with respect to those Shares.</w:t>
      </w:r>
    </w:p>
    <w:p>
      <w:pPr>
        <w:pStyle w:val="TextBody"/>
        <w:bidi w:val="0"/>
        <w:spacing w:lineRule="auto" w:line="333" w:before="0" w:after="120"/>
        <w:jc w:val="left"/>
        <w:rPr/>
      </w:pPr>
      <w:r>
        <w:rPr>
          <w:rFonts w:ascii="Verdana;sans-serif" w:hAnsi="Verdana;sans-serif"/>
          <w:b/>
          <w:color w:val="000000"/>
          <w:sz w:val="18"/>
        </w:rPr>
        <w:t>8.7    Dividends and Other Distributions.</w:t>
      </w:r>
      <w:r>
        <w:rPr>
          <w:color w:val="000000"/>
        </w:rPr>
        <w:t xml:space="preserve"> </w:t>
      </w:r>
      <w:r>
        <w:rPr>
          <w:rFonts w:ascii="Verdana;sans-serif" w:hAnsi="Verdana;sans-serif"/>
          <w:b w:val="false"/>
          <w:color w:val="000000"/>
          <w:sz w:val="18"/>
        </w:rPr>
        <w:t xml:space="preserve">During the Restriction Period, unless otherwise determined by the Committee and set forth in an Award Agreement, Participants awarded Shares of Restricted Stock, Restricted Units or Restricted Stock Units hereunder will be credited with regular cash dividends or dividend equivalents paid on those Shares or with respect to those Share equivalent units. The Committee may apply any restrictions it deems advisable to the crediting and payment of dividends and other distributions; provided, that no dividends or dividend equivalents will be paid on unvested Awards of Restricted Stock, Restricted Units or Restricted Stock Units during the Restriction Period, but to the extent that any such Awards contain the right to receive dividends or dividend equivalents during the Restriction Period, such dividends or dividend equivalents will be accumulated and paid once (and to the extent that) the underlying Awards vest. </w:t>
      </w:r>
    </w:p>
    <w:p>
      <w:pPr>
        <w:pStyle w:val="TextBody"/>
        <w:bidi w:val="0"/>
        <w:spacing w:lineRule="auto" w:line="288"/>
        <w:jc w:val="left"/>
        <w:rPr/>
      </w:pPr>
      <w:r>
        <w:rPr>
          <w:rFonts w:ascii="Verdana;sans-serif" w:hAnsi="Verdana;sans-serif"/>
          <w:b/>
          <w:color w:val="000000"/>
          <w:sz w:val="18"/>
        </w:rPr>
        <w:t>8.8    Termination of Service.</w:t>
      </w:r>
      <w:r>
        <w:rPr>
          <w:color w:val="000000"/>
        </w:rPr>
        <w:t xml:space="preserve"> </w:t>
      </w:r>
      <w:r>
        <w:rPr>
          <w:rFonts w:ascii="Verdana;sans-serif" w:hAnsi="Verdana;sans-serif"/>
          <w:b w:val="false"/>
          <w:color w:val="000000"/>
          <w:sz w:val="18"/>
        </w:rPr>
        <w:t>Each Award Agreement will set forth the extent to which the Participant has the right to retain unvested Restricted Stock, Restricted Stock Units or Restricted Units after his or her Termination of Service. These terms will be determined by the Committee in its sole discretion, need not be uniform among all Awards of Restricted Stock, Restricted Stock Units and Restricted Units, and may reflect, among other things, distinctions based on the reasons for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rFonts w:ascii="Verdana;sans-serif" w:hAnsi="Verdana;sans-serif"/>
          <w:b/>
          <w:color w:val="000000"/>
          <w:sz w:val="18"/>
        </w:rPr>
        <w:t>Article 9.    </w:t>
      </w:r>
      <w:r>
        <w:rPr>
          <w:rFonts w:ascii="Verdana;sans-serif" w:hAnsi="Verdana;sans-serif"/>
          <w:b/>
          <w:color w:val="000000"/>
          <w:sz w:val="18"/>
          <w:u w:val="single"/>
        </w:rPr>
        <w:t>Performance Units, Performance Shares and Other Awards</w:t>
      </w:r>
    </w:p>
    <w:p>
      <w:pPr>
        <w:pStyle w:val="TextBody"/>
        <w:bidi w:val="0"/>
        <w:spacing w:lineRule="auto" w:line="333" w:before="0" w:after="120"/>
        <w:jc w:val="left"/>
        <w:rPr/>
      </w:pPr>
      <w:r>
        <w:rPr>
          <w:rFonts w:ascii="Verdana;sans-serif" w:hAnsi="Verdana;sans-serif"/>
          <w:b/>
          <w:color w:val="000000"/>
          <w:sz w:val="18"/>
        </w:rPr>
        <w:t>9.1    Grant of Performance Units or Performance Shares.</w:t>
      </w:r>
      <w:r>
        <w:rPr>
          <w:color w:val="000000"/>
        </w:rPr>
        <w:t xml:space="preserve"> </w:t>
      </w:r>
      <w:r>
        <w:rPr>
          <w:rFonts w:ascii="Verdana;sans-serif" w:hAnsi="Verdana;sans-serif"/>
          <w:b w:val="false"/>
          <w:color w:val="000000"/>
          <w:sz w:val="18"/>
        </w:rPr>
        <w:t>Subject to the terms of the Plan, Performance Units or Performance Shares may be granted to Participants in such amounts and upon such terms, and at any time and from time to time, as the Committee determines.</w:t>
      </w:r>
    </w:p>
    <w:p>
      <w:pPr>
        <w:pStyle w:val="TextBody"/>
        <w:bidi w:val="0"/>
        <w:spacing w:lineRule="auto" w:line="333" w:before="0" w:after="120"/>
        <w:jc w:val="left"/>
        <w:rPr/>
      </w:pPr>
      <w:r>
        <w:rPr>
          <w:rFonts w:ascii="Verdana;sans-serif" w:hAnsi="Verdana;sans-serif"/>
          <w:b/>
          <w:color w:val="000000"/>
          <w:sz w:val="18"/>
        </w:rPr>
        <w:t>9.2    Value of Performance Units and Performance Shares.</w:t>
      </w:r>
      <w:r>
        <w:rPr>
          <w:color w:val="000000"/>
        </w:rPr>
        <w:t xml:space="preserve"> </w:t>
      </w:r>
      <w:r>
        <w:rPr>
          <w:rFonts w:ascii="Verdana;sans-serif" w:hAnsi="Verdana;sans-serif"/>
          <w:b w:val="false"/>
          <w:color w:val="000000"/>
          <w:sz w:val="18"/>
        </w:rPr>
        <w:t>Each Performance Unit will have an initial value established by the Committee at the time of grant. Each Performance Share will have an initial value equal to the Fair Market Value on the date of grant. The Committee will set performance objectives and a Performance Period during which the performance objectives must be met in its discretion which, depending on the extent to which they are met, will determine the number or value (or both) of Performance Units or Performance Shares that will be paid out to the Participant.</w:t>
      </w:r>
    </w:p>
    <w:p>
      <w:pPr>
        <w:pStyle w:val="TextBody"/>
        <w:bidi w:val="0"/>
        <w:spacing w:lineRule="auto" w:line="333" w:before="0" w:after="120"/>
        <w:jc w:val="left"/>
        <w:rPr/>
      </w:pPr>
      <w:r>
        <w:rPr>
          <w:rFonts w:ascii="Verdana;sans-serif" w:hAnsi="Verdana;sans-serif"/>
          <w:b/>
          <w:color w:val="000000"/>
          <w:sz w:val="18"/>
        </w:rPr>
        <w:t>9.3    Earning of Performance Units and Performance Shares.</w:t>
      </w:r>
      <w:r>
        <w:rPr>
          <w:color w:val="000000"/>
        </w:rPr>
        <w:t xml:space="preserve"> </w:t>
      </w:r>
      <w:r>
        <w:rPr>
          <w:rFonts w:ascii="Verdana;sans-serif" w:hAnsi="Verdana;sans-serif"/>
          <w:b w:val="false"/>
          <w:color w:val="000000"/>
          <w:sz w:val="18"/>
        </w:rPr>
        <w:t>Subject to the terms of this Plan, after the applicable Performance Period has ended, the 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pStyle w:val="TextBody"/>
        <w:bidi w:val="0"/>
        <w:spacing w:lineRule="auto" w:line="333" w:before="0" w:after="120"/>
        <w:jc w:val="left"/>
        <w:rPr/>
      </w:pPr>
      <w:r>
        <w:rPr>
          <w:rFonts w:ascii="Verdana;sans-serif" w:hAnsi="Verdana;sans-serif"/>
          <w:b/>
          <w:color w:val="000000"/>
          <w:sz w:val="18"/>
        </w:rPr>
        <w:t>9.4    Award Agreement.</w:t>
      </w:r>
      <w:r>
        <w:rPr>
          <w:color w:val="000000"/>
        </w:rPr>
        <w:t xml:space="preserve"> </w:t>
      </w:r>
      <w:r>
        <w:rPr>
          <w:rFonts w:ascii="Verdana;sans-serif" w:hAnsi="Verdana;sans-serif"/>
          <w:b w:val="false"/>
          <w:color w:val="000000"/>
          <w:sz w:val="18"/>
        </w:rPr>
        <w:t>Each grant of Performance Units or Performance Shares will be evidenced by an Award Agreement specifying the material terms and conditions of the Award (including the form of payment of earned Performance Units or Performance Shares), and such other provisions as the Committee determines.</w:t>
      </w:r>
    </w:p>
    <w:p>
      <w:pPr>
        <w:pStyle w:val="TextBody"/>
        <w:bidi w:val="0"/>
        <w:spacing w:lineRule="auto" w:line="333" w:before="0" w:after="120"/>
        <w:jc w:val="left"/>
        <w:rPr/>
      </w:pPr>
      <w:r>
        <w:rPr>
          <w:rFonts w:ascii="Verdana;sans-serif" w:hAnsi="Verdana;sans-serif"/>
          <w:b/>
          <w:color w:val="000000"/>
          <w:sz w:val="18"/>
        </w:rPr>
        <w:t>9.5    Dividend Equivalents.</w:t>
      </w:r>
      <w:r>
        <w:rPr>
          <w:color w:val="000000"/>
        </w:rPr>
        <w:t xml:space="preserve"> </w:t>
      </w:r>
      <w:r>
        <w:rPr>
          <w:rFonts w:ascii="Verdana;sans-serif" w:hAnsi="Verdana;sans-serif"/>
          <w:b w:val="false"/>
          <w:color w:val="000000"/>
          <w:sz w:val="18"/>
        </w:rPr>
        <w:t>Unless otherwise determined by the Committee and set forth in an Award Agreement, dividend equivalents will be paid on Awards of Performance Shares. Dividend equivalents may be paid on Awards of Performance Units in the Committee’s sole discretion. The Committee may apply any restrictions it deems advisable to the crediting and payment of dividend equivalents with respect to Performance Shares and Performance Units; provided, that no dividend equivalents will be paid on unvested Performance Shares or Performance Units, but to the extent that any such Awards contain the right to receive dividend equivalents during the Performance Period, such dividend equivalents will be accumulated and paid once (and to the extent that) the underlying Awards vest.</w:t>
      </w:r>
    </w:p>
    <w:p>
      <w:pPr>
        <w:pStyle w:val="TextBody"/>
        <w:bidi w:val="0"/>
        <w:spacing w:lineRule="auto" w:line="333" w:before="0" w:after="120"/>
        <w:jc w:val="left"/>
        <w:rPr/>
      </w:pPr>
      <w:r>
        <w:rPr>
          <w:rFonts w:ascii="Verdana;sans-serif" w:hAnsi="Verdana;sans-serif"/>
          <w:b/>
          <w:color w:val="000000"/>
          <w:sz w:val="18"/>
        </w:rPr>
        <w:t>9.6    Form and Timing of Payment of Performance Units and Performance Shares.</w:t>
      </w:r>
      <w:r>
        <w:rPr>
          <w:color w:val="000000"/>
        </w:rPr>
        <w:t xml:space="preserve"> </w:t>
      </w:r>
      <w:r>
        <w:rPr>
          <w:rFonts w:ascii="Verdana;sans-serif" w:hAnsi="Verdana;sans-serif"/>
          <w:b w:val="false"/>
          <w:color w:val="000000"/>
          <w:sz w:val="18"/>
        </w:rPr>
        <w:t>Except as provided in Article 12, payment of earned Performance Units and Performance Shares will be made as soon as practicable after the close of the applicable Performance 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pStyle w:val="TextBody"/>
        <w:bidi w:val="0"/>
        <w:spacing w:lineRule="auto" w:line="333" w:before="0" w:after="120"/>
        <w:jc w:val="left"/>
        <w:rPr/>
      </w:pPr>
      <w:r>
        <w:rPr>
          <w:rFonts w:ascii="Verdana;sans-serif" w:hAnsi="Verdana;sans-serif"/>
          <w:b/>
          <w:color w:val="000000"/>
          <w:sz w:val="18"/>
        </w:rPr>
        <w:t>9.7    Termination of Service.</w:t>
      </w:r>
      <w:r>
        <w:rPr>
          <w:color w:val="000000"/>
        </w:rPr>
        <w:t xml:space="preserve"> </w:t>
      </w:r>
      <w:r>
        <w:rPr>
          <w:rFonts w:ascii="Verdana;sans-serif" w:hAnsi="Verdana;sans-serif"/>
          <w:b w:val="false"/>
          <w:color w:val="000000"/>
          <w:sz w:val="18"/>
        </w:rPr>
        <w:t>Each Award Agreement will set forth the extent to which the Participant has the right to retain Performance Units and Performance Shares after his or her Termination of Service. These terms will be determined by the Committee in its sole discretion, need not be uniform among all Awards of Performance Units and Performance Shares, and may reflect, among other things, distinctions based on the reasons for termination.</w:t>
      </w:r>
    </w:p>
    <w:p>
      <w:pPr>
        <w:pStyle w:val="TextBody"/>
        <w:bidi w:val="0"/>
        <w:spacing w:lineRule="auto" w:line="333" w:before="0" w:after="120"/>
        <w:jc w:val="left"/>
        <w:rPr/>
      </w:pPr>
      <w:r>
        <w:rPr>
          <w:rFonts w:ascii="Verdana;sans-serif" w:hAnsi="Verdana;sans-serif"/>
          <w:b/>
          <w:color w:val="000000"/>
          <w:sz w:val="18"/>
        </w:rPr>
        <w:t>9.8    Nontransferability.</w:t>
      </w:r>
      <w:r>
        <w:rPr>
          <w:color w:val="000000"/>
        </w:rPr>
        <w:t xml:space="preserve"> </w:t>
      </w:r>
      <w:r>
        <w:rPr>
          <w:rFonts w:ascii="Verdana;sans-serif" w:hAnsi="Verdana;sans-serif"/>
          <w:b w:val="false"/>
          <w:color w:val="000000"/>
          <w:sz w:val="18"/>
        </w:rPr>
        <w:t xml:space="preserve">Except as otherwise provided in a Participant’s Award Agreement, Performance Units and Performance Shares may not be 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representative to supply it with evidence the Committee deems necessary to establish the authority of the guardian or legal representative to act on behalf of the Participant.</w:t>
      </w:r>
    </w:p>
    <w:p>
      <w:pPr>
        <w:pStyle w:val="TextBody"/>
        <w:bidi w:val="0"/>
        <w:spacing w:lineRule="auto" w:line="333" w:before="0" w:after="120"/>
        <w:jc w:val="left"/>
        <w:rPr/>
      </w:pPr>
      <w:r>
        <w:rPr>
          <w:rFonts w:ascii="Verdana;sans-serif" w:hAnsi="Verdana;sans-serif"/>
          <w:b/>
          <w:color w:val="000000"/>
          <w:sz w:val="18"/>
        </w:rPr>
        <w:t xml:space="preserve">9.9    Other Awards. </w:t>
      </w:r>
      <w:r>
        <w:rPr>
          <w:rFonts w:ascii="Verdana;sans-serif" w:hAnsi="Verdana;sans-serif"/>
          <w:b w:val="false"/>
          <w:color w:val="000000"/>
          <w:sz w:val="18"/>
        </w:rPr>
        <w:t>In addition to the Awards described in Articles 6 through 8 and Sections 9.1 through 9.8 above, and subject to the terms of the Plan, the Committee may grant other incentives payable in cash or Shares under the Plan as it determines to be in the best interests of the Company and subject to such other terms and conditions as it deems appropriate. Dividend equivalents may be paid on such other Awards in the Committee’s sole discretion. The Committee may apply any restrictions it deems advisable to the crediting and payment of dividend equivalents with respect to such other Awards; provided, that no dividend equivalents will be paid on any such unvested Awards, but to the extent that any such Awards contain the right to receive dividend equivalents prior to vesting, such dividend equivalents will be accumulated and paid once (and to the extent that) the underlying Awards vest.</w:t>
      </w:r>
    </w:p>
    <w:p>
      <w:pPr>
        <w:pStyle w:val="TextBody"/>
        <w:bidi w:val="0"/>
        <w:spacing w:lineRule="auto" w:line="333" w:before="0" w:after="120"/>
        <w:jc w:val="left"/>
        <w:rPr/>
      </w:pPr>
      <w:r>
        <w:rPr>
          <w:rFonts w:ascii="Verdana;sans-serif" w:hAnsi="Verdana;sans-serif"/>
          <w:b/>
          <w:color w:val="000000"/>
          <w:sz w:val="18"/>
        </w:rPr>
        <w:t>Article 10.    </w:t>
      </w:r>
      <w:r>
        <w:rPr>
          <w:rFonts w:ascii="Verdana;sans-serif" w:hAnsi="Verdana;sans-serif"/>
          <w:b/>
          <w:color w:val="000000"/>
          <w:sz w:val="18"/>
          <w:u w:val="single"/>
        </w:rPr>
        <w:t>Performance Goals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The Committee may establish Performance Goals for performance-based Awards under the Plan. The Committee may specify any reasonable definition of the Performance Goals it uses, and the goals may be described in terms of Company-wide objectives, objectives that relate to the performance of an individual Participant, an Affiliate, or a division, region, department, function or segment within the Company or an Affiliate. Such definitions may provide for reasonable adjustments and may include or exclude items, including but not limited to: investment gains and losses;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changes in applicable law or the application thereof; and other non-operating items.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an amount determined by the Committee.</w:t>
      </w:r>
    </w:p>
    <w:p>
      <w:pPr>
        <w:pStyle w:val="TextBody"/>
        <w:bidi w:val="0"/>
        <w:spacing w:lineRule="auto" w:line="333" w:before="0" w:after="120"/>
        <w:jc w:val="left"/>
        <w:rPr/>
      </w:pPr>
      <w:r>
        <w:rPr>
          <w:rFonts w:ascii="Verdana;sans-serif" w:hAnsi="Verdana;sans-serif"/>
          <w:b/>
          <w:color w:val="000000"/>
          <w:sz w:val="18"/>
        </w:rPr>
        <w:t>Article 11.    </w:t>
      </w:r>
      <w:r>
        <w:rPr>
          <w:rFonts w:ascii="Verdana;sans-serif" w:hAnsi="Verdana;sans-serif"/>
          <w:b/>
          <w:color w:val="000000"/>
          <w:sz w:val="18"/>
          <w:u w:val="single"/>
        </w:rPr>
        <w:t>Beneficiary Designation</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in the following order to (a) the beneficiary designated by the Participant for purposes of the tax-qualified defined benefit retirement plan or, if none, the tax-qualified defined contribution retirement plan of the Company or an Affiliate in which the Participant participates, (b) the Participant’s spouse, if living, or (c) the Participant’s estate or other entity described in the Participant’s Award Agreement.</w:t>
      </w:r>
    </w:p>
    <w:p>
      <w:pPr>
        <w:pStyle w:val="TextBody"/>
        <w:bidi w:val="0"/>
        <w:spacing w:lineRule="auto" w:line="333" w:before="0" w:after="120"/>
        <w:jc w:val="left"/>
        <w:rPr/>
      </w:pPr>
      <w:r>
        <w:rPr>
          <w:rFonts w:ascii="Verdana;sans-serif" w:hAnsi="Verdana;sans-serif"/>
          <w:b/>
          <w:color w:val="000000"/>
          <w:sz w:val="18"/>
        </w:rPr>
        <w:t>Article 12.    </w:t>
      </w:r>
      <w:r>
        <w:rPr>
          <w:rFonts w:ascii="Verdana;sans-serif" w:hAnsi="Verdana;sans-serif"/>
          <w:b/>
          <w:color w:val="000000"/>
          <w:sz w:val="18"/>
          <w:u w:val="single"/>
        </w:rPr>
        <w:t>Deferrals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The Committee may, consistent with the requirements of Code Section 409A, permit a Participant to defer receipt of cash or Shares that would otherwise be due to him or her by virtue of an Option or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SAR exercise, the lapse or waiver of restrictions on Restricted Stock, Restricted Stock Units, Restricted Units or other Awards, or the satisfaction of any requirements or objectives with respect to Performance Units, Performance Shares or other Awards. If any such deferral election is permitted, the Committee will, in its sole discretion, establish rules and procedures for such deferrals consistent with the requirements of Code Section 409A.</w:t>
      </w:r>
    </w:p>
    <w:p>
      <w:pPr>
        <w:pStyle w:val="TextBody"/>
        <w:bidi w:val="0"/>
        <w:spacing w:lineRule="auto" w:line="333" w:before="0" w:after="120"/>
        <w:jc w:val="left"/>
        <w:rPr/>
      </w:pPr>
      <w:r>
        <w:rPr>
          <w:rFonts w:ascii="Verdana;sans-serif" w:hAnsi="Verdana;sans-serif"/>
          <w:b/>
          <w:color w:val="000000"/>
          <w:sz w:val="18"/>
        </w:rPr>
        <w:t>Article 13.    </w:t>
      </w:r>
      <w:r>
        <w:rPr>
          <w:rFonts w:ascii="Verdana;sans-serif" w:hAnsi="Verdana;sans-serif"/>
          <w:b/>
          <w:color w:val="000000"/>
          <w:sz w:val="18"/>
          <w:u w:val="single"/>
        </w:rPr>
        <w:t>Rights of Employees</w:t>
      </w:r>
    </w:p>
    <w:p>
      <w:pPr>
        <w:pStyle w:val="TextBody"/>
        <w:bidi w:val="0"/>
        <w:spacing w:lineRule="auto" w:line="333" w:before="0" w:after="120"/>
        <w:jc w:val="left"/>
        <w:rPr/>
      </w:pPr>
      <w:r>
        <w:rPr>
          <w:rFonts w:ascii="Verdana;sans-serif" w:hAnsi="Verdana;sans-serif"/>
          <w:b/>
          <w:color w:val="000000"/>
          <w:sz w:val="18"/>
        </w:rPr>
        <w:t>13.1    Employment or Service.</w:t>
      </w:r>
      <w:r>
        <w:rPr>
          <w:color w:val="000000"/>
        </w:rPr>
        <w:t xml:space="preserve"> </w:t>
      </w:r>
      <w:r>
        <w:rPr>
          <w:rFonts w:ascii="Verdana;sans-serif" w:hAnsi="Verdana;sans-serif"/>
          <w:b w:val="false"/>
          <w:color w:val="000000"/>
          <w:sz w:val="18"/>
        </w:rPr>
        <w:t>Nothing in the Plan will interfere with or limit in any way the right of the Company or any Affiliate to terminate any Participant’s employment or service at any time, or confer upon any Participant any right to continue in the employ or service of the Company or any Affiliate.</w:t>
      </w:r>
    </w:p>
    <w:p>
      <w:pPr>
        <w:pStyle w:val="TextBody"/>
        <w:bidi w:val="0"/>
        <w:spacing w:lineRule="auto" w:line="288"/>
        <w:jc w:val="left"/>
        <w:rPr/>
      </w:pPr>
      <w:r>
        <w:rPr>
          <w:rFonts w:ascii="Verdana;sans-serif" w:hAnsi="Verdana;sans-serif"/>
          <w:b/>
          <w:color w:val="000000"/>
          <w:sz w:val="18"/>
        </w:rPr>
        <w:t>13.2    Participation.</w:t>
      </w:r>
      <w:r>
        <w:rPr>
          <w:color w:val="000000"/>
        </w:rPr>
        <w:t xml:space="preserve"> </w:t>
      </w:r>
      <w:r>
        <w:rPr>
          <w:rFonts w:ascii="Verdana;sans-serif" w:hAnsi="Verdana;sans-serif"/>
          <w:b w:val="false"/>
          <w:color w:val="000000"/>
          <w:sz w:val="18"/>
        </w:rPr>
        <w:t>No Eligible Person will have the right to receive an Award under this Plan, or, having received any Award, to receive a future Award.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pPr>
      <w:r>
        <w:rPr>
          <w:rFonts w:ascii="Verdana;sans-serif" w:hAnsi="Verdana;sans-serif"/>
          <w:b/>
          <w:color w:val="000000"/>
          <w:sz w:val="18"/>
        </w:rPr>
        <w:t>Article 14.    </w:t>
      </w:r>
      <w:r>
        <w:rPr>
          <w:rFonts w:ascii="Verdana;sans-serif" w:hAnsi="Verdana;sans-serif"/>
          <w:b/>
          <w:color w:val="000000"/>
          <w:sz w:val="18"/>
          <w:u w:val="single"/>
        </w:rPr>
        <w:t>Change in Control</w:t>
      </w:r>
    </w:p>
    <w:p>
      <w:pPr>
        <w:pStyle w:val="TextBody"/>
        <w:bidi w:val="0"/>
        <w:spacing w:lineRule="auto" w:line="333" w:before="0" w:after="120"/>
        <w:jc w:val="left"/>
        <w:rPr/>
      </w:pPr>
      <w:r>
        <w:rPr>
          <w:rFonts w:ascii="Verdana;sans-serif" w:hAnsi="Verdana;sans-serif"/>
          <w:b/>
          <w:color w:val="000000"/>
          <w:sz w:val="18"/>
        </w:rPr>
        <w:t>14.1    Treatment of Awards upon a Change in Control.</w:t>
      </w:r>
      <w:r>
        <w:rPr>
          <w:color w:val="000000"/>
        </w:rPr>
        <w:t xml:space="preserve"> </w:t>
      </w:r>
      <w:r>
        <w:rPr>
          <w:rFonts w:ascii="Verdana;sans-serif" w:hAnsi="Verdana;sans-serif"/>
          <w:b w:val="false"/>
          <w:color w:val="000000"/>
          <w:sz w:val="18"/>
        </w:rPr>
        <w:t>Upon the occurrence of a Change in Control, the following provisions of this Section 14.1 shall apply to all Awards, unless the Committee shall determine otherwise at the time of grant with respect to a particular Award and unless otherwise specifically prohibited under applicable laws, or by the rules and regulations of any governing governmental agencies or national securities exchanges: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(a)    Options and SARs. </w:t>
      </w:r>
    </w:p>
    <w:p>
      <w:pPr>
        <w:pStyle w:val="TextBody"/>
        <w:bidi w:val="0"/>
        <w:spacing w:lineRule="auto" w:line="333" w:before="0" w:after="120"/>
        <w:jc w:val="left"/>
        <w:rPr/>
      </w:pPr>
      <w:r>
        <w:rPr>
          <w:rFonts w:ascii="Verdana;sans-serif" w:hAnsi="Verdana;sans-serif"/>
          <w:b w:val="false"/>
          <w:color w:val="000000"/>
          <w:sz w:val="18"/>
        </w:rPr>
        <w:t>(i)    Any outstanding Options and SARs, unless exchanged by the Company for a Replacement Award, will become immediately exercisable (and will deemed to be exercisable immediately prior to the Change in Control), and will remain exercisable throughout the remainder of their term (the “</w:t>
      </w:r>
      <w:r>
        <w:rPr>
          <w:rFonts w:ascii="Verdana;sans-serif" w:hAnsi="Verdana;sans-serif"/>
          <w:b/>
          <w:color w:val="000000"/>
          <w:sz w:val="18"/>
        </w:rPr>
        <w:t>Vested Options and SARs</w:t>
      </w:r>
      <w:r>
        <w:rPr>
          <w:color w:val="000000"/>
        </w:rPr>
        <w:t>”</w:t>
      </w:r>
      <w:r>
        <w:rPr>
          <w:rFonts w:ascii="Verdana;sans-serif" w:hAnsi="Verdana;sans-serif"/>
          <w:b w:val="false"/>
          <w:color w:val="000000"/>
          <w:sz w:val="18"/>
        </w:rPr>
        <w:t>); provided, however, that, with respect to Vested Options and SARs that are not exercised upon the Change in Control, such Vested Options and SARs will be subject to the provisions of Section 14.1(d) below, as applicable. To the extent that this provision causes ISOs to exceed the dollar limitation set forth in Code Section 422(d), the excess Options shall be deemed to be NQSOs.</w:t>
      </w:r>
    </w:p>
    <w:p>
      <w:pPr>
        <w:pStyle w:val="TextBody"/>
        <w:bidi w:val="0"/>
        <w:spacing w:lineRule="auto" w:line="333" w:before="0" w:after="120"/>
        <w:jc w:val="left"/>
        <w:rPr/>
      </w:pPr>
      <w:r>
        <w:rPr>
          <w:rFonts w:ascii="Verdana;sans-serif" w:hAnsi="Verdana;sans-serif"/>
          <w:b w:val="false"/>
          <w:color w:val="000000"/>
          <w:sz w:val="18"/>
        </w:rPr>
        <w:t xml:space="preserve">(ii)    Any Option or SAR may be exchanged by the Company upon the Change in Control for a Replacement Award that satisfies the conditions of this Section 14.1(a)(ii). The Replacement Award shall have equivalent value and vest and become exercisable in accordance with the vesting schedule and term for exercisability, in each case that applied to the corresponding Option or SAR for which it is being exchanged, </w:t>
      </w:r>
      <w:r>
        <w:rPr>
          <w:rFonts w:ascii="Verdana;sans-serif" w:hAnsi="Verdana;sans-serif"/>
          <w:b w:val="false"/>
          <w:color w:val="000000"/>
          <w:sz w:val="18"/>
          <w:u w:val="single"/>
        </w:rPr>
        <w:t>provided</w:t>
      </w:r>
      <w:r>
        <w:rPr>
          <w:rFonts w:ascii="Verdana;sans-serif" w:hAnsi="Verdana;sans-serif"/>
          <w:b w:val="false"/>
          <w:color w:val="000000"/>
          <w:sz w:val="18"/>
        </w:rPr>
        <w:t xml:space="preserve">, </w:t>
      </w:r>
      <w:r>
        <w:rPr>
          <w:rFonts w:ascii="Verdana;sans-serif" w:hAnsi="Verdana;sans-serif"/>
          <w:b w:val="false"/>
          <w:color w:val="000000"/>
          <w:sz w:val="18"/>
          <w:u w:val="single"/>
        </w:rPr>
        <w:t>however</w:t>
      </w:r>
      <w:r>
        <w:rPr>
          <w:rFonts w:ascii="Verdana;sans-serif" w:hAnsi="Verdana;sans-serif"/>
          <w:b w:val="false"/>
          <w:color w:val="000000"/>
          <w:sz w:val="18"/>
        </w:rPr>
        <w:t xml:space="preserve">, that if within twenty-four (24) months following such Change in Control, the Participant’s service with the Company is terminated by the Company without Cause or by the Participant for Good Reason, such Award, to the extent then outstanding, shall become fully vested and exercisable upon such Termination of Service. </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(b)    Restricted Stock, Restricted Stock Units and Restricted Units.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(i)    Any Restriction Periods or other restrictions imposed on Restricted Stock, Restricted Stock Units and Restricted Units that are not exchanged by the Company for a Replacement Award will lapse, except that the degree of vesting associated with those Awards that is conditioned on the achievement of performance conditions will be determined as set forth in Section 14.1(c).</w:t>
      </w:r>
    </w:p>
    <w:p>
      <w:pPr>
        <w:pStyle w:val="TextBody"/>
        <w:bidi w:val="0"/>
        <w:spacing w:lineRule="auto" w:line="333" w:before="0" w:after="120"/>
        <w:jc w:val="left"/>
        <w:rPr/>
      </w:pPr>
      <w:r>
        <w:rPr>
          <w:rFonts w:ascii="Verdana;sans-serif" w:hAnsi="Verdana;sans-serif"/>
          <w:b w:val="false"/>
          <w:color w:val="000000"/>
          <w:sz w:val="18"/>
        </w:rPr>
        <w:t xml:space="preserve">(ii)    Any Restricted Stock, Restricted Stock Unit, or Restricted Unit may be exchanged by the Company upon the Change in Control for a Replacement Award that satisfies the conditions of this Section 14.1(b)(ii). The Replacement Award shall have equivalent value to the Award for which it is being exchanged and shall vest in accordance with the vesting schedule that applied to the corresponding Award for which it is being exchanged, </w:t>
      </w:r>
      <w:r>
        <w:rPr>
          <w:rFonts w:ascii="Verdana;sans-serif" w:hAnsi="Verdana;sans-serif"/>
          <w:b w:val="false"/>
          <w:color w:val="000000"/>
          <w:sz w:val="18"/>
          <w:u w:val="single"/>
        </w:rPr>
        <w:t>provided</w:t>
      </w:r>
      <w:r>
        <w:rPr>
          <w:rFonts w:ascii="Verdana;sans-serif" w:hAnsi="Verdana;sans-serif"/>
          <w:b w:val="false"/>
          <w:color w:val="000000"/>
          <w:sz w:val="18"/>
        </w:rPr>
        <w:t xml:space="preserve">, </w:t>
      </w:r>
      <w:r>
        <w:rPr>
          <w:rFonts w:ascii="Verdana;sans-serif" w:hAnsi="Verdana;sans-serif"/>
          <w:b w:val="false"/>
          <w:color w:val="000000"/>
          <w:sz w:val="18"/>
          <w:u w:val="single"/>
        </w:rPr>
        <w:t>however</w:t>
      </w:r>
      <w:r>
        <w:rPr>
          <w:rFonts w:ascii="Verdana;sans-serif" w:hAnsi="Verdana;sans-serif"/>
          <w:b w:val="false"/>
          <w:color w:val="000000"/>
          <w:sz w:val="18"/>
        </w:rPr>
        <w:t>, that if within twenty-four (24) months following such Change in Control, the Participant’s service with the Company is terminated by the Company without Cause or by the Participant for Good Reason, such Award, to the extent then outstanding, shall become free of all contingencies, restrictions and limitations and become vested and transferable (or paid)upon such Termination of Service.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(c)    Performance Shares and Performance Units.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(i)    Except as otherwise provided in the Award Agreement, the vesting of all Performance Units and Performance Shares that are not exchanged by the Company for a Replacement Award will be accelerated as of the effective date of the Change in Control, and Participants will be paid, within thirty (30) days after the effective date of the Change in Control, an amount in cash based on an assumed achievement of all relevant performance objectives at target levels.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(ii)    Any Performance Share or Performance Unit may be exchanged by the Company upon a Change in Control for a Replacement Award that satisfies the conditions of this Section 14.1(c)(ii). The Replacement Award shall not be subject to any performance condition referred to in Article 10 above or otherwise, but instead shall be subject solely to the restrictions, if any, of the Award for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which it is being exchanged that are based on the passage of time through the expiration date of the Performance Period utilized in the Award for which it is being exchanged. The number or value of such Replacement Award shall be determined based on the assumed achievement of all of the relevant performance objectives of the Award for which it is being exchanged at their target levels. Notwithstanding the foregoing in this Section 14.1(c)(ii), if within twenty-four (24) months following such Change in Control, the Participant’s service with the Company is terminated by the Company without Cause or by the Participant for Good Reason, such Replacement Award, to the extent then outstanding, shall become free of all contingencies, restrictions and limitations and become vested and transferable (or paid) upon such Termination of Service.</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(d)    </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(i)    If the Company is a party to an agreement that is reasonably likely to result in a Change in Control, such agreement may provide for settlement of the Vested Options and SARs for the Change in Control Price (less, to the extent applicable, the per Share Exercise Price or grant price), or, if the per Share Exercise Price or grant price equals or exceeds the Change in Control Price, such Vested Options and SARs shall terminate and be canceled.</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(ii)    To the extent that Restricted Stock, Restricted Units and Restricted Stock Units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w:t>
      </w:r>
    </w:p>
    <w:p>
      <w:pPr>
        <w:pStyle w:val="TextBody"/>
        <w:bidi w:val="0"/>
        <w:spacing w:lineRule="auto" w:line="333" w:before="0" w:after="120"/>
        <w:jc w:val="left"/>
        <w:rPr/>
      </w:pPr>
      <w:r>
        <w:rPr>
          <w:rFonts w:ascii="Verdana;sans-serif" w:hAnsi="Verdana;sans-serif"/>
          <w:b/>
          <w:color w:val="000000"/>
          <w:sz w:val="18"/>
        </w:rPr>
        <w:t>14.2    Termination, Amendment and Modifications of Change in Control Provisions.</w:t>
      </w:r>
      <w:r>
        <w:rPr>
          <w:color w:val="000000"/>
        </w:rPr>
        <w:t xml:space="preserve"> </w:t>
      </w:r>
      <w:r>
        <w:rPr>
          <w:rFonts w:ascii="Verdana;sans-serif" w:hAnsi="Verdana;sans-serif"/>
          <w:b w:val="false"/>
          <w:color w:val="000000"/>
          <w:sz w:val="18"/>
        </w:rPr>
        <w:t>Notwithstanding any other provision of this Plan or any provision in an Award Agreement, this Article 14 may not be terminated, amended or modified on or after the effective date of a Change in Control in a way that would adversely affect any Award in any material way theretofore granted to a Participant, unless the Participant gives his or her prior written consent to the termination, amendment or modification.</w:t>
      </w:r>
    </w:p>
    <w:p>
      <w:pPr>
        <w:pStyle w:val="TextBody"/>
        <w:bidi w:val="0"/>
        <w:spacing w:lineRule="auto" w:line="333" w:before="0" w:after="120"/>
        <w:jc w:val="left"/>
        <w:rPr/>
      </w:pPr>
      <w:r>
        <w:rPr>
          <w:rFonts w:ascii="Verdana;sans-serif" w:hAnsi="Verdana;sans-serif"/>
          <w:b/>
          <w:color w:val="000000"/>
          <w:sz w:val="18"/>
        </w:rPr>
        <w:t>Article 15.    </w:t>
      </w:r>
      <w:r>
        <w:rPr>
          <w:rFonts w:ascii="Verdana;sans-serif" w:hAnsi="Verdana;sans-serif"/>
          <w:b/>
          <w:color w:val="000000"/>
          <w:sz w:val="18"/>
          <w:u w:val="single"/>
        </w:rPr>
        <w:t>Amendment, Modification and Termination</w:t>
      </w:r>
    </w:p>
    <w:p>
      <w:pPr>
        <w:pStyle w:val="TextBody"/>
        <w:bidi w:val="0"/>
        <w:spacing w:lineRule="auto" w:line="333" w:before="0" w:after="120"/>
        <w:jc w:val="left"/>
        <w:rPr/>
      </w:pPr>
      <w:r>
        <w:rPr>
          <w:rFonts w:ascii="Verdana;sans-serif" w:hAnsi="Verdana;sans-serif"/>
          <w:b/>
          <w:color w:val="000000"/>
          <w:sz w:val="18"/>
        </w:rPr>
        <w:t>15.1    Amendment, Modification and Termination.</w:t>
      </w:r>
      <w:r>
        <w:rPr>
          <w:color w:val="000000"/>
        </w:rPr>
        <w:t xml:space="preserve"> </w:t>
      </w:r>
      <w:r>
        <w:rPr>
          <w:rFonts w:ascii="Verdana;sans-serif" w:hAnsi="Verdana;sans-serif"/>
          <w:b w:val="false"/>
          <w:color w:val="000000"/>
          <w:sz w:val="18"/>
        </w:rPr>
        <w:t>Subject to Section 14.2, the Committee or Board may at any time and from time to time, alter, amend, modify or terminate the Plan in whole or in part. The Committee or Board will not, however, increase the number of Shares that may be issued or transferred to Participants under the Plan, as described in the first sentence of Section 4.1 (and subject to adjustment as provided in Sections 4.2 and 4.3).</w:t>
      </w:r>
    </w:p>
    <w:p>
      <w:pPr>
        <w:pStyle w:val="TextBody"/>
        <w:bidi w:val="0"/>
        <w:spacing w:lineRule="auto" w:line="333" w:before="0" w:after="120"/>
        <w:jc w:val="left"/>
        <w:rPr/>
      </w:pPr>
      <w:r>
        <w:rPr>
          <w:rFonts w:ascii="Verdana;sans-serif" w:hAnsi="Verdana;sans-serif"/>
          <w:b w:val="false"/>
          <w:color w:val="000000"/>
          <w:sz w:val="18"/>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Except as provided in Sections 4.3 and 15.2, the Committee will not, however, modify any outstanding Option or SAR so as to specify a lower Exercise Price or grant price (and will not cancel an Option or SAR and substitute for it an Option or SAR with a lower Exercise Price or grant price), without the approval of the Company’s shareholders. In addition, except as provided in Sections 4.3 and 15.2, the Committee may not cancel an outstanding Option or SAR whose Exercise Price or grant price is equal to or greater than the current Fair Market Value of a Share and substitute for it another Award or cash payment without the prior approval of the Company’s shareholders.</w:t>
      </w:r>
      <w:r>
        <w:rPr>
          <w:color w:val="000000"/>
        </w:rPr>
        <w:t xml:space="preserve"> </w:t>
      </w:r>
      <w:r>
        <w:rPr>
          <w:rFonts w:ascii="Verdana;sans-serif" w:hAnsi="Verdana;sans-serif"/>
          <w:b w:val="false"/>
          <w:color w:val="000000"/>
          <w:sz w:val="18"/>
        </w:rPr>
        <w:t>Notwithstanding the foregoing, no alteration, modification or termination of an Award will, without the prior written consent of the Participant, adversely alter or impair any rights or obligations under any Award already granted under the Plan.</w:t>
      </w:r>
    </w:p>
    <w:p>
      <w:pPr>
        <w:pStyle w:val="TextBody"/>
        <w:bidi w:val="0"/>
        <w:spacing w:lineRule="auto" w:line="333" w:before="0" w:after="120"/>
        <w:jc w:val="left"/>
        <w:rPr/>
      </w:pPr>
      <w:r>
        <w:rPr>
          <w:rFonts w:ascii="Verdana;sans-serif" w:hAnsi="Verdana;sans-serif"/>
          <w:b/>
          <w:color w:val="000000"/>
          <w:sz w:val="18"/>
        </w:rPr>
        <w:t>15.2    Adjustment of Awards Upon the Occurrence of Certain Unusual or Nonrecurring Events.</w:t>
      </w:r>
      <w:r>
        <w:rPr>
          <w:color w:val="000000"/>
        </w:rPr>
        <w:t xml:space="preserve"> </w:t>
      </w:r>
      <w:r>
        <w:rPr>
          <w:rFonts w:ascii="Verdana;sans-serif" w:hAnsi="Verdana;sans-serif"/>
          <w:b w:val="false"/>
          <w:color w:val="000000"/>
          <w:sz w:val="18"/>
        </w:rPr>
        <w:t xml:space="preserve">The Committee may, using reasonable care, make adjustments in the terms and conditions of, and the criteria included in, Awards in order to prevent dilution or enlargement of the benefits or potential benefits intended to be made available under the Plan (a) in recognition of unusual or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nonrecurring events (including, without limitation, the events described in Section 4.3) affecting the Company or its financial statements, (b) in recognition of changes in applicable laws, regulations, or accounting principles, or (c) whenever the Committee determines that such adjustments are necessary, equitable and/or appropriate. </w:t>
      </w:r>
    </w:p>
    <w:p>
      <w:pPr>
        <w:pStyle w:val="TextBody"/>
        <w:bidi w:val="0"/>
        <w:spacing w:lineRule="auto" w:line="333" w:before="0" w:after="120"/>
        <w:jc w:val="left"/>
        <w:rPr/>
      </w:pPr>
      <w:r>
        <w:rPr>
          <w:rFonts w:ascii="Verdana;sans-serif" w:hAnsi="Verdana;sans-serif"/>
          <w:b/>
          <w:color w:val="000000"/>
          <w:sz w:val="18"/>
        </w:rPr>
        <w:t>15.3    Awards Previously Granted.</w:t>
      </w:r>
      <w:r>
        <w:rPr>
          <w:color w:val="000000"/>
        </w:rPr>
        <w:t xml:space="preserve"> </w:t>
      </w:r>
      <w:r>
        <w:rPr>
          <w:rFonts w:ascii="Verdana;sans-serif" w:hAnsi="Verdana;sans-serif"/>
          <w:b w:val="false"/>
          <w:color w:val="000000"/>
          <w:sz w:val="18"/>
        </w:rPr>
        <w:t>No termination, amendment or modification of the Plan will adversely affect in any material way any Award already granted, without the written consent of the Participant who holds the Award.</w:t>
      </w:r>
    </w:p>
    <w:p>
      <w:pPr>
        <w:pStyle w:val="TextBody"/>
        <w:bidi w:val="0"/>
        <w:spacing w:lineRule="auto" w:line="333" w:before="0" w:after="120"/>
        <w:jc w:val="left"/>
        <w:rPr/>
      </w:pPr>
      <w:r>
        <w:rPr>
          <w:rFonts w:ascii="Verdana;sans-serif" w:hAnsi="Verdana;sans-serif"/>
          <w:b/>
          <w:color w:val="000000"/>
          <w:sz w:val="18"/>
        </w:rPr>
        <w:t>15.4    Compliance with Code Section 409A.</w:t>
      </w:r>
      <w:r>
        <w:rPr>
          <w:color w:val="000000"/>
        </w:rPr>
        <w:t xml:space="preserve"> </w:t>
      </w:r>
      <w:r>
        <w:rPr>
          <w:rFonts w:ascii="Verdana;sans-serif" w:hAnsi="Verdana;sans-serif"/>
          <w:b w:val="false"/>
          <w:color w:val="000000"/>
          <w:sz w:val="18"/>
        </w:rPr>
        <w:t>The Plan and Awards, and all amounts payable with respect to Awards, are intended to comply with, or be 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 with any correction procedure established by the U.S. Department of the Treasury. If a Participant is a “specified employee” (as such term is defined for purposes of Code Section 409A) at the time of his or her Termination of Service, no amount that is subject to Code Section 409A and that becomes payable by reason of such termination of employment shall be paid to the Participant before the earlier of (a) the expiration of the six (6) month period measured from the date of the Participant’s termination of employment, and (b) the date of the Participant’s death.</w:t>
      </w:r>
    </w:p>
    <w:p>
      <w:pPr>
        <w:pStyle w:val="TextBody"/>
        <w:bidi w:val="0"/>
        <w:spacing w:lineRule="auto" w:line="333" w:before="0" w:after="120"/>
        <w:jc w:val="left"/>
        <w:rPr/>
      </w:pPr>
      <w:r>
        <w:rPr>
          <w:rFonts w:ascii="Verdana;sans-serif" w:hAnsi="Verdana;sans-serif"/>
          <w:b/>
          <w:color w:val="000000"/>
          <w:sz w:val="18"/>
        </w:rPr>
        <w:t>Article 16.    </w:t>
      </w:r>
      <w:r>
        <w:rPr>
          <w:rFonts w:ascii="Verdana;sans-serif" w:hAnsi="Verdana;sans-serif"/>
          <w:b/>
          <w:color w:val="000000"/>
          <w:sz w:val="18"/>
          <w:u w:val="single"/>
        </w:rPr>
        <w:t>Withholding</w:t>
      </w:r>
    </w:p>
    <w:p>
      <w:pPr>
        <w:pStyle w:val="TextBody"/>
        <w:bidi w:val="0"/>
        <w:spacing w:lineRule="auto" w:line="333" w:before="0" w:after="120"/>
        <w:jc w:val="left"/>
        <w:rPr/>
      </w:pPr>
      <w:r>
        <w:rPr>
          <w:rFonts w:ascii="Verdana;sans-serif" w:hAnsi="Verdana;sans-serif"/>
          <w:b/>
          <w:color w:val="000000"/>
          <w:sz w:val="18"/>
        </w:rPr>
        <w:t>16.1    Tax Withholding.</w:t>
      </w:r>
      <w:r>
        <w:rPr>
          <w:color w:val="000000"/>
        </w:rPr>
        <w:t xml:space="preserve"> </w:t>
      </w:r>
      <w:r>
        <w:rPr>
          <w:rFonts w:ascii="Verdana;sans-serif" w:hAnsi="Verdana;sans-serif"/>
          <w:b w:val="false"/>
          <w:color w:val="000000"/>
          <w:sz w:val="18"/>
        </w:rPr>
        <w:t>The Company will have the power and the right to deduct or withhold, or require a Participant to remit to the Company, an amount 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pStyle w:val="TextBody"/>
        <w:bidi w:val="0"/>
        <w:spacing w:lineRule="auto" w:line="333" w:before="0" w:after="120"/>
        <w:jc w:val="left"/>
        <w:rPr/>
      </w:pPr>
      <w:r>
        <w:rPr>
          <w:rFonts w:ascii="Verdana;sans-serif" w:hAnsi="Verdana;sans-serif"/>
          <w:b/>
          <w:color w:val="000000"/>
          <w:sz w:val="18"/>
        </w:rPr>
        <w:t>16.2    Share Withholding.</w:t>
      </w:r>
      <w:r>
        <w:rPr>
          <w:color w:val="000000"/>
        </w:rPr>
        <w:t xml:space="preserve"> </w:t>
      </w:r>
      <w:r>
        <w:rPr>
          <w:rFonts w:ascii="Verdana;sans-serif" w:hAnsi="Verdana;sans-serif"/>
          <w:b w:val="false"/>
          <w:color w:val="000000"/>
          <w:sz w:val="18"/>
        </w:rPr>
        <w:t>With respect to withholding required upon the exercise of Options or SARs, upon the lapse of restrictions on Restricted Stock, or upon any other taxable event arising as a result of Awards granted hereunder, the Company may satisfy the withholding requirement for supplemental wages, in whole or in part, by withholding Shares having a Fair Market Value (determined on the date the Participant recognizes taxable income on the Award or a preceding date as may be determined by the Company) equal to the amount required to be withheld or other greater amount up to the maximum statutory rate required to be collected on the transaction under applicable law, as applicable to the Participant, if such other greater amount would not result in adverse financial accounting treatment, as determined by the Committee (including in connection with the effectiveness of FASB Accounting Standards Update 2016-09). The Participant may elect, subject to the approval of the Committee, to deliver the necessary funds to satisfy the withholding obligation to the Company, in which case there will be no reduction in the Shares otherwise distributable to the Participant.</w:t>
      </w:r>
    </w:p>
    <w:p>
      <w:pPr>
        <w:pStyle w:val="TextBody"/>
        <w:bidi w:val="0"/>
        <w:spacing w:lineRule="auto" w:line="333" w:before="0" w:after="120"/>
        <w:jc w:val="left"/>
        <w:rPr/>
      </w:pPr>
      <w:r>
        <w:rPr>
          <w:rFonts w:ascii="Verdana;sans-serif" w:hAnsi="Verdana;sans-serif"/>
          <w:b/>
          <w:color w:val="000000"/>
          <w:sz w:val="18"/>
        </w:rPr>
        <w:t>Article 17.    </w:t>
      </w:r>
      <w:r>
        <w:rPr>
          <w:rFonts w:ascii="Verdana;sans-serif" w:hAnsi="Verdana;sans-serif"/>
          <w:b/>
          <w:color w:val="000000"/>
          <w:sz w:val="18"/>
          <w:u w:val="single"/>
        </w:rPr>
        <w:t>Indemnification</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 xml:space="preserve">Each person who is or has been a member of the Committee or the Board will be indemnified and held harmless by the Company from and against any loss, cost, liability, or expense that may be imposed upon or 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 defend the claim, action, suit or proceeding before he or she undertakes to handle and defend it. The foregoing right of indemnification will not be exclusive of any other rights of indemnification to which a person who is or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has been a member of the Committee or the Board may be entitled under the Company’s Certificate of Incorporation or By-Laws, as a matter of law, or otherwise, or any power that the Company may have to indemnify him or her or hold him or her harmless.</w:t>
      </w:r>
    </w:p>
    <w:p>
      <w:pPr>
        <w:pStyle w:val="TextBody"/>
        <w:bidi w:val="0"/>
        <w:spacing w:lineRule="auto" w:line="333" w:before="0" w:after="120"/>
        <w:jc w:val="left"/>
        <w:rPr/>
      </w:pPr>
      <w:r>
        <w:rPr>
          <w:rFonts w:ascii="Verdana;sans-serif" w:hAnsi="Verdana;sans-serif"/>
          <w:b/>
          <w:color w:val="000000"/>
          <w:sz w:val="18"/>
        </w:rPr>
        <w:t>Article 18.    </w:t>
      </w:r>
      <w:r>
        <w:rPr>
          <w:rFonts w:ascii="Verdana;sans-serif" w:hAnsi="Verdana;sans-serif"/>
          <w:b/>
          <w:color w:val="000000"/>
          <w:sz w:val="18"/>
          <w:u w:val="single"/>
        </w:rPr>
        <w:t>Successors</w: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pStyle w:val="TextBody"/>
        <w:bidi w:val="0"/>
        <w:spacing w:lineRule="auto" w:line="333" w:before="0" w:after="120"/>
        <w:jc w:val="left"/>
        <w:rPr/>
      </w:pPr>
      <w:r>
        <w:rPr>
          <w:rFonts w:ascii="Verdana;sans-serif" w:hAnsi="Verdana;sans-serif"/>
          <w:b/>
          <w:color w:val="000000"/>
          <w:sz w:val="18"/>
        </w:rPr>
        <w:t>Article 19.    </w:t>
      </w:r>
      <w:r>
        <w:rPr>
          <w:rFonts w:ascii="Verdana;sans-serif" w:hAnsi="Verdana;sans-serif"/>
          <w:b/>
          <w:color w:val="000000"/>
          <w:sz w:val="18"/>
          <w:u w:val="single"/>
        </w:rPr>
        <w:t>Legal Construction</w:t>
      </w:r>
    </w:p>
    <w:p>
      <w:pPr>
        <w:pStyle w:val="TextBody"/>
        <w:bidi w:val="0"/>
        <w:spacing w:lineRule="auto" w:line="333" w:before="0" w:after="120"/>
        <w:jc w:val="left"/>
        <w:rPr/>
      </w:pPr>
      <w:r>
        <w:rPr>
          <w:rFonts w:ascii="Verdana;sans-serif" w:hAnsi="Verdana;sans-serif"/>
          <w:b/>
          <w:color w:val="000000"/>
          <w:sz w:val="18"/>
        </w:rPr>
        <w:t>19.1    Number.</w:t>
      </w:r>
      <w:r>
        <w:rPr>
          <w:color w:val="000000"/>
        </w:rPr>
        <w:t xml:space="preserve"> </w:t>
      </w:r>
      <w:r>
        <w:rPr>
          <w:rFonts w:ascii="Verdana;sans-serif" w:hAnsi="Verdana;sans-serif"/>
          <w:b w:val="false"/>
          <w:color w:val="000000"/>
          <w:sz w:val="18"/>
        </w:rPr>
        <w:t>Except where otherwise indicated by the context, any plural term used in this Plan includes the singular and a singular term includes the plural.</w:t>
      </w:r>
    </w:p>
    <w:p>
      <w:pPr>
        <w:pStyle w:val="TextBody"/>
        <w:bidi w:val="0"/>
        <w:spacing w:lineRule="auto" w:line="333" w:before="0" w:after="120"/>
        <w:jc w:val="left"/>
        <w:rPr/>
      </w:pPr>
      <w:r>
        <w:rPr>
          <w:rFonts w:ascii="Verdana;sans-serif" w:hAnsi="Verdana;sans-serif"/>
          <w:b/>
          <w:color w:val="000000"/>
          <w:sz w:val="18"/>
        </w:rPr>
        <w:t>19.2    Severability.</w:t>
      </w:r>
      <w:r>
        <w:rPr>
          <w:color w:val="000000"/>
        </w:rPr>
        <w:t xml:space="preserve"> </w:t>
      </w:r>
      <w:r>
        <w:rPr>
          <w:rFonts w:ascii="Verdana;sans-serif" w:hAnsi="Verdana;sans-serif"/>
          <w:b w:val="false"/>
          <w:color w:val="000000"/>
          <w:sz w:val="18"/>
        </w:rPr>
        <w:t>If any provision of the Plan is held illegal or invalid for any reason, the illegality or invalidity will not affect the remaining parts of the Plan, and the Plan will be construed and enforced as if the illegal or invalid provision had not been included.</w:t>
      </w:r>
    </w:p>
    <w:p>
      <w:pPr>
        <w:pStyle w:val="TextBody"/>
        <w:bidi w:val="0"/>
        <w:spacing w:lineRule="auto" w:line="333" w:before="0" w:after="120"/>
        <w:jc w:val="left"/>
        <w:rPr/>
      </w:pPr>
      <w:r>
        <w:rPr>
          <w:rFonts w:ascii="Verdana;sans-serif" w:hAnsi="Verdana;sans-serif"/>
          <w:b/>
          <w:color w:val="000000"/>
          <w:sz w:val="18"/>
        </w:rPr>
        <w:t>19.3    Requirements of Law.</w:t>
      </w:r>
      <w:r>
        <w:rPr>
          <w:color w:val="000000"/>
        </w:rPr>
        <w:t xml:space="preserve"> </w:t>
      </w:r>
      <w:r>
        <w:rPr>
          <w:rFonts w:ascii="Verdana;sans-serif" w:hAnsi="Verdana;sans-serif"/>
          <w:b w:val="false"/>
          <w:color w:val="000000"/>
          <w:sz w:val="18"/>
        </w:rPr>
        <w:t>The granting of Awards and the issuance of Share or cash payouts under the Plan will be subject to all applicable laws, rules, and regulations, and to any approvals by governmental agencies or national securities exchanges as may be required.</w:t>
      </w:r>
    </w:p>
    <w:p>
      <w:pPr>
        <w:pStyle w:val="TextBody"/>
        <w:bidi w:val="0"/>
        <w:spacing w:lineRule="auto" w:line="333" w:before="0" w:after="120"/>
        <w:jc w:val="left"/>
        <w:rPr/>
      </w:pPr>
      <w:r>
        <w:rPr>
          <w:rFonts w:ascii="Verdana;sans-serif" w:hAnsi="Verdana;sans-serif"/>
          <w:b/>
          <w:color w:val="000000"/>
          <w:sz w:val="18"/>
        </w:rPr>
        <w:t>19.4    Securities Law Compliance.</w:t>
      </w:r>
      <w:r>
        <w:rPr>
          <w:color w:val="000000"/>
        </w:rPr>
        <w:t xml:space="preserve"> </w:t>
      </w:r>
      <w:r>
        <w:rPr>
          <w:rFonts w:ascii="Verdana;sans-serif" w:hAnsi="Verdana;sans-serif"/>
          <w:b w:val="false"/>
          <w:color w:val="000000"/>
          <w:sz w:val="18"/>
        </w:rPr>
        <w:t>As to any individual who is, on the relevant date, an officer, director or ten percent (10%) 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pStyle w:val="TextBody"/>
        <w:bidi w:val="0"/>
        <w:spacing w:lineRule="auto" w:line="333" w:before="0" w:after="120"/>
        <w:jc w:val="left"/>
        <w:rPr/>
      </w:pPr>
      <w:r>
        <w:rPr>
          <w:rFonts w:ascii="Verdana;sans-serif" w:hAnsi="Verdana;sans-serif"/>
          <w:b/>
          <w:color w:val="000000"/>
          <w:sz w:val="18"/>
        </w:rPr>
        <w:t>19.5    Awards to Foreign Nationals and Employees Outside the United States.</w:t>
      </w:r>
      <w:r>
        <w:rPr>
          <w:color w:val="000000"/>
        </w:rPr>
        <w:t xml:space="preserve"> </w:t>
      </w:r>
      <w:r>
        <w:rPr>
          <w:rFonts w:ascii="Verdana;sans-serif" w:hAnsi="Verdana;sans-serif"/>
          <w:b w:val="false"/>
          <w:color w:val="000000"/>
          <w:sz w:val="18"/>
        </w:rPr>
        <w:t>To the extent the Committee deems it necessary, appropriate or desirable to comply with foreign law or practice and to further the purposes of this Plan, the Committee may, without amending the Plan, (i) establish a sub-plan hereunder and/or rules applicable to Awards granted to Participants who are foreign nationals, are employed outside the United States, or both, including rules that differ from those set forth in this Plan, and (ii) grant Awards to such Participants in accordance with those rules.</w:t>
      </w:r>
    </w:p>
    <w:p>
      <w:pPr>
        <w:pStyle w:val="TextBody"/>
        <w:bidi w:val="0"/>
        <w:spacing w:lineRule="auto" w:line="333" w:before="0" w:after="120"/>
        <w:jc w:val="left"/>
        <w:rPr/>
      </w:pPr>
      <w:r>
        <w:rPr>
          <w:rFonts w:ascii="Verdana;sans-serif" w:hAnsi="Verdana;sans-serif"/>
          <w:b/>
          <w:color w:val="000000"/>
          <w:sz w:val="18"/>
        </w:rPr>
        <w:t>19.6    Unfunded Status of the Plan.</w:t>
      </w:r>
      <w:r>
        <w:rPr>
          <w:color w:val="000000"/>
        </w:rPr>
        <w:t xml:space="preserve"> </w:t>
      </w:r>
      <w:r>
        <w:rPr>
          <w:rFonts w:ascii="Verdana;sans-serif" w:hAnsi="Verdana;sans-serif"/>
          <w:b w:val="false"/>
          <w:color w:val="000000"/>
          <w:sz w:val="18"/>
        </w:rPr>
        <w:t>The Plan is intended to constitute an “unfunded” plan for incentive and deferred compensation. With respect to any 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pStyle w:val="TextBody"/>
        <w:bidi w:val="0"/>
        <w:spacing w:lineRule="auto" w:line="333" w:before="0" w:after="120"/>
        <w:jc w:val="left"/>
        <w:rPr/>
      </w:pPr>
      <w:r>
        <w:rPr>
          <w:rFonts w:ascii="Verdana;sans-serif" w:hAnsi="Verdana;sans-serif"/>
          <w:b/>
          <w:color w:val="000000"/>
          <w:sz w:val="18"/>
        </w:rPr>
        <w:t>19.7    Governing Law.</w:t>
      </w:r>
      <w:r>
        <w:rPr>
          <w:color w:val="000000"/>
        </w:rPr>
        <w:t xml:space="preserve"> </w:t>
      </w:r>
      <w:r>
        <w:rPr>
          <w:rFonts w:ascii="Verdana;sans-serif" w:hAnsi="Verdana;sans-serif"/>
          <w:b w:val="false"/>
          <w:color w:val="000000"/>
          <w:sz w:val="18"/>
        </w:rPr>
        <w:t>To the extent not preempted by federal law, the Plan and all agreements hereunder will be construed in accordance with and governed by the laws of the State of Michigan without giving effect to principles of conflicts of law.</w:t>
      </w:r>
    </w:p>
    <w:p>
      <w:pPr>
        <w:pStyle w:val="TextBody"/>
        <w:bidi w:val="0"/>
        <w:spacing w:lineRule="auto" w:line="333" w:before="0" w:after="120"/>
        <w:jc w:val="left"/>
        <w:rPr/>
      </w:pPr>
      <w:r>
        <w:rPr>
          <w:rFonts w:ascii="Verdana;sans-serif" w:hAnsi="Verdana;sans-serif"/>
          <w:b/>
          <w:color w:val="000000"/>
          <w:sz w:val="18"/>
        </w:rPr>
        <w:t>19.8    Offsets</w:t>
      </w:r>
      <w:r>
        <w:rPr>
          <w:rFonts w:ascii="Verdana;sans-serif" w:hAnsi="Verdana;sans-serif"/>
          <w:b w:val="false"/>
          <w:color w:val="000000"/>
          <w:sz w:val="18"/>
        </w:rPr>
        <w:t>. To the extent permitted by applicable law, the Company shall have the right to offset from any Award payable hereunder any amount that a Participant owes to the Company or any Affiliate without the consent of the Participant (or his or her beneficiary, in the event of the Participant’s death).</w:t>
      </w:r>
    </w:p>
    <w:p>
      <w:pPr>
        <w:pStyle w:val="TextBody"/>
        <w:bidi w:val="0"/>
        <w:spacing w:lineRule="auto" w:line="333" w:before="0" w:after="120"/>
        <w:jc w:val="left"/>
        <w:rPr/>
      </w:pPr>
      <w:r>
        <w:rPr>
          <w:rFonts w:ascii="Verdana;sans-serif" w:hAnsi="Verdana;sans-serif"/>
          <w:b/>
          <w:color w:val="000000"/>
          <w:sz w:val="18"/>
        </w:rPr>
        <w:t xml:space="preserve">19.9    Plan Document Controls. </w:t>
      </w:r>
      <w:r>
        <w:rPr>
          <w:rFonts w:ascii="Verdana;sans-serif" w:hAnsi="Verdana;sans-serif"/>
          <w:b w:val="false"/>
          <w:color w:val="000000"/>
          <w:sz w:val="18"/>
        </w:rPr>
        <w:t xml:space="preserve">The Plan and each Award Agreement constitute the entire agreement with respect to the subject matter hereof and thereof; provided, that in the event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333" w:before="0" w:after="120"/>
        <w:jc w:val="left"/>
        <w:rPr>
          <w:rFonts w:ascii="Verdana;sans-serif" w:hAnsi="Verdana;sans-serif"/>
          <w:b w:val="false"/>
          <w:color w:val="000000"/>
          <w:sz w:val="18"/>
        </w:rPr>
      </w:pPr>
      <w:r>
        <w:rPr>
          <w:rFonts w:ascii="Verdana;sans-serif" w:hAnsi="Verdana;sans-serif"/>
          <w:b w:val="false"/>
          <w:color w:val="000000"/>
          <w:sz w:val="18"/>
        </w:rPr>
        <w:t>inconsistency between the Plan and an Award Agreement, the terms and conditions of the Plan shall control.</w:t>
      </w:r>
    </w:p>
    <w:p>
      <w:pPr>
        <w:pStyle w:val="TextBody"/>
        <w:bidi w:val="0"/>
        <w:spacing w:lineRule="auto" w:line="333" w:before="0" w:after="120"/>
        <w:jc w:val="left"/>
        <w:rPr/>
      </w:pPr>
      <w:r>
        <w:rPr>
          <w:rFonts w:ascii="Verdana;sans-serif" w:hAnsi="Verdana;sans-serif"/>
          <w:b/>
          <w:color w:val="000000"/>
          <w:sz w:val="18"/>
        </w:rPr>
        <w:t>Article 20.    </w:t>
      </w:r>
      <w:r>
        <w:rPr>
          <w:rFonts w:ascii="Verdana;sans-serif" w:hAnsi="Verdana;sans-serif"/>
          <w:b/>
          <w:color w:val="000000"/>
          <w:sz w:val="18"/>
          <w:u w:val="single"/>
        </w:rPr>
        <w:t>Recoupment Policies</w:t>
      </w:r>
    </w:p>
    <w:p>
      <w:pPr>
        <w:pStyle w:val="TextBody"/>
        <w:bidi w:val="0"/>
        <w:spacing w:lineRule="auto" w:line="333" w:before="0" w:after="240"/>
        <w:jc w:val="left"/>
        <w:rPr>
          <w:rFonts w:ascii="Verdana;sans-serif" w:hAnsi="Verdana;sans-serif"/>
          <w:b w:val="false"/>
          <w:color w:val="000000"/>
          <w:sz w:val="18"/>
        </w:rPr>
      </w:pPr>
      <w:r>
        <w:rPr>
          <w:rFonts w:ascii="Verdana;sans-serif" w:hAnsi="Verdana;sans-serif"/>
          <w:b w:val="false"/>
          <w:color w:val="000000"/>
          <w:sz w:val="18"/>
        </w:rPr>
        <w:t xml:space="preserve">Notwithstanding any provision in the Plan or in any Award Agreement to the contrary, all Awards are subject to the Company’s Incentive Compensation Recoupment Policy and the Company’s Improper Conduct Compensation Recoupment Policy, each as amended from time to time, and any other compensation recovery and/or recoupment policy adopted by the Company to comply with applicable law or any listing exchange requirement, or to comport with good corporate governance practices, as such policies may be amended from time to time. </w:t>
      </w:r>
    </w:p>
    <w:p>
      <w:pPr>
        <w:pStyle w:val="TextBody"/>
        <w:bidi w:val="0"/>
        <w:spacing w:before="0" w:after="120"/>
        <w:jc w:val="left"/>
        <w:rPr/>
      </w:pPr>
      <w:r>
        <w:rPr/>
      </w:r>
    </w:p>
    <w:p>
      <w:pPr>
        <w:pStyle w:val="TextBody"/>
        <w:bidi w:val="0"/>
        <w:spacing w:lineRule="auto" w:line="333" w:before="0" w:after="120"/>
        <w:jc w:val="center"/>
        <w:rPr>
          <w:rFonts w:ascii="Verdana;sans-serif" w:hAnsi="Verdana;sans-serif"/>
          <w:b w:val="false"/>
          <w:color w:val="000000"/>
          <w:sz w:val="18"/>
        </w:rPr>
      </w:pPr>
      <w:r>
        <w:rPr>
          <w:rFonts w:ascii="Verdana;sans-serif" w:hAnsi="Verdana;sans-serif"/>
          <w:b w:val="false"/>
          <w:color w:val="000000"/>
          <w:sz w:val="18"/>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Raymond E. Scott,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Lear Corporation;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both"/>
        <w:rPr/>
      </w:pPr>
      <w:r>
        <w:rPr/>
      </w:r>
    </w:p>
    <w:tbl>
      <w:tblPr>
        <w:tblW w:w="538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939"/>
        <w:gridCol w:w="939"/>
        <w:gridCol w:w="13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Raymond E. Scott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Raymond E. Scott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M. Cardew, certify that:</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Lear Corporation;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both"/>
        <w:rPr/>
      </w:pPr>
      <w:r>
        <w:rPr/>
      </w:r>
    </w:p>
    <w:tbl>
      <w:tblPr>
        <w:tblW w:w="631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1210"/>
        <w:gridCol w:w="1210"/>
        <w:gridCol w:w="17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M. Cardew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Lear Corporation (the "Company") on Form 10-Q for the period ended July 4, 2026,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Section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57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44"/>
        <w:gridCol w:w="244"/>
        <w:gridCol w:w="246"/>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Signed:</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Raymond E. Scott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Lear Corporation (the "Company") on Form 10-Q for the period ended July 4, 2026,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Section 15(d) of the Securities Exchange Act of 1934;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both"/>
        <w:rPr/>
      </w:pPr>
      <w:r>
        <w:rPr/>
      </w:r>
    </w:p>
    <w:tbl>
      <w:tblPr>
        <w:tblW w:w="451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44"/>
        <w:gridCol w:w="244"/>
        <w:gridCol w:w="246"/>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Signed:</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Jason M. Cardew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Jason M. Cardew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00" w:after="283"/>
        <w:jc w:val="both"/>
        <w:rPr/>
      </w:pPr>
      <w:r>
        <w:rPr/>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40680</Words>
  <Characters>222861</Characters>
  <CharactersWithSpaces>261714</CharactersWithSpaces>
  <Paragraphs>4067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