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ind w:left="2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00"/>
          </w:cols>
          <w:pgMar w:left="320" w:top="22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 2026.</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4"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345"/>
        </w:trPr>
        <w:tc>
          <w:tcPr>
            <w:tcW w:w="43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001-11311</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2050415</wp:posOffset>
            </wp:positionH>
            <wp:positionV relativeFrom="paragraph">
              <wp:posOffset>0</wp:posOffset>
            </wp:positionV>
            <wp:extent cx="226314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4" w:lineRule="exact"/>
        <w:rPr>
          <w:sz w:val="24"/>
          <w:szCs w:val="24"/>
          <w:color w:val="auto"/>
        </w:rPr>
      </w:pPr>
    </w:p>
    <w:p>
      <w:pPr>
        <w:ind w:left="196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13-3386776</w:t>
      </w:r>
    </w:p>
    <w:p>
      <w:pPr>
        <w:spacing w:after="0" w:line="26" w:lineRule="exact"/>
        <w:rPr>
          <w:sz w:val="24"/>
          <w:szCs w:val="24"/>
          <w:color w:val="auto"/>
        </w:rPr>
      </w:pPr>
    </w:p>
    <w:p>
      <w:pPr>
        <w:ind w:left="14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4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21557 Telegraph Road, Southfield, MI 48033</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(248) 447-1500</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1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p>
      <w:pPr>
        <w:jc w:val="right"/>
        <w:ind w:right="880"/>
        <w:spacing w:after="0"/>
        <w:tabs>
          <w:tab w:leader="none" w:pos="5240" w:val="left"/>
          <w:tab w:leader="none" w:pos="26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420"/>
        <w:spacing w:after="0"/>
        <w:tabs>
          <w:tab w:leader="none" w:pos="4780" w:val="left"/>
          <w:tab w:leader="none" w:pos="7300" w:val="left"/>
        </w:tabs>
        <w:rPr>
          <w:sz w:val="20"/>
          <w:szCs w:val="20"/>
          <w:color w:val="auto"/>
        </w:rPr>
      </w:pPr>
      <w:r>
        <w:rPr>
          <w:rFonts w:ascii="Times New Roman" w:cs="Times New Roman" w:eastAsia="Times New Roman" w:hAnsi="Times New Roman"/>
          <w:sz w:val="18"/>
          <w:szCs w:val="18"/>
          <w:b w:val="1"/>
          <w:bCs w:val="1"/>
          <w:color w:val="auto"/>
        </w:rPr>
        <w:t>Common stock, par value $0.01</w:t>
      </w:r>
      <w:r>
        <w:rPr>
          <w:sz w:val="20"/>
          <w:szCs w:val="20"/>
          <w:color w:val="auto"/>
        </w:rPr>
        <w:tab/>
      </w:r>
      <w:r>
        <w:rPr>
          <w:rFonts w:ascii="Times New Roman" w:cs="Times New Roman" w:eastAsia="Times New Roman" w:hAnsi="Times New Roman"/>
          <w:sz w:val="18"/>
          <w:szCs w:val="18"/>
          <w:b w:val="1"/>
          <w:bCs w:val="1"/>
          <w:color w:val="auto"/>
        </w:rPr>
        <w:t>LEA</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2">
            <w:col w:w="180" w:space="460"/>
            <w:col w:w="10560"/>
          </w:cols>
          <w:pgMar w:left="320" w:top="229" w:right="379" w:bottom="1440" w:gutter="0" w:footer="0" w:header="0"/>
          <w:type w:val="continuous"/>
        </w:sectPr>
      </w:pPr>
    </w:p>
    <w:p>
      <w:pPr>
        <w:spacing w:after="0" w:line="2"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p>
      <w:pPr>
        <w:ind w:left="100"/>
        <w:spacing w:after="0" w:line="209" w:lineRule="exact"/>
        <w:tabs>
          <w:tab w:leader="none" w:pos="3120" w:val="left"/>
          <w:tab w:leader="none" w:pos="96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5" w:lineRule="exact"/>
        <w:rPr>
          <w:sz w:val="24"/>
          <w:szCs w:val="24"/>
          <w:color w:val="auto"/>
        </w:rPr>
      </w:pPr>
    </w:p>
    <w:p>
      <w:pPr>
        <w:ind w:left="100"/>
        <w:spacing w:after="0" w:line="207" w:lineRule="exact"/>
        <w:tabs>
          <w:tab w:leader="none" w:pos="3120" w:val="left"/>
          <w:tab w:leader="none" w:pos="8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5"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27, 2026, the number of shares outstanding of the registrant's common stock was 48,192,039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OCTOBER 3,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0000FF"/>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Part I – Financial Information</w:t>
            </w:r>
          </w:p>
        </w:tc>
        <w:tc>
          <w:tcPr>
            <w:tcW w:w="8480" w:type="dxa"/>
            <w:vAlign w:val="bottom"/>
            <w:tcBorders>
              <w:bottom w:val="single" w:sz="8" w:color="CCEEFF"/>
            </w:tcBorders>
            <w:gridSpan w:val="14"/>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20" w:type="dxa"/>
            <w:vAlign w:val="bottom"/>
            <w:gridSpan w:val="21"/>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Condensed Consolidated Financial Statements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Introduction to the Condensed Consolidated Financial Statements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 October 3, 2026 (Unaudited) and December 31, 2025</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and Nine Months Ended October 3, 2026 and</w:t>
            </w:r>
          </w:p>
        </w:tc>
        <w:tc>
          <w:tcPr>
            <w:tcW w:w="240" w:type="dxa"/>
            <w:vAlign w:val="bottom"/>
            <w:tcBorders>
              <w:right w:val="single" w:sz="8" w:color="CCEEFF"/>
            </w:tcBorders>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September 27, 2025</w:t>
            </w:r>
          </w:p>
        </w:tc>
        <w:tc>
          <w:tcPr>
            <w:tcW w:w="794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vMerge w:val="continue"/>
            <w:shd w:val="clear" w:color="auto" w:fill="CCEEFF"/>
          </w:tcPr>
          <w:p>
            <w:pPr>
              <w:spacing w:after="0"/>
              <w:rPr>
                <w:sz w:val="17"/>
                <w:szCs w:val="17"/>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98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Condensed Consolidated Statements of Equity (Unaudited) - Three and Nine Months Ended October 3, 2026 and September 27, 2025</w:t>
            </w:r>
          </w:p>
        </w:tc>
        <w:tc>
          <w:tcPr>
            <w:tcW w:w="380" w:type="dxa"/>
            <w:vAlign w:val="bottom"/>
            <w:gridSpan w:val="2"/>
          </w:tcPr>
          <w:p>
            <w:pPr>
              <w:jc w:val="center"/>
              <w:ind w:left="111"/>
              <w:spacing w:after="0" w:line="183" w:lineRule="exact"/>
              <w:rPr>
                <w:sz w:val="20"/>
                <w:szCs w:val="20"/>
                <w:color w:val="auto"/>
              </w:rPr>
            </w:pPr>
            <w:r>
              <w:rPr>
                <w:rFonts w:ascii="Times New Roman" w:cs="Times New Roman" w:eastAsia="Times New Roman" w:hAnsi="Times New Roman"/>
                <w:sz w:val="18"/>
                <w:szCs w:val="18"/>
                <w:color w:val="0000FF"/>
              </w:rPr>
              <w:t>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October 3, 2026 and September 27, 2025</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22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6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11</w:t>
            </w: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1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20" w:type="dxa"/>
            <w:vAlign w:val="bottom"/>
            <w:gridSpan w:val="5"/>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0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3220" w:type="dxa"/>
            <w:vAlign w:val="bottom"/>
            <w:gridSpan w:val="5"/>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 Controls and Procedures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Legal Proceedings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8340" w:type="dxa"/>
            <w:vAlign w:val="bottom"/>
            <w:gridSpan w:val="12"/>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 – Other Information</w:t>
            </w:r>
          </w:p>
        </w:tc>
        <w:tc>
          <w:tcPr>
            <w:tcW w:w="5320" w:type="dxa"/>
            <w:vAlign w:val="bottom"/>
            <w:gridSpan w:val="8"/>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 – Exhibits</w:t>
            </w:r>
          </w:p>
        </w:tc>
        <w:tc>
          <w:tcPr>
            <w:tcW w:w="9060" w:type="dxa"/>
            <w:vAlign w:val="bottom"/>
            <w:gridSpan w:val="18"/>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TO THE CONDENSED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the unaudited condensed consolidated financial statements of Lear Corporation and subsidiaries pursuant to the rules and regulations of the Securities and Exchange Commission. Certain information and footnote disclosures normally included in financial statements prepared in accordance with accounting principles generally accepted in the United States ("GAAP") have been condensed or omitted pursuant to such rules and regulations. We believe that the disclosures are adequate to make the information presented not misleading when read in conjunction with the financial statements and the notes thereto included in our Annual Report on Form 10-K, as filed with the Securities and Exchange Commission, for the year ended December 31,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presented reflects all adjustments (consisting of normal recurring adjustments) which are, in our opinion, necessary for a fair presentation of the results of operations, cash flows and financial position for the interim periods presented. These results are not necessarily indicative of a full year's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2026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r>
      <w:tr>
        <w:trPr>
          <w:trHeight w:val="23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29"/>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w:t>
            </w:r>
          </w:p>
        </w:tc>
      </w:tr>
      <w:tr>
        <w:trPr>
          <w:trHeight w:val="223"/>
        </w:trPr>
        <w:tc>
          <w:tcPr>
            <w:tcW w:w="8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w:t>
            </w:r>
          </w:p>
        </w:tc>
      </w:tr>
      <w:tr>
        <w:trPr>
          <w:trHeight w:val="248"/>
        </w:trPr>
        <w:tc>
          <w:tcPr>
            <w:tcW w:w="8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drafts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3,416.5</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5,667.1</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8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100,000,000 shares authorized (including 10,896,250 Series A convertible preferred stock); no</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64,571,405 shares issued as of October 3, 2026</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treasury, 16,379,366 and 13,924,658 shares as of October 3, 2026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respectively, at cost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Lear Corporation shareholders'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w:t>
            </w:r>
          </w:p>
        </w:tc>
      </w:tr>
      <w:tr>
        <w:trPr>
          <w:trHeight w:val="223"/>
        </w:trPr>
        <w:tc>
          <w:tcPr>
            <w:tcW w:w="8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14,843.1</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28"/>
          <w:szCs w:val="28"/>
          <w:color w:val="auto"/>
          <w:vertAlign w:val="superscript"/>
        </w:rPr>
        <w:t>(1)</w:t>
      </w:r>
      <w:r>
        <w:rPr>
          <w:sz w:val="20"/>
          <w:szCs w:val="20"/>
          <w:color w:val="auto"/>
        </w:rPr>
        <w:tab/>
      </w:r>
      <w:r>
        <w:rPr>
          <w:rFonts w:ascii="Times New Roman" w:cs="Times New Roman" w:eastAsia="Times New Roman" w:hAnsi="Times New Roman"/>
          <w:sz w:val="18"/>
          <w:szCs w:val="18"/>
          <w:color w:val="auto"/>
        </w:rPr>
        <w:t>Unaudited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6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6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r>
      <w:tr>
        <w:trPr>
          <w:trHeight w:val="257"/>
        </w:trPr>
        <w:tc>
          <w:tcPr>
            <w:tcW w:w="6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16,108.5</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155"/>
        </w:trPr>
        <w:tc>
          <w:tcPr>
            <w:tcW w:w="61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 net</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of affiliates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29"/>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net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attributable to Lear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Lear (Note 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Lear (Note 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49,269,498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53,222,383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50,214,187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53,631,217</w:t>
            </w:r>
          </w:p>
        </w:tc>
      </w:tr>
      <w:tr>
        <w:trPr>
          <w:trHeight w:val="256"/>
        </w:trPr>
        <w:tc>
          <w:tcPr>
            <w:tcW w:w="6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diluted shares outstanding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49,853,832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53,653,263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50,749,895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53,976,161</w:t>
            </w:r>
          </w:p>
        </w:tc>
      </w:tr>
      <w:tr>
        <w:trPr>
          <w:trHeight w:val="256"/>
        </w:trPr>
        <w:tc>
          <w:tcPr>
            <w:tcW w:w="6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76"/>
        </w:trPr>
        <w:tc>
          <w:tcPr>
            <w:tcW w:w="6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comprehensive income (Condensed Consolidated Statements of</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r>
      <w:tr>
        <w:trPr>
          <w:trHeight w:val="230"/>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8"/>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Three Months Ended October 3, 2026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4,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34,525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1,375,917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$127.19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8"/>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Nine Months Ended October 3, 2026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287,886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2,742,594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$127.62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1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October 3, 2026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240" w:type="dxa"/>
            <w:vAlign w:val="bottom"/>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40" w:type="dxa"/>
            <w:vAlign w:val="bottom"/>
          </w:tcPr>
          <w:p>
            <w:pPr>
              <w:spacing w:after="0"/>
              <w:rPr>
                <w:sz w:val="11"/>
                <w:szCs w:val="11"/>
                <w:color w:val="auto"/>
              </w:rPr>
            </w:pPr>
          </w:p>
        </w:tc>
        <w:tc>
          <w:tcPr>
            <w:tcW w:w="12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4, 2026</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34,525 shares held in treasury in settlement of stock-based compensation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1,375,917 shares of common stock at average price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$127.19 per share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October 3, 2026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40" w:type="dxa"/>
            <w:vAlign w:val="bottom"/>
          </w:tcPr>
          <w:p>
            <w:pPr>
              <w:spacing w:after="0"/>
              <w:rPr>
                <w:sz w:val="11"/>
                <w:szCs w:val="11"/>
                <w:color w:val="auto"/>
              </w:rPr>
            </w:pPr>
          </w:p>
        </w:tc>
        <w:tc>
          <w:tcPr>
            <w:tcW w:w="12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287,886 shares held in treasury in settlement of stock-based compensation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2,742,594 shares of common stock at average price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$127.62 per share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35,360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968,884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$103.34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196,782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1,503,004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$99.88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5,210.7</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35,360 shares held in treasury in settlement of stock-based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968,884 shares of common stock at average price of</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$103.34 per share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36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196,782 shares held in treasury in settlement of stock-based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5"/>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1,503,004 shares of common stock at average price of</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$99.88 per share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1"/>
                <w:szCs w:val="11"/>
                <w:color w:val="auto"/>
              </w:rPr>
            </w:pPr>
          </w:p>
        </w:tc>
        <w:tc>
          <w:tcPr>
            <w:tcW w:w="1060" w:type="dxa"/>
            <w:vAlign w:val="bottom"/>
          </w:tcPr>
          <w:p>
            <w:pPr>
              <w:jc w:val="right"/>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recoverable customer engineering, development and tooling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in working capital items (see below)</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0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0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Lear Corporation shareholders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Working Capital Items: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48"/>
        </w:trPr>
        <w:tc>
          <w:tcPr>
            <w:tcW w:w="87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("Lear," and together with its consolidated subsidiaries, the "Company") and its affiliates design, develop, engineer and manufacture complete seat systems, key seat components, complete electrical distribution and connection systems, high-voltage power distribution products, including battery disconnect units ("BDUs"), and low-voltage power distribution products and electronic controllers. The Company's main customers are major automotive manufacturers. The Company operates facilities worldwide.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Lear, a Delaware corporation, and the wholly-owned and less than wholly-owned subsidiaries controlled by Lear. In addition, Lear consolidates all entities in which it has a controlling financial interest. Investments in affiliates in which Lear does not have control, but does have the ability to exercise significant influence over operating and financial policies, are accounted for under the equity method.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annual financial results are reported on a calendar year basis, and quarterly interim results are reported using a thirteen week reporting calendar.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costs include employee termination benefits, asset impairment charges and contract termination costs, as well as other incremental net costs resulting from the restructuring actions. Employee termination benefits are recorded based on existing union and employee contracts, statutory requirements, completed negotiations and Company policy. Other incremental net costs principally include equipment and personnel relocation costs and gains and losses on the sales of facilities. In addition to restructuring costs, the Company also incurs incremental manufacturing inefficiency and other charges at the operating locations impacted by the restructuring actions during the related restructuring implementation period. Restructuring costs are recognized in the Company's condensed consolidated financial statements in accordance with GAAP. Generally, charges are recorded as restructuring actions are approved, communicated and/or implemented.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changes in the Company's restructuring reserves is shown below (in millions):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employee termination benefits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utilizations and foreign currency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Charges recorded in connection with the Company's restructuring actions are shown below (in millions):</w:t>
            </w: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1"/>
                <w:szCs w:val="11"/>
                <w:color w:val="auto"/>
              </w:rPr>
            </w:pPr>
          </w:p>
        </w:tc>
        <w:tc>
          <w:tcPr>
            <w:tcW w:w="10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related costs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by income statement account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1"/>
                <w:szCs w:val="11"/>
                <w:color w:val="auto"/>
              </w:rPr>
            </w:pPr>
          </w:p>
        </w:tc>
        <w:tc>
          <w:tcPr>
            <w:tcW w:w="106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operating segment are shown below (in millions):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230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incur approximately $21 million and approximately $12 million of additional restructuring charges in its Seating and E-Systems segments, respectively, related to activities initiated as of October 3, 2026, and expects that the components of such costs will be consistent with its historical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costing, which approximates actual cost on a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Pre-Production Costs Related to Long-Term Supply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pre-production engineering and development ("E&amp;D") and tooling costs related to the products supplied to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2026 and 2025, the Company capitalized $242.2 million and $216.2 million, respectively, of pre-production E&amp;D costs for which reimbursement is contractually guaranteed by the customer. During the first nine months of 2026 and 2025, the Company also capitalized $102.7 million and $79.4 million, respectively, of pre-production tooling costs related to customer-owned tools for which reimbursement is contractually guaranteed by the customer or for which the Company has a non-cancelable right to use the tooling.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2026 and 2025, the Company collected $304.8 million and $343.2 million, respectively, of cash related to E&amp;D and tooling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recoverable customer E&amp;D and tooling costs related to long-term supply agreements included in the accompanying condensed consolidated balance sheets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 customer E&amp;D and tooling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Long-Lived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5,984.9</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7,447.1</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$146.7 million and $147.5 million in the three months ended October 3, 2026 and September 27, 2025, respectively, and $437.3 million and $433.5 million in the nine months ended October 3, 2026 and September 27, 2025,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its long-lived assets for impairment indicators on an ongoing basis in accordance with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 Fair value estimates of long-lived assets are based on independent appraisals or discounted cash flows, giving consideration to the highest and best use of the assets. Key assumptions used in the appraisals are based on a combination of market and cost approaches, as appropriate.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2026 and 2025, the Company recognized property, plant and equipment impairment charges of $11.7 million and $11.2 million, respectively, in conjunction with its restructuring actions (Note 2, "Restructuring"). In the first nine months of 2026 and 2025, the Company recognized additional property, plant and equipment impairment charges of $4.4 million and $0.4 million, respectively. The impairment charges are included in cost of sales in the accompanying condensed consolidated statements of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changes in the carrying amount of goodwill, by operating segment, in the nine months ended October 3, 2026,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annual goodwill impairment assessment is completed as of the first day of the Company's fourth quarter.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goodwill impairment indicators in the first nine months of 2026 and 2025. The Company will, however, continue to assess the impact of significant industry and other events on its recorded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uncommitted lines of credit as needed for its short-term working capital fluctuations. As of October 3, 2026 and December 31, 2025, the Company had lines of credit from banks totaling $378.5 million and $382.5 million, respectively. As of October 3, 2026 and December 31, 2025, the Company had short-term debt balances outstanding related to draws on its lines of credit of $29.3 million and $27.9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long-term debt, net of unamortized debt issuance costs and unamortized original issue premium (discount), and the related weighted average interest rates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2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3"/>
                <w:szCs w:val="13"/>
                <w:color w:val="auto"/>
              </w:rPr>
            </w:pPr>
          </w:p>
        </w:tc>
        <w:tc>
          <w:tcPr>
            <w:tcW w:w="102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6"/>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Delayed-Draw Term Loan Facility (the "Term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 Senior Notes due 2027 (the "2027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2029 (the "2029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 Senior Notes due 2030 (the "2030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2.6% Senior Notes due 2032 (the "2032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5.25% Senior Notes due 2049 (the "2049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 Senior Notes due 2052 (the "2052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2"/>
                <w:szCs w:val="12"/>
                <w:color w:val="auto"/>
              </w:rPr>
            </w:pPr>
          </w:p>
        </w:tc>
        <w:tc>
          <w:tcPr>
            <w:tcW w:w="10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4"/>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4.772%</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maturity and interest payment dates of the Company's senior unsecured 2027 Notes, 2029 Notes, 2030 Notes, 2032 Notes, 2049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2052 Notes (collectively, the "Notes") are shown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3"/>
        </w:trPr>
        <w:tc>
          <w:tcPr>
            <w:tcW w:w="1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3"/>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2017</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15, 2027</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r>
        <w:trPr>
          <w:trHeight w:val="230"/>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15, 2029</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29"/>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30, 2030</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and November 30</w:t>
            </w:r>
          </w:p>
        </w:tc>
      </w:tr>
      <w:tr>
        <w:trPr>
          <w:trHeight w:val="230"/>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2032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0"/>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2019 and 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15, 2049</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2052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the indentures governing the Notes contain restrictive covenants that, among other things, limit the ability of the Company to:</w:t>
      </w:r>
    </w:p>
    <w:p>
      <w:pPr>
        <w:spacing w:after="0" w:line="27" w:lineRule="exact"/>
        <w:rPr>
          <w:sz w:val="20"/>
          <w:szCs w:val="20"/>
          <w:color w:val="auto"/>
        </w:rPr>
      </w:pPr>
    </w:p>
    <w:p>
      <w:pPr>
        <w:ind w:firstLine="8"/>
        <w:spacing w:after="0" w:line="260"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permit certain liens and (ii) consolidate, merge or sell all or substantially all of the Company's assets. The indentures governing the Notes also provide for customary events of default.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was in compliance with all covenants under the indentures governing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amended and restated $2.0 billion unsecured revolving credit agreement (the "Credit Agreement") matures July 24, 2030.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nine months ended October 3, 2026 and September 27, 2025, there were no borrowings or repayments under the Credit Agreement. As of October 3, 2026 and December 31, 2025, there were no borrowings outstanding under the Credit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Credit Agreement generally bear interest based on (i) Term Benchmark, Central Bank Rate and Risk Free Rate ("RFR") (in each case, as defined in the Credit Agreement) or (ii) Alternate Base Rate ("ABR") and Canadian Prime Rate (in each case, as defined in the Credit Agreement). As of October 3, 2026, the ranges and rates are as follows (in percentages):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8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Term Benchmark, Central Bank Rate</w:t>
            </w:r>
          </w:p>
        </w:tc>
        <w:tc>
          <w:tcPr>
            <w:tcW w:w="3760" w:type="dxa"/>
            <w:vAlign w:val="bottom"/>
            <w:gridSpan w:val="5"/>
            <w:vMerge w:val="restart"/>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ABR and Canadian Prime Rate Loans</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RFR Loans</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 October 3,</w:t>
            </w:r>
          </w:p>
        </w:tc>
        <w:tc>
          <w:tcPr>
            <w:tcW w:w="10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 October 3,</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8"/>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0.925 %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facility fee, which ranges from 0.075% to 0.20% of the total amount committed under the Credit Agreement, is payable quarterly.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customary representations, warranties and covenants by the Company, including, without limitation, (i) covenants regarding maximum leverage, (ii) limitations on fundamental changes involving the Company or its subsidiaries and (iii) limitations on indebtedness and liens.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was in compliance with all covenants under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 2026 and December 31, 2025, the Company had $50.0 million outstanding under its unsecured delayed-draw term loan facility (the "Term Loan"), which matures September 30, 2027.</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Term Loan generally bear interest based on the Daily or Term SOFR (as defined in the Term Loan agreement) plus a margin determined in accordance with a pricing grid that ranges from 0.875% to 1.375%. As of October 3, 2026, the interest rate was 4.886%. The Term Loan contains the same covenants as the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was in compliance with all covenants under the Term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 2026 and December 31, 2025, other long-term debt, including the current portion, consisted of amounts outstanding under unsecured working capital loans and finance lease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debt, see Note 5, "Debt,"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production, office and warehouse facilities, manufacturing and office equipment and vehicles. Operating lease assets and obligations included in the accompanying condensed consolidated balance sheets are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3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obligations under operating leases: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obligations are shown below (in millions):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remaining three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first nine months of 2026, the Company entered into two operating leases, one of which has a lease term of twenty-one years that is expected to commence in the second quarter of 2027 and the other of which has a lease term of ten years that is expected to commence in the second quarter of 2027. The total right-of-use asset and related lease obligation are expected to be approximately $55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nine months of 2025, the Company entered into an operating lease with a lease term of fifteen years that is expected to commence in the fourth quarter of 2026. The right-of-use asset and related lease obligation are expected to be approximately $11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information related to operating leases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80" w:type="dxa"/>
            <w:vAlign w:val="bottom"/>
          </w:tcPr>
          <w:p>
            <w:pPr>
              <w:spacing w:after="0"/>
              <w:rPr>
                <w:sz w:val="11"/>
                <w:szCs w:val="11"/>
                <w:color w:val="auto"/>
              </w:rPr>
            </w:pPr>
          </w:p>
        </w:tc>
        <w:tc>
          <w:tcPr>
            <w:tcW w:w="118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cash flows: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related to operating lease obligations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included in the accompanying condensed consolidated statements of comprehensive income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42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9"/>
        </w:trPr>
        <w:tc>
          <w:tcPr>
            <w:tcW w:w="5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6"/>
        </w:trPr>
        <w:tc>
          <w:tcPr>
            <w:tcW w:w="59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usage-based employee transportation costs of $11.4 million and $11.3 million in the three months ended October 3, 2026 and September 27, 2025, respectively, and $32.9 million and $32.3 million in the nine months ended October 3, 2026 and September 27, 2025,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October 3, 2026 and September 27, 2025, the Company recognized impairment charges of $0.7 million and $0.1 million, respectively, related to its right-of-use assets in conjunction with its restructuring actions (Note 2, "Restructuring"). The impairment charges are included in cost of sales in the accompanying condensed consolidated statement of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lease term and discount rate for operating leases are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46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October 3,</w:t>
            </w:r>
          </w:p>
        </w:tc>
      </w:tr>
      <w:tr>
        <w:trPr>
          <w:trHeight w:val="195"/>
        </w:trPr>
        <w:tc>
          <w:tcPr>
            <w:tcW w:w="656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Six years</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finance lease agreements, which are not material to the accompanying condensed consolidated financial statements (Note 7, "Debt").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leases, see Note 6, "Leases,"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Other Postretirement Benefit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plans covering certain domestic employees and certain employees in foreign countries, principally Canada. The Company also has postretirement benefit plans covering certain domestic and Canadian retirees. The Company's postretirement benefit plans generally provide for the continuation of medical benefits for eligible retirees.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Benefit Cost and Other Postretirement Benefit (Credit) Cost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pension benefit cost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80" w:type="dxa"/>
            <w:vAlign w:val="bottom"/>
            <w:gridSpan w:val="3"/>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9"/>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196"/>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gain</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12"/>
        </w:trPr>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components of the Company's net periodic other postretirement benefit (credit) cost are shown below (in millions):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196"/>
        </w:trPr>
        <w:tc>
          <w:tcPr>
            <w:tcW w:w="3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3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pension and other postretirement benefit plans, see Note 8, "Pension and Other Postretirement Benefit Plans,"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customers to provide production parts generally at the beginning of a vehicle's life cycle. Typically, these contracts do not provide for a specified quantity of products, but once entered into, the Company is often expected to fulfill its customers' purchasing requirements for the production life of the vehicle. Many of these contracts may be terminated by the Company's customers at any time. Historically, terminations of these contracts have been infrequent. The Company receives purchase orders from its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product is transferred to the customer under standard commercial terms, as the Company does not have an enforceable right to payment prior to such transfer. The amount of revenue recognized reflects the consideration that the Company expects to be entitled to in exchange for those products based on the current purchase orders, annual price reductions and ongoing price adjustments. In the first nine months of 2026 and 2025, revenue recognized related to prior years represented approximately 1% of consolidated net sales (excluding the reversal of certain 2025 tariff recoveries in the first nine months of 2026). The Company's customers pay for products received in accordance with payment terms that are customary within the industry. The Company's contracts with its customers do not have significant financing components.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contract liability for advances received from its customers. As of October 3, 2026 and December 31, 2025, there were no significant contract liabilities recorded. Further, in the first nine months of 2026 and 2025, there were no significant contract liabilities recognized in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billed to customers related to shipping and handling costs are included in net sales in the condensed consolidated statements of comprehensive income. Shipping and handling costs are accounted for as fulfillment costs and are included in cost of sales in the condensed consolidated statements of comprehensive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revenue by reportable operating segment and geography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7,349.1</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other expense, net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6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6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49.8</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97"/>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34.1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October 3, 2026, other income includes net foreign currency transaction gains of $3.3 million, including losses of $0.8 million related to the hyper-inflationary environment in Argentina. In the nine months ended October 3, 2026, other expense includes net foreign currency transaction losses of $10.4 million, including $1.4 million related to the hyper-inflationary environment in Argentina.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27, 2025, other expense includes net foreign currency transaction losses of $8.9 million and $26.2 million, respectively, including losses of $4.0 million and $8.6 million, respectively, related to the hyper-inflationary environment in Argentina. In the nine months ended September 27, 2025, other expense also includes a loss of $2.7 million related to the disposal of a non-core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provision for income taxes and the corresponding effective tax rate for the three and nine months ended October 3,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2025, is shown below (in millions, except effective tax rates):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0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4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5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131.9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Pretax income before equity in net income of affiliates</w:t>
            </w: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630.4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512.3</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is impacted by the level and mix of earnings among tax jurisdictions. In addition, the Company recognized discrete tax benefits (expense) on the significant items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8"/>
        </w:trPr>
        <w:tc>
          <w:tcPr>
            <w:tcW w:w="8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20" w:type="dxa"/>
            <w:vAlign w:val="bottom"/>
          </w:tcPr>
          <w:p>
            <w:pPr>
              <w:spacing w:after="0"/>
              <w:rPr>
                <w:sz w:val="11"/>
                <w:szCs w:val="11"/>
                <w:color w:val="auto"/>
              </w:rPr>
            </w:pPr>
          </w:p>
        </w:tc>
        <w:tc>
          <w:tcPr>
            <w:tcW w:w="108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6"/>
        </w:trPr>
        <w:tc>
          <w:tcPr>
            <w:tcW w:w="8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and various other items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reserves and audit settlements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 on deferred tax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Excluding the items above, the effective tax rate for the first nine months of 2026 and 2025 approximated the U.S. federal statutory income tax rate of 21%, adjusted for income taxes on foreign earnings, losses and remittances, valuation allowances, tax credits, income tax incentives and other permanent items.</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the Company's deferred tax assets will not 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income taxes, see Note 7, "Income Taxes," to the consolidated financial statements included in the Company's Annual Report on Form 10-K for the year ended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 Attributable to Lear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per share attributable to Lear is computed by dividing net income attributable to Lear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attributable to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share attributable to Lear is computed using the treasury stock method by dividing net income attributable to Lear by the average number of common shares outstanding, including the dilutive effect of common stock equivalents using the average share price during the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information used to compute basic and diluted net income per share attributable to Lear is shown below (in millions,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53,222,383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50,214,187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53,631,217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344,944</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49,853,832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53,653,263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50,749,895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53,976,161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Lear</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Lear</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all changes in the Company's net assets except changes resulting from transactions with shareholders. It differs from net income in that certain items recorded in equity are included in 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changes in accumulated other comprehensive loss, net of tax, in the three and nine months ended October 3, 2026,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8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0" w:type="dxa"/>
            <w:vAlign w:val="bottom"/>
          </w:tcPr>
          <w:p>
            <w:pPr>
              <w:spacing w:after="0"/>
              <w:rPr>
                <w:sz w:val="1"/>
                <w:szCs w:val="1"/>
                <w:color w:val="auto"/>
              </w:rPr>
            </w:pP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$0.1 million in the three and nine months ended</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October 3, 2026)</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recognized during the period</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$10.2 million and $27.5 million in the three and</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October 3, 2026, respectively)</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recognized during the period (net of tax benefit (expense) of</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$14.4 million and ($11.2) million in the three and nine months ended October 3, 2026,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loss recognized during the period (net of tax expense of $0.9 million and $2.4</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million in the three and nine months ended October 3, 2026,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three months ended October 3, 2026, foreign currency translation adjustments are primarily related to the weakening of the Euro relative to the U.S. dollar, partially offset by the strengthening of the Chinese renminbi, and include pretax gains of $2.8 million related to intercompany transactions for which settlement is not planned or anticipated in the foreseeable future.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October 3, 2026, foreign currency translation adjustments are primarily related to the weakening of the Euro relative to the U.S. dollar, partially offset by the strengthening of the Chinese renminbi and, to a lesser extent, the Brazilian real, and include pretax losses of $0.4 million related to intercompany transactions for which settlement is not planned or anticipated in the foreseeable future.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October 3, 2026, foreign currency translation adjustments also include net investment hedge gains of $4.4 million and $11.3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changes in accumulated other comprehensive loss, net of tax, in the three and nine months ended September 27, 2025,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(expense) of ($0.2) million and $0.9 million in the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three and nine months ended September 27, 2025, respectively)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recognized during the period</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176"/>
        </w:trPr>
        <w:tc>
          <w:tcPr>
            <w:tcW w:w="7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$3.1 million and $0.2 million in the three and</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27, 2025, respectively)</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recognized during the period (net of tax expense of $16.0 million and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$65.1 million in the three and nine months ended September 27, 2025,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recognized during the period (net of tax benefit (expense) of ($0.3)</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million and $4.8 million in the three and nine months ended September 27, 2025,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27, 2025, foreign currency translation adjustments are primarily related to the strengthening of the Brazilian real and the Chinese renminbi relative to the U.S. dollar. In the nine months ended September 27, 2025, foreign currency translation adjustments are primarily related to the strengthening of the Euro and, to a lesser extent, the Brazilian real and the Chinese renminbi relative to the U.S. dollar.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27, 2025, foreign currency translation adjustments include pretax losses of $0.8 million related to intercompany transactions for which settlement is not planned or anticipated in the foreseeable future, as well as net investment hedge gains (losses) of $1.5 million and ($22.7) million,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reclassification adjustments related to the Company's defined benefit plans, see Note 9, "Pension and Other Postretirement Benefit Plans." For further information regarding reclassification adjustments related to the Company's derivative and hedging activities, see Note 17,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 Corporation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Share Repurchase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implement share repurchases through a variety of methods, including, but not limited to, open market purchases, accelerated stock repurchase programs and structured repurchase transactions. The extent to which the Company may repurchase its outstanding common stock and the timing of such repurchases will depend upon its financial condition, results of operations, capital requirements, prevailing market conditions, alternative uses of capital and other factors.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common stock share repurchase program (the "Repurchase Program") which permits the discretionary repurchase of its common stock. Since the inception of the Repurchase Program in the first quarter of 2011, the Company's Board of Directors (the "Board") has authorized $7.8 billion in share repurchases, including an increase in the Company's repurchase authorization to $1.5 billion on September 24, 2026. As of October 3, 2026, the Company has repurchased, in aggregate, $6.3 billion of its outstanding common stock, at an average price of $96.38 per share, excluding commissions and related fees, and has a remaining repurchase authorization of $1.5 billion, which expires on December 31, 2029.</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and the remaining repurchase authorization are shown below (in millions, except for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October 3, 2026</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 of October 3, 2026</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Cash Paid for</w:t>
            </w:r>
          </w:p>
        </w:tc>
        <w:tc>
          <w:tcPr>
            <w:tcW w:w="142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 per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rPr>
              <w:t>Remaining Purchase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Repurchases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7"/>
                <w:szCs w:val="17"/>
                <w:color w:val="auto"/>
              </w:rPr>
            </w:pPr>
          </w:p>
        </w:tc>
        <w:tc>
          <w:tcPr>
            <w:tcW w:w="14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Repurchases </w:t>
            </w:r>
            <w:r>
              <w:rPr>
                <w:rFonts w:ascii="Times New Roman" w:cs="Times New Roman" w:eastAsia="Times New Roman" w:hAnsi="Times New Roman"/>
                <w:sz w:val="18"/>
                <w:szCs w:val="18"/>
                <w:b w:val="1"/>
                <w:bCs w:val="1"/>
                <w:color w:val="auto"/>
                <w:vertAlign w:val="superscript"/>
              </w:rPr>
              <w:t>(1)</w:t>
            </w: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(1)</w:t>
            </w:r>
          </w:p>
        </w:tc>
        <w:tc>
          <w:tcPr>
            <w:tcW w:w="140" w:type="dxa"/>
            <w:vAlign w:val="bottom"/>
          </w:tcPr>
          <w:p>
            <w:pPr>
              <w:spacing w:after="0"/>
              <w:rPr>
                <w:sz w:val="17"/>
                <w:szCs w:val="17"/>
                <w:color w:val="auto"/>
              </w:rPr>
            </w:pPr>
          </w:p>
        </w:tc>
        <w:tc>
          <w:tcPr>
            <w:tcW w:w="14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2,742,594</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1,498.2</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excise tax and commissions.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Repurchase Program described above, the Company classifies shares withheld from the settlement of the Company's restricted stock unit and performance share awards to cover tax withholding requirements as common stock held in treasury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Dividend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declared a quarterly cash dividend of $0.77 per share of common stock in the first, second and third quarters of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2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1"/>
                <w:szCs w:val="11"/>
                <w:color w:val="auto"/>
              </w:rPr>
            </w:pPr>
          </w:p>
        </w:tc>
        <w:tc>
          <w:tcPr>
            <w:tcW w:w="110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2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payable on shares of common stock to be distributed under the Company's stock-based compensation program will be paid when such shares are distributed.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Legal and Other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 2026 and December 31, 2025, the Company had recorded reserves for pending legal disputes, including commercial disputes, product liability claims and other legal matters, of $16.2 million and $13.8 million, respectively. Such reserves reflect amounts recognized in accordance with GAAP and typically exclude the cost of legal representation. Reserves for warranty and recall matters are recorded separately from legal reserves, as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Disputes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Warranty and Recall Matters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support warranty costs or to participate in a recall or other corrective action involving such products. The Company is party to agreements with certain of its customers, whereby these customers may pursue claims against the Company for contribution of all or a portion of the amounts sought in connection with warranty and recall matters, and certain of the Company's customers have asserted such claims against the Company. The Company can provide no assurances that it will not experience material claims in the future or that it will not incur significant costs to defend such claims.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instances, allegedly defective products may be supplied by the Company's suppliers. The Company may seek recovery from its suppliers of materials or services included within the Company's products that are associated with product liability claims or warranty and recall matters.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carries insurance for certain legal matters, including product liability claims, but such coverage may be limited. The Company does not maintain insurance for warranty and recall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reserves for warranty and recall matters when liability is probable and related amounts are reasonably estimable.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reserves for warranty and recall matters in the nine months ended October 3, 2026, is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 (including changes in estimates)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10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local, state, federal and foreign laws, regulations and ordinances which govern activities or operations that may have or have had adverse environmental effects. These regulations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 2026 and December 31, 2025, the Company had recorded environmental reserves of $4.8 million and $4.9 million, respectively.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records reserves for legal disputes, warranty and recall matters, and environmental and other matters in accordance with GAAP, the ultimate outcomes of these matters are inherently uncertain. Actual results may differ significantly from current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organized under two reportable operating segments: Seating and E-Systems. Each of these segments has a varied product and technology portfolio across a number of component categories. Further, the Company continuously evaluates this portfolio, aligning it with industry trends while balancing risk-adjusted returns, which allows the Company to offer value-added solutions to its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Seating segment consists of the design, development, engineering and manufacture of complete seat systems and key seat components. The Company's capabilities in operations and supply chain management enable synchronized assembly and just-in-time delivery of complex complete seat systems at high volumes to its customers.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Thermal comfort systems are facilitated by the Company's seat system, component and integration capabilities, together with the Company's competencies in electronics, sensors, software and algorithms.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E-Systems segment consists of the design, development, engineering and manufacture of complete electrical distribution and connection systems; high-voltage power distribution products, including BDUs; and low-voltage power distribution products and electronic controllers.</w:t>
      </w:r>
    </w:p>
    <w:p>
      <w:pPr>
        <w:spacing w:after="0" w:line="54"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the Company's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The Company's software offerings include embedded control, cybersecurity software and software to control hardware devices. The Company's customers traditionally have sourced the Company's electronic hardware together with the software that the Company integrates and embeds in it.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category includes unallocated costs related to corporate headquarters, regional headquarters and the elimination of intercompany activities, including intersegment revenues and cost of sales, none of which meets the requirements for being classified as an operating segment. Corporate and regional headquarters costs include various support functions, such as information technology, corporate finance, legal, executive administration and human resources. Such costs are reflected in the operating segment results to the extent they are directly attributable to an operating segment.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Raymond E. Scott, President and Chief Executive Officer. Each of the Company's operating segments reports its results from operations and makes its requests for capital expenditures directly to the CODM. The CODM assesses the operating performance of each segment based on segment earnings (as defined below), which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an hourly workforce, dedicated facilities, sequential manufacturing and assembly processes and commodity raw materials.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based primarily on (i) revenues from external customers, (ii) pretax income before equity in net income of affiliates, interest expense, net and other expense, net ("segment earnings") and (iii) cash flows, being defined as segment earnings less capital expenditures plus depreciation and amortization.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operating segments are the same as those described in this note to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segment earnings to consolidated income before provision for income taxes and equity in net income of affiliates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October 3, 2026</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6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6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 2026</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transactions are accounted for at values comparable to unaffiliated third-party transactions.</w:t>
      </w:r>
    </w:p>
    <w:p>
      <w:pPr>
        <w:spacing w:after="0" w:line="27" w:lineRule="exact"/>
        <w:rPr>
          <w:rFonts w:ascii="Times New Roman" w:cs="Times New Roman" w:eastAsia="Times New Roman" w:hAnsi="Times New Roman"/>
          <w:sz w:val="9"/>
          <w:szCs w:val="9"/>
          <w:color w:val="auto"/>
        </w:rPr>
      </w:pPr>
    </w:p>
    <w:p>
      <w:pPr>
        <w:ind w:left="180" w:right="300" w:hanging="172"/>
        <w:spacing w:after="0" w:line="221" w:lineRule="auto"/>
        <w:tabs>
          <w:tab w:leader="none" w:pos="24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 Intersegment expenses are included within the amounts shown.</w:t>
      </w:r>
    </w:p>
    <w:p>
      <w:pPr>
        <w:spacing w:after="0" w:line="1" w:lineRule="exact"/>
        <w:rPr>
          <w:rFonts w:ascii="Times New Roman" w:cs="Times New Roman" w:eastAsia="Times New Roman" w:hAnsi="Times New Roman"/>
          <w:sz w:val="19"/>
          <w:szCs w:val="19"/>
          <w:color w:val="auto"/>
          <w:vertAlign w:val="superscript"/>
        </w:rPr>
      </w:pPr>
    </w:p>
    <w:p>
      <w:pPr>
        <w:ind w:left="300" w:hanging="292"/>
        <w:spacing w:after="0" w:line="192" w:lineRule="auto"/>
        <w:tabs>
          <w:tab w:leader="none" w:pos="3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disclosures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October 3, 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6"/>
                <w:szCs w:val="16"/>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tcPr>
          <w:p>
            <w:pPr>
              <w:spacing w:after="0"/>
              <w:rPr>
                <w:sz w:val="19"/>
                <w:szCs w:val="19"/>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60" w:type="dxa"/>
            <w:vAlign w:val="bottom"/>
          </w:tcPr>
          <w:p>
            <w:pPr>
              <w:spacing w:after="0"/>
              <w:rPr>
                <w:sz w:val="20"/>
                <w:szCs w:val="20"/>
                <w:color w:val="auto"/>
              </w:rPr>
            </w:pPr>
          </w:p>
        </w:tc>
      </w:tr>
      <w:tr>
        <w:trPr>
          <w:trHeight w:val="458"/>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6"/>
                <w:szCs w:val="16"/>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Pr>
          <w:p>
            <w:pPr>
              <w:spacing w:after="0"/>
              <w:rPr>
                <w:sz w:val="19"/>
                <w:szCs w:val="19"/>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tcPr>
          <w:p>
            <w:pPr>
              <w:spacing w:after="0"/>
              <w:rPr>
                <w:sz w:val="20"/>
                <w:szCs w:val="20"/>
                <w:color w:val="auto"/>
              </w:rPr>
            </w:pPr>
          </w:p>
        </w:tc>
      </w:tr>
      <w:tr>
        <w:trPr>
          <w:trHeight w:val="444"/>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or As of October 3, 2026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6"/>
                <w:szCs w:val="16"/>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60" w:type="dxa"/>
            <w:vAlign w:val="bottom"/>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60" w:type="dxa"/>
            <w:vAlign w:val="bottom"/>
          </w:tcPr>
          <w:p>
            <w:pPr>
              <w:spacing w:after="0"/>
              <w:rPr>
                <w:sz w:val="19"/>
                <w:szCs w:val="19"/>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15,267.6</w:t>
            </w:r>
          </w:p>
        </w:tc>
        <w:tc>
          <w:tcPr>
            <w:tcW w:w="160" w:type="dxa"/>
            <w:vAlign w:val="bottom"/>
          </w:tcPr>
          <w:p>
            <w:pPr>
              <w:spacing w:after="0"/>
              <w:rPr>
                <w:sz w:val="20"/>
                <w:szCs w:val="20"/>
                <w:color w:val="auto"/>
              </w:rPr>
            </w:pPr>
          </w:p>
        </w:tc>
      </w:tr>
      <w:tr>
        <w:trPr>
          <w:trHeight w:val="404"/>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Nine Months Ended or As of September 27, 2025</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433.5</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1,762.8</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15,157.7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Notes vary from their fair values. The fair values of the Notes were determined by reference to the quoted market prices of these securities (Level 2 input based on the GAAP fair value hierarchy). The carrying value of the Term Loan approximates its fair value (Level 3 input based on the GAAP fair value hierarchy). The estimated fair value, as well as the carrying value, of the Company's debt instruments are shown below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Estimated aggregate fair value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r>
      <w:tr>
        <w:trPr>
          <w:trHeight w:val="30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carrying value </w:t>
            </w:r>
            <w:r>
              <w:rPr>
                <w:rFonts w:ascii="Times New Roman" w:cs="Times New Roman" w:eastAsia="Times New Roman" w:hAnsi="Times New Roman"/>
                <w:sz w:val="23"/>
                <w:szCs w:val="23"/>
                <w:color w:val="auto"/>
                <w:vertAlign w:val="superscript"/>
              </w:rPr>
              <w:t>(1) (2)</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r>
    </w:tbl>
    <w:p>
      <w:pPr>
        <w:spacing w:after="0" w:line="3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"other" debt.</w:t>
      </w:r>
    </w:p>
    <w:p>
      <w:pPr>
        <w:spacing w:after="0" w:line="27"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the impact of unamortized debt issuance costs and unamortized original issue premium (discount).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cash on deposit that is legally restricted as to use or withdrawal. A reconciliation of cash and cash equivalents reported on the accompanying condensed consolidated balance sheets to cash, cash equivalents and restricted cash reported on the accompanying condensed consolidated statements of cash flows is shown below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20" w:type="dxa"/>
            <w:vAlign w:val="bottom"/>
          </w:tcPr>
          <w:p>
            <w:pPr>
              <w:spacing w:after="0"/>
              <w:rPr>
                <w:sz w:val="13"/>
                <w:szCs w:val="13"/>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29"/>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1"/>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allowance for credit losses on financial assets measured at amortized cost, primarily accounts receivable, reflects management's estimate of credit losses over the remaining expected life of such assets, measured primarily using historical experience, as well as current conditions and forecasts that affect the collectability of the reported amount. Expected credit losses for newly recognized financial assets, as well as changes to expected credit losses during the period, are recognized in earnings. The Company also considers geographic and segment specific risk factors in the development of expected credit losses. As of October 3, 2026 and December 31, 2025, accounts receivable are reflected net of reserves of $25.0 million and $28.4 million, respectively. Changes in expected credit losses were not significant in the first nine months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equity securities, which the Company accounts for under the fair value option, are included in the accompanying condensed consolidated balance sheets as shown below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and losses arising from changes in the fair value of the marketable equity securities are recognized in other expense, net in the condensed consolidated statements of comprehensive income. The fair value of the marketable equity securities is determined by reference to quoted market prices in active markets (Level 1 input based on the GAAP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 2026 and December 31, 2025, investments in equity securities without readily determinable fair values of $8.7 million are included in other long-term assets in the accompanying condensed consolidated balance sheets. Such investments are valued at cost, less cumulative impairments of $19.6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arrangements that provide for the net settlement of contracts, by counterparty, in the event of default or termination. On the date that a derivative contract for a hedge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cash flows of a recognized asset or liability (a cash flow hedge), (3) a hedge of a net investment in a foreign operation (a net investment hedge) or (4) a contract not designated as a hedge instrument.</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fair value hedge, the change in the fair value of the derivative is recorded in earnings and reflected in the condensed consolidated statements of comprehensive income on the same line as the gain or loss on the hedged item attributable to the hedged risk. For a cash flow hedge, the change in the fair value of the derivative is recorded in accumulated other comprehensive loss in the condensed consolidated balance sheets. When the underlying hedged transaction is realized, the gain or loss included in accumulated other comprehensive loss is recorded in earnings and reflected in the condensed consolidated statements of comprehensive income on the same line as the gain or loss on the hedged item attributable to the hedged risk. For a net investment hedge, the change in the fair value of the derivative is recorded in cumulative translation adjustment, which is a component of accumulated other comprehensive loss in the condensed consolidated balance sheets. When the related currency translation adjustment is required to be reclassified, usually upon the sale or liquidation of the investment, the gain or loss included in accumulated other comprehensive loss is recorded in earnings and reflected in other expense, net in the condensed consolidated statements of comprehensive income. Changes in the fair value of contracts not designated as hedge instruments are recorded in earnings and reflected in other expense, net in the condensed consolidated statements of comprehensive income. Cash flows attributable to derivatives used to manage foreign currency risks are classified on the same line as the hedged item attributable to the hedged risk in the condensed consolidated statements of cash flows. Upon settlement, cash flows attributable to derivatives designated as net investment hedges are classified as investing activities in the condensed consolidated statements of cash flows. Cash flows attributable to forward starting interest rate swaps are classified as financing activities in the condensed consolidated statements of cash flows.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formally documents its hedge relationships, including the identification of the hedge instruments and the related hedged items, as well as its risk management objectives and strategies for undertaking the hedge transaction. Derivatives are recorded at fair value in other current and long-term assets and other current and long-term liabilities in the condensed consolidated balance sheets. The Company also formally assesses whether a derivative used in a hedge transaction is highly effective in offsetting changes in either the fair value or the cash flows of the hedged item. When it is determined that a hedged transaction is no longer probable to occur, the Company discontinues hedge accounting.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forwards, swaps and other derivative contracts to reduce the effects of fluctuations in foreign exchange rates on known foreign currency exposures. Gains and losses on the derivative instruments are intended to offset gains and losses on the hedged transaction in an effort to reduce exposure to fluctuations in foreign exchange rates. The principal currencies hedged by the Company include the Mexican peso, various European currencies and the Moroccan dirham.</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derivative contracts not designated as hedging instruments consist principally of hedges of cash transactions, intercompany loans and certain other balance sheet exposures.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cross-currency interest rate swaps, which are designated as net investment hedges of the foreign currency rate exposure of its investment in certain Euro-denominated subsidiaries. In the nine months ended October 3, 2026 and September 27, 2025, contra interest expense on net investment hedges of $3.2 million and $2.6 million, respectively, is included in interest expense, net in the accompanying condensed consolidated statements of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notional amount, estimated aggregate fair value and related balance sheet classification of the Company's foreign currency and net investment hedge contracts are shown below (in millions, except for maturities):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designated as cash flow hedges: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 designated as net investment hedges: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not designated as hedge instruments: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notional amount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3,329.5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3,369.3</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 — Derivative Instruments and Hedge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amounts related to foreign currency and net investment hedge contracts that were recognized in and reclassified from accumulated other comprehensive loss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9"/>
        </w:trPr>
        <w:tc>
          <w:tcPr>
            <w:tcW w:w="6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6"/>
        </w:trPr>
        <w:tc>
          <w:tcPr>
            <w:tcW w:w="6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6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loss to:</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 2026 and December 31, 2025, pretax net gains of $122.5 million and $192.3 million, respectively, related to the Company's derivative instruments and hedge activities were recorded in accumulated other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next twelve-month period, net gains (losses) expected to be reclassified into earnings are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(2.4)</w:t>
            </w: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86.0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gains (losses) will be reclassified at the time that the underlying hedged transactions are realized.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p>
      <w:pPr>
        <w:spacing w:after="0" w:line="106" w:lineRule="exact"/>
        <w:rPr>
          <w:sz w:val="20"/>
          <w:szCs w:val="20"/>
          <w:color w:val="auto"/>
        </w:rPr>
      </w:pPr>
    </w:p>
    <w:p>
      <w:pPr>
        <w:jc w:val="both"/>
        <w:ind w:left="1300" w:right="20" w:hanging="1279"/>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Market:</w:t>
      </w:r>
      <w:r>
        <w:rPr>
          <w:sz w:val="20"/>
          <w:szCs w:val="20"/>
          <w:color w:val="auto"/>
        </w:rPr>
        <w:tab/>
      </w:r>
      <w:r>
        <w:rPr>
          <w:rFonts w:ascii="Times New Roman" w:cs="Times New Roman" w:eastAsia="Times New Roman" w:hAnsi="Times New Roman"/>
          <w:sz w:val="18"/>
          <w:szCs w:val="18"/>
          <w:color w:val="auto"/>
        </w:rPr>
        <w:t>This approach uses prices and other relevant information generated by market transactions involving identical or comparable assets or liabilities.</w:t>
      </w:r>
    </w:p>
    <w:p>
      <w:pPr>
        <w:spacing w:after="0" w:line="64" w:lineRule="exact"/>
        <w:rPr>
          <w:sz w:val="20"/>
          <w:szCs w:val="20"/>
          <w:color w:val="auto"/>
        </w:rPr>
      </w:pPr>
    </w:p>
    <w:p>
      <w:pPr>
        <w:jc w:val="both"/>
        <w:ind w:left="1300" w:right="20" w:hanging="126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approach uses valuation techniques to convert future amounts to a single present value amount based on current market expectations.</w:t>
      </w:r>
    </w:p>
    <w:p>
      <w:pPr>
        <w:spacing w:after="0" w:line="6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Cost:</w:t>
      </w:r>
      <w:r>
        <w:rPr>
          <w:sz w:val="20"/>
          <w:szCs w:val="20"/>
          <w:color w:val="auto"/>
        </w:rPr>
        <w:tab/>
      </w:r>
      <w:r>
        <w:rPr>
          <w:rFonts w:ascii="Times New Roman" w:cs="Times New Roman" w:eastAsia="Times New Roman" w:hAnsi="Times New Roman"/>
          <w:sz w:val="18"/>
          <w:szCs w:val="18"/>
          <w:color w:val="auto"/>
        </w:rPr>
        <w:t>This approach is based on the amount that would be required to replace the service capacity of an asset (replacement cost).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GAAP prioritizes the inputs and assumptions used in the valuation techniques described above into a three-tier fair value hierarchy as follows:</w:t>
      </w:r>
    </w:p>
    <w:p>
      <w:pPr>
        <w:spacing w:after="0" w:line="156" w:lineRule="exact"/>
        <w:rPr>
          <w:sz w:val="20"/>
          <w:szCs w:val="20"/>
          <w:color w:val="auto"/>
        </w:rPr>
      </w:pPr>
    </w:p>
    <w:p>
      <w:pPr>
        <w:jc w:val="both"/>
        <w:ind w:left="1300" w:right="20" w:hanging="1268"/>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market prices in active markets for identical assets or liabilities that are accessible at the measurement date.</w:t>
      </w:r>
    </w:p>
    <w:p>
      <w:pPr>
        <w:spacing w:after="0" w:line="41"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Inputs, other than quoted market prices included in Level 1, that are observable either directly or indirectly for the asset or liability.</w:t>
      </w:r>
    </w:p>
    <w:p>
      <w:pPr>
        <w:spacing w:after="0" w:line="77" w:lineRule="exact"/>
        <w:rPr>
          <w:sz w:val="20"/>
          <w:szCs w:val="20"/>
          <w:color w:val="auto"/>
        </w:rPr>
      </w:pPr>
    </w:p>
    <w:p>
      <w:pPr>
        <w:jc w:val="both"/>
        <w:ind w:left="1300" w:right="20" w:hanging="1268"/>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exit price of the asset or liability. Unobservable inputs may be used if there is little or no market data for the asset or liability at the measurement date.</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discloses fair value measurements and the related valuation techniques and fair value hierarchy level for its assets and liabilities that are measured or disclosed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Recurring Basis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and the related valuation techniques and fair value hierarchy level for the Company's assets and liabilities measured at fair value on a recurring basis as of October 3, 2026 and December 31, 2025,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1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8"/>
              </w:rPr>
              <w:t>117.5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Market/ Income</w:t>
            </w: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8"/>
              </w:rPr>
              <w:t>110.2</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2"/>
        </w:trPr>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17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8"/>
              </w:rPr>
              <w:t>201.7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Market/ Income</w:t>
            </w: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8"/>
              </w:rPr>
              <w:t>106.4</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4"/>
        </w:trPr>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its derivative contracts using quoted market prices to calculate the forward values and then discounts such forward values to the present value. The discount rates used are based on quoted bank deposit or swap 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 hierarchy. As of October 3, 2026 and December 31, 2025, there were no derivative contracts that were classified within Level 3 of the fair value hierarchy. In addition, there were no transfers in or out of Level 3 of the fair value hierarchy in the first nine months of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Non-Recurring Basis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October 3, 2026 and September 27, 2025, the Company completed impairment assessments and recorded related impairment charges of $16.1 million and $11.6 million, respectively, related to its property, plant and equipment and $0.7 million and $0.1 million, respectively, related to its right-of-use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estimates of the related assets were based on management's estimates using a discounted cash flow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there were no additional significant assets or liabilities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Updates ("ASU") Issued But Not Yet Adopted:</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2024-03 (issued November 2024), "Disaggregation of Income Statement Expenses." The ASU requires the disaggregation of certain expenses presented on the face of the income statement in a tabular footnote disclosure. The expense categories include purchases of inventory, employee compensation, depreciation and amortization. It also requires the definition and disclosure of selling expense, a qualitative description of expense amounts not disaggregated and inclusion of existing expense disclosures within the same tabular footnote disclosure. The update is effective for fiscal years beginning after December 15, 2026, with early adoption permitted. The update is to be adopted prospectively; however, retrospective application is permitted. The ASU will modify the Company's financial statement disclosures but is not expected to have a significant impact on its consolidated financial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2025-06 (issued September 2025), "Targeted Improvements to the Accounting for Internal-Use Software." The ASU removes all references to project development stages and provides new guidance on evaluating whether the recognition threshold to capitalize software costs has been met. The update is effective for fiscal years beginning after December 15, 2027, with early adoption permitted. The update may be adopted prospectively, retrospectively or using a modified transition approach. The ASU will not have a significant impact on the Company's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2025-09 (issued November 2025), "Hedge Accounting Improvements." The ASU makes five targeted changes to the hedge accounting model including providing detailed guidance on how the analysis to demonstrate that individual transactions have a similar risk exposure is to be performed. The update is effective for fiscal years beginning after December 15, 2026, with early adoption permitted, and is to be adopted prospectively. The ASU will not have a significant impact on the Company's consolidated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2025-10 (issued December 2025), "Accounting for Government Grants Received by Business Entities." The ASU leverages guidance in International Accounting Standard ("IAS") 20, "Accounting for Government Grants and Disclosure of Government Assistance," which is largely followed in the absence of current GAAP guidance. The update provides recognition, measurement and presentation guidance related to government grants depending on whether the grant is related to an asset or to income. The update also explicitly excludes certain items from government grant accounting not addressed by IAS 20. The update is effective for fiscal years beginning after December 15, 2028, with early adoption permitted. The update may be adopted using a modified prospective, modified retrospective or full retrospective approach. The ASU will not have a significant impact on the Company's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Financial Accounting Standards Board. Other recently issued accounting pronouncements are not expected to have a significant impact or are not relevant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Lear is built on a strong foundation and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financial goals and objectives include continuing to deliver profitable growth while balancing risks and returns, investing in product and process innovations to drive business growth and profitability, maintaining a strong balance sheet with investment grade credit metrics, and generating strong cash flow and returning excess cash to shareholders. Further, we have aligned our strategy with key trends affecting our business. At Lear, we are </w:t>
      </w:r>
      <w:r>
        <w:rPr>
          <w:rFonts w:ascii="Times New Roman" w:cs="Times New Roman" w:eastAsia="Times New Roman" w:hAnsi="Times New Roman"/>
          <w:sz w:val="18"/>
          <w:szCs w:val="18"/>
          <w:i w:val="1"/>
          <w:iCs w:val="1"/>
          <w:color w:val="auto"/>
        </w:rPr>
        <w:t>Making every drive better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providing technology for safer, smarter and more comfortable journeys, while adhering to our values —</w:t>
      </w:r>
      <w:r>
        <w:rPr>
          <w:rFonts w:ascii="Times New Roman" w:cs="Times New Roman" w:eastAsia="Times New Roman" w:hAnsi="Times New Roman"/>
          <w:sz w:val="18"/>
          <w:szCs w:val="18"/>
          <w:i w:val="1"/>
          <w:iCs w:val="1"/>
          <w:color w:val="auto"/>
        </w:rPr>
        <w:t xml:space="preserve"> Be Inclusive. Be Inventive. Get Results the Right Way.</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72"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all of the world's major automotive manufacturers through both our Seating and E-Systems businesses, and we have automotive content on more than 500 vehicle nameplates worldwide as of December 31, 2025. It is common for us to have both seating and electrical and/or electronic content on the same vehicle platform.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benefit globally from leveraging common operating standards and disciplines, including world-class product development and manufacturing processes, as well as common customer support and regional infrastructures, all of which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build on our reputation for operational excellence through organic and inorganic investments in automation and other advanced manufacturing technologies and the digital transformation of both our operations and administrative functions. These investments and digital transformation involve the integration of new technologies, such as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 Innovative. Digital. Engineered. Automated. - reflects our commitment to continue to strengthen our competitive position in both of our business segments and to enhance the efficiency of our administrative functions. 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supports our strategy to drive growth and improve profitability through the development of innovative products and the utilization of advanced technologies and process automation that increase efficiency and extend our leadership position in operational excellence. We are leveraging our internal capabilities through strategic partnerships (e.g., Palantir Technologies, Inc.) and acquisitions to rapidly develop and deploy automation and AI solutions. Our strategic acquisitions of ASI Automation, InTouch Automation, StoneShield Engineering, Thagora Technology SRL and WIP Industrial Automation are further enhancing our automation system integration expertise. Our advanced manufacturing integration center in Rochester Hills, Michigan showcases our industry-leading capabilities in automation and digital tools, including fully automated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assembly lines, as well as automated end-of-line testing, sewing and wire taping capabilities. These strategic initiatives further advance our leadership in automotive technology and enable greater efficiency, superior quality and faster execution.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market leadership position in Seating through differentiated product offerings and industry-leading vertical integration capabilities;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in E-Systems through a focused portfolio that leverages our strong operating capabilities and customer relationships;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on our reputation for operational excellence through organic and inorganic investments, including partnerships, in automation and digital technologies;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our employee and sustainability initiatives that drive business growth, cost reductions and improved workforce retention.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strategy, see Item 1, "Business," in our Annual Report on Form 10-K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and our content per vehicle.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2020, the global economy, as well as the automotive industry, have been influenced directly and indirectly by macroeconomic events resulting in unfavorable conditions, including the imposition of or increases in tariffs, shortages of semiconductor chips and other components, elevated inflation levels on commodities and labor, higher interest rates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is designed to allow us to enhance operational efficiencies, improve the utilization of existing facilities and equipment to reduce future expenditures, and streamline administrative functions.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impact on markets around the world. 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Mexico, Canada and China, and (b) the materials or components that we purchase, either directly or indirectly, or produce, including steel, aluminum and automobile parts, among others, and therefore could adversely impact our business by increasing our operating costs, requiring us to incur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tariffs did not have a material impact on our gross profit in the first nine months of 2026, the tariff and trade landscape continues to evolve, including with respect to the type of tariff or export control, the tariff rates, the countries, components and materials to which such tariffs apply, and the existence and applicability of any credits, refunds or exemptions. In particular, in April 2025, with revisions in October 2025, the U.S. administration implemented a policy allowing U.S. automotive manufacturers to offset a portion of the tariffs imposed under Section 232 of the Trade Expansion Act of 1962 ("auto parts tariffs") through government-provided import adjustment offset amounts ("tariff offset credits"). In addition, the U.S. tariffs imposed under the International Emergency Economic Powers Act ("IEEPA") became subject to refund after the U.S. Supreme Court issued an opinion on February 20, 2026, invalidating such tariffs. In 2025, we paid approximately $110 million of auto parts tariffs, for which we were allocated tariff offset credits by our customers in the first nine months of 2026, and $85 million of IEEPA tariffs, nearly all of which were recovered from our customers and are now subject to refund from the government.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allocation of tariff offset credits by our customers and the U.S. Supreme Court opinion, certain 2025 tariff amounts are now recoverable from the government and no longer due from our customers, which resulted in lower first half 2026 sales and cost of sales corresponding to certain of our 2025 auto parts and all of our 2025 IEEPA tariff costs.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tariffs, during the mandatory joint review on the six-year anniversary of the United States-Mexico-Canada Agreement ("USMCA") on July 1, 2026, the United States declined to extend the USMCA for another 16-year term in its current form. This decision triggered rolling annual reviews that could lead to the agreement's expiration in 2036 if extensions are not ultimately agreed upon. While the USMCA currently remains in force, there are no assurances that the USMCA will continue to be renewed or, if renewed, any newly negotiated terms in the USMCA will not adversely affect our business. Also, the strain in U.S.-China relations presents unique risks to U.S. automotive manufacturers due to the level of integration with key components in our global supply chain. It remains unclear what additional actions the current U.S. administration may take with respect to trade issues involving China and other countries.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U.S. and other governments could impose additional sanctions, export controls or other trade restrictions that could restrict us from doing business directly or indirectly in or with certain countries or parties, which could include affiliates (e.g., China has imposed tariffs and taken other retaliatory actions). The current trade environment could impact the status of other trade agreements between the United States and countries other than Mexico, Canada or China.</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monitoring the evolving trade landscape, as the actual impacts of tariffs and other trade restrictions on our business, financial condition and results of operations continue to be subject to a number of factors that are not yet known or are subject to change, including the effect such tariffs or restrictions may have on consumer demand and global automotive production volumes, the duration of such tariffs or trade restrictions, future changes in the amounts and scope of tariffs, the potential withdrawal of such tariffs or restrictions, in whole or in part, the scope and effective date of any exemptions or credits with respect to such tariffs, countermeasures that target countries may take in response to such tariffs, the impact such tariffs may have on our customers and our supply chain, and whether and to what extent such tariffs are impacted by judicial review. To mitigate the impact of tariffs, we have entered into contractual agreements with our customers to recover substantially all tariff costs incurred to date; however, no assurance can be provided that our customers will continue to provide such recovery. In addition, we have implemented certain actions, and continue to consider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To date, our mitigation efforts have been successful; however, no assurance can be given that future government actions will not adversely impact our customers' production or undermine our mitigation efforts, which could in turn adversely impact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the ongoing war in Iran and geopolitical tensions in the region could lead to significant disruption of global energy supplies and increases in global energy prices, adversely affect global supply chains, and heighten inflationary pressures. We are continuing to evaluate the evolving macroeconomic environment. Although these factors have not yet had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impact on our operations, any of the above factors could impact our operations, as well as our supply chain, and adversely affect our financial condition and operating results in the future.</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Although industry production returned to pre-pandemic levels in 2023, industry production in 2025 remained approximately 2% below 2017 peak levels, and 2025 industry production levels in North America and Europe, our two largest markets, remained approximately 10% and 24%, respectively, below prior peak levels. Industry production in 2026 is expected to decrease approximately 2% as compared to 2025 (based on October 2026 Mobility Global projections). On a Lear sales-weighted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industry production in 2026 is expected to decrease approximately 1% as compared to 2025.</w:t>
      </w:r>
    </w:p>
    <w:p>
      <w:pPr>
        <w:spacing w:after="0" w:line="2" w:lineRule="exact"/>
        <w:rPr>
          <w:sz w:val="20"/>
          <w:szCs w:val="20"/>
          <w:color w:val="auto"/>
        </w:rPr>
      </w:pPr>
    </w:p>
    <w:p>
      <w:pPr>
        <w:ind w:left="260" w:hanging="252"/>
        <w:spacing w:after="0" w:line="225" w:lineRule="auto"/>
        <w:tabs>
          <w:tab w:leader="none" w:pos="35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production change on a Lear sales-weighted basis is calculated using Lear's prior year regional sales mix. Management believes this provides a more meaningful comparison of our global revenue growth relative to global vehicle production.</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risks related to tariffs and other trade restrictions, see Item 1A, "Risk Factors," in our Annual Report on Form 10-K for the year ended December 31,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automotive industry production volumes in certain key regions in the first nine months of 2026, as compared to the first nine months of 2025, are shown below (in thousands of units):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800" w:type="dxa"/>
            <w:vAlign w:val="bottom"/>
            <w:gridSpan w:val="3"/>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40" w:type="dxa"/>
            <w:vAlign w:val="bottom"/>
          </w:tcPr>
          <w:p>
            <w:pPr>
              <w:spacing w:after="0"/>
              <w:rPr>
                <w:sz w:val="11"/>
                <w:szCs w:val="11"/>
                <w:color w:val="auto"/>
              </w:rPr>
            </w:pPr>
          </w:p>
        </w:tc>
        <w:tc>
          <w:tcPr>
            <w:tcW w:w="148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320" w:type="dxa"/>
            <w:vAlign w:val="bottom"/>
          </w:tcPr>
          <w:p>
            <w:pPr>
              <w:jc w:val="right"/>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1"/>
                <w:szCs w:val="11"/>
                <w:color w:val="auto"/>
              </w:rPr>
            </w:pP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xml:space="preserve">2026 </w:t>
            </w:r>
            <w:r>
              <w:rPr>
                <w:rFonts w:ascii="Times New Roman" w:cs="Times New Roman" w:eastAsia="Times New Roman" w:hAnsi="Times New Roman"/>
                <w:sz w:val="9"/>
                <w:szCs w:val="9"/>
                <w:b w:val="1"/>
                <w:bCs w:val="1"/>
                <w:color w:val="auto"/>
              </w:rPr>
              <w:t>(1)</w:t>
            </w: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2025</w:t>
            </w:r>
            <w:r>
              <w:rPr>
                <w:rFonts w:ascii="Times New Roman" w:cs="Times New Roman" w:eastAsia="Times New Roman" w:hAnsi="Times New Roman"/>
                <w:sz w:val="8"/>
                <w:szCs w:val="8"/>
                <w:b w:val="1"/>
                <w:bCs w:val="1"/>
                <w:color w:val="auto"/>
              </w:rPr>
              <w:t xml:space="preserve"> (1) (2)</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38,498.1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automotive industry production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66,674.4</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67,308.3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Production data based on Mobility Global.</w:t>
      </w:r>
    </w:p>
    <w:p>
      <w:pPr>
        <w:spacing w:after="0" w:line="27"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Production data for 2025 has been updated from our third quarter 2025 Quarterly Report on Form 10-Q to reflect actual production levels.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Automotive sales and production can also be affected by the age of the vehicle fleet and related scrappage rates, labor relations issues,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 In light of these uncertainties, we can provide no assurances that any mitigating actions that may become available to us will be successful. Our sales and production may be further affected by new entrants to the industry, as well as various automakers and suppliers entering or expanding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percentage of consolidated net sales by region in the first nine months of 2026 and 2025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94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4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40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624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8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6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6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6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2494"/>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automotive industry, and our business, continue to be shaped by the broad trend of electrification. The adoption of electrified vehicles has been slower than anticipated, particularly in the United States. Demand for, and regulatory developments related to, energy efficiency and sustainability (e.g., government mandates related to fuel economy and carbon emissions) have also had a significant impact on this trend.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material cost as a percentage of net sales was 63.5% in the first nine months of 2026 and 2025. Raw material, energy, commodity and product component costs, particularly electronic component costs, can be volatile, reflecting, among other things, changes in supply and demand, logistics issues, global trade and tariff policies, and geopolitical issues. We have commodity price risk with respect to purchases of certain raw materials, including steel, copper, diesel fuel, chemicals, resins and leather. Our primary commodity cost exposures relate to steel, copper and leather. Our exposure to changes in steel prices is primarily indirect, through purchased components, and a significant portion of our copper,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commodity and product component costs, these strategies, together with commercial negotiations with our customers and suppliers and improved manufacturing productivity through automation and other advanced technologies, have more than offset the adverse impact. In addition, the availability of raw materials, energy, commodities and product components fluctuates from time to time due to factors outside of our control. If these costs increase further or availability is restricted, it could have an adverse impact on our operating results in the foreseeable future. See "— Forward-Looking Statements" below and Item 1A, "Risk Factors," in our Annual Report on Form 10-K for the year ended December 31, 2025.</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typically require us to reduce our prices over the life of a vehicle model and, at the same time, assume significant responsibility for the design, development and engineering of our products. Our financial performance is largely dependent on our ability to offset these price reductions with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to improve our business structure and align our business with the changing needs of our customers and major industry trends affecting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focus primarily on earnings, operating margins, cash flows and return on invested capital. Our strategy includes expanding our business with new and existing customers globally through new products and our reputation for operational excellence and cost competitiveness. We have also increased our vertical integration capabilities globally, as well as expanded our component manufacturing capacity in Asia, Central America, Eastern Europe, Mexico and Northern Africa and our low-cost engineering capabilities in Asia, Eastern Europe and Northern Africa.</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in generating cash flow will depend, in part, on our ability to manage working capital effectively. Working capital can be significantly impacted by the timing of cash flows from sales, purchases, and tariff costs and recoveries. Historically, we generally have been successful in aligning our supplier payment terms with our customer payment terms. However, our ability to continue to do so may be impacted by adverse automotive industry conditions, including inconsistent production schedules due to supply shortages and lower consumer demand, changes to our customers' payment terms and the financial condition of our suppliers.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Restructuring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nine months of 2026, we incurred pretax restructuring costs of $114 million and related manufacturing inefficiency and other charges of approximately $7 million, as compared to pretax restructuring costs of $156 million and related manufacturing inefficiency and other charges of approximately $3 million in the first nine months of 2025. None of the individual restructuring actions initiated in the first nine months of 2026 were material. Further, there have been no changes in previously initiated restructuring actions that have resulted (or will result) in a material change to our restructuring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restructuring actions include plant closures and workforce reductions and are initiated to maintain our competitive footprint or are in response to customer initiatives or changes in global and regional automotive markets. Our restructuring actions are designed to maintain or improve our operating results and profitability throughout the automotive industry cycles. Restructuring actions are generally funded within twelve months of initiation and are funded by cash flows from operating activities and existing cash balances. We expect to incur approximately $33 million of additional restructuring costs related to activities initiated as of October 3, 2026, all of which are expected to be incurred in the next twelve months. We plan to implement additional restructuring actions in order to align our manufacturing capacity and other costs with prevailing regional automotive production levels. Such future restructuring actions are dependent on market conditions, customer actions and other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2, "Restructuring," to the condensed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October 3, 2026, amounts outstanding under our $550 million 3.8% senior notes due 2027 (the "2027 Notes") and our delayed-draw term loan facility (the "Term Loan") were reclassified from long-term debt to current portion of long-term debt due to contractual maturities within the next twelve months.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Debt, see Note 7, "Debt," to the condensed consolidated financial statements included in this Report and Note 5, "Debt," to the consolidated financial statements included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 Program and Quarterly 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 Forward-Looking Statements" below.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first quarter of 2011, our Board of Directors (the "Board") has authorized $7.8 billion in share repurchases under our common stock share repurchase program (the "Repurchase Program"), including an increase in our repurchase authorization to $1.5 billion on September 24, 2026. As of October 3, 2026, we have repurchased, in aggregate, $6.3 billion of our outstanding common stock, at an average price of $96.38 per share, excluding commissions and related fees, and have a remaining repurchase authorization of $1.5 billion, which expires on December 31, 2029. In the first nine months of 2026, we repurchased $350 million of our outstanding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declared a quarterly cash dividend of $0.77 per share of common stock in the first, second and third quarters of 2026.</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common stock share repurchase program and our quarterly cash dividends, see Note 14, "Comprehensive Income and Equity," to the condensed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net tax benefits of $11 million and $38 million, respectively, in the three and nine months ended October 3, 2026, and $2 million and $26 million, respectively, in the three and nine months ended September 27, 2025, related to the release of tax reserves at foreign subsidiaries, restructuring charges and various other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three and nine months ended October 3, 2026 and September 27, 2025, reflect the following items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980" w:type="dxa"/>
            <w:vAlign w:val="bottom"/>
            <w:tcBorders>
              <w:top w:val="single" w:sz="8" w:color="auto"/>
            </w:tcBorders>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5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Costs related to restructuring actions, including manufacturing inefficiencies</w:t>
            </w: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other charges of $2 million and $7 million, respectively, in the three and</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nine months ended October 3, 2026, and $1 million and $3 million,</w:t>
            </w:r>
          </w:p>
        </w:tc>
        <w:tc>
          <w:tcPr>
            <w:tcW w:w="980" w:type="dxa"/>
            <w:vAlign w:val="bottom"/>
            <w:vMerge w:val="restart"/>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 in the three and nine months ended September 27, 2025</w:t>
            </w:r>
          </w:p>
        </w:tc>
        <w:tc>
          <w:tcPr>
            <w:tcW w:w="98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related to disposal of a non-core business</w:t>
            </w:r>
          </w:p>
        </w:tc>
        <w:tc>
          <w:tcPr>
            <w:tcW w:w="9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costs</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related to Fisker Inc.</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related to power outages in Tunisia</w:t>
            </w: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(recoveries) related to Russian operations, net</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(gains) losses due to foreign exchange rate volatility</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Russia</w:t>
            </w:r>
          </w:p>
        </w:tc>
        <w:tc>
          <w:tcPr>
            <w:tcW w:w="9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net</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these items, see Note 2, "Restructuring," Note 11, "Other Expense, Net," and Note 12, "Income Taxes," to the condensed consolidated financial statements included in this Report.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2, "Management's Discussion and Analysis of Financial Condition and Results of Operations," includes forward-looking statements that are subject to risks and uncertainties. For further information regarding these and other factors that have had, or may have in the future, a significant impact on our business, financial condition or results of operations, see "— Forward-Looking Statements" below and Item 1A, "Risk Factors,"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results in millions of dollars and as a percentage of net sales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Seating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r>
      <w:tr>
        <w:trPr>
          <w:trHeight w:val="230"/>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E-Systems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17,805.2</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93.3</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 2026 vs. Three Months Ended September 27,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2026 were $5.8 billion, as compared to $5.7 billion in the third quarter of 2025, an increase of $93 million or 2%. The impact of new business and higher production volumes on Lear platforms in Europe/Africa increased net sales by $141 million and $92 million, respectively. These increases were offset by lower production volumes on Lear platforms in Asia and North America, which reduced net sales by $249 million. The impact of commercial recoveries was partially offset by selling price reductions.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6"/>
                <w:szCs w:val="16"/>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3"/>
        </w:trPr>
        <w:tc>
          <w:tcPr>
            <w:tcW w:w="2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5,316.1</w:t>
            </w:r>
          </w:p>
        </w:tc>
      </w:tr>
      <w:tr>
        <w:trPr>
          <w:trHeight w:val="230"/>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Labor cost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9"/>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5,390.7</w:t>
            </w:r>
          </w:p>
        </w:tc>
      </w:tr>
      <w:tr>
        <w:trPr>
          <w:trHeight w:val="21"/>
        </w:trPr>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was $5.4 billion in the third quarter of 2026, as compared to $5.3 billion in the third quarter of 2025. The impact of new business increased costs of sales. This increase was partially offset by lower production volumes on Lear platforms, which reduced cost of sales.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and gross margin were $382 million and 6.6% of net sales, respectively, in the third quarter of 2026, as compared to $364 million and 6.4% of net sales, respectively, in the third quarter of 2025. The impact of favorable operating performance, including the benefit of restructuring actions, net of selling price reductions, increased gross profit by $51 million. Gross profit also benefited from new business and higher production volumes on Lear platforms in Europe/Africa by $31 million. These increases were partially offset by lower production volumes on Lear platforms in Asia and North America, which reduced gross profit by $47 million. These factors had a corresponding impact on gross margin.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$181 million in the third quarter of 2026, as compared to $166 million in the third quarter of 2025. As a percentage of net sales, selling, general and administrative expenses were 3.1% in the third quarter of 2026 and 2.9% in the third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was $5 million in the third quarter of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$21 million in the third quarter of 2026, as compared to $25 million in the third quarter of 2025.</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$3 million in the third quarter of 2026, as compared to $9 million in the third quarter of 2025. In the third quarter of 2026 and 2025, we recognized foreign exchange (gains) losses of ($3) million and $9 million, respectively, including losses of $1 million and $4 million, respectively, related to the hyper-inflationary environment in Argentina.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2026, the provision for income taxes was $42 million, representing an effective tax rate of 24.4% on pretax income before equity in net income of affiliates of $173 million. In the third quarter of 2025, the provision for income taxes was $45 million, representing an effective tax rate of 28.3% on pretax income before equity in net income of affiliates of $159 million, for the reasons described below. For further information, see Note 12, "Income Taxes," to the condensed consolidated financial statements included in this Report.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2026 and 2025, the provision for income taxes was primarily impacted by the level and mix of earnings among tax jurisdictions. In the third quarter of 2026 and 2025, we recognized net tax benefits of $11 million and $2 million, respectively, related to the release of tax reserves at foreign subsidiaries, restructuring charges and various other items. Excluding these items, the effective tax rate for the third quarter of 2026 and 2025 approximated the U.S. federal statutory income tax rate of 21%, adjusted for income taxes on foreign earnings, losses and remittances, valuation allowances, tax credits, income tax incentives and other permanent items.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net income of affiliates was $19 million in the third quarter of 2026, as compared to $12 million in the third quarter of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Lear was $137 million, or $2.74 per diluted share, in the third quarter of 2026, as compared to $108 million, or $2.02 per diluted share, in the third quarter of 2025. Net income and diluted net income per share increased for the reasons described above. Diluted net income per share also benefited from a reduction in shares outstanding between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Operating Segments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above.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corporate finance, legal, executive administration and human resources. Financial measures regarding each segment's pretax income before equity in net income of affiliates, interest expense, net and other expense, net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reconciliation of consolidated segment earnings to consolidated income before provision for income taxes and equity in net income of affiliates, see Note 16, "Segment Reporting," to the condensed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financial measures for our Seating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80" w:type="dxa"/>
            <w:vAlign w:val="bottom"/>
          </w:tcPr>
          <w:p>
            <w:pPr>
              <w:spacing w:after="0"/>
              <w:rPr>
                <w:sz w:val="11"/>
                <w:szCs w:val="11"/>
                <w:color w:val="auto"/>
              </w:rPr>
            </w:pPr>
          </w:p>
        </w:tc>
        <w:tc>
          <w:tcPr>
            <w:tcW w:w="116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2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4,326.1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4,249.6</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4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237.6</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96"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Seating net sales were $4.3 billion in the third quarter of 2026, as compared to $4.2 billion in the third quarter of 2025, an increase of $76 million or 2%. The impact of new business increased net sales by $172 million. This increase was offset by lower production volumes on Lear platforms, which reduced net sales by $193 million. The impact of commercial recoveries was partially offset by selling price reductions.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were $238 million in the third quarter of 2026 and 2025. Segment margins were 5.5% in the third quarter of 2026, as compared to 5.6% in the third quarter of 2025. The impact of favorable operating performance, including the benefit of operational restructuring actions, net of selling price reductions and higher restructuring costs, increased segment earnings by $20 million. This increase was partially offset by lower production volumes on Lear platforms, net of new business, which reduced segment earnings by $14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80" w:type="dxa"/>
            <w:vAlign w:val="bottom"/>
          </w:tcPr>
          <w:p>
            <w:pPr>
              <w:spacing w:after="0"/>
              <w:rPr>
                <w:sz w:val="11"/>
                <w:szCs w:val="11"/>
                <w:color w:val="auto"/>
              </w:rPr>
            </w:pPr>
          </w:p>
        </w:tc>
        <w:tc>
          <w:tcPr>
            <w:tcW w:w="116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2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1,446.9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1,430.2</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4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96"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E-Systems net sales in the third quarter of 2026 and 2025 were $1.4 billion, an increase of $17 million or 1%. Higher production volumes on Lear platforms increased net sales by $45 million. This increase was partially offset by the winddown of certain businesses, which reduced net sales by $36 million. The impact of commercial recoveries was partially offset by selling price reductions.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$50 million and 3.5% in the third quarter of 2026, as compared to $41 million and 2.9% in the third quarter of 2025. The impact of favorable operating performance, including the benefit of operational restructuring actions, net of selling price reductions, increased segment earnings by $18 million. Segment earnings also benefited from higher production on Lear platforms by $6 million. These increases were partially offset by the winddown of certain businesses, which reduced segment earnings by $7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center"/>
              <w:ind w:right="37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1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2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96"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earnings related to our other category were ($91) million in the third quarter of 2026, as compared to ($86) million in the third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October 3, 2026 vs. Nine Months Ended September 27, 2025</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the nine months ended October 3, 2026 were $17.8 billion, as compared to $17.3 billion for the nine months ended September 27, 2025, an increase of $535 million or 3%. The impact of foreign exchange rate fluctuations, higher production volumes on Lear platforms in Europe/Africa and North America, and new business in Europe/Africa and Asia increased net sales by $378 million, $297 million and $253 million, respectively. These increases were partially offset by lower production volumes on Lear platforms in Asia, the reversal of certain 2025 tariff recoveries and lower 2026 tariff recoveries, which reduced net sales by $405 million, $175 million and $116 million, respectively. The impact of commercial recoveries was partially offset by selling price reductions.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Cost of Sales</w:t>
            </w: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nine months of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16,108.5</w:t>
            </w: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Labor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nine months of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16,502.3</w:t>
            </w: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$16.5 billion in the first nine months of 2026, as compared to $16.1 billion in the first nine months of 2025. The impact of foreign exchange rate fluctuations and new business increased costs of sales. These increases were partially offset by the reversal of certain 2025 tariff costs and lower 2026 tariff costs, which reduced cost of sales.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and gross margin were $1.3 billion and 7.3% of net sales, respectively, in the nine months ended October 3, 2026, as compared to $1.2 billion and 6.7% of net sales, respectively, in the nine months ended September 27, 2025. The impact of favorable operating performance, including the benefit of restructuring actions and lower restructuring costs, net of selling price reductions, increased gross profit by $148 million. Gross profit also benefited from higher production volumes on Lear platforms in Europe/Africa and North America, the impact of new business in Europe/Africa and Asia, and foreign exchange rate fluctuations by $91 million. These increases were partially offset by lower production volumes on Lear platforms in Asia, which reduced gross profit by $78 million. These factors had a corresponding impact on gross margin.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$568 million in the first nine months of 2026, as compared to $525 million in the first nine months of 2025, driven by higher sales and higher compensation-related costs. As a percentage of net sales, selling, general and administrative expenses were 3.2% in the first nine months of 2026, as compared to 3.0% in the first nine months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was $15 million in the first nine months of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$71 million in the first nine months of 2026, as compared to $76 million in the first nine months of 2025.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net periodic benefit cost and other miscellaneous income and expense, was $19 million in the nine months ended October 3, 2026, as compared to $34 million in the nine months ended September 27, 2025. In the first nine months of 2026 and 2025, we recognized foreign exchange losses of $10 million and $26 million, respectively, including losses of $1 million and $9 million, respectively, related to the hyper-inflationary environment in Argentina. In the first nine months of 2025, we also recognized a loss of $3 million on the disposal of a non-core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 2026, the provision for income taxes was $129 million, representing an effective tax rate of 20.5% on pretax income before equity in net income of affiliates of $630 million. For the nine months ended September 27, 2025, the provision for income taxes was $132 million, representing an effective tax rate of 25.7% on pretax income before equity in net income of affiliates of $512 million, for reasons described below. For further information, see Note 12, "Income Taxes," to the condensed consolidated financial statements included in this Report.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nine months of 2026 and 2025, the provision for income taxes was primarily impacted by the level and mix of earnings among tax jurisdictions. In the first nine months of 2026 and 2025, we recognized net tax benefits of $38 million and $26 million, respectively, related to the release of tax reserves at foreign subsidiaries, restructuring charges and various other items. Excluding these items, the effective tax rate for the first nine months of 2026 and 2025 approximated the U.S. federal statutory income tax rate of 21%, adjusted for income taxes on foreign earnings, losses and remittances, valuation allowances, tax credits, income tax incentives and other permanent items.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net income of affiliates was $53 million in the first nine months of 2026, as compared to $40 million in the first nine months of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Lear was $502 million, or $9.89 per diluted share, in the nine months ended October 3, 2026, as compared to $354 million, or $6.56 per diluted share, in the nine months ended September 27, 2025. Net income and diluted net income per share increased for the reasons described above. Diluted net income per share also benefited from a reduction in shares outstanding between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Operating Segments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and "Three Months Ended October 3, 2026 vs. Three Months Ended September 27, 2025 — Reportable Operating Segments"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financial measures for our Seating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13,354.6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12,874.6</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6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737.8</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126"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Seating net sales were $13.4 billion for the nine months ended October 3, 2026, as compared to $12.9 billion for the nine months ended September 27, 2025, an increase of $480 million or 4%. The impact of new business and foreign exchange rate fluctuations increased net sales by $338 million and $270 million, respectively. These increases were partially offset by lower production volumes on Lear platforms, which reduced net sales by $148 million. The impact of commercial recoveries was offset by selling price reductions, the reversal of certain 2025 tariff recoveries and lower 2026 tariff recoveries.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$802 million and 6.0% in the nine months ended October 3, 2026, as compared to $738 million and 5.7% in the nine months ended September 27, 2025. The impact of favorable operating performance, including the benefit of operational restructuring actions and lower restructuring costs, net of selling price reductions, increased segment earnings by $62 million. Segment earnings also benefited from the impact of foreign exchange rate fluctuations by $15 million. These increases were partially offset by lower production volumes on Lear platforms, net of new business, which reduced segment earnings by $5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4,450.6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4,395.9</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6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151.7</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126"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E-Systems net sales were $4.5 billion for the nine months ended October 3, 2026, as compared to $4.4 billion for the nine months ended September 27, 2025, an increase of $55 million or 1%. The impact of foreign exchange rate fluctuations and higher production volumes on Lear platforms increased net sales by $108 million and $75 million, respectively. These increases were partially offset by the winddown of certain businesses, which reduced net sales by $34 million. The reversal of certain 2025 tariff recoveries, lower 2026 tariff recoveries and the impact of selling price reductions were partially offset by commercial recoveries.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$208 million and 4.7% in the nine months ended October 3, 2026, as compared to $152 million and 3.5% in the nine months ended September 27, 2025. The impact of favorable operating performance, including the benefit of operational restructuring actions and lower restructuring costs, net of selling price reductions, increased segment earnings by $63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4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(290.5)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26"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earnings related to our other category were ($291) million in the first nine months of 2026, as compared to ($267) million in the first nine months of 2025, primarily reflecting higher compensation-related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to fund general business requirements, including working capital requirements, capital expenditures, operational restructuring actions and debt service requirements. Our principal sources of liquidity are cash flows from operating activities, borrowings under available credit facilities and our existing cash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Subsidiaries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 2026 and December 31, 2025, cash and cash equivalents of $558 million and $741 million, respectively, were held in foreign subsidiaries and can be repatriated, primarily through the repayment of intercompany loans and the payment of dividends. There are no restrictions on the ability of our subsidiaries to pay dividends or make other distributions to Lear that would have a material impact on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potential dividends from our non-U.S. subsidiaries, see Note 7, "Income Taxes," to the consolidated financial statements included in our Annual Report on Form 10-K for the year ended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Liquidity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3, 2026, we had $0.9 billion of cash and cash equivalents on hand and $2.0 billion in available borrowing capacity under our unsecured revolving credit agreement. Together with cash provided by operating activities, we believe that these liquidity sources will enable us to meet our liquidity needs for the foreseeable future and to satisfy ordinary course business obligations. In addition, we expect to continue to pay quarterly cash dividends and repurchase shares of our common stock pursuant to our Repurchase Program, although such actions are at the discretion of our Board and will depend upon our financial condition, results of operations, capital requirements, prevailing market conditions, alternative uses of capital and other factors that our Board may consider at its discretion.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and our ability to continue to meet our liquidity needs are subject to, and will be affected by, cash flows from operations, as well as restructuring activities, automotive industry conditions, the financial condition of our customers and suppliers, supply chain disruptions and other related factors. Additionally, an economic downturn or further reduction in production levels could negatively impact our financial condition.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the risks and uncertainties affecting our cash flows from operations and our overall liquidity, see "— Executive Overview" above, "— Forward-Looking Statements" below and Item 1A, "Risk Factors,"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flows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1"/>
                <w:szCs w:val="11"/>
                <w:color w:val="auto"/>
              </w:rPr>
            </w:pPr>
          </w:p>
        </w:tc>
        <w:tc>
          <w:tcPr>
            <w:tcW w:w="10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98"/>
        </w:trPr>
        <w:tc>
          <w:tcPr>
            <w:tcW w:w="7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and depreciation and amortization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$888 million in the first nine months of 2026, as compared to $613 million in the first nine months of 2025. The increase in operating cash flow between periods reflects higher earnings and a decrease in working capital cash usage in the first nine months of 2026, as compared to the first nine months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$454 million in the first nine months of 2026, as compared to $326 million in the first nine months of 2025. In the first nine months of 2025, we received proceeds of $37 million related to the sale of a non-core business in the Company's Seating segment. Capital spending was $468 million in the first nine months of 2026, as compared to $367 million in the first nine months of 2025. Capital spending is estimated to be $660 million in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$579 million in the first nine months of 2026, as compared to $349 million in the first nine months of 2025. In the first nine months of 2026, we paid $350 million for repurchases of our common stock, $119 million in dividends to Lear shareholders and $81 million in dividends to noncontrolling interest holders. In the first nine months of 2025, we paid $150 million for repurchases of our common stock, $125 million in dividends to Lear shareholders and $84 million in dividends to noncontrolling interest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uncommitted lines of credit as needed for our short-term working capital fluctuations. As of October 3, 2026 and December 31, 2025, we had lines of credit from banks totaling $379 million and $383 million, respectively. As of October 3, 2026 and December 31, 2025, we had short-term debt balances outstanding related to draws on our lines of credit of $29 million and $28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Credit Agreement and Term Loan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October 3, 2026, approximately $600 million outstanding under our 2027 Notes and our Term Loan was reclassified from long-term debt to the current portion of long-term debt due to contractual maturities within the next twelve months.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related to our debt, see Note 7, "Debt," to the condensed consolidated financial statements included in this Report and Note 5, "Debt," to the consolidated financial statements included in our Annual Report on Form 10-K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 Program and Quarterly Cash 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related to our common stock share repurchase program and dividends, see "— Executive Overview — Common Stock Share Repurchase Program and Quarterly Cash Dividends" above, Note 14, "Comprehensive Income and Equity," to the condensed consolidated financial statements included in this Report and Note 10, "Capital Stock, Accumulated Other Comprehensive Loss and Equity," to the consolidated financial statements included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Raw material, energy and commodity costs can be volatile, reflecting, among other things, changes in supply and demand, logistics issues, global trade and tariff policies, and geopolitical issues. We have commodity price risk with respect to purchases of certain raw materials, including steel, copper, diesel fuel, chemicals, resins and leather. Our primary commodity cost exposures relate to steel, copper and leather.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purchased components. Additionally, approximately 88% of our copper purchases and a significant portion of our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and commodity costs, these strategies, together with commercial negotiations with our customers and suppliers and improved manufacturing productivity through automation and other advanced technologies, have more than offset the adverse impact. However, no assurances can be provided that these costs will continue to be offset in the future. If these costs increase further, it could have an adverse impact on our operating results in the foreseeable future.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 Forward-Looking Statements" below and Item 1A, "Risk Factors — Increases in the costs and restrictions on the availability of raw materials, energy, commodities, product components and labor could adversely affect our financial performance," in our Annual Report on Form 10-K for the year ended December 31, 2025.</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financial instruments described above, see Note 17, "Financial Instruments," to the condensed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and contractual disputes, product liability claims, and environmental and other matters. As of October 3, 2026, we had recorded reserves for pending legal disputes, including commercial and contractual disputes, product liability claims and other legal matters of $16 million. In addition, as of October 3, 2026, we had recorded reserves for warranty and recall matters of $38 million and environmental matters of $5 million. We carry insurance for certain legal matters, including product liability claims, but such coverage may be limited. We do not maintain insurance for warranty and recall matters. Although these reserves were determined in accordance with GAAP, the ultimate outcomes of these matters are inherently uncertain, and actual results may differ significantly from current estimates. For a description of risks related to various legal proceedings and claims, see Item 1A, "Risk Factors," in our Annual Report on Form 10-K for the year ended December 31, 2025. For a more complete description of our outstanding material legal proceedings, see Note 15, "Legal and Other Contingencies," to the condensed consolidated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Accordingly, actual results in these areas may differ significantly from our estimates.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discussion of our significant accounting policies and critical accounting estimates, see Item 7, "Management's Discussion and Analysis of Financial Condition and Results of Operations — Other Matters — Critical Accounting Estimates," and Note 2, "Summary of Significant Accounting Policies," to the consolidated financial statements included in our Annual Report on Form 10-K for the year ended December 31, 2025. There have been no significant changes in our significant accounting policies or critical accounting estimates during the first nine months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impact of recently issued accounting pronouncements, see Note 18, "Accounting Pronouncements,"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us or on our behalf. The words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spacing w:after="0" w:line="84" w:lineRule="exact"/>
        <w:rPr>
          <w:sz w:val="20"/>
          <w:szCs w:val="20"/>
          <w:color w:val="auto"/>
        </w:rPr>
      </w:pPr>
    </w:p>
    <w:p>
      <w:pPr>
        <w:ind w:left="400" w:hanging="230"/>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markets in which we operate, including changes in interest rates or currency exchange rates;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administrative policy, including trade policies and tariffs, in the United States and related actions by countries in which we do business;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industry vehicle production levels from our current estimates;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production of vehicles or the loss of business with respect to, or the lack of commercial success of, a vehicle model for which we are a significant supplier;</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customer negotiations and the impact of customer-imposed price reductions;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and restrictions on the availability of raw materials, energy, commodities, product components and labor and our ability to mitigate such costs and insufficient availability;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relationships with our customers and suppliers;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adverse developments affecting our customers and suppliers;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conducting business in foreign countries, including the risk of war (including the war with Iran) or other geopolitical conflicts;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the ability to economically hedge currencies;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impacting us and our key customers and suppliers;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disruptions, involving us or our significant customers or suppliers or that otherwise affect us or our significant customers or suppliers;</w:t>
      </w:r>
    </w:p>
    <w:p>
      <w:pPr>
        <w:spacing w:after="0" w:line="53"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violations of law by our employees, agents or business partners, including violations related to anti-bribery, competition, export and import, trade sanctions, data privacy, environmental, human rights and other laws;</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financial success of our joint ventures;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engage and retain qualified employees;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the evolution of the global transportation industry;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 increased emphasis on global climate change and other sustainability matters by stakeholders;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disease outbreaks and other public health crises on our business;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timing of program launch costs and our management of new program launches;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delayed program launches due to customer planning decisions;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discount rates and the actual return on pension assets;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initiated by adverse industry or market developments;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objectives;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our existing indebtedness and our ability to access capital markets on commercially reasonable terms;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those of our customers or suppliers, including those related to cybersecurity;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warranty, product liability or recall costs;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to which we are or may become a party;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legislation and regulations or changes in existing federal, state, local or foreign laws or regulations;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on our foreign operations;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compliance with environmental laws and regulations;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assertions by or against us relating to intellectual property rights;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effective tax rate, the adoption of new tax legislation or exposure to additional income tax liabilities on our profitability; and</w:t>
      </w:r>
    </w:p>
    <w:p>
      <w:pPr>
        <w:spacing w:after="0" w:line="53" w:lineRule="exact"/>
        <w:rPr>
          <w:rFonts w:ascii="Times New Roman" w:cs="Times New Roman" w:eastAsia="Times New Roman" w:hAnsi="Times New Roman"/>
          <w:sz w:val="18"/>
          <w:szCs w:val="18"/>
          <w:color w:val="auto"/>
        </w:rPr>
      </w:pPr>
    </w:p>
    <w:p>
      <w:pPr>
        <w:ind w:left="420" w:right="20" w:hanging="250"/>
        <w:spacing w:after="0" w:line="282" w:lineRule="auto"/>
        <w:tabs>
          <w:tab w:leader="none" w:pos="4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Item 1A, "Risk Factors," in our Annual Report on Form 10-K for the year ended December 31, 2025, and in our other Securities and Exchange Commission filings.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made as of the date hereof, and we do not assume any obligation to update, amend or clarify them to reflect events, new information or circumstances occurring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may be impacted by our buying, selling and financing in currencies other than the functional currency of our operating companies ("transactional exposure"). Currently, our most significant foreign currency transactional exposures relate to the Mexican peso, various European currencies, the Chinese renminbi, the Moroccan dirham and the Honduran lempira. We may mitigate a portion of this risk by entering into forward foreign exchange, futures and option contracts. The foreign exchange contracts are executed with banks that we believe are creditworthy.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notional amount and estimated aggregate fair value of our outstanding foreign exchange contracts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40" w:type="dxa"/>
            <w:vAlign w:val="bottom"/>
          </w:tcPr>
          <w:p>
            <w:pPr>
              <w:spacing w:after="0"/>
              <w:rPr>
                <w:sz w:val="13"/>
                <w:szCs w:val="13"/>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(contract maturities &lt; 36 months)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 2026 and December 31, 2025, the potential change in fair value of our outstanding foreign exchange contracts assuming a hypothetical 10% adverse move in foreign currency exchange rates would result in a loss of approximately $271 million and $292 million,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 2026 and December 31, 2025, the potential change in fair value of our outstanding foreign exchange contracts assuming a hypothetical 10% favorable move in foreign currency exchange rates would result in a gain of approximately $329 million and $351 million,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foreign currency exchange rates typically do not all move in the same direction, the estimated impact from changes in foreign currency exchange rates on the net fair value of the Company's foreign exchange contracts may be overstated. Gains and losses related to foreign exchange contracts are deferred where appropriate and included in the measurement of the foreign currency transaction subject to the hedge. Gains and losses related to foreign exchange contracts are generally offset by the direct effects of foreign currency exchange rate movements on the underlying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transactional exposure described above, our operating results are impacted by the translation of our foreign operating income into 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("translational exposure"). In 2025, net sales outside of the United States accounted for 77% of our consolidated net sales, although certain non-U.S.</w:t>
      </w:r>
    </w:p>
    <w:p>
      <w:pPr>
        <w:spacing w:after="0"/>
        <w:rPr>
          <w:sz w:val="20"/>
          <w:szCs w:val="20"/>
          <w:color w:val="auto"/>
        </w:rPr>
      </w:pPr>
      <w:r>
        <w:rPr>
          <w:rFonts w:ascii="Times New Roman" w:cs="Times New Roman" w:eastAsia="Times New Roman" w:hAnsi="Times New Roman"/>
          <w:sz w:val="18"/>
          <w:szCs w:val="18"/>
          <w:color w:val="auto"/>
        </w:rPr>
        <w:t>sales are U.S. dollar denominated. We do not enter into foreign exchange contracts to mitigate our translational exposure.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0" w:lineRule="exact"/>
        <w:rPr>
          <w:sz w:val="20"/>
          <w:szCs w:val="20"/>
          <w:color w:val="auto"/>
        </w:rPr>
      </w:pPr>
    </w:p>
    <w:p>
      <w:pPr>
        <w:spacing w:after="0" w:line="245" w:lineRule="exact"/>
        <w:rPr>
          <w:sz w:val="20"/>
          <w:szCs w:val="20"/>
          <w:color w:val="auto"/>
        </w:rPr>
      </w:pPr>
    </w:p>
    <w:p>
      <w:pPr>
        <w:ind w:left="580" w:hanging="572"/>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spacing w:after="0" w:line="192" w:lineRule="exact"/>
        <w:rPr>
          <w:sz w:val="20"/>
          <w:szCs w:val="20"/>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fiscal quarter ended October 3,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in our Annual Report on Form 10-K for the year ended December 31, 2025. For a description of our outstanding material legal proceedings, see Note 15, "Legal and Other Contingencies," to the condensed consolidated financial statements included in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risk factors, see Item 1A, "Risk Factors," in our Annual Report on Form 10-K for the year ended December 31,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Part I — Item 2, "Management's Discussion and Analysis of Financial Condition and Results of Operations — Executive Overview — Common Stock Share Repurchase Program and Quarterly Cash Dividends," and Note 14, "Comprehensive Income and Equity," to the condensed consolidated financial statements included in this Report, we have a remaining repurchase authorization of $1,498.2 million under our ongoing common stock share repurchase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shares of our common stock repurchased during the quarter ended October 3, 2026, is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620"/>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2"/>
          </w:tcPr>
          <w:p>
            <w:pPr>
              <w:jc w:val="center"/>
              <w:ind w:right="620"/>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98"/>
        </w:trPr>
        <w:tc>
          <w:tcPr>
            <w:tcW w:w="4460" w:type="dxa"/>
            <w:vAlign w:val="bottom"/>
            <w:gridSpan w:val="2"/>
            <w:vMerge w:val="continue"/>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5, 2026 through August 1, 2026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244,183</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$138.99</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565.8</w:t>
            </w: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 2026 through August 29,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537,191</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$123.85</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30, 2026 through October 3,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594,543</w:t>
            </w:r>
          </w:p>
        </w:tc>
        <w:tc>
          <w:tcPr>
            <w:tcW w:w="13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$125.35</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1,498.2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1,375,917</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$127.19</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1,498.2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8"/>
        <w:spacing w:after="0" w:line="670" w:lineRule="auto"/>
        <w:tabs>
          <w:tab w:leader="none" w:pos="132"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September 24, 2026, our Board of Directors (the "Board") authorized an increase to our existing common stock share repurchase program authorization to $1.5 billion. Our Board originally authorized our common stock share repurchase program on February 16, 2011, and has authorized $7.8 billion in share repurchases since the inception of the program. The current authorization expires on December 31, 2029.</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0" w:type="dxa"/>
            <w:vAlign w:val="bottom"/>
            <w:gridSpan w:val="7"/>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0" w:type="dxa"/>
            <w:vAlign w:val="bottom"/>
          </w:tcPr>
          <w:p>
            <w:pPr>
              <w:spacing w:after="0"/>
              <w:rPr>
                <w:sz w:val="1"/>
                <w:szCs w:val="1"/>
                <w:color w:val="auto"/>
              </w:rPr>
            </w:pPr>
          </w:p>
        </w:tc>
      </w:tr>
      <w:tr>
        <w:trPr>
          <w:trHeight w:val="648"/>
        </w:trPr>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96"/>
        </w:trPr>
        <w:tc>
          <w:tcPr>
            <w:tcW w:w="60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0" w:type="dxa"/>
            <w:vAlign w:val="bottom"/>
            <w:gridSpan w:val="7"/>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10"/>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FF"/>
              </w:rPr>
              <w:t>First Amendment to the Amended and Restated Lear Corporation Annual Incentive Plan, effective as of September 23, 2026.</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8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9660" w:type="dxa"/>
            <w:vAlign w:val="bottom"/>
            <w:gridSpan w:val="10"/>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FF"/>
              </w:rPr>
              <w:t>First Amendment to the Amended and Restated Lear Corporation Salaried Retirement Restoration Program, effective as of</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September 23, 2026.</w:t>
            </w: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4060" w:type="dxa"/>
            <w:vAlign w:val="bottom"/>
            <w:tcBorders>
              <w:bottom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91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8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91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Executive Officer pursuant to 18 U.S.C. Section 1350, as adopted pursuant to Section 906 of the</w:t>
            </w:r>
          </w:p>
        </w:tc>
        <w:tc>
          <w:tcPr>
            <w:tcW w:w="0" w:type="dxa"/>
            <w:vAlign w:val="bottom"/>
          </w:tcPr>
          <w:p>
            <w:pPr>
              <w:spacing w:after="0"/>
              <w:rPr>
                <w:sz w:val="1"/>
                <w:szCs w:val="1"/>
                <w:color w:val="auto"/>
              </w:rPr>
            </w:pPr>
          </w:p>
        </w:tc>
      </w:tr>
      <w:tr>
        <w:trPr>
          <w:trHeight w:val="189"/>
        </w:trPr>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46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5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91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720" w:hanging="694"/>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Compensatory plan or arrangement.</w:t>
      </w:r>
    </w:p>
    <w:p>
      <w:pPr>
        <w:spacing w:after="0" w:line="27"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720" w:right="120" w:hanging="694"/>
        <w:spacing w:after="0" w:line="234" w:lineRule="auto"/>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Inline XBRL Instance Document and Cover Page Interactive Data File do not appear in the Interactive Data File because their Inline XBRL tags are embedded within the Inline XBRL document.</w:t>
      </w:r>
    </w:p>
    <w:p>
      <w:pPr>
        <w:spacing w:after="0" w:line="10" w:lineRule="exact"/>
        <w:rPr>
          <w:rFonts w:ascii="Times New Roman" w:cs="Times New Roman" w:eastAsia="Times New Roman" w:hAnsi="Times New Roman"/>
          <w:sz w:val="18"/>
          <w:szCs w:val="18"/>
          <w:b w:val="1"/>
          <w:bCs w:val="1"/>
          <w:color w:val="auto"/>
        </w:rPr>
      </w:pPr>
    </w:p>
    <w:p>
      <w:pPr>
        <w:ind w:left="720" w:hanging="694"/>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Submitted electronically with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LEAR CORPORATION</w:t>
            </w:r>
          </w:p>
        </w:tc>
        <w:tc>
          <w:tcPr>
            <w:tcW w:w="216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30, 2026</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3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6"/>
        </w:trPr>
        <w:tc>
          <w:tcPr>
            <w:tcW w:w="37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M. Cardew</w:t>
            </w:r>
          </w:p>
        </w:tc>
      </w:tr>
      <w:tr>
        <w:trPr>
          <w:trHeight w:val="218"/>
        </w:trPr>
        <w:tc>
          <w:tcPr>
            <w:tcW w:w="3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M. Cardew</w:t>
            </w:r>
          </w:p>
        </w:tc>
      </w:tr>
      <w:tr>
        <w:trPr>
          <w:trHeight w:val="234"/>
        </w:trPr>
        <w:tc>
          <w:tcPr>
            <w:tcW w:w="3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121" w:right="3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 LEAR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INCENTIVE PLAN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as January 1, 2024)</w:t>
      </w:r>
    </w:p>
    <w:p>
      <w:pPr>
        <w:spacing w:after="0" w:line="287"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22"/>
          <w:szCs w:val="22"/>
          <w:color w:val="auto"/>
        </w:rPr>
        <w:t>THIS FIRST AMENDMENT to the Lear Corporation Annual Incentive Plan (Amended and Restated as of January 1, 2024) (the “Plan”) was approved on September 23, 2026, by the People and Compensation Committee of the Board of Directors of Lear Corporation, pursuant to the authority reserved to it under Article 6 of the Plan, effective as of September 23,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Article 4.6(c) of the Plan is hereby deleted and replaced with the following:</w:t>
      </w:r>
    </w:p>
    <w:p>
      <w:pPr>
        <w:spacing w:after="0" w:line="301" w:lineRule="exact"/>
        <w:rPr>
          <w:sz w:val="20"/>
          <w:szCs w:val="20"/>
          <w:color w:val="auto"/>
        </w:rPr>
      </w:pPr>
    </w:p>
    <w:p>
      <w:pPr>
        <w:ind w:right="40" w:firstLine="324"/>
        <w:spacing w:after="0" w:line="308" w:lineRule="auto"/>
        <w:rPr>
          <w:sz w:val="20"/>
          <w:szCs w:val="20"/>
          <w:color w:val="auto"/>
        </w:rPr>
      </w:pPr>
      <w:r>
        <w:rPr>
          <w:rFonts w:ascii="Times New Roman" w:cs="Times New Roman" w:eastAsia="Times New Roman" w:hAnsi="Times New Roman"/>
          <w:sz w:val="21"/>
          <w:szCs w:val="21"/>
          <w:color w:val="auto"/>
        </w:rPr>
        <w:t>“(c) The Company’s Chief Executive Officer or the Chief Executive Officer’s designee (or in the case of a Section 16 Officer, the Committee) may determine, in its sole discretion, that (1) a Bonus will be payable pro-rata for a Participant who either (i) becomes eligible to participate during the Performance Period, (ii) terminates the Participant’s employment with the Company during the Performance Period due to the Participant’s death, Retirement or Disability or (iii) is involuntarily terminated, and (2) a Bonus will be adjusted to reflect a Participant’s increase or decrease in annualized salary during the Performance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Except to the extent hereby amended, the Plan shall remain in full force and effect</w:t>
      </w:r>
    </w:p>
    <w:p>
      <w:pPr>
        <w:sectPr>
          <w:pgSz w:w="11900" w:h="16838" w:orient="portrait"/>
          <w:cols w:equalWidth="0" w:num="1">
            <w:col w:w="11240"/>
          </w:cols>
          <w:pgMar w:left="320" w:top="122" w:right="339" w:bottom="1440" w:gutter="0" w:footer="0" w:header="0"/>
        </w:sectPr>
      </w:pPr>
    </w:p>
    <w:bookmarkStart w:id="57" w:name="page58"/>
    <w:bookmarkEnd w:id="57"/>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 LEAR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SALARIED RETIREMENT RESTORATION PROGRAM</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December 31, 2024)</w:t>
      </w:r>
    </w:p>
    <w:p>
      <w:pPr>
        <w:spacing w:after="0" w:line="28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1"/>
          <w:szCs w:val="21"/>
          <w:color w:val="auto"/>
        </w:rPr>
        <w:t>THIS FIRST AMENDMENT to the Lear Corporation Salaried Retirement Restoration Program, effective December 31, 2024 (the “Program”) was approved on September 23, 2026, by the People and Compensation Committee of the Board of Directors of Lear Corporation, pursuant to the authority reserved to it under Article 9.2 of the Program, effective as of September 23,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Article 5.4 of the Plan is hereby deleted and replaced with the following:</w:t>
      </w:r>
    </w:p>
    <w:p>
      <w:pPr>
        <w:spacing w:after="0" w:line="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color w:val="auto"/>
        </w:rPr>
        <w:t>“Vesting. Company Contributions described in Sections 5.1 and 5.2 vest after three (3) years of vesting service (as determined under the Savings Program), measured from a Participant’s commencement of employment with the Company. Notwithstanding the foregoing, if a Participant experiences an involuntary Separation from Service before completing three (3) years of vesting service, the Committee may, in its sole discretion, determine that all or any portion of the Company Contributions described in Sections 5.1 and 5.2 shall become vested as of such Separation from Service. Any such accelerated vesting shall not alter the time or form of payment otherwise applicable under the Participant’s Payment Schedule.</w:t>
      </w:r>
    </w:p>
    <w:p>
      <w:pPr>
        <w:spacing w:after="0" w:line="20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Company Contributions described in Section 5.3 vest according the schedule specified by the Participating Employer on or before the time the contributions are made.</w:t>
      </w:r>
    </w:p>
    <w:p>
      <w:pPr>
        <w:spacing w:after="0" w:line="19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All Accounts become one-hundred percent (100%) vested, if while employed by an Employer, a Participant dies, incurs a Disability or the Participant attains age 65.”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Except to the extent hereby amended, the Program shall remain in full force and effect.</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E. Scott, certify that:</w:t>
      </w:r>
    </w:p>
    <w:p>
      <w:pPr>
        <w:spacing w:after="0" w:line="252"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ectPr>
          <w:pgSz w:w="11900" w:h="16838" w:orient="portrait"/>
          <w:cols w:equalWidth="0" w:num="1">
            <w:col w:w="11240"/>
          </w:cols>
          <w:pgMar w:left="320" w:top="109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 Cardew, certify that:</w:t>
      </w:r>
    </w:p>
    <w:p>
      <w:pPr>
        <w:spacing w:after="0" w:line="252"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320"/>
        <w:spacing w:after="0"/>
        <w:tabs>
          <w:tab w:leader="none" w:pos="1860" w:val="left"/>
          <w:tab w:leader="none" w:pos="3720" w:val="left"/>
          <w:tab w:leader="none" w:pos="624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34290</wp:posOffset>
            </wp:positionV>
            <wp:extent cx="3600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43"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09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October 3, 2026,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24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Signed:</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Raymond E. Scott</w:t>
            </w:r>
          </w:p>
        </w:tc>
      </w:tr>
      <w:tr>
        <w:trPr>
          <w:trHeight w:val="218"/>
        </w:trPr>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9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October 3, 2026,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tabs>
          <w:tab w:leader="none" w:pos="660" w:val="left"/>
          <w:tab w:leader="none" w:pos="5200" w:val="left"/>
          <w:tab w:leader="none" w:pos="740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6403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2026-10-30T08:15:16Z</dcterms:created>
  <dcterms:modified xsi:type="dcterms:W3CDTF">2026-10-30T08:15:16Z</dcterms:modified>
</cp:coreProperties>
</file>