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Lear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0"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208" w:gutter="0" w:footer="0" w:header="0"/>
        </w:sectPr>
      </w:pPr>
    </w:p>
    <w:bookmarkStart w:id="1" w:name="page2"/>
    <w:bookmarkEnd w:id="1"/>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205740</wp:posOffset>
            </wp:positionV>
            <wp:extent cx="165544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554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21557 Telegraph Road</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Southfield, Michigan 48033</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30, 2018</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Dear Stockholder:</w:t>
      </w:r>
    </w:p>
    <w:p>
      <w:pPr>
        <w:spacing w:after="0" w:line="113" w:lineRule="exact"/>
        <w:rPr>
          <w:sz w:val="20"/>
          <w:szCs w:val="20"/>
          <w:color w:val="auto"/>
        </w:rPr>
      </w:pPr>
    </w:p>
    <w:p>
      <w:pPr>
        <w:ind w:left="200" w:right="340"/>
        <w:spacing w:after="0" w:line="253" w:lineRule="auto"/>
        <w:rPr>
          <w:sz w:val="20"/>
          <w:szCs w:val="20"/>
          <w:color w:val="auto"/>
        </w:rPr>
      </w:pPr>
      <w:r>
        <w:rPr>
          <w:rFonts w:ascii="Arial" w:cs="Arial" w:eastAsia="Arial" w:hAnsi="Arial"/>
          <w:sz w:val="16"/>
          <w:szCs w:val="16"/>
          <w:color w:val="auto"/>
        </w:rPr>
        <w:t>On behalf of the Board of Directors of Lear Corporation, you are cordially invited to attend the 2018 Annual Meeting of Stockholders (the “Annual Meeting”) to be held on May 17, 2018, at 9:00 a.m. (Eastern Time) at Lear Corporation’s Corporate Headquarters, 21557 Telegraph Road, Southfield, Michigan 48033.</w:t>
      </w:r>
    </w:p>
    <w:p>
      <w:pPr>
        <w:spacing w:after="0" w:line="93" w:lineRule="exact"/>
        <w:rPr>
          <w:sz w:val="20"/>
          <w:szCs w:val="20"/>
          <w:color w:val="auto"/>
        </w:rPr>
      </w:pPr>
    </w:p>
    <w:p>
      <w:pPr>
        <w:ind w:left="200" w:right="140"/>
        <w:spacing w:after="0" w:line="253" w:lineRule="auto"/>
        <w:rPr>
          <w:sz w:val="20"/>
          <w:szCs w:val="20"/>
          <w:color w:val="auto"/>
        </w:rPr>
      </w:pPr>
      <w:r>
        <w:rPr>
          <w:rFonts w:ascii="Arial" w:cs="Arial" w:eastAsia="Arial" w:hAnsi="Arial"/>
          <w:sz w:val="16"/>
          <w:szCs w:val="16"/>
          <w:color w:val="auto"/>
        </w:rPr>
        <w:t>We have included with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w:t>
      </w:r>
    </w:p>
    <w:p>
      <w:pPr>
        <w:spacing w:after="0" w:line="93" w:lineRule="exact"/>
        <w:rPr>
          <w:sz w:val="20"/>
          <w:szCs w:val="20"/>
          <w:color w:val="auto"/>
        </w:rPr>
      </w:pPr>
    </w:p>
    <w:p>
      <w:pPr>
        <w:ind w:left="200" w:right="100"/>
        <w:spacing w:after="0" w:line="251" w:lineRule="auto"/>
        <w:rPr>
          <w:sz w:val="20"/>
          <w:szCs w:val="20"/>
          <w:color w:val="auto"/>
        </w:rPr>
      </w:pPr>
      <w:r>
        <w:rPr>
          <w:rFonts w:ascii="Arial" w:cs="Arial" w:eastAsia="Arial" w:hAnsi="Arial"/>
          <w:sz w:val="16"/>
          <w:szCs w:val="16"/>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lowers the cost and environmental impact of our Annual Meeting. On or about April 6, 2018, we will mail to our stockholders a notice containing instructions on how to access our proxy materials. In addition, the notice includes instructions on how you can receive a paper copy of our proxy materials.</w:t>
      </w:r>
    </w:p>
    <w:p>
      <w:pPr>
        <w:spacing w:after="0" w:line="95" w:lineRule="exact"/>
        <w:rPr>
          <w:sz w:val="20"/>
          <w:szCs w:val="20"/>
          <w:color w:val="auto"/>
        </w:rPr>
      </w:pPr>
    </w:p>
    <w:p>
      <w:pPr>
        <w:ind w:left="200" w:right="320"/>
        <w:spacing w:after="0" w:line="253" w:lineRule="auto"/>
        <w:rPr>
          <w:sz w:val="20"/>
          <w:szCs w:val="20"/>
          <w:color w:val="auto"/>
        </w:rPr>
      </w:pPr>
      <w:r>
        <w:rPr>
          <w:rFonts w:ascii="Arial" w:cs="Arial" w:eastAsia="Arial" w:hAnsi="Arial"/>
          <w:sz w:val="16"/>
          <w:szCs w:val="16"/>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and to transact any other business properly brought before the meeting.</w:t>
      </w:r>
    </w:p>
    <w:p>
      <w:pPr>
        <w:spacing w:after="0" w:line="93"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auto"/>
        </w:rPr>
        <w:t xml:space="preserve">Whether or not you plan to attend the Annual Meeting, your vote is important, and we encourage you to vote promptly. You may vote your shares through one of the methods described in the enclosed proxy statement. </w:t>
      </w:r>
      <w:r>
        <w:rPr>
          <w:rFonts w:ascii="Arial" w:cs="Arial" w:eastAsia="Arial" w:hAnsi="Arial"/>
          <w:sz w:val="16"/>
          <w:szCs w:val="16"/>
          <w:b w:val="1"/>
          <w:bCs w:val="1"/>
          <w:color w:val="auto"/>
        </w:rPr>
        <w:t>We strongly urge you to read the accompanying proxy statement carefully and to</w:t>
      </w:r>
      <w:r>
        <w:rPr>
          <w:rFonts w:ascii="Arial" w:cs="Arial" w:eastAsia="Arial" w:hAnsi="Arial"/>
          <w:sz w:val="16"/>
          <w:szCs w:val="16"/>
          <w:color w:val="auto"/>
        </w:rPr>
        <w:t xml:space="preserve"> </w:t>
      </w:r>
      <w:r>
        <w:rPr>
          <w:rFonts w:ascii="Arial" w:cs="Arial" w:eastAsia="Arial" w:hAnsi="Arial"/>
          <w:sz w:val="16"/>
          <w:szCs w:val="16"/>
          <w:b w:val="1"/>
          <w:bCs w:val="1"/>
          <w:color w:val="auto"/>
        </w:rPr>
        <w:t>vote FOR the nominees proposed by the Board of Directors and in accordance with the recommendations of the Board of Directors on the other proposals by following the voting instructions contained in the proxy statement.</w:t>
      </w:r>
    </w:p>
    <w:p>
      <w:pPr>
        <w:spacing w:after="0" w:line="2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113665</wp:posOffset>
            </wp:positionV>
            <wp:extent cx="120904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9040" cy="4629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Henry D.G. Wallace</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Raymond E. Scott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Chief 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Officer and Director</w:t>
      </w:r>
    </w:p>
    <w:p>
      <w:pPr>
        <w:spacing w:after="0" w:line="127" w:lineRule="exact"/>
        <w:rPr>
          <w:sz w:val="20"/>
          <w:szCs w:val="20"/>
          <w:color w:val="auto"/>
        </w:rPr>
      </w:pPr>
    </w:p>
    <w:p>
      <w:pPr>
        <w:sectPr>
          <w:pgSz w:w="11900" w:h="16838" w:orient="portrait"/>
          <w:cols w:equalWidth="0" w:num="2">
            <w:col w:w="5320" w:space="720"/>
            <w:col w:w="51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This proxy statement is dated March 30, 2018 and is first being made available to stockholders via the Internet on or about April 6, 2018.</w:t>
      </w:r>
    </w:p>
    <w:p>
      <w:pPr>
        <w:sectPr>
          <w:pgSz w:w="11900" w:h="16838" w:orient="portrait"/>
          <w:cols w:equalWidth="0" w:num="1">
            <w:col w:w="11220"/>
          </w:cols>
          <w:pgMar w:left="24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205740</wp:posOffset>
            </wp:positionV>
            <wp:extent cx="1655445"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54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00" w:type="dxa"/>
            <w:vAlign w:val="bottom"/>
          </w:tcPr>
          <w:p>
            <w:pPr>
              <w:jc w:val="center"/>
              <w:ind w:right="2979"/>
              <w:spacing w:after="0"/>
              <w:rPr>
                <w:sz w:val="20"/>
                <w:szCs w:val="20"/>
                <w:color w:val="auto"/>
              </w:rPr>
            </w:pPr>
            <w:r>
              <w:rPr>
                <w:rFonts w:ascii="Arial" w:cs="Arial" w:eastAsia="Arial" w:hAnsi="Arial"/>
                <w:sz w:val="16"/>
                <w:szCs w:val="16"/>
                <w:color w:val="auto"/>
              </w:rPr>
              <w:t>21557 Telegraph Road</w:t>
            </w:r>
          </w:p>
        </w:tc>
      </w:tr>
      <w:tr>
        <w:trPr>
          <w:trHeight w:val="195"/>
        </w:trPr>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00" w:type="dxa"/>
            <w:vAlign w:val="bottom"/>
          </w:tcPr>
          <w:p>
            <w:pPr>
              <w:jc w:val="center"/>
              <w:ind w:right="2979"/>
              <w:spacing w:after="0"/>
              <w:rPr>
                <w:sz w:val="20"/>
                <w:szCs w:val="20"/>
                <w:color w:val="auto"/>
              </w:rPr>
            </w:pPr>
            <w:r>
              <w:rPr>
                <w:rFonts w:ascii="Arial" w:cs="Arial" w:eastAsia="Arial" w:hAnsi="Arial"/>
                <w:sz w:val="16"/>
                <w:szCs w:val="16"/>
                <w:color w:val="auto"/>
              </w:rPr>
              <w:t>Southfield, Michigan 48033</w:t>
            </w:r>
          </w:p>
        </w:tc>
      </w:tr>
      <w:tr>
        <w:trPr>
          <w:trHeight w:val="405"/>
        </w:trPr>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900" w:type="dxa"/>
            <w:vAlign w:val="bottom"/>
          </w:tcPr>
          <w:p>
            <w:pPr>
              <w:jc w:val="center"/>
              <w:ind w:right="2999"/>
              <w:spacing w:after="0"/>
              <w:rPr>
                <w:sz w:val="20"/>
                <w:szCs w:val="20"/>
                <w:color w:val="auto"/>
              </w:rPr>
            </w:pPr>
            <w:r>
              <w:rPr>
                <w:rFonts w:ascii="Arial" w:cs="Arial" w:eastAsia="Arial" w:hAnsi="Arial"/>
                <w:sz w:val="16"/>
                <w:szCs w:val="16"/>
                <w:b w:val="1"/>
                <w:bCs w:val="1"/>
                <w:color w:val="auto"/>
              </w:rPr>
              <w:t>NOTICE OF ANNUAL MEETING OF STOCKHOLDERS</w:t>
            </w:r>
          </w:p>
        </w:tc>
      </w:tr>
      <w:tr>
        <w:trPr>
          <w:trHeight w:val="432"/>
        </w:trPr>
        <w:tc>
          <w:tcPr>
            <w:tcW w:w="2160" w:type="dxa"/>
            <w:vAlign w:val="bottom"/>
          </w:tcPr>
          <w:p>
            <w:pPr>
              <w:spacing w:after="0"/>
              <w:rPr>
                <w:sz w:val="20"/>
                <w:szCs w:val="20"/>
                <w:color w:val="auto"/>
              </w:rPr>
            </w:pPr>
            <w:r>
              <w:rPr>
                <w:rFonts w:ascii="Arial" w:cs="Arial" w:eastAsia="Arial" w:hAnsi="Arial"/>
                <w:sz w:val="16"/>
                <w:szCs w:val="16"/>
                <w:b w:val="1"/>
                <w:bCs w:val="1"/>
                <w:i w:val="1"/>
                <w:iCs w:val="1"/>
                <w:color w:val="auto"/>
              </w:rPr>
              <w:t>Time and Date:</w:t>
            </w:r>
          </w:p>
        </w:tc>
        <w:tc>
          <w:tcPr>
            <w:tcW w:w="8840" w:type="dxa"/>
            <w:vAlign w:val="bottom"/>
            <w:gridSpan w:val="2"/>
          </w:tcPr>
          <w:p>
            <w:pPr>
              <w:ind w:left="720"/>
              <w:spacing w:after="0"/>
              <w:rPr>
                <w:sz w:val="20"/>
                <w:szCs w:val="20"/>
                <w:color w:val="auto"/>
              </w:rPr>
            </w:pPr>
            <w:r>
              <w:rPr>
                <w:rFonts w:ascii="Arial" w:cs="Arial" w:eastAsia="Arial" w:hAnsi="Arial"/>
                <w:sz w:val="16"/>
                <w:szCs w:val="16"/>
                <w:color w:val="auto"/>
              </w:rPr>
              <w:t>Thursday, May 17, 2018 at 9:00 a.m. (Eastern Time)</w:t>
            </w:r>
          </w:p>
        </w:tc>
      </w:tr>
      <w:tr>
        <w:trPr>
          <w:trHeight w:val="297"/>
        </w:trPr>
        <w:tc>
          <w:tcPr>
            <w:tcW w:w="2160" w:type="dxa"/>
            <w:vAlign w:val="bottom"/>
          </w:tcPr>
          <w:p>
            <w:pPr>
              <w:spacing w:after="0"/>
              <w:rPr>
                <w:sz w:val="20"/>
                <w:szCs w:val="20"/>
                <w:color w:val="auto"/>
              </w:rPr>
            </w:pPr>
            <w:r>
              <w:rPr>
                <w:rFonts w:ascii="Arial" w:cs="Arial" w:eastAsia="Arial" w:hAnsi="Arial"/>
                <w:sz w:val="16"/>
                <w:szCs w:val="16"/>
                <w:b w:val="1"/>
                <w:bCs w:val="1"/>
                <w:i w:val="1"/>
                <w:iCs w:val="1"/>
                <w:color w:val="auto"/>
              </w:rPr>
              <w:t>Place:</w:t>
            </w:r>
          </w:p>
        </w:tc>
        <w:tc>
          <w:tcPr>
            <w:tcW w:w="8840" w:type="dxa"/>
            <w:vAlign w:val="bottom"/>
            <w:gridSpan w:val="2"/>
          </w:tcPr>
          <w:p>
            <w:pPr>
              <w:ind w:left="720"/>
              <w:spacing w:after="0"/>
              <w:rPr>
                <w:sz w:val="20"/>
                <w:szCs w:val="20"/>
                <w:color w:val="auto"/>
              </w:rPr>
            </w:pPr>
            <w:r>
              <w:rPr>
                <w:rFonts w:ascii="Arial" w:cs="Arial" w:eastAsia="Arial" w:hAnsi="Arial"/>
                <w:sz w:val="16"/>
                <w:szCs w:val="16"/>
                <w:color w:val="auto"/>
              </w:rPr>
              <w:t>Lear Corporation’s Corporate Headquarters</w:t>
            </w:r>
          </w:p>
        </w:tc>
      </w:tr>
      <w:tr>
        <w:trPr>
          <w:trHeight w:val="295"/>
        </w:trPr>
        <w:tc>
          <w:tcPr>
            <w:tcW w:w="2160" w:type="dxa"/>
            <w:vAlign w:val="bottom"/>
          </w:tcPr>
          <w:p>
            <w:pPr>
              <w:spacing w:after="0"/>
              <w:rPr>
                <w:sz w:val="24"/>
                <w:szCs w:val="24"/>
                <w:color w:val="auto"/>
              </w:rPr>
            </w:pPr>
          </w:p>
        </w:tc>
        <w:tc>
          <w:tcPr>
            <w:tcW w:w="8840" w:type="dxa"/>
            <w:vAlign w:val="bottom"/>
            <w:gridSpan w:val="2"/>
          </w:tcPr>
          <w:p>
            <w:pPr>
              <w:ind w:left="720"/>
              <w:spacing w:after="0"/>
              <w:rPr>
                <w:sz w:val="20"/>
                <w:szCs w:val="20"/>
                <w:color w:val="auto"/>
              </w:rPr>
            </w:pPr>
            <w:r>
              <w:rPr>
                <w:rFonts w:ascii="Arial" w:cs="Arial" w:eastAsia="Arial" w:hAnsi="Arial"/>
                <w:sz w:val="15"/>
                <w:szCs w:val="15"/>
                <w:color w:val="auto"/>
              </w:rPr>
              <w:t>21557 Telegraph Road</w:t>
            </w:r>
          </w:p>
        </w:tc>
      </w:tr>
      <w:tr>
        <w:trPr>
          <w:trHeight w:val="299"/>
        </w:trPr>
        <w:tc>
          <w:tcPr>
            <w:tcW w:w="2160" w:type="dxa"/>
            <w:vAlign w:val="bottom"/>
          </w:tcPr>
          <w:p>
            <w:pPr>
              <w:spacing w:after="0"/>
              <w:rPr>
                <w:sz w:val="24"/>
                <w:szCs w:val="24"/>
                <w:color w:val="auto"/>
              </w:rPr>
            </w:pPr>
          </w:p>
        </w:tc>
        <w:tc>
          <w:tcPr>
            <w:tcW w:w="8840" w:type="dxa"/>
            <w:vAlign w:val="bottom"/>
            <w:gridSpan w:val="2"/>
          </w:tcPr>
          <w:p>
            <w:pPr>
              <w:ind w:left="720"/>
              <w:spacing w:after="0"/>
              <w:rPr>
                <w:sz w:val="20"/>
                <w:szCs w:val="20"/>
                <w:color w:val="auto"/>
              </w:rPr>
            </w:pPr>
            <w:r>
              <w:rPr>
                <w:rFonts w:ascii="Arial" w:cs="Arial" w:eastAsia="Arial" w:hAnsi="Arial"/>
                <w:sz w:val="16"/>
                <w:szCs w:val="16"/>
                <w:color w:val="auto"/>
              </w:rPr>
              <w:t>Southfield, Michigan 48033</w:t>
            </w:r>
          </w:p>
        </w:tc>
      </w:tr>
      <w:tr>
        <w:trPr>
          <w:trHeight w:val="311"/>
        </w:trPr>
        <w:tc>
          <w:tcPr>
            <w:tcW w:w="2160" w:type="dxa"/>
            <w:vAlign w:val="bottom"/>
          </w:tcPr>
          <w:p>
            <w:pPr>
              <w:spacing w:after="0"/>
              <w:rPr>
                <w:sz w:val="20"/>
                <w:szCs w:val="20"/>
                <w:color w:val="auto"/>
              </w:rPr>
            </w:pPr>
            <w:r>
              <w:rPr>
                <w:rFonts w:ascii="Arial" w:cs="Arial" w:eastAsia="Arial" w:hAnsi="Arial"/>
                <w:sz w:val="16"/>
                <w:szCs w:val="16"/>
                <w:b w:val="1"/>
                <w:bCs w:val="1"/>
                <w:i w:val="1"/>
                <w:iCs w:val="1"/>
                <w:color w:val="auto"/>
              </w:rPr>
              <w:t>Record Date:</w:t>
            </w:r>
          </w:p>
        </w:tc>
        <w:tc>
          <w:tcPr>
            <w:tcW w:w="8840" w:type="dxa"/>
            <w:vAlign w:val="bottom"/>
            <w:gridSpan w:val="2"/>
          </w:tcPr>
          <w:p>
            <w:pPr>
              <w:ind w:left="720"/>
              <w:spacing w:after="0"/>
              <w:rPr>
                <w:sz w:val="20"/>
                <w:szCs w:val="20"/>
                <w:color w:val="auto"/>
              </w:rPr>
            </w:pPr>
            <w:r>
              <w:rPr>
                <w:rFonts w:ascii="Arial" w:cs="Arial" w:eastAsia="Arial" w:hAnsi="Arial"/>
                <w:sz w:val="16"/>
                <w:szCs w:val="16"/>
                <w:color w:val="auto"/>
              </w:rPr>
              <w:t>March 22, 2018</w:t>
            </w:r>
          </w:p>
        </w:tc>
      </w:tr>
      <w:tr>
        <w:trPr>
          <w:trHeight w:val="292"/>
        </w:trPr>
        <w:tc>
          <w:tcPr>
            <w:tcW w:w="2160" w:type="dxa"/>
            <w:vAlign w:val="bottom"/>
          </w:tcPr>
          <w:p>
            <w:pPr>
              <w:spacing w:after="0"/>
              <w:rPr>
                <w:sz w:val="20"/>
                <w:szCs w:val="20"/>
                <w:color w:val="auto"/>
              </w:rPr>
            </w:pPr>
            <w:r>
              <w:rPr>
                <w:rFonts w:ascii="Arial" w:cs="Arial" w:eastAsia="Arial" w:hAnsi="Arial"/>
                <w:sz w:val="16"/>
                <w:szCs w:val="16"/>
                <w:b w:val="1"/>
                <w:bCs w:val="1"/>
                <w:i w:val="1"/>
                <w:iCs w:val="1"/>
                <w:color w:val="auto"/>
              </w:rPr>
              <w:t>Items of Business:</w:t>
            </w:r>
          </w:p>
        </w:tc>
        <w:tc>
          <w:tcPr>
            <w:tcW w:w="940" w:type="dxa"/>
            <w:vAlign w:val="bottom"/>
          </w:tcPr>
          <w:p>
            <w:pPr>
              <w:ind w:left="720"/>
              <w:spacing w:after="0"/>
              <w:rPr>
                <w:sz w:val="20"/>
                <w:szCs w:val="20"/>
                <w:color w:val="auto"/>
              </w:rPr>
            </w:pPr>
            <w:r>
              <w:rPr>
                <w:rFonts w:ascii="Arial" w:cs="Arial" w:eastAsia="Arial" w:hAnsi="Arial"/>
                <w:sz w:val="16"/>
                <w:szCs w:val="16"/>
                <w:color w:val="auto"/>
              </w:rPr>
              <w:t>1.</w:t>
            </w:r>
          </w:p>
        </w:tc>
        <w:tc>
          <w:tcPr>
            <w:tcW w:w="7900" w:type="dxa"/>
            <w:vAlign w:val="bottom"/>
          </w:tcPr>
          <w:p>
            <w:pPr>
              <w:ind w:left="100"/>
              <w:spacing w:after="0"/>
              <w:rPr>
                <w:sz w:val="20"/>
                <w:szCs w:val="20"/>
                <w:color w:val="auto"/>
              </w:rPr>
            </w:pPr>
            <w:r>
              <w:rPr>
                <w:rFonts w:ascii="Arial" w:cs="Arial" w:eastAsia="Arial" w:hAnsi="Arial"/>
                <w:sz w:val="16"/>
                <w:szCs w:val="16"/>
                <w:color w:val="auto"/>
              </w:rPr>
              <w:t>To elect the following nine nominees to the Board of Directors: Richard H. Bott, Thomas P. Capo, Jonathan F.</w:t>
            </w:r>
          </w:p>
        </w:tc>
      </w:tr>
      <w:tr>
        <w:trPr>
          <w:trHeight w:val="189"/>
        </w:trPr>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00" w:type="dxa"/>
            <w:vAlign w:val="bottom"/>
          </w:tcPr>
          <w:p>
            <w:pPr>
              <w:ind w:left="100"/>
              <w:spacing w:after="0"/>
              <w:rPr>
                <w:sz w:val="20"/>
                <w:szCs w:val="20"/>
                <w:color w:val="auto"/>
              </w:rPr>
            </w:pPr>
            <w:r>
              <w:rPr>
                <w:rFonts w:ascii="Arial" w:cs="Arial" w:eastAsia="Arial" w:hAnsi="Arial"/>
                <w:sz w:val="16"/>
                <w:szCs w:val="16"/>
                <w:color w:val="auto"/>
              </w:rPr>
              <w:t>Foster, Mary Lou Jepsen, Kathleen A. Ligocki, Conrad L. Mallett, Jr., Raymond E. Scott, Gregory C. Smith</w:t>
            </w:r>
          </w:p>
        </w:tc>
      </w:tr>
      <w:tr>
        <w:trPr>
          <w:trHeight w:val="189"/>
        </w:trPr>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00" w:type="dxa"/>
            <w:vAlign w:val="bottom"/>
          </w:tcPr>
          <w:p>
            <w:pPr>
              <w:ind w:left="100"/>
              <w:spacing w:after="0"/>
              <w:rPr>
                <w:sz w:val="20"/>
                <w:szCs w:val="20"/>
                <w:color w:val="auto"/>
              </w:rPr>
            </w:pPr>
            <w:r>
              <w:rPr>
                <w:rFonts w:ascii="Arial" w:cs="Arial" w:eastAsia="Arial" w:hAnsi="Arial"/>
                <w:sz w:val="16"/>
                <w:szCs w:val="16"/>
                <w:color w:val="auto"/>
              </w:rPr>
              <w:t>and Henry D.G. Wallace;</w:t>
            </w:r>
          </w:p>
        </w:tc>
      </w:tr>
      <w:tr>
        <w:trPr>
          <w:trHeight w:val="189"/>
        </w:trPr>
        <w:tc>
          <w:tcPr>
            <w:tcW w:w="216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2.</w:t>
            </w:r>
          </w:p>
        </w:tc>
        <w:tc>
          <w:tcPr>
            <w:tcW w:w="7900" w:type="dxa"/>
            <w:vAlign w:val="bottom"/>
          </w:tcPr>
          <w:p>
            <w:pPr>
              <w:ind w:left="100"/>
              <w:spacing w:after="0"/>
              <w:rPr>
                <w:sz w:val="20"/>
                <w:szCs w:val="20"/>
                <w:color w:val="auto"/>
              </w:rPr>
            </w:pPr>
            <w:r>
              <w:rPr>
                <w:rFonts w:ascii="Arial" w:cs="Arial" w:eastAsia="Arial" w:hAnsi="Arial"/>
                <w:sz w:val="16"/>
                <w:szCs w:val="16"/>
                <w:color w:val="auto"/>
              </w:rPr>
              <w:t>To ratify the retention of Ernst &amp; Young LLP as the Company’s registered public accounting firm for 2018;</w:t>
            </w:r>
          </w:p>
        </w:tc>
      </w:tr>
      <w:tr>
        <w:trPr>
          <w:trHeight w:val="189"/>
        </w:trPr>
        <w:tc>
          <w:tcPr>
            <w:tcW w:w="216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3.</w:t>
            </w:r>
          </w:p>
        </w:tc>
        <w:tc>
          <w:tcPr>
            <w:tcW w:w="7900" w:type="dxa"/>
            <w:vAlign w:val="bottom"/>
          </w:tcPr>
          <w:p>
            <w:pPr>
              <w:ind w:left="100"/>
              <w:spacing w:after="0"/>
              <w:rPr>
                <w:sz w:val="20"/>
                <w:szCs w:val="20"/>
                <w:color w:val="auto"/>
              </w:rPr>
            </w:pPr>
            <w:r>
              <w:rPr>
                <w:rFonts w:ascii="Arial" w:cs="Arial" w:eastAsia="Arial" w:hAnsi="Arial"/>
                <w:sz w:val="16"/>
                <w:szCs w:val="16"/>
                <w:color w:val="auto"/>
              </w:rPr>
              <w:t>To approve, in a non-binding advisory vote, executive compensation; and</w:t>
            </w:r>
          </w:p>
        </w:tc>
      </w:tr>
      <w:tr>
        <w:trPr>
          <w:trHeight w:val="195"/>
        </w:trPr>
        <w:tc>
          <w:tcPr>
            <w:tcW w:w="216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4.</w:t>
            </w:r>
          </w:p>
        </w:tc>
        <w:tc>
          <w:tcPr>
            <w:tcW w:w="7900" w:type="dxa"/>
            <w:vAlign w:val="bottom"/>
          </w:tcPr>
          <w:p>
            <w:pPr>
              <w:ind w:left="100"/>
              <w:spacing w:after="0"/>
              <w:rPr>
                <w:sz w:val="20"/>
                <w:szCs w:val="20"/>
                <w:color w:val="auto"/>
              </w:rPr>
            </w:pPr>
            <w:r>
              <w:rPr>
                <w:rFonts w:ascii="Arial" w:cs="Arial" w:eastAsia="Arial" w:hAnsi="Arial"/>
                <w:sz w:val="16"/>
                <w:szCs w:val="16"/>
                <w:color w:val="auto"/>
              </w:rPr>
              <w:t>To conduct any other business properly brought before the Annual Meeting or any postponement thereof.</w:t>
            </w:r>
          </w:p>
        </w:tc>
      </w:tr>
      <w:tr>
        <w:trPr>
          <w:trHeight w:val="285"/>
        </w:trPr>
        <w:tc>
          <w:tcPr>
            <w:tcW w:w="2160" w:type="dxa"/>
            <w:vAlign w:val="bottom"/>
          </w:tcPr>
          <w:p>
            <w:pPr>
              <w:spacing w:after="0"/>
              <w:rPr>
                <w:sz w:val="20"/>
                <w:szCs w:val="20"/>
                <w:color w:val="auto"/>
              </w:rPr>
            </w:pPr>
            <w:r>
              <w:rPr>
                <w:rFonts w:ascii="Arial" w:cs="Arial" w:eastAsia="Arial" w:hAnsi="Arial"/>
                <w:sz w:val="16"/>
                <w:szCs w:val="16"/>
                <w:b w:val="1"/>
                <w:bCs w:val="1"/>
                <w:i w:val="1"/>
                <w:iCs w:val="1"/>
                <w:color w:val="auto"/>
              </w:rPr>
              <w:t>Proxy Voting:</w:t>
            </w:r>
          </w:p>
        </w:tc>
        <w:tc>
          <w:tcPr>
            <w:tcW w:w="8840" w:type="dxa"/>
            <w:vAlign w:val="bottom"/>
            <w:gridSpan w:val="2"/>
          </w:tcPr>
          <w:p>
            <w:pPr>
              <w:ind w:left="720"/>
              <w:spacing w:after="0"/>
              <w:rPr>
                <w:sz w:val="20"/>
                <w:szCs w:val="20"/>
                <w:color w:val="auto"/>
              </w:rPr>
            </w:pPr>
            <w:r>
              <w:rPr>
                <w:rFonts w:ascii="Arial" w:cs="Arial" w:eastAsia="Arial" w:hAnsi="Arial"/>
                <w:sz w:val="16"/>
                <w:szCs w:val="16"/>
                <w:b w:val="1"/>
                <w:bCs w:val="1"/>
                <w:color w:val="auto"/>
              </w:rPr>
              <w:t>YOUR VOTE IS IMPORTANT. WHETHER OR NOT YOU PLAN TO ATTEND THE ANNUAL MEETING,</w:t>
            </w:r>
          </w:p>
        </w:tc>
      </w:tr>
      <w:tr>
        <w:trPr>
          <w:trHeight w:val="189"/>
        </w:trPr>
        <w:tc>
          <w:tcPr>
            <w:tcW w:w="2160" w:type="dxa"/>
            <w:vAlign w:val="bottom"/>
          </w:tcPr>
          <w:p>
            <w:pPr>
              <w:spacing w:after="0"/>
              <w:rPr>
                <w:sz w:val="16"/>
                <w:szCs w:val="16"/>
                <w:color w:val="auto"/>
              </w:rPr>
            </w:pPr>
          </w:p>
        </w:tc>
        <w:tc>
          <w:tcPr>
            <w:tcW w:w="8840" w:type="dxa"/>
            <w:vAlign w:val="bottom"/>
            <w:gridSpan w:val="2"/>
          </w:tcPr>
          <w:p>
            <w:pPr>
              <w:ind w:left="720"/>
              <w:spacing w:after="0"/>
              <w:rPr>
                <w:sz w:val="20"/>
                <w:szCs w:val="20"/>
                <w:color w:val="auto"/>
              </w:rPr>
            </w:pPr>
            <w:r>
              <w:rPr>
                <w:rFonts w:ascii="Arial" w:cs="Arial" w:eastAsia="Arial" w:hAnsi="Arial"/>
                <w:sz w:val="16"/>
                <w:szCs w:val="16"/>
                <w:b w:val="1"/>
                <w:bCs w:val="1"/>
                <w:color w:val="auto"/>
              </w:rPr>
              <w:t>PLEASE VOTE YOUR SHARES OVER THE TELEPHONE, VIA THE INTERNET OR BY COMPLETING,</w:t>
            </w:r>
          </w:p>
        </w:tc>
      </w:tr>
      <w:tr>
        <w:trPr>
          <w:trHeight w:val="189"/>
        </w:trPr>
        <w:tc>
          <w:tcPr>
            <w:tcW w:w="2160" w:type="dxa"/>
            <w:vAlign w:val="bottom"/>
          </w:tcPr>
          <w:p>
            <w:pPr>
              <w:spacing w:after="0"/>
              <w:rPr>
                <w:sz w:val="16"/>
                <w:szCs w:val="16"/>
                <w:color w:val="auto"/>
              </w:rPr>
            </w:pPr>
          </w:p>
        </w:tc>
        <w:tc>
          <w:tcPr>
            <w:tcW w:w="8840" w:type="dxa"/>
            <w:vAlign w:val="bottom"/>
            <w:gridSpan w:val="2"/>
          </w:tcPr>
          <w:p>
            <w:pPr>
              <w:ind w:left="720"/>
              <w:spacing w:after="0"/>
              <w:rPr>
                <w:sz w:val="20"/>
                <w:szCs w:val="20"/>
                <w:color w:val="auto"/>
              </w:rPr>
            </w:pPr>
            <w:r>
              <w:rPr>
                <w:rFonts w:ascii="Arial" w:cs="Arial" w:eastAsia="Arial" w:hAnsi="Arial"/>
                <w:sz w:val="16"/>
                <w:szCs w:val="16"/>
                <w:b w:val="1"/>
                <w:bCs w:val="1"/>
                <w:color w:val="auto"/>
              </w:rPr>
              <w:t>DATING, SIGNING AND RETURNING A PROXY CARD, AS DESCRIBED IN THE PROXY STATEMENT. YOUR</w:t>
            </w:r>
          </w:p>
        </w:tc>
      </w:tr>
      <w:tr>
        <w:trPr>
          <w:trHeight w:val="215"/>
        </w:trPr>
        <w:tc>
          <w:tcPr>
            <w:tcW w:w="2160" w:type="dxa"/>
            <w:vAlign w:val="bottom"/>
          </w:tcPr>
          <w:p>
            <w:pPr>
              <w:spacing w:after="0"/>
              <w:rPr>
                <w:sz w:val="18"/>
                <w:szCs w:val="18"/>
                <w:color w:val="auto"/>
              </w:rPr>
            </w:pPr>
          </w:p>
        </w:tc>
        <w:tc>
          <w:tcPr>
            <w:tcW w:w="8840" w:type="dxa"/>
            <w:vAlign w:val="bottom"/>
            <w:gridSpan w:val="2"/>
          </w:tcPr>
          <w:p>
            <w:pPr>
              <w:ind w:left="720"/>
              <w:spacing w:after="0"/>
              <w:rPr>
                <w:sz w:val="20"/>
                <w:szCs w:val="20"/>
                <w:color w:val="auto"/>
              </w:rPr>
            </w:pPr>
            <w:r>
              <w:rPr>
                <w:rFonts w:ascii="Arial" w:cs="Arial" w:eastAsia="Arial" w:hAnsi="Arial"/>
                <w:sz w:val="16"/>
                <w:szCs w:val="16"/>
                <w:b w:val="1"/>
                <w:bCs w:val="1"/>
                <w:color w:val="auto"/>
              </w:rPr>
              <w:t>PROMPT COOPERATION IS GREATLY APPRECIATED.</w:t>
            </w:r>
          </w:p>
        </w:tc>
      </w:tr>
    </w:tbl>
    <w:p>
      <w:pPr>
        <w:spacing w:after="0" w:line="238"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113665</wp:posOffset>
            </wp:positionV>
            <wp:extent cx="1800860"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8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Terrence B. Larkin</w:t>
      </w:r>
    </w:p>
    <w:p>
      <w:pPr>
        <w:spacing w:after="0" w:line="5" w:lineRule="exact"/>
        <w:rPr>
          <w:sz w:val="20"/>
          <w:szCs w:val="20"/>
          <w:color w:val="auto"/>
        </w:rPr>
      </w:pPr>
    </w:p>
    <w:p>
      <w:pPr>
        <w:ind w:left="6260"/>
        <w:spacing w:after="0"/>
        <w:rPr>
          <w:sz w:val="20"/>
          <w:szCs w:val="20"/>
          <w:color w:val="auto"/>
        </w:rPr>
      </w:pPr>
      <w:r>
        <w:rPr>
          <w:rFonts w:ascii="Arial" w:cs="Arial" w:eastAsia="Arial" w:hAnsi="Arial"/>
          <w:sz w:val="16"/>
          <w:szCs w:val="16"/>
          <w:i w:val="1"/>
          <w:iCs w:val="1"/>
          <w:color w:val="auto"/>
        </w:rPr>
        <w:t>Executive Vice President, Business Development,</w:t>
      </w:r>
    </w:p>
    <w:p>
      <w:pPr>
        <w:spacing w:after="0" w:line="5" w:lineRule="exact"/>
        <w:rPr>
          <w:sz w:val="20"/>
          <w:szCs w:val="20"/>
          <w:color w:val="auto"/>
        </w:rPr>
      </w:pPr>
    </w:p>
    <w:p>
      <w:pPr>
        <w:ind w:left="6260"/>
        <w:spacing w:after="0"/>
        <w:rPr>
          <w:sz w:val="20"/>
          <w:szCs w:val="20"/>
          <w:color w:val="auto"/>
        </w:rPr>
      </w:pPr>
      <w:r>
        <w:rPr>
          <w:rFonts w:ascii="Arial" w:cs="Arial" w:eastAsia="Arial" w:hAnsi="Arial"/>
          <w:sz w:val="16"/>
          <w:szCs w:val="16"/>
          <w:i w:val="1"/>
          <w:iCs w:val="1"/>
          <w:color w:val="auto"/>
        </w:rPr>
        <w:t>General Counsel and Corporate Secretary</w:t>
      </w:r>
    </w:p>
    <w:p>
      <w:pPr>
        <w:spacing w:after="0" w:line="5"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March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163195</wp:posOffset>
            </wp:positionV>
            <wp:extent cx="7002145" cy="749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749935"/>
                    </a:xfrm>
                    <a:prstGeom prst="rect">
                      <a:avLst/>
                    </a:prstGeom>
                    <a:noFill/>
                  </pic:spPr>
                </pic:pic>
              </a:graphicData>
            </a:graphic>
          </wp:anchor>
        </w:drawing>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Notice of Internet Availability of Proxy Materials</w:t>
      </w:r>
    </w:p>
    <w:p>
      <w:pPr>
        <w:spacing w:after="0" w:line="133" w:lineRule="exact"/>
        <w:rPr>
          <w:sz w:val="20"/>
          <w:szCs w:val="20"/>
          <w:color w:val="auto"/>
        </w:rPr>
      </w:pPr>
    </w:p>
    <w:p>
      <w:pPr>
        <w:ind w:left="320" w:right="320"/>
        <w:spacing w:after="0" w:line="251" w:lineRule="auto"/>
        <w:rPr>
          <w:sz w:val="20"/>
          <w:szCs w:val="20"/>
          <w:color w:val="auto"/>
        </w:rPr>
      </w:pPr>
      <w:r>
        <w:rPr>
          <w:rFonts w:ascii="Arial" w:cs="Arial" w:eastAsia="Arial" w:hAnsi="Arial"/>
          <w:sz w:val="16"/>
          <w:szCs w:val="16"/>
          <w:color w:val="auto"/>
        </w:rPr>
        <w:t>We are making this proxy statement and our annual report available to stockholders electronically via the Internet. On or about April 6, 2018, we will mail to most of our stockholders a notice containing instructions on how to access this proxy statement and our annual report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April 6, 2018.</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E2231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4740" w:type="dxa"/>
            <w:vAlign w:val="bottom"/>
            <w:gridSpan w:val="22"/>
          </w:tcPr>
          <w:p>
            <w:pPr>
              <w:spacing w:after="0"/>
              <w:rPr>
                <w:rFonts w:ascii="Arial" w:cs="Arial" w:eastAsia="Arial" w:hAnsi="Arial"/>
                <w:sz w:val="19"/>
                <w:szCs w:val="19"/>
                <w:b w:val="1"/>
                <w:bCs w:val="1"/>
                <w:color w:val="0000EE"/>
              </w:rPr>
            </w:pPr>
            <w:hyperlink w:anchor="page6">
              <w:r>
                <w:rPr>
                  <w:rFonts w:ascii="Arial" w:cs="Arial" w:eastAsia="Arial" w:hAnsi="Arial"/>
                  <w:sz w:val="19"/>
                  <w:szCs w:val="19"/>
                  <w:b w:val="1"/>
                  <w:bCs w:val="1"/>
                  <w:color w:val="0000EE"/>
                </w:rPr>
                <w:t>2018 PROXY STATEMENT – SUMMARY</w:t>
              </w:r>
            </w:hyperlink>
          </w:p>
        </w:tc>
        <w:tc>
          <w:tcPr>
            <w:tcW w:w="540" w:type="dxa"/>
            <w:vAlign w:val="bottom"/>
          </w:tcPr>
          <w:p>
            <w:pPr>
              <w:jc w:val="right"/>
              <w:ind w:right="68"/>
              <w:spacing w:after="0"/>
              <w:rPr>
                <w:sz w:val="20"/>
                <w:szCs w:val="20"/>
                <w:color w:val="auto"/>
              </w:rPr>
            </w:pPr>
            <w:r>
              <w:rPr>
                <w:rFonts w:ascii="Arial" w:cs="Arial" w:eastAsia="Arial" w:hAnsi="Arial"/>
                <w:sz w:val="19"/>
                <w:szCs w:val="19"/>
                <w:b w:val="1"/>
                <w:bCs w:val="1"/>
                <w:color w:val="auto"/>
              </w:rPr>
              <w:t>1</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740" w:type="dxa"/>
            <w:vAlign w:val="bottom"/>
            <w:gridSpan w:val="22"/>
          </w:tcPr>
          <w:p>
            <w:pPr>
              <w:spacing w:after="0"/>
              <w:rPr>
                <w:rFonts w:ascii="Arial" w:cs="Arial" w:eastAsia="Arial" w:hAnsi="Arial"/>
                <w:sz w:val="19"/>
                <w:szCs w:val="19"/>
                <w:b w:val="1"/>
                <w:bCs w:val="1"/>
                <w:color w:val="0000EE"/>
              </w:rPr>
            </w:pPr>
            <w:hyperlink w:anchor="page7">
              <w:r>
                <w:rPr>
                  <w:rFonts w:ascii="Arial" w:cs="Arial" w:eastAsia="Arial" w:hAnsi="Arial"/>
                  <w:sz w:val="19"/>
                  <w:szCs w:val="19"/>
                  <w:b w:val="1"/>
                  <w:bCs w:val="1"/>
                  <w:color w:val="0000EE"/>
                </w:rPr>
                <w:t>QUESTIONS AND ANSWERS ABOUT THE ANNUAL</w:t>
              </w:r>
            </w:hyperlink>
          </w:p>
        </w:tc>
        <w:tc>
          <w:tcPr>
            <w:tcW w:w="540" w:type="dxa"/>
            <w:vAlign w:val="bottom"/>
            <w:vMerge w:val="restart"/>
          </w:tcPr>
          <w:p>
            <w:pPr>
              <w:jc w:val="right"/>
              <w:ind w:right="68"/>
              <w:spacing w:after="0"/>
              <w:rPr>
                <w:sz w:val="20"/>
                <w:szCs w:val="20"/>
                <w:color w:val="auto"/>
              </w:rPr>
            </w:pPr>
            <w:r>
              <w:rPr>
                <w:rFonts w:ascii="Arial" w:cs="Arial" w:eastAsia="Arial" w:hAnsi="Arial"/>
                <w:sz w:val="19"/>
                <w:szCs w:val="19"/>
                <w:b w:val="1"/>
                <w:bCs w:val="1"/>
                <w:color w:val="auto"/>
              </w:rPr>
              <w:t>2</w:t>
            </w: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19"/>
          </w:tcPr>
          <w:p>
            <w:pPr>
              <w:spacing w:after="0" w:line="196" w:lineRule="exact"/>
              <w:rPr>
                <w:rFonts w:ascii="Arial" w:cs="Arial" w:eastAsia="Arial" w:hAnsi="Arial"/>
                <w:sz w:val="19"/>
                <w:szCs w:val="19"/>
                <w:b w:val="1"/>
                <w:bCs w:val="1"/>
                <w:color w:val="0000EE"/>
              </w:rPr>
            </w:pPr>
            <w:hyperlink w:anchor="page7">
              <w:r>
                <w:rPr>
                  <w:rFonts w:ascii="Arial" w:cs="Arial" w:eastAsia="Arial" w:hAnsi="Arial"/>
                  <w:sz w:val="19"/>
                  <w:szCs w:val="19"/>
                  <w:b w:val="1"/>
                  <w:bCs w:val="1"/>
                  <w:color w:val="0000EE"/>
                </w:rPr>
                <w:t>MEETING</w:t>
              </w:r>
            </w:hyperlink>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740" w:type="dxa"/>
            <w:vAlign w:val="bottom"/>
            <w:gridSpan w:val="22"/>
          </w:tcPr>
          <w:p>
            <w:pPr>
              <w:spacing w:after="0"/>
              <w:rPr>
                <w:rFonts w:ascii="Arial" w:cs="Arial" w:eastAsia="Arial" w:hAnsi="Arial"/>
                <w:sz w:val="19"/>
                <w:szCs w:val="19"/>
                <w:b w:val="1"/>
                <w:bCs w:val="1"/>
                <w:color w:val="0000EE"/>
              </w:rPr>
            </w:pPr>
            <w:hyperlink w:anchor="page11">
              <w:r>
                <w:rPr>
                  <w:rFonts w:ascii="Arial" w:cs="Arial" w:eastAsia="Arial" w:hAnsi="Arial"/>
                  <w:sz w:val="19"/>
                  <w:szCs w:val="19"/>
                  <w:b w:val="1"/>
                  <w:bCs w:val="1"/>
                  <w:color w:val="0000EE"/>
                </w:rPr>
                <w:t>ELECTION OF DIRECTORS</w:t>
              </w:r>
            </w:hyperlink>
          </w:p>
        </w:tc>
        <w:tc>
          <w:tcPr>
            <w:tcW w:w="540" w:type="dxa"/>
            <w:vAlign w:val="bottom"/>
            <w:vMerge w:val="restart"/>
          </w:tcPr>
          <w:p>
            <w:pPr>
              <w:jc w:val="right"/>
              <w:ind w:right="68"/>
              <w:spacing w:after="0"/>
              <w:rPr>
                <w:sz w:val="20"/>
                <w:szCs w:val="20"/>
                <w:color w:val="auto"/>
              </w:rPr>
            </w:pPr>
            <w:r>
              <w:rPr>
                <w:rFonts w:ascii="Arial" w:cs="Arial" w:eastAsia="Arial" w:hAnsi="Arial"/>
                <w:sz w:val="19"/>
                <w:szCs w:val="19"/>
                <w:b w:val="1"/>
                <w:bCs w:val="1"/>
                <w:color w:val="auto"/>
              </w:rPr>
              <w:t>6</w:t>
            </w: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gridSpan w:val="7"/>
          </w:tcPr>
          <w:p>
            <w:pPr>
              <w:spacing w:after="0" w:line="196" w:lineRule="exact"/>
              <w:rPr>
                <w:rFonts w:ascii="Arial" w:cs="Arial" w:eastAsia="Arial" w:hAnsi="Arial"/>
                <w:sz w:val="19"/>
                <w:szCs w:val="19"/>
                <w:b w:val="1"/>
                <w:bCs w:val="1"/>
                <w:color w:val="0000EE"/>
              </w:rPr>
            </w:pPr>
            <w:hyperlink w:anchor="page11">
              <w:r>
                <w:rPr>
                  <w:rFonts w:ascii="Arial" w:cs="Arial" w:eastAsia="Arial" w:hAnsi="Arial"/>
                  <w:sz w:val="19"/>
                  <w:szCs w:val="19"/>
                  <w:b w:val="1"/>
                  <w:bCs w:val="1"/>
                  <w:color w:val="0000EE"/>
                </w:rPr>
                <w:t>(PROPOSAL NO. 1)</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740" w:type="dxa"/>
            <w:vAlign w:val="bottom"/>
            <w:gridSpan w:val="22"/>
          </w:tcPr>
          <w:p>
            <w:pPr>
              <w:spacing w:after="0"/>
              <w:rPr>
                <w:rFonts w:ascii="Arial" w:cs="Arial" w:eastAsia="Arial" w:hAnsi="Arial"/>
                <w:sz w:val="19"/>
                <w:szCs w:val="19"/>
                <w:b w:val="1"/>
                <w:bCs w:val="1"/>
                <w:color w:val="0000EE"/>
              </w:rPr>
            </w:pPr>
            <w:hyperlink w:anchor="page12">
              <w:r>
                <w:rPr>
                  <w:rFonts w:ascii="Arial" w:cs="Arial" w:eastAsia="Arial" w:hAnsi="Arial"/>
                  <w:sz w:val="19"/>
                  <w:szCs w:val="19"/>
                  <w:b w:val="1"/>
                  <w:bCs w:val="1"/>
                  <w:color w:val="0000EE"/>
                </w:rPr>
                <w:t>DIRECTORS AND CORPORATE GOVERNANCE</w:t>
              </w:r>
            </w:hyperlink>
          </w:p>
        </w:tc>
        <w:tc>
          <w:tcPr>
            <w:tcW w:w="540" w:type="dxa"/>
            <w:vAlign w:val="bottom"/>
          </w:tcPr>
          <w:p>
            <w:pPr>
              <w:jc w:val="right"/>
              <w:ind w:right="68"/>
              <w:spacing w:after="0"/>
              <w:rPr>
                <w:sz w:val="20"/>
                <w:szCs w:val="20"/>
                <w:color w:val="auto"/>
              </w:rPr>
            </w:pPr>
            <w:r>
              <w:rPr>
                <w:rFonts w:ascii="Arial" w:cs="Arial" w:eastAsia="Arial" w:hAnsi="Arial"/>
                <w:sz w:val="19"/>
                <w:szCs w:val="19"/>
                <w:b w:val="1"/>
                <w:bCs w:val="1"/>
                <w:color w:val="auto"/>
              </w:rPr>
              <w:t>7</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Borders>
              <w:bottom w:val="single" w:sz="8" w:color="0000EE"/>
            </w:tcBorders>
            <w:gridSpan w:val="18"/>
          </w:tcPr>
          <w:p>
            <w:pPr>
              <w:spacing w:after="0" w:line="156"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Director Biographical Information and Qualifications</w:t>
              </w:r>
            </w:hyperlink>
          </w:p>
        </w:tc>
        <w:tc>
          <w:tcPr>
            <w:tcW w:w="640" w:type="dxa"/>
            <w:vAlign w:val="bottom"/>
            <w:gridSpan w:val="4"/>
          </w:tcPr>
          <w:p>
            <w:pPr>
              <w:spacing w:after="0"/>
              <w:rPr>
                <w:sz w:val="13"/>
                <w:szCs w:val="13"/>
                <w:color w:val="auto"/>
              </w:rPr>
            </w:pPr>
          </w:p>
        </w:tc>
        <w:tc>
          <w:tcPr>
            <w:tcW w:w="540" w:type="dxa"/>
            <w:vAlign w:val="bottom"/>
          </w:tcPr>
          <w:p>
            <w:pPr>
              <w:jc w:val="right"/>
              <w:ind w:right="68"/>
              <w:spacing w:after="0" w:line="15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4740" w:type="dxa"/>
            <w:vAlign w:val="bottom"/>
            <w:gridSpan w:val="22"/>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Criteria for Selection of Directors</w:t>
              </w:r>
            </w:hyperlink>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Recommendation of Directors by Stockholders</w:t>
              </w:r>
            </w:hyperlink>
          </w:p>
        </w:tc>
        <w:tc>
          <w:tcPr>
            <w:tcW w:w="1040" w:type="dxa"/>
            <w:vAlign w:val="bottom"/>
            <w:gridSpan w:val="6"/>
          </w:tcPr>
          <w:p>
            <w:pPr>
              <w:spacing w:after="0"/>
              <w:rPr>
                <w:sz w:val="15"/>
                <w:szCs w:val="15"/>
                <w:color w:val="auto"/>
              </w:rPr>
            </w:pPr>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Independence of Directors</w:t>
              </w:r>
            </w:hyperlink>
          </w:p>
        </w:tc>
        <w:tc>
          <w:tcPr>
            <w:tcW w:w="2640" w:type="dxa"/>
            <w:vAlign w:val="bottom"/>
            <w:gridSpan w:val="15"/>
          </w:tcPr>
          <w:p>
            <w:pPr>
              <w:spacing w:after="0"/>
              <w:rPr>
                <w:sz w:val="15"/>
                <w:szCs w:val="15"/>
                <w:color w:val="auto"/>
              </w:rPr>
            </w:pPr>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Board’s Role in Risk Oversight</w:t>
              </w:r>
            </w:hyperlink>
          </w:p>
        </w:tc>
        <w:tc>
          <w:tcPr>
            <w:tcW w:w="2300" w:type="dxa"/>
            <w:vAlign w:val="bottom"/>
            <w:gridSpan w:val="12"/>
          </w:tcPr>
          <w:p>
            <w:pPr>
              <w:spacing w:after="0"/>
              <w:rPr>
                <w:sz w:val="15"/>
                <w:szCs w:val="15"/>
                <w:color w:val="auto"/>
              </w:rPr>
            </w:pPr>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24">
              <w:r>
                <w:rPr>
                  <w:rFonts w:ascii="Arial" w:cs="Arial" w:eastAsia="Arial" w:hAnsi="Arial"/>
                  <w:sz w:val="18"/>
                  <w:szCs w:val="18"/>
                  <w:color w:val="0000EE"/>
                  <w:w w:val="98"/>
                </w:rPr>
                <w:t>Corporate Governance</w:t>
              </w:r>
            </w:hyperlink>
          </w:p>
        </w:tc>
        <w:tc>
          <w:tcPr>
            <w:tcW w:w="2920" w:type="dxa"/>
            <w:vAlign w:val="bottom"/>
            <w:gridSpan w:val="17"/>
          </w:tcPr>
          <w:p>
            <w:pPr>
              <w:spacing w:after="0"/>
              <w:rPr>
                <w:sz w:val="15"/>
                <w:szCs w:val="15"/>
                <w:color w:val="auto"/>
              </w:rPr>
            </w:pPr>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24">
              <w:r>
                <w:rPr>
                  <w:rFonts w:ascii="Arial" w:cs="Arial" w:eastAsia="Arial" w:hAnsi="Arial"/>
                  <w:sz w:val="18"/>
                  <w:szCs w:val="18"/>
                  <w:color w:val="0000EE"/>
                  <w:w w:val="98"/>
                </w:rPr>
                <w:t>Other Board Information</w:t>
              </w:r>
            </w:hyperlink>
          </w:p>
        </w:tc>
        <w:tc>
          <w:tcPr>
            <w:tcW w:w="2820" w:type="dxa"/>
            <w:vAlign w:val="bottom"/>
            <w:gridSpan w:val="16"/>
          </w:tcPr>
          <w:p>
            <w:pPr>
              <w:spacing w:after="0"/>
              <w:rPr>
                <w:sz w:val="15"/>
                <w:szCs w:val="15"/>
                <w:color w:val="auto"/>
              </w:rPr>
            </w:pPr>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4740" w:type="dxa"/>
            <w:vAlign w:val="bottom"/>
            <w:gridSpan w:val="22"/>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Director Compensation</w:t>
              </w:r>
            </w:hyperlink>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Summary of 2017 Director Compensation</w:t>
              </w:r>
            </w:hyperlink>
          </w:p>
        </w:tc>
        <w:tc>
          <w:tcPr>
            <w:tcW w:w="1440" w:type="dxa"/>
            <w:vAlign w:val="bottom"/>
            <w:gridSpan w:val="9"/>
          </w:tcPr>
          <w:p>
            <w:pPr>
              <w:spacing w:after="0"/>
              <w:rPr>
                <w:sz w:val="15"/>
                <w:szCs w:val="15"/>
                <w:color w:val="auto"/>
              </w:rPr>
            </w:pPr>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4740" w:type="dxa"/>
            <w:vAlign w:val="bottom"/>
            <w:gridSpan w:val="22"/>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Security Ownership of Certain Beneficial Owners,</w:t>
              </w:r>
            </w:hyperlink>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21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Directors and Management</w:t>
              </w:r>
            </w:hyperlink>
          </w:p>
        </w:tc>
        <w:tc>
          <w:tcPr>
            <w:tcW w:w="1580" w:type="dxa"/>
            <w:vAlign w:val="bottom"/>
            <w:tcBorders>
              <w:top w:val="single" w:sz="8" w:color="0000EE"/>
            </w:tcBorders>
            <w:gridSpan w:val="9"/>
          </w:tcPr>
          <w:p>
            <w:pPr>
              <w:spacing w:after="0"/>
              <w:rPr>
                <w:sz w:val="15"/>
                <w:szCs w:val="15"/>
                <w:color w:val="auto"/>
              </w:rPr>
            </w:pPr>
          </w:p>
        </w:tc>
        <w:tc>
          <w:tcPr>
            <w:tcW w:w="820" w:type="dxa"/>
            <w:vAlign w:val="bottom"/>
            <w:gridSpan w:val="5"/>
          </w:tcPr>
          <w:p>
            <w:pPr>
              <w:spacing w:after="0"/>
              <w:rPr>
                <w:sz w:val="15"/>
                <w:szCs w:val="15"/>
                <w:color w:val="auto"/>
              </w:rPr>
            </w:pPr>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36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Section 16(a) Beneficial Ownership Reporting</w:t>
              </w:r>
            </w:hyperlink>
          </w:p>
        </w:tc>
        <w:tc>
          <w:tcPr>
            <w:tcW w:w="1100" w:type="dxa"/>
            <w:vAlign w:val="bottom"/>
            <w:gridSpan w:val="7"/>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96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Compliance</w:t>
              </w:r>
            </w:hyperlink>
          </w:p>
        </w:tc>
        <w:tc>
          <w:tcPr>
            <w:tcW w:w="3620" w:type="dxa"/>
            <w:vAlign w:val="bottom"/>
            <w:gridSpan w:val="18"/>
          </w:tcPr>
          <w:p>
            <w:pPr>
              <w:spacing w:after="0"/>
              <w:rPr>
                <w:sz w:val="15"/>
                <w:szCs w:val="15"/>
                <w:color w:val="auto"/>
              </w:rPr>
            </w:pPr>
          </w:p>
        </w:tc>
        <w:tc>
          <w:tcPr>
            <w:tcW w:w="540" w:type="dxa"/>
            <w:vAlign w:val="bottom"/>
          </w:tcPr>
          <w:p>
            <w:pPr>
              <w:jc w:val="right"/>
              <w:ind w:right="68"/>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72"/>
        </w:trPr>
        <w:tc>
          <w:tcPr>
            <w:tcW w:w="4740" w:type="dxa"/>
            <w:vAlign w:val="bottom"/>
            <w:gridSpan w:val="22"/>
          </w:tcPr>
          <w:p>
            <w:pPr>
              <w:spacing w:after="0"/>
              <w:rPr>
                <w:rFonts w:ascii="Arial" w:cs="Arial" w:eastAsia="Arial" w:hAnsi="Arial"/>
                <w:sz w:val="19"/>
                <w:szCs w:val="19"/>
                <w:b w:val="1"/>
                <w:bCs w:val="1"/>
                <w:color w:val="0000EE"/>
              </w:rPr>
            </w:pPr>
            <w:hyperlink w:anchor="page31">
              <w:r>
                <w:rPr>
                  <w:rFonts w:ascii="Arial" w:cs="Arial" w:eastAsia="Arial" w:hAnsi="Arial"/>
                  <w:sz w:val="19"/>
                  <w:szCs w:val="19"/>
                  <w:b w:val="1"/>
                  <w:bCs w:val="1"/>
                  <w:color w:val="0000EE"/>
                </w:rPr>
                <w:t>COMPENSATION DISCUSSION AND ANALYSIS</w:t>
              </w:r>
            </w:hyperlink>
          </w:p>
        </w:tc>
        <w:tc>
          <w:tcPr>
            <w:tcW w:w="540" w:type="dxa"/>
            <w:vAlign w:val="bottom"/>
          </w:tcPr>
          <w:p>
            <w:pPr>
              <w:jc w:val="right"/>
              <w:ind w:right="68"/>
              <w:spacing w:after="0"/>
              <w:rPr>
                <w:sz w:val="20"/>
                <w:szCs w:val="20"/>
                <w:color w:val="auto"/>
              </w:rPr>
            </w:pPr>
            <w:r>
              <w:rPr>
                <w:rFonts w:ascii="Arial" w:cs="Arial" w:eastAsia="Arial" w:hAnsi="Arial"/>
                <w:sz w:val="19"/>
                <w:szCs w:val="19"/>
                <w:b w:val="1"/>
                <w:bCs w:val="1"/>
                <w:color w:val="auto"/>
              </w:rPr>
              <w:t>26</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740" w:type="dxa"/>
            <w:vAlign w:val="bottom"/>
            <w:gridSpan w:val="22"/>
          </w:tcPr>
          <w:p>
            <w:pPr>
              <w:spacing w:after="0"/>
              <w:rPr>
                <w:rFonts w:ascii="Arial" w:cs="Arial" w:eastAsia="Arial" w:hAnsi="Arial"/>
                <w:sz w:val="19"/>
                <w:szCs w:val="19"/>
                <w:b w:val="1"/>
                <w:bCs w:val="1"/>
                <w:color w:val="0000EE"/>
              </w:rPr>
            </w:pPr>
            <w:hyperlink w:anchor="page45">
              <w:r>
                <w:rPr>
                  <w:rFonts w:ascii="Arial" w:cs="Arial" w:eastAsia="Arial" w:hAnsi="Arial"/>
                  <w:sz w:val="19"/>
                  <w:szCs w:val="19"/>
                  <w:b w:val="1"/>
                  <w:bCs w:val="1"/>
                  <w:color w:val="0000EE"/>
                </w:rPr>
                <w:t>EXECUTIVE COMPENSATION</w:t>
              </w:r>
            </w:hyperlink>
          </w:p>
        </w:tc>
        <w:tc>
          <w:tcPr>
            <w:tcW w:w="540" w:type="dxa"/>
            <w:vAlign w:val="bottom"/>
          </w:tcPr>
          <w:p>
            <w:pPr>
              <w:jc w:val="right"/>
              <w:ind w:right="68"/>
              <w:spacing w:after="0"/>
              <w:rPr>
                <w:sz w:val="20"/>
                <w:szCs w:val="20"/>
                <w:color w:val="auto"/>
              </w:rPr>
            </w:pPr>
            <w:r>
              <w:rPr>
                <w:rFonts w:ascii="Arial" w:cs="Arial" w:eastAsia="Arial" w:hAnsi="Arial"/>
                <w:sz w:val="19"/>
                <w:szCs w:val="19"/>
                <w:b w:val="1"/>
                <w:bCs w:val="1"/>
                <w:color w:val="auto"/>
              </w:rPr>
              <w:t>40</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920" w:type="dxa"/>
            <w:vAlign w:val="bottom"/>
            <w:gridSpan w:val="20"/>
          </w:tcPr>
          <w:p>
            <w:pPr>
              <w:spacing w:after="0"/>
              <w:rPr>
                <w:rFonts w:ascii="Arial" w:cs="Arial" w:eastAsia="Arial" w:hAnsi="Arial"/>
                <w:sz w:val="19"/>
                <w:szCs w:val="19"/>
                <w:b w:val="1"/>
                <w:bCs w:val="1"/>
                <w:color w:val="0000EE"/>
              </w:rPr>
            </w:pPr>
            <w:hyperlink w:anchor="page61">
              <w:r>
                <w:rPr>
                  <w:rFonts w:ascii="Arial" w:cs="Arial" w:eastAsia="Arial" w:hAnsi="Arial"/>
                  <w:sz w:val="19"/>
                  <w:szCs w:val="19"/>
                  <w:b w:val="1"/>
                  <w:bCs w:val="1"/>
                  <w:color w:val="0000EE"/>
                </w:rPr>
                <w:t>COMPENSATION COMMITTEE INTERLOCKS AND</w:t>
              </w:r>
            </w:hyperlink>
          </w:p>
        </w:tc>
        <w:tc>
          <w:tcPr>
            <w:tcW w:w="4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56</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gridSpan w:val="15"/>
          </w:tcPr>
          <w:p>
            <w:pPr>
              <w:spacing w:after="0" w:line="196" w:lineRule="exact"/>
              <w:rPr>
                <w:rFonts w:ascii="Arial" w:cs="Arial" w:eastAsia="Arial" w:hAnsi="Arial"/>
                <w:sz w:val="19"/>
                <w:szCs w:val="19"/>
                <w:b w:val="1"/>
                <w:bCs w:val="1"/>
                <w:color w:val="0000EE"/>
              </w:rPr>
            </w:pPr>
            <w:hyperlink w:anchor="page61">
              <w:r>
                <w:rPr>
                  <w:rFonts w:ascii="Arial" w:cs="Arial" w:eastAsia="Arial" w:hAnsi="Arial"/>
                  <w:sz w:val="19"/>
                  <w:szCs w:val="19"/>
                  <w:b w:val="1"/>
                  <w:bCs w:val="1"/>
                  <w:color w:val="0000EE"/>
                </w:rPr>
                <w:t>INSIDER PARTICIPATION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gridSpan w:val="20"/>
          </w:tcPr>
          <w:p>
            <w:pPr>
              <w:spacing w:after="0"/>
              <w:rPr>
                <w:rFonts w:ascii="Arial" w:cs="Arial" w:eastAsia="Arial" w:hAnsi="Arial"/>
                <w:sz w:val="19"/>
                <w:szCs w:val="19"/>
                <w:b w:val="1"/>
                <w:bCs w:val="1"/>
                <w:color w:val="0000EE"/>
              </w:rPr>
            </w:pPr>
            <w:hyperlink w:anchor="page62">
              <w:r>
                <w:rPr>
                  <w:rFonts w:ascii="Arial" w:cs="Arial" w:eastAsia="Arial" w:hAnsi="Arial"/>
                  <w:sz w:val="19"/>
                  <w:szCs w:val="19"/>
                  <w:b w:val="1"/>
                  <w:bCs w:val="1"/>
                  <w:color w:val="0000EE"/>
                </w:rPr>
                <w:t>COMPENSATION COMMITTEE REPORT</w:t>
              </w:r>
            </w:hyperlink>
          </w:p>
        </w:tc>
        <w:tc>
          <w:tcPr>
            <w:tcW w:w="480" w:type="dxa"/>
            <w:vAlign w:val="bottom"/>
          </w:tcPr>
          <w:p>
            <w:pPr>
              <w:jc w:val="right"/>
              <w:ind w:right="66"/>
              <w:spacing w:after="0"/>
              <w:rPr>
                <w:sz w:val="20"/>
                <w:szCs w:val="20"/>
                <w:color w:val="auto"/>
              </w:rPr>
            </w:pPr>
            <w:r>
              <w:rPr>
                <w:rFonts w:ascii="Arial" w:cs="Arial" w:eastAsia="Arial" w:hAnsi="Arial"/>
                <w:sz w:val="19"/>
                <w:szCs w:val="19"/>
                <w:b w:val="1"/>
                <w:bCs w:val="1"/>
                <w:color w:val="auto"/>
              </w:rPr>
              <w:t>57</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gridSpan w:val="20"/>
          </w:tcPr>
          <w:p>
            <w:pPr>
              <w:spacing w:after="0"/>
              <w:rPr>
                <w:rFonts w:ascii="Arial" w:cs="Arial" w:eastAsia="Arial" w:hAnsi="Arial"/>
                <w:sz w:val="19"/>
                <w:szCs w:val="19"/>
                <w:b w:val="1"/>
                <w:bCs w:val="1"/>
                <w:color w:val="0000EE"/>
              </w:rPr>
            </w:pPr>
            <w:hyperlink w:anchor="page63">
              <w:r>
                <w:rPr>
                  <w:rFonts w:ascii="Arial" w:cs="Arial" w:eastAsia="Arial" w:hAnsi="Arial"/>
                  <w:sz w:val="19"/>
                  <w:szCs w:val="19"/>
                  <w:b w:val="1"/>
                  <w:bCs w:val="1"/>
                  <w:color w:val="0000EE"/>
                </w:rPr>
                <w:t>AUDIT COMMITTEE REPORT</w:t>
              </w:r>
            </w:hyperlink>
          </w:p>
        </w:tc>
        <w:tc>
          <w:tcPr>
            <w:tcW w:w="480" w:type="dxa"/>
            <w:vAlign w:val="bottom"/>
          </w:tcPr>
          <w:p>
            <w:pPr>
              <w:jc w:val="right"/>
              <w:ind w:right="66"/>
              <w:spacing w:after="0"/>
              <w:rPr>
                <w:sz w:val="20"/>
                <w:szCs w:val="20"/>
                <w:color w:val="auto"/>
              </w:rPr>
            </w:pPr>
            <w:r>
              <w:rPr>
                <w:rFonts w:ascii="Arial" w:cs="Arial" w:eastAsia="Arial" w:hAnsi="Arial"/>
                <w:sz w:val="19"/>
                <w:szCs w:val="19"/>
                <w:b w:val="1"/>
                <w:bCs w:val="1"/>
                <w:color w:val="auto"/>
              </w:rPr>
              <w:t>58</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gridSpan w:val="20"/>
          </w:tcPr>
          <w:p>
            <w:pPr>
              <w:spacing w:after="0"/>
              <w:rPr>
                <w:rFonts w:ascii="Arial" w:cs="Arial" w:eastAsia="Arial" w:hAnsi="Arial"/>
                <w:sz w:val="19"/>
                <w:szCs w:val="19"/>
                <w:b w:val="1"/>
                <w:bCs w:val="1"/>
                <w:color w:val="0000EE"/>
              </w:rPr>
            </w:pPr>
            <w:hyperlink w:anchor="page65">
              <w:r>
                <w:rPr>
                  <w:rFonts w:ascii="Arial" w:cs="Arial" w:eastAsia="Arial" w:hAnsi="Arial"/>
                  <w:sz w:val="19"/>
                  <w:szCs w:val="19"/>
                  <w:b w:val="1"/>
                  <w:bCs w:val="1"/>
                  <w:color w:val="0000EE"/>
                </w:rPr>
                <w:t>FEES OF INDEPENDENT ACCOUNTANTS</w:t>
              </w:r>
            </w:hyperlink>
          </w:p>
        </w:tc>
        <w:tc>
          <w:tcPr>
            <w:tcW w:w="480" w:type="dxa"/>
            <w:vAlign w:val="bottom"/>
          </w:tcPr>
          <w:p>
            <w:pPr>
              <w:jc w:val="right"/>
              <w:ind w:right="66"/>
              <w:spacing w:after="0"/>
              <w:rPr>
                <w:sz w:val="20"/>
                <w:szCs w:val="20"/>
                <w:color w:val="auto"/>
              </w:rPr>
            </w:pPr>
            <w:r>
              <w:rPr>
                <w:rFonts w:ascii="Arial" w:cs="Arial" w:eastAsia="Arial" w:hAnsi="Arial"/>
                <w:sz w:val="19"/>
                <w:szCs w:val="19"/>
                <w:b w:val="1"/>
                <w:bCs w:val="1"/>
                <w:color w:val="auto"/>
              </w:rPr>
              <w:t>60</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gridSpan w:val="20"/>
          </w:tcPr>
          <w:p>
            <w:pPr>
              <w:spacing w:after="0"/>
              <w:rPr>
                <w:rFonts w:ascii="Arial" w:cs="Arial" w:eastAsia="Arial" w:hAnsi="Arial"/>
                <w:sz w:val="19"/>
                <w:szCs w:val="19"/>
                <w:b w:val="1"/>
                <w:bCs w:val="1"/>
                <w:color w:val="0000EE"/>
              </w:rPr>
            </w:pPr>
            <w:hyperlink w:anchor="page66">
              <w:r>
                <w:rPr>
                  <w:rFonts w:ascii="Arial" w:cs="Arial" w:eastAsia="Arial" w:hAnsi="Arial"/>
                  <w:sz w:val="19"/>
                  <w:szCs w:val="19"/>
                  <w:b w:val="1"/>
                  <w:bCs w:val="1"/>
                  <w:color w:val="0000EE"/>
                </w:rPr>
                <w:t>CERTAIN RELATIONSHIPS AND RELATED PARTY</w:t>
              </w:r>
            </w:hyperlink>
          </w:p>
        </w:tc>
        <w:tc>
          <w:tcPr>
            <w:tcW w:w="4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61</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9"/>
                <w:szCs w:val="19"/>
                <w:b w:val="1"/>
                <w:bCs w:val="1"/>
                <w:color w:val="0000EE"/>
              </w:rPr>
            </w:pPr>
            <w:hyperlink w:anchor="page66">
              <w:r>
                <w:rPr>
                  <w:rFonts w:ascii="Arial" w:cs="Arial" w:eastAsia="Arial" w:hAnsi="Arial"/>
                  <w:sz w:val="19"/>
                  <w:szCs w:val="19"/>
                  <w:b w:val="1"/>
                  <w:bCs w:val="1"/>
                  <w:color w:val="0000EE"/>
                </w:rPr>
                <w:t>TRANSACTIONS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gridSpan w:val="20"/>
          </w:tcPr>
          <w:p>
            <w:pPr>
              <w:spacing w:after="0" w:line="156" w:lineRule="exact"/>
              <w:rPr>
                <w:rFonts w:ascii="Arial" w:cs="Arial" w:eastAsia="Arial" w:hAnsi="Arial"/>
                <w:sz w:val="18"/>
                <w:szCs w:val="18"/>
                <w:color w:val="0000EE"/>
              </w:rPr>
            </w:pPr>
            <w:hyperlink w:anchor="page67">
              <w:r>
                <w:rPr>
                  <w:rFonts w:ascii="Arial" w:cs="Arial" w:eastAsia="Arial" w:hAnsi="Arial"/>
                  <w:sz w:val="18"/>
                  <w:szCs w:val="18"/>
                  <w:color w:val="0000EE"/>
                </w:rPr>
                <w:t>Certain Transactions</w:t>
              </w:r>
            </w:hyperlink>
          </w:p>
        </w:tc>
        <w:tc>
          <w:tcPr>
            <w:tcW w:w="480" w:type="dxa"/>
            <w:vAlign w:val="bottom"/>
          </w:tcPr>
          <w:p>
            <w:pPr>
              <w:jc w:val="right"/>
              <w:ind w:right="66"/>
              <w:spacing w:after="0" w:line="15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20" w:type="dxa"/>
            <w:vAlign w:val="bottom"/>
            <w:gridSpan w:val="20"/>
          </w:tcPr>
          <w:p>
            <w:pPr>
              <w:spacing w:after="0"/>
              <w:rPr>
                <w:rFonts w:ascii="Arial" w:cs="Arial" w:eastAsia="Arial" w:hAnsi="Arial"/>
                <w:sz w:val="19"/>
                <w:szCs w:val="19"/>
                <w:b w:val="1"/>
                <w:bCs w:val="1"/>
                <w:color w:val="0000EE"/>
              </w:rPr>
            </w:pPr>
            <w:hyperlink w:anchor="page68">
              <w:r>
                <w:rPr>
                  <w:rFonts w:ascii="Arial" w:cs="Arial" w:eastAsia="Arial" w:hAnsi="Arial"/>
                  <w:sz w:val="19"/>
                  <w:szCs w:val="19"/>
                  <w:b w:val="1"/>
                  <w:bCs w:val="1"/>
                  <w:color w:val="0000EE"/>
                </w:rPr>
                <w:t>RATIFICATION OF RETENTION OF INDEPENDENT</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gridSpan w:val="18"/>
          </w:tcPr>
          <w:p>
            <w:pPr>
              <w:spacing w:after="0" w:line="196" w:lineRule="exact"/>
              <w:rPr>
                <w:rFonts w:ascii="Arial" w:cs="Arial" w:eastAsia="Arial" w:hAnsi="Arial"/>
                <w:sz w:val="19"/>
                <w:szCs w:val="19"/>
                <w:b w:val="1"/>
                <w:bCs w:val="1"/>
                <w:color w:val="0000EE"/>
              </w:rPr>
            </w:pPr>
            <w:hyperlink w:anchor="page68">
              <w:r>
                <w:rPr>
                  <w:rFonts w:ascii="Arial" w:cs="Arial" w:eastAsia="Arial" w:hAnsi="Arial"/>
                  <w:sz w:val="19"/>
                  <w:szCs w:val="19"/>
                  <w:b w:val="1"/>
                  <w:bCs w:val="1"/>
                  <w:color w:val="0000EE"/>
                </w:rPr>
                <w:t>REGISTERED PUBLIC ACCOUNTING FIRM</w:t>
              </w:r>
            </w:hyperlink>
          </w:p>
        </w:tc>
        <w:tc>
          <w:tcPr>
            <w:tcW w:w="400" w:type="dxa"/>
            <w:vAlign w:val="bottom"/>
          </w:tcPr>
          <w:p>
            <w:pPr>
              <w:spacing w:after="0"/>
              <w:rPr>
                <w:sz w:val="17"/>
                <w:szCs w:val="17"/>
                <w:color w:val="auto"/>
              </w:rPr>
            </w:pPr>
          </w:p>
        </w:tc>
        <w:tc>
          <w:tcPr>
            <w:tcW w:w="4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63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40" w:type="dxa"/>
            <w:vAlign w:val="bottom"/>
            <w:tcBorders>
              <w:top w:val="single" w:sz="8" w:color="0000EE"/>
            </w:tcBorders>
            <w:gridSpan w:val="12"/>
          </w:tcPr>
          <w:p>
            <w:pPr>
              <w:spacing w:after="0" w:line="196" w:lineRule="exact"/>
              <w:rPr>
                <w:rFonts w:ascii="Arial" w:cs="Arial" w:eastAsia="Arial" w:hAnsi="Arial"/>
                <w:sz w:val="19"/>
                <w:szCs w:val="19"/>
                <w:b w:val="1"/>
                <w:bCs w:val="1"/>
                <w:color w:val="0000EE"/>
              </w:rPr>
            </w:pPr>
            <w:hyperlink w:anchor="page68">
              <w:r>
                <w:rPr>
                  <w:rFonts w:ascii="Arial" w:cs="Arial" w:eastAsia="Arial" w:hAnsi="Arial"/>
                  <w:sz w:val="19"/>
                  <w:szCs w:val="19"/>
                  <w:b w:val="1"/>
                  <w:bCs w:val="1"/>
                  <w:color w:val="0000EE"/>
                </w:rPr>
                <w:t>(PROPOSAL NO. 2)</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3"/>
          </w:tcPr>
          <w:p>
            <w:pPr>
              <w:spacing w:after="0"/>
              <w:rPr>
                <w:sz w:val="17"/>
                <w:szCs w:val="17"/>
                <w:color w:val="auto"/>
              </w:rPr>
            </w:pPr>
          </w:p>
        </w:tc>
        <w:tc>
          <w:tcPr>
            <w:tcW w:w="420" w:type="dxa"/>
            <w:vAlign w:val="bottom"/>
            <w:gridSpan w:val="2"/>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980" w:type="dxa"/>
            <w:vAlign w:val="bottom"/>
            <w:tcBorders>
              <w:bottom w:val="single" w:sz="8" w:color="0000EE"/>
            </w:tcBorders>
            <w:gridSpan w:val="12"/>
          </w:tcPr>
          <w:p>
            <w:pPr>
              <w:spacing w:after="0"/>
              <w:rPr>
                <w:rFonts w:ascii="Arial" w:cs="Arial" w:eastAsia="Arial" w:hAnsi="Arial"/>
                <w:sz w:val="19"/>
                <w:szCs w:val="19"/>
                <w:b w:val="1"/>
                <w:bCs w:val="1"/>
                <w:color w:val="0000EE"/>
                <w:w w:val="99"/>
              </w:rPr>
            </w:pPr>
            <w:hyperlink w:anchor="page69">
              <w:r>
                <w:rPr>
                  <w:rFonts w:ascii="Arial" w:cs="Arial" w:eastAsia="Arial" w:hAnsi="Arial"/>
                  <w:sz w:val="19"/>
                  <w:szCs w:val="19"/>
                  <w:b w:val="1"/>
                  <w:bCs w:val="1"/>
                  <w:color w:val="0000EE"/>
                  <w:w w:val="99"/>
                </w:rPr>
                <w:t>ADVISORY VOTE TO APPROVE EXECUTIVE</w:t>
              </w:r>
            </w:hyperlink>
          </w:p>
        </w:tc>
        <w:tc>
          <w:tcPr>
            <w:tcW w:w="94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720" w:type="dxa"/>
            <w:vAlign w:val="bottom"/>
            <w:gridSpan w:val="19"/>
          </w:tcPr>
          <w:p>
            <w:pPr>
              <w:spacing w:after="0" w:line="196" w:lineRule="exact"/>
              <w:rPr>
                <w:rFonts w:ascii="Arial" w:cs="Arial" w:eastAsia="Arial" w:hAnsi="Arial"/>
                <w:sz w:val="19"/>
                <w:szCs w:val="19"/>
                <w:b w:val="1"/>
                <w:bCs w:val="1"/>
                <w:color w:val="0000EE"/>
              </w:rPr>
            </w:pPr>
            <w:hyperlink w:anchor="page69">
              <w:r>
                <w:rPr>
                  <w:rFonts w:ascii="Arial" w:cs="Arial" w:eastAsia="Arial" w:hAnsi="Arial"/>
                  <w:sz w:val="19"/>
                  <w:szCs w:val="19"/>
                  <w:b w:val="1"/>
                  <w:bCs w:val="1"/>
                  <w:color w:val="0000EE"/>
                </w:rPr>
                <w:t>COMPENSATION SET FORTH IN THIS PROXY</w:t>
              </w:r>
            </w:hyperlink>
          </w:p>
        </w:tc>
        <w:tc>
          <w:tcPr>
            <w:tcW w:w="4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64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100" w:type="dxa"/>
            <w:vAlign w:val="bottom"/>
            <w:tcBorders>
              <w:top w:val="single" w:sz="8" w:color="0000EE"/>
            </w:tcBorders>
            <w:gridSpan w:val="14"/>
          </w:tcPr>
          <w:p>
            <w:pPr>
              <w:spacing w:after="0" w:line="196" w:lineRule="exact"/>
              <w:rPr>
                <w:rFonts w:ascii="Arial" w:cs="Arial" w:eastAsia="Arial" w:hAnsi="Arial"/>
                <w:sz w:val="19"/>
                <w:szCs w:val="19"/>
                <w:b w:val="1"/>
                <w:bCs w:val="1"/>
                <w:color w:val="0000EE"/>
              </w:rPr>
            </w:pPr>
            <w:hyperlink w:anchor="page69">
              <w:r>
                <w:rPr>
                  <w:rFonts w:ascii="Arial" w:cs="Arial" w:eastAsia="Arial" w:hAnsi="Arial"/>
                  <w:sz w:val="19"/>
                  <w:szCs w:val="19"/>
                  <w:b w:val="1"/>
                  <w:bCs w:val="1"/>
                  <w:color w:val="0000EE"/>
                </w:rPr>
                <w:t>STATEMENT (PROPOSAL NO. 3)</w:t>
              </w:r>
            </w:hyperlink>
          </w:p>
        </w:tc>
        <w:tc>
          <w:tcPr>
            <w:tcW w:w="200" w:type="dxa"/>
            <w:vAlign w:val="bottom"/>
            <w:gridSpan w:val="3"/>
          </w:tcPr>
          <w:p>
            <w:pPr>
              <w:spacing w:after="0"/>
              <w:rPr>
                <w:sz w:val="17"/>
                <w:szCs w:val="17"/>
                <w:color w:val="auto"/>
              </w:rPr>
            </w:pPr>
          </w:p>
        </w:tc>
        <w:tc>
          <w:tcPr>
            <w:tcW w:w="420" w:type="dxa"/>
            <w:vAlign w:val="bottom"/>
            <w:gridSpan w:val="2"/>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gridSpan w:val="20"/>
          </w:tcPr>
          <w:p>
            <w:pPr>
              <w:spacing w:after="0"/>
              <w:rPr>
                <w:rFonts w:ascii="Arial" w:cs="Arial" w:eastAsia="Arial" w:hAnsi="Arial"/>
                <w:sz w:val="19"/>
                <w:szCs w:val="19"/>
                <w:b w:val="1"/>
                <w:bCs w:val="1"/>
                <w:color w:val="0000EE"/>
              </w:rPr>
            </w:pPr>
            <w:hyperlink w:anchor="page70">
              <w:r>
                <w:rPr>
                  <w:rFonts w:ascii="Arial" w:cs="Arial" w:eastAsia="Arial" w:hAnsi="Arial"/>
                  <w:sz w:val="19"/>
                  <w:szCs w:val="19"/>
                  <w:b w:val="1"/>
                  <w:bCs w:val="1"/>
                  <w:color w:val="0000EE"/>
                </w:rPr>
                <w:t>STOCKHOLDER PROPOSALS FOR 2019 ANNUAL</w:t>
              </w:r>
            </w:hyperlink>
          </w:p>
        </w:tc>
        <w:tc>
          <w:tcPr>
            <w:tcW w:w="4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65</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gridSpan w:val="17"/>
          </w:tcPr>
          <w:p>
            <w:pPr>
              <w:spacing w:after="0" w:line="196" w:lineRule="exact"/>
              <w:rPr>
                <w:rFonts w:ascii="Arial" w:cs="Arial" w:eastAsia="Arial" w:hAnsi="Arial"/>
                <w:sz w:val="19"/>
                <w:szCs w:val="19"/>
                <w:b w:val="1"/>
                <w:bCs w:val="1"/>
                <w:color w:val="0000EE"/>
              </w:rPr>
            </w:pPr>
            <w:hyperlink w:anchor="page70">
              <w:r>
                <w:rPr>
                  <w:rFonts w:ascii="Arial" w:cs="Arial" w:eastAsia="Arial" w:hAnsi="Arial"/>
                  <w:sz w:val="19"/>
                  <w:szCs w:val="19"/>
                  <w:b w:val="1"/>
                  <w:bCs w:val="1"/>
                  <w:color w:val="0000EE"/>
                </w:rPr>
                <w:t>MEETING OF STOCKHOLDERS</w:t>
              </w:r>
            </w:hyperlink>
          </w:p>
        </w:tc>
        <w:tc>
          <w:tcPr>
            <w:tcW w:w="420" w:type="dxa"/>
            <w:vAlign w:val="bottom"/>
            <w:gridSpan w:val="2"/>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gridSpan w:val="20"/>
          </w:tcPr>
          <w:p>
            <w:pPr>
              <w:spacing w:after="0"/>
              <w:rPr>
                <w:rFonts w:ascii="Arial" w:cs="Arial" w:eastAsia="Arial" w:hAnsi="Arial"/>
                <w:sz w:val="19"/>
                <w:szCs w:val="19"/>
                <w:b w:val="1"/>
                <w:bCs w:val="1"/>
                <w:color w:val="0000EE"/>
              </w:rPr>
            </w:pPr>
            <w:hyperlink w:anchor="page71">
              <w:r>
                <w:rPr>
                  <w:rFonts w:ascii="Arial" w:cs="Arial" w:eastAsia="Arial" w:hAnsi="Arial"/>
                  <w:sz w:val="19"/>
                  <w:szCs w:val="19"/>
                  <w:b w:val="1"/>
                  <w:bCs w:val="1"/>
                  <w:color w:val="0000EE"/>
                </w:rPr>
                <w:t>OTHER MATTERS</w:t>
              </w:r>
            </w:hyperlink>
          </w:p>
        </w:tc>
        <w:tc>
          <w:tcPr>
            <w:tcW w:w="480" w:type="dxa"/>
            <w:vAlign w:val="bottom"/>
          </w:tcPr>
          <w:p>
            <w:pPr>
              <w:jc w:val="right"/>
              <w:ind w:right="66"/>
              <w:spacing w:after="0"/>
              <w:rPr>
                <w:sz w:val="20"/>
                <w:szCs w:val="20"/>
                <w:color w:val="auto"/>
              </w:rPr>
            </w:pPr>
            <w:r>
              <w:rPr>
                <w:rFonts w:ascii="Arial" w:cs="Arial" w:eastAsia="Arial" w:hAnsi="Arial"/>
                <w:sz w:val="19"/>
                <w:szCs w:val="19"/>
                <w:b w:val="1"/>
                <w:bCs w:val="1"/>
                <w:color w:val="auto"/>
              </w:rPr>
              <w:t>66</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gridSpan w:val="20"/>
          </w:tcPr>
          <w:p>
            <w:pPr>
              <w:spacing w:after="0"/>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APPENDIX A RECONCILIATION OF NON-GAAP</w:t>
              </w:r>
            </w:hyperlink>
          </w:p>
        </w:tc>
        <w:tc>
          <w:tcPr>
            <w:tcW w:w="4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w w:val="97"/>
              </w:rPr>
              <w:t>A-1</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3"/>
          </w:tcPr>
          <w:p>
            <w:pPr>
              <w:spacing w:after="0" w:line="196" w:lineRule="exact"/>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FINANCIAL MEASURES</w:t>
              </w:r>
            </w:hyperlink>
          </w:p>
        </w:tc>
        <w:tc>
          <w:tcPr>
            <w:tcW w:w="700" w:type="dxa"/>
            <w:vAlign w:val="bottom"/>
            <w:gridSpan w:val="6"/>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11"/>
          </w:tcPr>
          <w:p>
            <w:pPr>
              <w:ind w:left="200"/>
              <w:spacing w:after="0"/>
              <w:rPr>
                <w:sz w:val="20"/>
                <w:szCs w:val="20"/>
                <w:color w:val="auto"/>
              </w:rPr>
            </w:pPr>
            <w:r>
              <w:rPr>
                <w:rFonts w:ascii="Arial" w:cs="Arial" w:eastAsia="Arial" w:hAnsi="Arial"/>
                <w:sz w:val="15"/>
                <w:szCs w:val="15"/>
                <w:b w:val="1"/>
                <w:bCs w:val="1"/>
                <w:color w:val="E2231A"/>
              </w:rPr>
              <w:t>2018 Proxy Statement</w:t>
            </w:r>
          </w:p>
        </w:tc>
        <w:tc>
          <w:tcPr>
            <w:tcW w:w="480" w:type="dxa"/>
            <w:vAlign w:val="bottom"/>
          </w:tcPr>
          <w:p>
            <w:pPr>
              <w:jc w:val="right"/>
              <w:ind w:right="6"/>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i</w:t>
            </w:r>
          </w:p>
        </w:tc>
        <w:tc>
          <w:tcPr>
            <w:tcW w:w="0" w:type="dxa"/>
            <w:vAlign w:val="bottom"/>
          </w:tcPr>
          <w:p>
            <w:pPr>
              <w:spacing w:after="0"/>
              <w:rPr>
                <w:sz w:val="1"/>
                <w:szCs w:val="1"/>
                <w:color w:val="auto"/>
              </w:rPr>
            </w:pPr>
          </w:p>
        </w:tc>
      </w:tr>
    </w:tbl>
    <w:p>
      <w:pPr>
        <w:sectPr>
          <w:pgSz w:w="11900" w:h="16838" w:orient="portrait"/>
          <w:cols w:equalWidth="0" w:num="2">
            <w:col w:w="5500" w:space="320"/>
            <w:col w:w="540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LEAR CORPORATION</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2018 Proxy Statement — Summary</w:t>
      </w:r>
    </w:p>
    <w:p>
      <w:pPr>
        <w:spacing w:after="0" w:line="153" w:lineRule="exact"/>
        <w:rPr>
          <w:sz w:val="20"/>
          <w:szCs w:val="20"/>
          <w:color w:val="auto"/>
        </w:rPr>
      </w:pPr>
    </w:p>
    <w:p>
      <w:pPr>
        <w:ind w:left="200" w:right="280"/>
        <w:spacing w:after="0" w:line="260" w:lineRule="auto"/>
        <w:rPr>
          <w:sz w:val="20"/>
          <w:szCs w:val="20"/>
          <w:color w:val="auto"/>
        </w:rPr>
      </w:pPr>
      <w:r>
        <w:rPr>
          <w:rFonts w:ascii="Arial" w:cs="Arial" w:eastAsia="Arial" w:hAnsi="Arial"/>
          <w:sz w:val="16"/>
          <w:szCs w:val="16"/>
          <w:color w:val="auto"/>
        </w:rPr>
        <w:t>This summary highlights information contained elsewhere in the proxy statement. This summary does not contain all of the information that you should consider, and you should read the entire proxy statement carefully before voting.</w:t>
      </w:r>
    </w:p>
    <w:p>
      <w:pPr>
        <w:spacing w:after="0" w:line="201" w:lineRule="exact"/>
        <w:rPr>
          <w:sz w:val="20"/>
          <w:szCs w:val="20"/>
          <w:color w:val="auto"/>
        </w:rPr>
      </w:pPr>
    </w:p>
    <w:tbl>
      <w:tblPr>
        <w:tblLayout w:type="fixed"/>
        <w:tblInd w:w="230" w:type="dxa"/>
        <w:tblCellMar>
          <w:top w:w="0" w:type="dxa"/>
          <w:left w:w="0" w:type="dxa"/>
          <w:bottom w:w="0" w:type="dxa"/>
          <w:right w:w="0" w:type="dxa"/>
        </w:tblCellMar>
      </w:tblPr>
      <w:tr>
        <w:trPr>
          <w:trHeight w:val="307"/>
        </w:trPr>
        <w:tc>
          <w:tcPr>
            <w:tcW w:w="4960" w:type="dxa"/>
            <w:vAlign w:val="bottom"/>
            <w:tcBorders>
              <w:top w:val="single" w:sz="8" w:color="auto"/>
              <w:left w:val="single" w:sz="8" w:color="auto"/>
            </w:tcBorders>
            <w:gridSpan w:val="4"/>
            <w:shd w:val="clear" w:color="auto" w:fill="E2231A"/>
          </w:tcPr>
          <w:p>
            <w:pPr>
              <w:ind w:left="200"/>
              <w:spacing w:after="0"/>
              <w:rPr>
                <w:sz w:val="20"/>
                <w:szCs w:val="20"/>
                <w:color w:val="auto"/>
              </w:rPr>
            </w:pPr>
            <w:r>
              <w:rPr>
                <w:rFonts w:ascii="Arial" w:cs="Arial" w:eastAsia="Arial" w:hAnsi="Arial"/>
                <w:sz w:val="22"/>
                <w:szCs w:val="22"/>
                <w:b w:val="1"/>
                <w:bCs w:val="1"/>
                <w:color w:val="FFFFFF"/>
              </w:rPr>
              <w:t>ANNUAL MEETING OF STOCKHOLDERS</w:t>
            </w:r>
          </w:p>
        </w:tc>
        <w:tc>
          <w:tcPr>
            <w:tcW w:w="900" w:type="dxa"/>
            <w:vAlign w:val="bottom"/>
            <w:tcBorders>
              <w:top w:val="single" w:sz="8" w:color="auto"/>
              <w:right w:val="single" w:sz="8" w:color="auto"/>
            </w:tcBorders>
            <w:shd w:val="clear" w:color="auto" w:fill="E2231A"/>
          </w:tcPr>
          <w:p>
            <w:pPr>
              <w:spacing w:after="0"/>
              <w:rPr>
                <w:sz w:val="24"/>
                <w:szCs w:val="24"/>
                <w:color w:val="auto"/>
              </w:rPr>
            </w:pPr>
          </w:p>
        </w:tc>
        <w:tc>
          <w:tcPr>
            <w:tcW w:w="5180" w:type="dxa"/>
            <w:vAlign w:val="bottom"/>
            <w:tcBorders>
              <w:top w:val="single" w:sz="8" w:color="auto"/>
              <w:right w:val="single" w:sz="8" w:color="auto"/>
            </w:tcBorders>
            <w:shd w:val="clear" w:color="auto" w:fill="E2231A"/>
          </w:tcPr>
          <w:p>
            <w:pPr>
              <w:ind w:left="240"/>
              <w:spacing w:after="0"/>
              <w:rPr>
                <w:sz w:val="20"/>
                <w:szCs w:val="20"/>
                <w:color w:val="auto"/>
              </w:rPr>
            </w:pPr>
            <w:r>
              <w:rPr>
                <w:rFonts w:ascii="Arial" w:cs="Arial" w:eastAsia="Arial" w:hAnsi="Arial"/>
                <w:sz w:val="22"/>
                <w:szCs w:val="22"/>
                <w:b w:val="1"/>
                <w:bCs w:val="1"/>
                <w:color w:val="FFFFFF"/>
              </w:rPr>
              <w:t>CORPORATE GOVERNANCE</w:t>
            </w:r>
          </w:p>
        </w:tc>
        <w:tc>
          <w:tcPr>
            <w:tcW w:w="0" w:type="dxa"/>
            <w:vAlign w:val="bottom"/>
          </w:tcPr>
          <w:p>
            <w:pPr>
              <w:spacing w:after="0"/>
              <w:rPr>
                <w:sz w:val="1"/>
                <w:szCs w:val="1"/>
                <w:color w:val="auto"/>
              </w:rPr>
            </w:pPr>
          </w:p>
        </w:tc>
      </w:tr>
      <w:tr>
        <w:trPr>
          <w:trHeight w:val="85"/>
        </w:trPr>
        <w:tc>
          <w:tcPr>
            <w:tcW w:w="3180" w:type="dxa"/>
            <w:vAlign w:val="bottom"/>
            <w:tcBorders>
              <w:left w:val="single" w:sz="8" w:color="auto"/>
              <w:bottom w:val="single" w:sz="8" w:color="auto"/>
            </w:tcBorders>
            <w:shd w:val="clear" w:color="auto" w:fill="E2231A"/>
          </w:tcPr>
          <w:p>
            <w:pPr>
              <w:spacing w:after="0"/>
              <w:rPr>
                <w:sz w:val="7"/>
                <w:szCs w:val="7"/>
                <w:color w:val="auto"/>
              </w:rPr>
            </w:pPr>
          </w:p>
        </w:tc>
        <w:tc>
          <w:tcPr>
            <w:tcW w:w="220" w:type="dxa"/>
            <w:vAlign w:val="bottom"/>
            <w:tcBorders>
              <w:bottom w:val="single" w:sz="8" w:color="auto"/>
            </w:tcBorders>
            <w:shd w:val="clear" w:color="auto" w:fill="E2231A"/>
          </w:tcPr>
          <w:p>
            <w:pPr>
              <w:spacing w:after="0"/>
              <w:rPr>
                <w:sz w:val="7"/>
                <w:szCs w:val="7"/>
                <w:color w:val="auto"/>
              </w:rPr>
            </w:pPr>
          </w:p>
        </w:tc>
        <w:tc>
          <w:tcPr>
            <w:tcW w:w="1460" w:type="dxa"/>
            <w:vAlign w:val="bottom"/>
            <w:tcBorders>
              <w:bottom w:val="single" w:sz="8" w:color="auto"/>
            </w:tcBorders>
            <w:shd w:val="clear" w:color="auto" w:fill="E2231A"/>
          </w:tcPr>
          <w:p>
            <w:pPr>
              <w:spacing w:after="0"/>
              <w:rPr>
                <w:sz w:val="7"/>
                <w:szCs w:val="7"/>
                <w:color w:val="auto"/>
              </w:rPr>
            </w:pPr>
          </w:p>
        </w:tc>
        <w:tc>
          <w:tcPr>
            <w:tcW w:w="100" w:type="dxa"/>
            <w:vAlign w:val="bottom"/>
            <w:tcBorders>
              <w:bottom w:val="single" w:sz="8" w:color="auto"/>
            </w:tcBorders>
            <w:shd w:val="clear" w:color="auto" w:fill="E2231A"/>
          </w:tcPr>
          <w:p>
            <w:pPr>
              <w:spacing w:after="0"/>
              <w:rPr>
                <w:sz w:val="7"/>
                <w:szCs w:val="7"/>
                <w:color w:val="auto"/>
              </w:rPr>
            </w:pPr>
          </w:p>
        </w:tc>
        <w:tc>
          <w:tcPr>
            <w:tcW w:w="900" w:type="dxa"/>
            <w:vAlign w:val="bottom"/>
            <w:tcBorders>
              <w:bottom w:val="single" w:sz="8" w:color="auto"/>
              <w:right w:val="single" w:sz="8" w:color="auto"/>
            </w:tcBorders>
            <w:shd w:val="clear" w:color="auto" w:fill="E2231A"/>
          </w:tcPr>
          <w:p>
            <w:pPr>
              <w:spacing w:after="0"/>
              <w:rPr>
                <w:sz w:val="7"/>
                <w:szCs w:val="7"/>
                <w:color w:val="auto"/>
              </w:rPr>
            </w:pPr>
          </w:p>
        </w:tc>
        <w:tc>
          <w:tcPr>
            <w:tcW w:w="5180" w:type="dxa"/>
            <w:vAlign w:val="bottom"/>
            <w:tcBorders>
              <w:bottom w:val="single" w:sz="8" w:color="auto"/>
              <w:right w:val="single" w:sz="8" w:color="auto"/>
            </w:tcBorders>
            <w:shd w:val="clear" w:color="auto" w:fill="E2231A"/>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400" w:type="dxa"/>
            <w:vAlign w:val="bottom"/>
            <w:tcBorders>
              <w:left w:val="single" w:sz="8" w:color="auto"/>
            </w:tcBorders>
            <w:gridSpan w:val="2"/>
          </w:tcPr>
          <w:p>
            <w:pPr>
              <w:ind w:left="180"/>
              <w:spacing w:after="0" w:line="165" w:lineRule="exact"/>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17, 2018</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tcPr>
          <w:p>
            <w:pPr>
              <w:ind w:left="240"/>
              <w:spacing w:after="0" w:line="165" w:lineRule="exact"/>
              <w:rPr>
                <w:sz w:val="20"/>
                <w:szCs w:val="20"/>
                <w:color w:val="auto"/>
              </w:rPr>
            </w:pPr>
            <w:r>
              <w:rPr>
                <w:rFonts w:ascii="Arial" w:cs="Arial" w:eastAsia="Arial" w:hAnsi="Arial"/>
                <w:sz w:val="16"/>
                <w:szCs w:val="16"/>
                <w:b w:val="1"/>
                <w:bCs w:val="1"/>
                <w:color w:val="auto"/>
              </w:rPr>
              <w:t>Director Nominees: 9</w:t>
            </w: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9:00 a.m. (Eastern Time)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Richard H. Bott (Independent)</w:t>
            </w:r>
          </w:p>
        </w:tc>
        <w:tc>
          <w:tcPr>
            <w:tcW w:w="0" w:type="dxa"/>
            <w:vAlign w:val="bottom"/>
          </w:tcPr>
          <w:p>
            <w:pPr>
              <w:spacing w:after="0"/>
              <w:rPr>
                <w:sz w:val="1"/>
                <w:szCs w:val="1"/>
                <w:color w:val="auto"/>
              </w:rPr>
            </w:pPr>
          </w:p>
        </w:tc>
      </w:tr>
      <w:tr>
        <w:trPr>
          <w:trHeight w:val="167"/>
        </w:trPr>
        <w:tc>
          <w:tcPr>
            <w:tcW w:w="4960" w:type="dxa"/>
            <w:vAlign w:val="bottom"/>
            <w:tcBorders>
              <w:left w:val="single" w:sz="8" w:color="auto"/>
            </w:tcBorders>
            <w:gridSpan w:val="4"/>
          </w:tcPr>
          <w:p>
            <w:pPr>
              <w:ind w:left="180"/>
              <w:spacing w:after="0" w:line="167" w:lineRule="exact"/>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Lear Corporation’s Corporate Headquarters,</w:t>
            </w:r>
          </w:p>
        </w:tc>
        <w:tc>
          <w:tcPr>
            <w:tcW w:w="90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60" w:type="dxa"/>
            <w:vAlign w:val="bottom"/>
            <w:tcBorders>
              <w:left w:val="single" w:sz="8" w:color="auto"/>
            </w:tcBorders>
            <w:gridSpan w:val="4"/>
            <w:vMerge w:val="restart"/>
          </w:tcPr>
          <w:p>
            <w:pPr>
              <w:ind w:left="180"/>
              <w:spacing w:after="0"/>
              <w:rPr>
                <w:sz w:val="20"/>
                <w:szCs w:val="20"/>
                <w:color w:val="auto"/>
              </w:rPr>
            </w:pPr>
            <w:r>
              <w:rPr>
                <w:rFonts w:ascii="Arial" w:cs="Arial" w:eastAsia="Arial" w:hAnsi="Arial"/>
                <w:sz w:val="16"/>
                <w:szCs w:val="16"/>
                <w:color w:val="auto"/>
              </w:rPr>
              <w:t>21557 Telegraph Road, Southfield, Michigan 48033</w:t>
            </w:r>
          </w:p>
        </w:tc>
        <w:tc>
          <w:tcPr>
            <w:tcW w:w="90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tcPr>
          <w:p>
            <w:pPr>
              <w:ind w:left="220"/>
              <w:spacing w:after="0" w:line="164" w:lineRule="exact"/>
              <w:rPr>
                <w:sz w:val="20"/>
                <w:szCs w:val="20"/>
                <w:color w:val="auto"/>
              </w:rPr>
            </w:pPr>
            <w:r>
              <w:rPr>
                <w:rFonts w:ascii="Arial" w:cs="Arial" w:eastAsia="Arial" w:hAnsi="Arial"/>
                <w:sz w:val="16"/>
                <w:szCs w:val="16"/>
                <w:color w:val="auto"/>
              </w:rPr>
              <w:t>Thomas P. Capo (Independent)</w:t>
            </w:r>
          </w:p>
        </w:tc>
        <w:tc>
          <w:tcPr>
            <w:tcW w:w="0" w:type="dxa"/>
            <w:vAlign w:val="bottom"/>
          </w:tcPr>
          <w:p>
            <w:pPr>
              <w:spacing w:after="0"/>
              <w:rPr>
                <w:sz w:val="1"/>
                <w:szCs w:val="1"/>
                <w:color w:val="auto"/>
              </w:rPr>
            </w:pPr>
          </w:p>
        </w:tc>
      </w:tr>
      <w:tr>
        <w:trPr>
          <w:trHeight w:val="48"/>
        </w:trPr>
        <w:tc>
          <w:tcPr>
            <w:tcW w:w="4960" w:type="dxa"/>
            <w:vAlign w:val="bottom"/>
            <w:tcBorders>
              <w:left w:val="single" w:sz="8" w:color="auto"/>
            </w:tcBorders>
            <w:gridSpan w:val="4"/>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51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Jonathan F. Foster (Independent)</w:t>
            </w:r>
          </w:p>
        </w:tc>
        <w:tc>
          <w:tcPr>
            <w:tcW w:w="0" w:type="dxa"/>
            <w:vAlign w:val="bottom"/>
          </w:tcPr>
          <w:p>
            <w:pPr>
              <w:spacing w:after="0"/>
              <w:rPr>
                <w:sz w:val="1"/>
                <w:szCs w:val="1"/>
                <w:color w:val="auto"/>
              </w:rPr>
            </w:pPr>
          </w:p>
        </w:tc>
      </w:tr>
      <w:tr>
        <w:trPr>
          <w:trHeight w:val="167"/>
        </w:trPr>
        <w:tc>
          <w:tcPr>
            <w:tcW w:w="3400" w:type="dxa"/>
            <w:vAlign w:val="bottom"/>
            <w:tcBorders>
              <w:left w:val="single" w:sz="8" w:color="auto"/>
            </w:tcBorders>
            <w:gridSpan w:val="2"/>
          </w:tcPr>
          <w:p>
            <w:pPr>
              <w:ind w:left="180"/>
              <w:spacing w:after="0" w:line="167" w:lineRule="exact"/>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March 22, 2018</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18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6"/>
                <w:szCs w:val="16"/>
                <w:color w:val="auto"/>
              </w:rPr>
              <w:t>Mary Lou Jepsen (Independent)</w:t>
            </w:r>
          </w:p>
        </w:tc>
        <w:tc>
          <w:tcPr>
            <w:tcW w:w="0" w:type="dxa"/>
            <w:vAlign w:val="bottom"/>
          </w:tcPr>
          <w:p>
            <w:pPr>
              <w:spacing w:after="0"/>
              <w:rPr>
                <w:sz w:val="1"/>
                <w:szCs w:val="1"/>
                <w:color w:val="auto"/>
              </w:rPr>
            </w:pPr>
          </w:p>
        </w:tc>
      </w:tr>
      <w:tr>
        <w:trPr>
          <w:trHeight w:val="164"/>
        </w:trPr>
        <w:tc>
          <w:tcPr>
            <w:tcW w:w="3400" w:type="dxa"/>
            <w:vAlign w:val="bottom"/>
            <w:tcBorders>
              <w:left w:val="single" w:sz="8" w:color="auto"/>
            </w:tcBorders>
            <w:gridSpan w:val="2"/>
          </w:tcPr>
          <w:p>
            <w:pPr>
              <w:ind w:left="180"/>
              <w:spacing w:after="0" w:line="164" w:lineRule="exact"/>
              <w:rPr>
                <w:sz w:val="20"/>
                <w:szCs w:val="20"/>
                <w:color w:val="auto"/>
              </w:rPr>
            </w:pPr>
            <w:r>
              <w:rPr>
                <w:rFonts w:ascii="Arial" w:cs="Arial" w:eastAsia="Arial" w:hAnsi="Arial"/>
                <w:sz w:val="16"/>
                <w:szCs w:val="16"/>
                <w:b w:val="1"/>
                <w:bCs w:val="1"/>
                <w:color w:val="auto"/>
              </w:rPr>
              <w:t>GENERAL INFORMATION</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6"/>
                <w:szCs w:val="16"/>
                <w:color w:val="auto"/>
              </w:rPr>
              <w:t>Kathleen A. Ligocki (Independent)</w:t>
            </w: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7"/>
                <w:szCs w:val="17"/>
                <w:b w:val="1"/>
                <w:bCs w:val="1"/>
                <w:color w:val="auto"/>
              </w:rPr>
              <w:t>Stock Symbol: LEA</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Conrad L. Mallett, Jr. (Independent)</w:t>
            </w:r>
          </w:p>
        </w:tc>
        <w:tc>
          <w:tcPr>
            <w:tcW w:w="0" w:type="dxa"/>
            <w:vAlign w:val="bottom"/>
          </w:tcPr>
          <w:p>
            <w:pPr>
              <w:spacing w:after="0"/>
              <w:rPr>
                <w:sz w:val="1"/>
                <w:szCs w:val="1"/>
                <w:color w:val="auto"/>
              </w:rPr>
            </w:pPr>
          </w:p>
        </w:tc>
      </w:tr>
      <w:tr>
        <w:trPr>
          <w:trHeight w:val="147"/>
        </w:trPr>
        <w:tc>
          <w:tcPr>
            <w:tcW w:w="3400" w:type="dxa"/>
            <w:vAlign w:val="bottom"/>
            <w:tcBorders>
              <w:left w:val="single" w:sz="8" w:color="auto"/>
            </w:tcBorders>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240"/>
              <w:spacing w:after="0" w:line="147" w:lineRule="exact"/>
              <w:rPr>
                <w:sz w:val="20"/>
                <w:szCs w:val="20"/>
                <w:color w:val="auto"/>
              </w:rPr>
            </w:pPr>
            <w:r>
              <w:rPr>
                <w:rFonts w:ascii="Arial" w:cs="Arial" w:eastAsia="Arial" w:hAnsi="Arial"/>
                <w:sz w:val="16"/>
                <w:szCs w:val="16"/>
                <w:color w:val="auto"/>
              </w:rPr>
              <w:t>Raymond E. Scott (Management)</w:t>
            </w: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tcBorders>
            <w:gridSpan w:val="2"/>
          </w:tcPr>
          <w:p>
            <w:pPr>
              <w:ind w:left="180"/>
              <w:spacing w:after="0" w:line="189" w:lineRule="exact"/>
              <w:rPr>
                <w:sz w:val="20"/>
                <w:szCs w:val="20"/>
                <w:color w:val="auto"/>
              </w:rPr>
            </w:pPr>
            <w:r>
              <w:rPr>
                <w:rFonts w:ascii="Arial" w:cs="Arial" w:eastAsia="Arial" w:hAnsi="Arial"/>
                <w:sz w:val="17"/>
                <w:szCs w:val="17"/>
                <w:b w:val="1"/>
                <w:bCs w:val="1"/>
                <w:color w:val="auto"/>
              </w:rPr>
              <w:t>Exchange: NYSE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Gregory C. Smith (Independent)</w:t>
            </w:r>
          </w:p>
        </w:tc>
        <w:tc>
          <w:tcPr>
            <w:tcW w:w="0" w:type="dxa"/>
            <w:vAlign w:val="bottom"/>
          </w:tcPr>
          <w:p>
            <w:pPr>
              <w:spacing w:after="0"/>
              <w:rPr>
                <w:sz w:val="1"/>
                <w:szCs w:val="1"/>
                <w:color w:val="auto"/>
              </w:rPr>
            </w:pPr>
          </w:p>
        </w:tc>
      </w:tr>
      <w:tr>
        <w:trPr>
          <w:trHeight w:val="189"/>
        </w:trPr>
        <w:tc>
          <w:tcPr>
            <w:tcW w:w="4960" w:type="dxa"/>
            <w:vAlign w:val="bottom"/>
            <w:tcBorders>
              <w:left w:val="single" w:sz="8" w:color="auto"/>
            </w:tcBorders>
            <w:gridSpan w:val="4"/>
          </w:tcPr>
          <w:p>
            <w:pPr>
              <w:ind w:left="180"/>
              <w:spacing w:after="0" w:line="189" w:lineRule="exact"/>
              <w:rPr>
                <w:sz w:val="20"/>
                <w:szCs w:val="20"/>
                <w:color w:val="auto"/>
              </w:rPr>
            </w:pPr>
            <w:r>
              <w:rPr>
                <w:rFonts w:ascii="Arial" w:cs="Arial" w:eastAsia="Arial" w:hAnsi="Arial"/>
                <w:sz w:val="17"/>
                <w:szCs w:val="17"/>
                <w:b w:val="1"/>
                <w:bCs w:val="1"/>
                <w:color w:val="auto"/>
              </w:rPr>
              <w:t>Shares of Common Stock Outstanding (as of the record</w:t>
            </w: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Henry D.G. Wallace (Independent)</w:t>
            </w:r>
          </w:p>
        </w:tc>
        <w:tc>
          <w:tcPr>
            <w:tcW w:w="0" w:type="dxa"/>
            <w:vAlign w:val="bottom"/>
          </w:tcPr>
          <w:p>
            <w:pPr>
              <w:spacing w:after="0"/>
              <w:rPr>
                <w:sz w:val="1"/>
                <w:szCs w:val="1"/>
                <w:color w:val="auto"/>
              </w:rPr>
            </w:pPr>
          </w:p>
        </w:tc>
      </w:tr>
      <w:tr>
        <w:trPr>
          <w:trHeight w:val="163"/>
        </w:trPr>
        <w:tc>
          <w:tcPr>
            <w:tcW w:w="3400" w:type="dxa"/>
            <w:vAlign w:val="bottom"/>
            <w:tcBorders>
              <w:left w:val="single" w:sz="8" w:color="auto"/>
            </w:tcBorders>
            <w:gridSpan w:val="2"/>
          </w:tcPr>
          <w:p>
            <w:pPr>
              <w:ind w:left="180"/>
              <w:spacing w:after="0" w:line="163" w:lineRule="exact"/>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66,274,418</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b w:val="1"/>
                <w:bCs w:val="1"/>
                <w:color w:val="auto"/>
              </w:rPr>
              <w:t xml:space="preserve">Director Term: </w:t>
            </w:r>
            <w:r>
              <w:rPr>
                <w:rFonts w:ascii="Arial" w:cs="Arial" w:eastAsia="Arial" w:hAnsi="Arial"/>
                <w:sz w:val="16"/>
                <w:szCs w:val="16"/>
                <w:color w:val="auto"/>
              </w:rPr>
              <w:t>One year</w:t>
            </w:r>
          </w:p>
        </w:tc>
        <w:tc>
          <w:tcPr>
            <w:tcW w:w="0" w:type="dxa"/>
            <w:vAlign w:val="bottom"/>
          </w:tcPr>
          <w:p>
            <w:pPr>
              <w:spacing w:after="0"/>
              <w:rPr>
                <w:sz w:val="1"/>
                <w:szCs w:val="1"/>
                <w:color w:val="auto"/>
              </w:rPr>
            </w:pPr>
          </w:p>
        </w:tc>
      </w:tr>
      <w:tr>
        <w:trPr>
          <w:trHeight w:val="175"/>
        </w:trPr>
        <w:tc>
          <w:tcPr>
            <w:tcW w:w="4960" w:type="dxa"/>
            <w:vAlign w:val="bottom"/>
            <w:tcBorders>
              <w:left w:val="single" w:sz="8" w:color="auto"/>
            </w:tcBorders>
            <w:gridSpan w:val="4"/>
          </w:tcPr>
          <w:p>
            <w:pPr>
              <w:ind w:left="180"/>
              <w:spacing w:after="0" w:line="175" w:lineRule="exact"/>
              <w:rPr>
                <w:sz w:val="20"/>
                <w:szCs w:val="20"/>
                <w:color w:val="auto"/>
              </w:rPr>
            </w:pPr>
            <w:r>
              <w:rPr>
                <w:rFonts w:ascii="Arial" w:cs="Arial" w:eastAsia="Arial" w:hAnsi="Arial"/>
                <w:sz w:val="17"/>
                <w:szCs w:val="17"/>
                <w:b w:val="1"/>
                <w:bCs w:val="1"/>
                <w:color w:val="auto"/>
              </w:rPr>
              <w:t xml:space="preserve">Registrar &amp; Transfer Agent: </w:t>
            </w:r>
            <w:r>
              <w:rPr>
                <w:rFonts w:ascii="Arial" w:cs="Arial" w:eastAsia="Arial" w:hAnsi="Arial"/>
                <w:sz w:val="17"/>
                <w:szCs w:val="17"/>
                <w:color w:val="auto"/>
              </w:rPr>
              <w:t>Computershare Trust</w:t>
            </w:r>
          </w:p>
        </w:tc>
        <w:tc>
          <w:tcPr>
            <w:tcW w:w="90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tcBorders>
            <w:gridSpan w:val="2"/>
          </w:tcPr>
          <w:p>
            <w:pPr>
              <w:ind w:left="180"/>
              <w:spacing w:after="0" w:line="189" w:lineRule="exact"/>
              <w:rPr>
                <w:sz w:val="20"/>
                <w:szCs w:val="20"/>
                <w:color w:val="auto"/>
              </w:rPr>
            </w:pPr>
            <w:r>
              <w:rPr>
                <w:rFonts w:ascii="Arial" w:cs="Arial" w:eastAsia="Arial" w:hAnsi="Arial"/>
                <w:sz w:val="17"/>
                <w:szCs w:val="17"/>
                <w:color w:val="auto"/>
              </w:rPr>
              <w:t>Company, N.A.</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color w:val="auto"/>
              </w:rPr>
              <w:t xml:space="preserve">Board Meetings in 2017: </w:t>
            </w: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4960" w:type="dxa"/>
            <w:vAlign w:val="bottom"/>
            <w:tcBorders>
              <w:left w:val="single" w:sz="8" w:color="auto"/>
            </w:tcBorders>
            <w:gridSpan w:val="4"/>
          </w:tcPr>
          <w:p>
            <w:pPr>
              <w:ind w:left="180"/>
              <w:spacing w:after="0"/>
              <w:rPr>
                <w:sz w:val="20"/>
                <w:szCs w:val="20"/>
                <w:color w:val="auto"/>
              </w:rPr>
            </w:pPr>
            <w:r>
              <w:rPr>
                <w:rFonts w:ascii="Arial" w:cs="Arial" w:eastAsia="Arial" w:hAnsi="Arial"/>
                <w:sz w:val="17"/>
                <w:szCs w:val="17"/>
                <w:b w:val="1"/>
                <w:bCs w:val="1"/>
                <w:color w:val="auto"/>
              </w:rPr>
              <w:t xml:space="preserve">Principal Executive Offices: </w:t>
            </w:r>
            <w:r>
              <w:rPr>
                <w:rFonts w:ascii="Arial" w:cs="Arial" w:eastAsia="Arial" w:hAnsi="Arial"/>
                <w:sz w:val="17"/>
                <w:szCs w:val="17"/>
                <w:color w:val="auto"/>
              </w:rPr>
              <w:t>21557 Telegraph Road,</w:t>
            </w:r>
          </w:p>
        </w:tc>
        <w:tc>
          <w:tcPr>
            <w:tcW w:w="900" w:type="dxa"/>
            <w:vAlign w:val="bottom"/>
            <w:tcBorders>
              <w:right w:val="single" w:sz="8" w:color="auto"/>
            </w:tcBorders>
          </w:tcPr>
          <w:p>
            <w:pPr>
              <w:spacing w:after="0"/>
              <w:rPr>
                <w:sz w:val="17"/>
                <w:szCs w:val="17"/>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color w:val="auto"/>
              </w:rPr>
              <w:t>Standing Board Committee Meetings in 2017:</w:t>
            </w:r>
          </w:p>
        </w:tc>
        <w:tc>
          <w:tcPr>
            <w:tcW w:w="0" w:type="dxa"/>
            <w:vAlign w:val="bottom"/>
          </w:tcPr>
          <w:p>
            <w:pPr>
              <w:spacing w:after="0"/>
              <w:rPr>
                <w:sz w:val="1"/>
                <w:szCs w:val="1"/>
                <w:color w:val="auto"/>
              </w:rPr>
            </w:pPr>
          </w:p>
        </w:tc>
      </w:tr>
      <w:tr>
        <w:trPr>
          <w:trHeight w:val="188"/>
        </w:trPr>
        <w:tc>
          <w:tcPr>
            <w:tcW w:w="3400" w:type="dxa"/>
            <w:vAlign w:val="bottom"/>
            <w:tcBorders>
              <w:left w:val="single" w:sz="8" w:color="auto"/>
            </w:tcBorders>
            <w:gridSpan w:val="2"/>
          </w:tcPr>
          <w:p>
            <w:pPr>
              <w:ind w:left="180"/>
              <w:spacing w:after="0" w:line="188" w:lineRule="exact"/>
              <w:rPr>
                <w:sz w:val="20"/>
                <w:szCs w:val="20"/>
                <w:color w:val="auto"/>
              </w:rPr>
            </w:pPr>
            <w:r>
              <w:rPr>
                <w:rFonts w:ascii="Arial" w:cs="Arial" w:eastAsia="Arial" w:hAnsi="Arial"/>
                <w:sz w:val="17"/>
                <w:szCs w:val="17"/>
                <w:color w:val="auto"/>
              </w:rPr>
              <w:t>Southfield, Michigan 48033</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Audit (9), Compensation (4), Nominating and Corporate</w:t>
            </w: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tcBorders>
            <w:gridSpan w:val="2"/>
          </w:tcPr>
          <w:p>
            <w:pPr>
              <w:ind w:left="180"/>
              <w:spacing w:after="0" w:line="189" w:lineRule="exact"/>
              <w:rPr>
                <w:sz w:val="20"/>
                <w:szCs w:val="20"/>
                <w:color w:val="auto"/>
              </w:rPr>
            </w:pPr>
            <w:r>
              <w:rPr>
                <w:rFonts w:ascii="Arial" w:cs="Arial" w:eastAsia="Arial" w:hAnsi="Arial"/>
                <w:sz w:val="17"/>
                <w:szCs w:val="17"/>
                <w:b w:val="1"/>
                <w:bCs w:val="1"/>
                <w:color w:val="auto"/>
              </w:rPr>
              <w:t xml:space="preserve">Corporate Website: </w:t>
            </w:r>
            <w:r>
              <w:rPr>
                <w:rFonts w:ascii="Arial" w:cs="Arial" w:eastAsia="Arial" w:hAnsi="Arial"/>
                <w:sz w:val="17"/>
                <w:szCs w:val="17"/>
                <w:color w:val="auto"/>
              </w:rPr>
              <w:t>lear.com</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Governance (5)</w:t>
            </w:r>
          </w:p>
        </w:tc>
        <w:tc>
          <w:tcPr>
            <w:tcW w:w="0" w:type="dxa"/>
            <w:vAlign w:val="bottom"/>
          </w:tcPr>
          <w:p>
            <w:pPr>
              <w:spacing w:after="0"/>
              <w:rPr>
                <w:sz w:val="1"/>
                <w:szCs w:val="1"/>
                <w:color w:val="auto"/>
              </w:rPr>
            </w:pPr>
          </w:p>
        </w:tc>
      </w:tr>
      <w:tr>
        <w:trPr>
          <w:trHeight w:val="225"/>
        </w:trPr>
        <w:tc>
          <w:tcPr>
            <w:tcW w:w="3400" w:type="dxa"/>
            <w:vAlign w:val="bottom"/>
            <w:tcBorders>
              <w:left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 xml:space="preserve">Investor Relations Website: </w:t>
            </w:r>
            <w:r>
              <w:rPr>
                <w:rFonts w:ascii="Arial" w:cs="Arial" w:eastAsia="Arial" w:hAnsi="Arial"/>
                <w:sz w:val="17"/>
                <w:szCs w:val="17"/>
                <w:color w:val="auto"/>
              </w:rPr>
              <w:t>ir.lear.com</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180" w:type="dxa"/>
            <w:vAlign w:val="bottom"/>
            <w:tcBorders>
              <w:left w:val="single" w:sz="8" w:color="auto"/>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4960" w:type="dxa"/>
            <w:vAlign w:val="bottom"/>
            <w:tcBorders>
              <w:left w:val="single" w:sz="8" w:color="auto"/>
            </w:tcBorders>
            <w:gridSpan w:val="4"/>
            <w:shd w:val="clear" w:color="auto" w:fill="E2231A"/>
          </w:tcPr>
          <w:p>
            <w:pPr>
              <w:ind w:left="200"/>
              <w:spacing w:after="0"/>
              <w:rPr>
                <w:sz w:val="20"/>
                <w:szCs w:val="20"/>
                <w:color w:val="auto"/>
              </w:rPr>
            </w:pPr>
            <w:r>
              <w:rPr>
                <w:rFonts w:ascii="Arial" w:cs="Arial" w:eastAsia="Arial" w:hAnsi="Arial"/>
                <w:sz w:val="22"/>
                <w:szCs w:val="22"/>
                <w:b w:val="1"/>
                <w:bCs w:val="1"/>
                <w:color w:val="FFFFFF"/>
              </w:rPr>
              <w:t>STOCKHOLDER VOTING MATTERS</w:t>
            </w:r>
          </w:p>
        </w:tc>
        <w:tc>
          <w:tcPr>
            <w:tcW w:w="900" w:type="dxa"/>
            <w:vAlign w:val="bottom"/>
            <w:tcBorders>
              <w:right w:val="single" w:sz="8" w:color="auto"/>
            </w:tcBorders>
            <w:shd w:val="clear" w:color="auto" w:fill="E2231A"/>
          </w:tcPr>
          <w:p>
            <w:pPr>
              <w:spacing w:after="0"/>
              <w:rPr>
                <w:sz w:val="24"/>
                <w:szCs w:val="24"/>
                <w:color w:val="auto"/>
              </w:rPr>
            </w:pPr>
          </w:p>
        </w:tc>
        <w:tc>
          <w:tcPr>
            <w:tcW w:w="5180" w:type="dxa"/>
            <w:vAlign w:val="bottom"/>
            <w:tcBorders>
              <w:right w:val="single" w:sz="8" w:color="auto"/>
            </w:tcBorders>
            <w:shd w:val="clear" w:color="auto" w:fill="E2231A"/>
          </w:tcPr>
          <w:p>
            <w:pPr>
              <w:ind w:left="240"/>
              <w:spacing w:after="0"/>
              <w:rPr>
                <w:sz w:val="20"/>
                <w:szCs w:val="20"/>
                <w:color w:val="auto"/>
              </w:rPr>
            </w:pPr>
            <w:r>
              <w:rPr>
                <w:rFonts w:ascii="Arial" w:cs="Arial" w:eastAsia="Arial" w:hAnsi="Arial"/>
                <w:sz w:val="22"/>
                <w:szCs w:val="22"/>
                <w:b w:val="1"/>
                <w:bCs w:val="1"/>
                <w:color w:val="FFFFFF"/>
              </w:rPr>
              <w:t>NAMED EXECUTIVE OFFICERS</w:t>
            </w:r>
          </w:p>
        </w:tc>
        <w:tc>
          <w:tcPr>
            <w:tcW w:w="0" w:type="dxa"/>
            <w:vAlign w:val="bottom"/>
          </w:tcPr>
          <w:p>
            <w:pPr>
              <w:spacing w:after="0"/>
              <w:rPr>
                <w:sz w:val="1"/>
                <w:szCs w:val="1"/>
                <w:color w:val="auto"/>
              </w:rPr>
            </w:pPr>
          </w:p>
        </w:tc>
      </w:tr>
      <w:tr>
        <w:trPr>
          <w:trHeight w:val="85"/>
        </w:trPr>
        <w:tc>
          <w:tcPr>
            <w:tcW w:w="3180" w:type="dxa"/>
            <w:vAlign w:val="bottom"/>
            <w:tcBorders>
              <w:left w:val="single" w:sz="8" w:color="auto"/>
              <w:bottom w:val="single" w:sz="8" w:color="auto"/>
            </w:tcBorders>
            <w:shd w:val="clear" w:color="auto" w:fill="E2231A"/>
          </w:tcPr>
          <w:p>
            <w:pPr>
              <w:spacing w:after="0"/>
              <w:rPr>
                <w:sz w:val="7"/>
                <w:szCs w:val="7"/>
                <w:color w:val="auto"/>
              </w:rPr>
            </w:pPr>
          </w:p>
        </w:tc>
        <w:tc>
          <w:tcPr>
            <w:tcW w:w="220" w:type="dxa"/>
            <w:vAlign w:val="bottom"/>
            <w:tcBorders>
              <w:bottom w:val="single" w:sz="8" w:color="auto"/>
            </w:tcBorders>
            <w:shd w:val="clear" w:color="auto" w:fill="E2231A"/>
          </w:tcPr>
          <w:p>
            <w:pPr>
              <w:spacing w:after="0"/>
              <w:rPr>
                <w:sz w:val="7"/>
                <w:szCs w:val="7"/>
                <w:color w:val="auto"/>
              </w:rPr>
            </w:pPr>
          </w:p>
        </w:tc>
        <w:tc>
          <w:tcPr>
            <w:tcW w:w="1460" w:type="dxa"/>
            <w:vAlign w:val="bottom"/>
            <w:tcBorders>
              <w:bottom w:val="single" w:sz="8" w:color="auto"/>
            </w:tcBorders>
            <w:shd w:val="clear" w:color="auto" w:fill="E2231A"/>
          </w:tcPr>
          <w:p>
            <w:pPr>
              <w:spacing w:after="0"/>
              <w:rPr>
                <w:sz w:val="7"/>
                <w:szCs w:val="7"/>
                <w:color w:val="auto"/>
              </w:rPr>
            </w:pPr>
          </w:p>
        </w:tc>
        <w:tc>
          <w:tcPr>
            <w:tcW w:w="100" w:type="dxa"/>
            <w:vAlign w:val="bottom"/>
            <w:tcBorders>
              <w:bottom w:val="single" w:sz="8" w:color="auto"/>
            </w:tcBorders>
            <w:shd w:val="clear" w:color="auto" w:fill="E2231A"/>
          </w:tcPr>
          <w:p>
            <w:pPr>
              <w:spacing w:after="0"/>
              <w:rPr>
                <w:sz w:val="7"/>
                <w:szCs w:val="7"/>
                <w:color w:val="auto"/>
              </w:rPr>
            </w:pPr>
          </w:p>
        </w:tc>
        <w:tc>
          <w:tcPr>
            <w:tcW w:w="900" w:type="dxa"/>
            <w:vAlign w:val="bottom"/>
            <w:tcBorders>
              <w:bottom w:val="single" w:sz="8" w:color="auto"/>
              <w:right w:val="single" w:sz="8" w:color="auto"/>
            </w:tcBorders>
            <w:shd w:val="clear" w:color="auto" w:fill="E2231A"/>
          </w:tcPr>
          <w:p>
            <w:pPr>
              <w:spacing w:after="0"/>
              <w:rPr>
                <w:sz w:val="7"/>
                <w:szCs w:val="7"/>
                <w:color w:val="auto"/>
              </w:rPr>
            </w:pPr>
          </w:p>
        </w:tc>
        <w:tc>
          <w:tcPr>
            <w:tcW w:w="5180" w:type="dxa"/>
            <w:vAlign w:val="bottom"/>
            <w:tcBorders>
              <w:bottom w:val="single" w:sz="8" w:color="auto"/>
              <w:right w:val="single" w:sz="8" w:color="auto"/>
            </w:tcBorders>
            <w:shd w:val="clear" w:color="auto" w:fill="E2231A"/>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1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Page</w:t>
            </w:r>
          </w:p>
        </w:tc>
        <w:tc>
          <w:tcPr>
            <w:tcW w:w="51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7"/>
                <w:szCs w:val="17"/>
                <w:color w:val="auto"/>
              </w:rPr>
              <w:t>Matthew J. Simoncini</w:t>
            </w:r>
          </w:p>
        </w:tc>
        <w:tc>
          <w:tcPr>
            <w:tcW w:w="0" w:type="dxa"/>
            <w:vAlign w:val="bottom"/>
          </w:tcPr>
          <w:p>
            <w:pPr>
              <w:spacing w:after="0"/>
              <w:rPr>
                <w:sz w:val="1"/>
                <w:szCs w:val="1"/>
                <w:color w:val="auto"/>
              </w:rPr>
            </w:pPr>
          </w:p>
        </w:tc>
      </w:tr>
      <w:tr>
        <w:trPr>
          <w:trHeight w:val="75"/>
        </w:trPr>
        <w:tc>
          <w:tcPr>
            <w:tcW w:w="318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Reference</w:t>
            </w:r>
          </w:p>
        </w:tc>
        <w:tc>
          <w:tcPr>
            <w:tcW w:w="51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318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5180" w:type="dxa"/>
            <w:vAlign w:val="bottom"/>
            <w:tcBorders>
              <w:right w:val="single" w:sz="8" w:color="auto"/>
            </w:tcBorders>
            <w:vMerge w:val="restart"/>
          </w:tcPr>
          <w:p>
            <w:pPr>
              <w:ind w:left="240"/>
              <w:spacing w:after="0" w:line="189" w:lineRule="exact"/>
              <w:rPr>
                <w:sz w:val="20"/>
                <w:szCs w:val="20"/>
                <w:color w:val="auto"/>
              </w:rPr>
            </w:pPr>
            <w:r>
              <w:rPr>
                <w:rFonts w:ascii="Arial" w:cs="Arial" w:eastAsia="Arial" w:hAnsi="Arial"/>
                <w:sz w:val="17"/>
                <w:szCs w:val="17"/>
                <w:color w:val="auto"/>
              </w:rPr>
              <w:t>Jeffrey H. Vanneste</w:t>
            </w:r>
          </w:p>
        </w:tc>
        <w:tc>
          <w:tcPr>
            <w:tcW w:w="0" w:type="dxa"/>
            <w:vAlign w:val="bottom"/>
          </w:tcPr>
          <w:p>
            <w:pPr>
              <w:spacing w:after="0"/>
              <w:rPr>
                <w:sz w:val="1"/>
                <w:szCs w:val="1"/>
                <w:color w:val="auto"/>
              </w:rPr>
            </w:pPr>
          </w:p>
        </w:tc>
      </w:tr>
      <w:tr>
        <w:trPr>
          <w:trHeight w:val="102"/>
        </w:trPr>
        <w:tc>
          <w:tcPr>
            <w:tcW w:w="31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Board’s Voting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(for more</w:t>
            </w:r>
          </w:p>
        </w:tc>
        <w:tc>
          <w:tcPr>
            <w:tcW w:w="5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18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51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7"/>
                <w:szCs w:val="17"/>
                <w:color w:val="auto"/>
              </w:rPr>
              <w:t>Raymond E. Scott</w:t>
            </w:r>
          </w:p>
        </w:tc>
        <w:tc>
          <w:tcPr>
            <w:tcW w:w="0" w:type="dxa"/>
            <w:vAlign w:val="bottom"/>
          </w:tcPr>
          <w:p>
            <w:pPr>
              <w:spacing w:after="0"/>
              <w:rPr>
                <w:sz w:val="1"/>
                <w:szCs w:val="1"/>
                <w:color w:val="auto"/>
              </w:rPr>
            </w:pPr>
          </w:p>
        </w:tc>
      </w:tr>
      <w:tr>
        <w:trPr>
          <w:trHeight w:val="148"/>
        </w:trPr>
        <w:tc>
          <w:tcPr>
            <w:tcW w:w="3400" w:type="dxa"/>
            <w:vAlign w:val="bottom"/>
            <w:tcBorders>
              <w:left w:val="single" w:sz="8" w:color="auto"/>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Proposal</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Recommendation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detail)</w:t>
            </w:r>
          </w:p>
        </w:tc>
        <w:tc>
          <w:tcPr>
            <w:tcW w:w="5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18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FCE9E8"/>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FCE9E8"/>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180" w:type="dxa"/>
            <w:vAlign w:val="bottom"/>
            <w:tcBorders>
              <w:right w:val="single" w:sz="8" w:color="auto"/>
            </w:tcBorders>
            <w:vMerge w:val="restart"/>
          </w:tcPr>
          <w:p>
            <w:pPr>
              <w:ind w:left="240"/>
              <w:spacing w:after="0" w:line="169" w:lineRule="exact"/>
              <w:rPr>
                <w:sz w:val="20"/>
                <w:szCs w:val="20"/>
                <w:color w:val="auto"/>
              </w:rPr>
            </w:pPr>
            <w:r>
              <w:rPr>
                <w:rFonts w:ascii="Arial" w:cs="Arial" w:eastAsia="Arial" w:hAnsi="Arial"/>
                <w:sz w:val="17"/>
                <w:szCs w:val="17"/>
                <w:color w:val="auto"/>
              </w:rPr>
              <w:t>Terrence B. Larkin</w:t>
            </w:r>
          </w:p>
        </w:tc>
        <w:tc>
          <w:tcPr>
            <w:tcW w:w="0" w:type="dxa"/>
            <w:vAlign w:val="bottom"/>
          </w:tcPr>
          <w:p>
            <w:pPr>
              <w:spacing w:after="0"/>
              <w:rPr>
                <w:sz w:val="1"/>
                <w:szCs w:val="1"/>
                <w:color w:val="auto"/>
              </w:rPr>
            </w:pPr>
          </w:p>
        </w:tc>
      </w:tr>
      <w:tr>
        <w:trPr>
          <w:trHeight w:val="68"/>
        </w:trPr>
        <w:tc>
          <w:tcPr>
            <w:tcW w:w="3400" w:type="dxa"/>
            <w:vAlign w:val="bottom"/>
            <w:tcBorders>
              <w:left w:val="single" w:sz="8" w:color="auto"/>
            </w:tcBorders>
            <w:gridSpan w:val="2"/>
            <w:vMerge w:val="restart"/>
            <w:shd w:val="clear" w:color="auto" w:fill="FCE9E8"/>
          </w:tcPr>
          <w:p>
            <w:pPr>
              <w:ind w:left="240"/>
              <w:spacing w:after="0" w:line="165" w:lineRule="exact"/>
              <w:rPr>
                <w:sz w:val="20"/>
                <w:szCs w:val="20"/>
                <w:color w:val="auto"/>
              </w:rPr>
            </w:pPr>
            <w:r>
              <w:rPr>
                <w:rFonts w:ascii="Arial" w:cs="Arial" w:eastAsia="Arial" w:hAnsi="Arial"/>
                <w:sz w:val="16"/>
                <w:szCs w:val="16"/>
                <w:color w:val="auto"/>
              </w:rPr>
              <w:t>Election of Directors</w:t>
            </w:r>
          </w:p>
        </w:tc>
        <w:tc>
          <w:tcPr>
            <w:tcW w:w="1560" w:type="dxa"/>
            <w:vAlign w:val="bottom"/>
            <w:gridSpan w:val="2"/>
            <w:vMerge w:val="restart"/>
            <w:shd w:val="clear" w:color="auto" w:fill="FCE9E8"/>
          </w:tcPr>
          <w:p>
            <w:pPr>
              <w:jc w:val="center"/>
              <w:ind w:right="120"/>
              <w:spacing w:after="0" w:line="165" w:lineRule="exact"/>
              <w:rPr>
                <w:sz w:val="20"/>
                <w:szCs w:val="20"/>
                <w:color w:val="auto"/>
              </w:rPr>
            </w:pPr>
            <w:r>
              <w:rPr>
                <w:rFonts w:ascii="Arial" w:cs="Arial" w:eastAsia="Arial" w:hAnsi="Arial"/>
                <w:sz w:val="16"/>
                <w:szCs w:val="16"/>
                <w:b w:val="1"/>
                <w:bCs w:val="1"/>
                <w:color w:val="auto"/>
              </w:rPr>
              <w:t>FOR EACH</w:t>
            </w:r>
          </w:p>
        </w:tc>
        <w:tc>
          <w:tcPr>
            <w:tcW w:w="900" w:type="dxa"/>
            <w:vAlign w:val="bottom"/>
            <w:tcBorders>
              <w:right w:val="single" w:sz="8" w:color="auto"/>
            </w:tcBorders>
            <w:vMerge w:val="restart"/>
            <w:shd w:val="clear" w:color="auto" w:fill="FCE9E8"/>
          </w:tcPr>
          <w:p>
            <w:pPr>
              <w:jc w:val="center"/>
              <w:spacing w:after="0" w:line="165" w:lineRule="exact"/>
              <w:rPr>
                <w:sz w:val="20"/>
                <w:szCs w:val="20"/>
                <w:color w:val="auto"/>
              </w:rPr>
            </w:pPr>
            <w:r>
              <w:rPr>
                <w:rFonts w:ascii="Arial" w:cs="Arial" w:eastAsia="Arial" w:hAnsi="Arial"/>
                <w:sz w:val="16"/>
                <w:szCs w:val="16"/>
                <w:b w:val="1"/>
                <w:bCs w:val="1"/>
                <w:color w:val="auto"/>
              </w:rPr>
              <w:t>6</w:t>
            </w:r>
          </w:p>
        </w:tc>
        <w:tc>
          <w:tcPr>
            <w:tcW w:w="51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3400" w:type="dxa"/>
            <w:vAlign w:val="bottom"/>
            <w:tcBorders>
              <w:left w:val="single" w:sz="8" w:color="auto"/>
            </w:tcBorders>
            <w:gridSpan w:val="2"/>
            <w:vMerge w:val="continue"/>
            <w:shd w:val="clear" w:color="auto" w:fill="FCE9E8"/>
          </w:tcPr>
          <w:p>
            <w:pPr>
              <w:spacing w:after="0"/>
              <w:rPr>
                <w:sz w:val="8"/>
                <w:szCs w:val="8"/>
                <w:color w:val="auto"/>
              </w:rPr>
            </w:pPr>
          </w:p>
        </w:tc>
        <w:tc>
          <w:tcPr>
            <w:tcW w:w="1560" w:type="dxa"/>
            <w:vAlign w:val="bottom"/>
            <w:gridSpan w:val="2"/>
            <w:vMerge w:val="continue"/>
            <w:shd w:val="clear" w:color="auto" w:fill="FCE9E8"/>
          </w:tcPr>
          <w:p>
            <w:pPr>
              <w:spacing w:after="0"/>
              <w:rPr>
                <w:sz w:val="8"/>
                <w:szCs w:val="8"/>
                <w:color w:val="auto"/>
              </w:rPr>
            </w:pPr>
          </w:p>
        </w:tc>
        <w:tc>
          <w:tcPr>
            <w:tcW w:w="900" w:type="dxa"/>
            <w:vAlign w:val="bottom"/>
            <w:tcBorders>
              <w:right w:val="single" w:sz="8" w:color="auto"/>
            </w:tcBorders>
            <w:vMerge w:val="continue"/>
            <w:shd w:val="clear" w:color="auto" w:fill="FCE9E8"/>
          </w:tcPr>
          <w:p>
            <w:pPr>
              <w:spacing w:after="0"/>
              <w:rPr>
                <w:sz w:val="8"/>
                <w:szCs w:val="8"/>
                <w:color w:val="auto"/>
              </w:rPr>
            </w:pPr>
          </w:p>
        </w:tc>
        <w:tc>
          <w:tcPr>
            <w:tcW w:w="51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7"/>
                <w:szCs w:val="17"/>
                <w:color w:val="auto"/>
              </w:rPr>
              <w:t>Frank C. Orsini</w:t>
            </w:r>
          </w:p>
        </w:tc>
        <w:tc>
          <w:tcPr>
            <w:tcW w:w="0" w:type="dxa"/>
            <w:vAlign w:val="bottom"/>
          </w:tcPr>
          <w:p>
            <w:pPr>
              <w:spacing w:after="0"/>
              <w:rPr>
                <w:sz w:val="1"/>
                <w:szCs w:val="1"/>
                <w:color w:val="auto"/>
              </w:rPr>
            </w:pPr>
          </w:p>
        </w:tc>
      </w:tr>
      <w:tr>
        <w:trPr>
          <w:trHeight w:val="109"/>
        </w:trPr>
        <w:tc>
          <w:tcPr>
            <w:tcW w:w="3180" w:type="dxa"/>
            <w:vAlign w:val="bottom"/>
            <w:tcBorders>
              <w:left w:val="single" w:sz="8" w:color="auto"/>
            </w:tcBorders>
            <w:shd w:val="clear" w:color="auto" w:fill="FCE9E8"/>
          </w:tcPr>
          <w:p>
            <w:pPr>
              <w:spacing w:after="0"/>
              <w:rPr>
                <w:sz w:val="9"/>
                <w:szCs w:val="9"/>
                <w:color w:val="auto"/>
              </w:rPr>
            </w:pPr>
          </w:p>
        </w:tc>
        <w:tc>
          <w:tcPr>
            <w:tcW w:w="220" w:type="dxa"/>
            <w:vAlign w:val="bottom"/>
            <w:shd w:val="clear" w:color="auto" w:fill="FCE9E8"/>
          </w:tcPr>
          <w:p>
            <w:pPr>
              <w:spacing w:after="0"/>
              <w:rPr>
                <w:sz w:val="9"/>
                <w:szCs w:val="9"/>
                <w:color w:val="auto"/>
              </w:rPr>
            </w:pPr>
          </w:p>
        </w:tc>
        <w:tc>
          <w:tcPr>
            <w:tcW w:w="1560" w:type="dxa"/>
            <w:vAlign w:val="bottom"/>
            <w:gridSpan w:val="2"/>
            <w:vMerge w:val="restart"/>
            <w:shd w:val="clear" w:color="auto" w:fill="FCE9E8"/>
          </w:tcPr>
          <w:p>
            <w:pPr>
              <w:jc w:val="center"/>
              <w:ind w:right="120"/>
              <w:spacing w:after="0"/>
              <w:rPr>
                <w:sz w:val="20"/>
                <w:szCs w:val="20"/>
                <w:color w:val="auto"/>
              </w:rPr>
            </w:pPr>
            <w:r>
              <w:rPr>
                <w:rFonts w:ascii="Arial" w:cs="Arial" w:eastAsia="Arial" w:hAnsi="Arial"/>
                <w:sz w:val="16"/>
                <w:szCs w:val="16"/>
                <w:b w:val="1"/>
                <w:bCs w:val="1"/>
                <w:color w:val="auto"/>
              </w:rPr>
              <w:t>NOMINEE</w:t>
            </w:r>
          </w:p>
        </w:tc>
        <w:tc>
          <w:tcPr>
            <w:tcW w:w="900" w:type="dxa"/>
            <w:vAlign w:val="bottom"/>
            <w:tcBorders>
              <w:right w:val="single" w:sz="8" w:color="auto"/>
            </w:tcBorders>
            <w:shd w:val="clear" w:color="auto" w:fill="FCE9E8"/>
          </w:tcPr>
          <w:p>
            <w:pPr>
              <w:spacing w:after="0"/>
              <w:rPr>
                <w:sz w:val="9"/>
                <w:szCs w:val="9"/>
                <w:color w:val="auto"/>
              </w:rPr>
            </w:pPr>
          </w:p>
        </w:tc>
        <w:tc>
          <w:tcPr>
            <w:tcW w:w="5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180" w:type="dxa"/>
            <w:vAlign w:val="bottom"/>
            <w:tcBorders>
              <w:left w:val="single" w:sz="8" w:color="auto"/>
            </w:tcBorders>
            <w:shd w:val="clear" w:color="auto" w:fill="FCE9E8"/>
          </w:tcPr>
          <w:p>
            <w:pPr>
              <w:spacing w:after="0"/>
              <w:rPr>
                <w:sz w:val="8"/>
                <w:szCs w:val="8"/>
                <w:color w:val="auto"/>
              </w:rPr>
            </w:pPr>
          </w:p>
        </w:tc>
        <w:tc>
          <w:tcPr>
            <w:tcW w:w="220" w:type="dxa"/>
            <w:vAlign w:val="bottom"/>
            <w:shd w:val="clear" w:color="auto" w:fill="FCE9E8"/>
          </w:tcPr>
          <w:p>
            <w:pPr>
              <w:spacing w:after="0"/>
              <w:rPr>
                <w:sz w:val="8"/>
                <w:szCs w:val="8"/>
                <w:color w:val="auto"/>
              </w:rPr>
            </w:pPr>
          </w:p>
        </w:tc>
        <w:tc>
          <w:tcPr>
            <w:tcW w:w="1560" w:type="dxa"/>
            <w:vAlign w:val="bottom"/>
            <w:gridSpan w:val="2"/>
            <w:vMerge w:val="continue"/>
            <w:shd w:val="clear" w:color="auto" w:fill="FCE9E8"/>
          </w:tcPr>
          <w:p>
            <w:pPr>
              <w:spacing w:after="0"/>
              <w:rPr>
                <w:sz w:val="8"/>
                <w:szCs w:val="8"/>
                <w:color w:val="auto"/>
              </w:rPr>
            </w:pPr>
          </w:p>
        </w:tc>
        <w:tc>
          <w:tcPr>
            <w:tcW w:w="900" w:type="dxa"/>
            <w:vAlign w:val="bottom"/>
            <w:tcBorders>
              <w:right w:val="single" w:sz="8" w:color="auto"/>
            </w:tcBorders>
            <w:shd w:val="clear" w:color="auto" w:fill="FCE9E8"/>
          </w:tcPr>
          <w:p>
            <w:pPr>
              <w:spacing w:after="0"/>
              <w:rPr>
                <w:sz w:val="8"/>
                <w:szCs w:val="8"/>
                <w:color w:val="auto"/>
              </w:rPr>
            </w:pPr>
          </w:p>
        </w:tc>
        <w:tc>
          <w:tcPr>
            <w:tcW w:w="51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Yes (p. 36)</w:t>
            </w:r>
          </w:p>
        </w:tc>
        <w:tc>
          <w:tcPr>
            <w:tcW w:w="0" w:type="dxa"/>
            <w:vAlign w:val="bottom"/>
          </w:tcPr>
          <w:p>
            <w:pPr>
              <w:spacing w:after="0"/>
              <w:rPr>
                <w:sz w:val="1"/>
                <w:szCs w:val="1"/>
                <w:color w:val="auto"/>
              </w:rPr>
            </w:pPr>
          </w:p>
        </w:tc>
      </w:tr>
      <w:tr>
        <w:trPr>
          <w:trHeight w:val="176"/>
        </w:trPr>
        <w:tc>
          <w:tcPr>
            <w:tcW w:w="3400" w:type="dxa"/>
            <w:vAlign w:val="bottom"/>
            <w:tcBorders>
              <w:left w:val="single" w:sz="8" w:color="auto"/>
            </w:tcBorders>
            <w:gridSpan w:val="2"/>
          </w:tcPr>
          <w:p>
            <w:pPr>
              <w:ind w:left="240"/>
              <w:spacing w:after="0" w:line="177" w:lineRule="exact"/>
              <w:rPr>
                <w:sz w:val="20"/>
                <w:szCs w:val="20"/>
                <w:color w:val="auto"/>
              </w:rPr>
            </w:pPr>
            <w:r>
              <w:rPr>
                <w:rFonts w:ascii="Arial" w:cs="Arial" w:eastAsia="Arial" w:hAnsi="Arial"/>
                <w:sz w:val="16"/>
                <w:szCs w:val="16"/>
                <w:color w:val="auto"/>
              </w:rPr>
              <w:t>Ratification of Retention of</w:t>
            </w:r>
          </w:p>
        </w:tc>
        <w:tc>
          <w:tcPr>
            <w:tcW w:w="1560" w:type="dxa"/>
            <w:vAlign w:val="bottom"/>
            <w:gridSpan w:val="2"/>
          </w:tcPr>
          <w:p>
            <w:pPr>
              <w:jc w:val="center"/>
              <w:ind w:right="140"/>
              <w:spacing w:after="0" w:line="177" w:lineRule="exact"/>
              <w:rPr>
                <w:sz w:val="20"/>
                <w:szCs w:val="20"/>
                <w:color w:val="auto"/>
              </w:rPr>
            </w:pPr>
            <w:r>
              <w:rPr>
                <w:rFonts w:ascii="Arial" w:cs="Arial" w:eastAsia="Arial" w:hAnsi="Arial"/>
                <w:sz w:val="16"/>
                <w:szCs w:val="16"/>
                <w:b w:val="1"/>
                <w:bCs w:val="1"/>
                <w:color w:val="auto"/>
              </w:rPr>
              <w:t>FOR</w:t>
            </w:r>
          </w:p>
        </w:tc>
        <w:tc>
          <w:tcPr>
            <w:tcW w:w="9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6"/>
                <w:szCs w:val="16"/>
                <w:b w:val="1"/>
                <w:bCs w:val="1"/>
                <w:color w:val="auto"/>
              </w:rPr>
              <w:t>63</w:t>
            </w:r>
          </w:p>
        </w:tc>
        <w:tc>
          <w:tcPr>
            <w:tcW w:w="51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tcBorders>
            <w:gridSpan w:val="2"/>
          </w:tcPr>
          <w:p>
            <w:pPr>
              <w:ind w:left="240"/>
              <w:spacing w:after="0"/>
              <w:rPr>
                <w:sz w:val="20"/>
                <w:szCs w:val="20"/>
                <w:color w:val="auto"/>
              </w:rPr>
            </w:pPr>
            <w:r>
              <w:rPr>
                <w:rFonts w:ascii="Arial" w:cs="Arial" w:eastAsia="Arial" w:hAnsi="Arial"/>
                <w:sz w:val="16"/>
                <w:szCs w:val="16"/>
                <w:color w:val="auto"/>
              </w:rPr>
              <w:t>Independent Registered</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ind w:left="240"/>
              <w:spacing w:after="0" w:line="189" w:lineRule="exact"/>
              <w:rPr>
                <w:sz w:val="20"/>
                <w:szCs w:val="20"/>
                <w:color w:val="auto"/>
              </w:rPr>
            </w:pPr>
            <w:r>
              <w:rPr>
                <w:rFonts w:ascii="Arial" w:cs="Arial" w:eastAsia="Arial" w:hAnsi="Arial"/>
                <w:sz w:val="17"/>
                <w:szCs w:val="17"/>
                <w:b w:val="1"/>
                <w:bCs w:val="1"/>
                <w:color w:val="auto"/>
              </w:rPr>
              <w:t>Clawback Policy</w:t>
            </w:r>
            <w:r>
              <w:rPr>
                <w:rFonts w:ascii="Arial" w:cs="Arial" w:eastAsia="Arial" w:hAnsi="Arial"/>
                <w:sz w:val="17"/>
                <w:szCs w:val="17"/>
                <w:color w:val="auto"/>
              </w:rPr>
              <w:t>: Yes (p. 38)</w:t>
            </w: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tcBorders>
            <w:gridSpan w:val="2"/>
          </w:tcPr>
          <w:p>
            <w:pPr>
              <w:ind w:left="240"/>
              <w:spacing w:after="0"/>
              <w:rPr>
                <w:sz w:val="20"/>
                <w:szCs w:val="20"/>
                <w:color w:val="auto"/>
              </w:rPr>
            </w:pPr>
            <w:r>
              <w:rPr>
                <w:rFonts w:ascii="Arial" w:cs="Arial" w:eastAsia="Arial" w:hAnsi="Arial"/>
                <w:sz w:val="16"/>
                <w:szCs w:val="16"/>
                <w:color w:val="auto"/>
              </w:rPr>
              <w:t>Public Accounting Firm</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ind w:left="240"/>
              <w:spacing w:after="0" w:line="189" w:lineRule="exact"/>
              <w:rPr>
                <w:sz w:val="20"/>
                <w:szCs w:val="20"/>
                <w:color w:val="auto"/>
              </w:rPr>
            </w:pPr>
            <w:r>
              <w:rPr>
                <w:rFonts w:ascii="Arial" w:cs="Arial" w:eastAsia="Arial" w:hAnsi="Arial"/>
                <w:sz w:val="17"/>
                <w:szCs w:val="17"/>
                <w:b w:val="1"/>
                <w:bCs w:val="1"/>
                <w:color w:val="auto"/>
              </w:rPr>
              <w:t>Restrictive Covenants for Executives</w:t>
            </w:r>
            <w:r>
              <w:rPr>
                <w:rFonts w:ascii="Arial" w:cs="Arial" w:eastAsia="Arial" w:hAnsi="Arial"/>
                <w:sz w:val="17"/>
                <w:szCs w:val="17"/>
                <w:color w:val="auto"/>
              </w:rPr>
              <w:t>: Yes (p. 54)</w:t>
            </w:r>
          </w:p>
        </w:tc>
        <w:tc>
          <w:tcPr>
            <w:tcW w:w="0" w:type="dxa"/>
            <w:vAlign w:val="bottom"/>
          </w:tcPr>
          <w:p>
            <w:pPr>
              <w:spacing w:after="0"/>
              <w:rPr>
                <w:sz w:val="1"/>
                <w:szCs w:val="1"/>
                <w:color w:val="auto"/>
              </w:rPr>
            </w:pPr>
          </w:p>
        </w:tc>
      </w:tr>
      <w:tr>
        <w:trPr>
          <w:trHeight w:val="26"/>
        </w:trPr>
        <w:tc>
          <w:tcPr>
            <w:tcW w:w="31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5180" w:type="dxa"/>
            <w:vAlign w:val="bottom"/>
            <w:tcBorders>
              <w:right w:val="single" w:sz="8" w:color="auto"/>
            </w:tcBorders>
            <w:vMerge w:val="restart"/>
          </w:tcPr>
          <w:p>
            <w:pPr>
              <w:ind w:left="240"/>
              <w:spacing w:after="0" w:line="189" w:lineRule="exact"/>
              <w:rPr>
                <w:sz w:val="20"/>
                <w:szCs w:val="20"/>
                <w:color w:val="auto"/>
              </w:rPr>
            </w:pPr>
            <w:r>
              <w:rPr>
                <w:rFonts w:ascii="Arial" w:cs="Arial" w:eastAsia="Arial" w:hAnsi="Arial"/>
                <w:sz w:val="17"/>
                <w:szCs w:val="17"/>
                <w:b w:val="1"/>
                <w:bCs w:val="1"/>
                <w:color w:val="auto"/>
              </w:rPr>
              <w:t>No Excise Tax Gross-Ups</w:t>
            </w:r>
            <w:r>
              <w:rPr>
                <w:rFonts w:ascii="Arial" w:cs="Arial" w:eastAsia="Arial" w:hAnsi="Arial"/>
                <w:sz w:val="17"/>
                <w:szCs w:val="17"/>
                <w:color w:val="auto"/>
              </w:rPr>
              <w:t>: Yes (p. 38)</w:t>
            </w:r>
          </w:p>
        </w:tc>
        <w:tc>
          <w:tcPr>
            <w:tcW w:w="0" w:type="dxa"/>
            <w:vAlign w:val="bottom"/>
          </w:tcPr>
          <w:p>
            <w:pPr>
              <w:spacing w:after="0" w:line="20" w:lineRule="exact"/>
              <w:rPr>
                <w:sz w:val="1"/>
                <w:szCs w:val="1"/>
                <w:color w:val="auto"/>
              </w:rPr>
            </w:pPr>
          </w:p>
        </w:tc>
      </w:tr>
      <w:tr>
        <w:trPr>
          <w:trHeight w:val="163"/>
        </w:trPr>
        <w:tc>
          <w:tcPr>
            <w:tcW w:w="3400" w:type="dxa"/>
            <w:vAlign w:val="bottom"/>
            <w:tcBorders>
              <w:left w:val="single" w:sz="8" w:color="auto"/>
            </w:tcBorders>
            <w:gridSpan w:val="2"/>
            <w:shd w:val="clear" w:color="auto" w:fill="FCE9E8"/>
          </w:tcPr>
          <w:p>
            <w:pPr>
              <w:ind w:left="220"/>
              <w:spacing w:after="0" w:line="163" w:lineRule="exact"/>
              <w:rPr>
                <w:sz w:val="20"/>
                <w:szCs w:val="20"/>
                <w:color w:val="auto"/>
              </w:rPr>
            </w:pPr>
            <w:r>
              <w:rPr>
                <w:rFonts w:ascii="Arial" w:cs="Arial" w:eastAsia="Arial" w:hAnsi="Arial"/>
                <w:sz w:val="16"/>
                <w:szCs w:val="16"/>
                <w:color w:val="auto"/>
              </w:rPr>
              <w:t>Advisory Vote to Approve</w:t>
            </w:r>
          </w:p>
        </w:tc>
        <w:tc>
          <w:tcPr>
            <w:tcW w:w="1560" w:type="dxa"/>
            <w:vAlign w:val="bottom"/>
            <w:gridSpan w:val="2"/>
            <w:shd w:val="clear" w:color="auto" w:fill="FCE9E8"/>
          </w:tcPr>
          <w:p>
            <w:pPr>
              <w:jc w:val="center"/>
              <w:ind w:right="140"/>
              <w:spacing w:after="0" w:line="163" w:lineRule="exact"/>
              <w:rPr>
                <w:sz w:val="20"/>
                <w:szCs w:val="20"/>
                <w:color w:val="auto"/>
              </w:rPr>
            </w:pPr>
            <w:r>
              <w:rPr>
                <w:rFonts w:ascii="Arial" w:cs="Arial" w:eastAsia="Arial" w:hAnsi="Arial"/>
                <w:sz w:val="16"/>
                <w:szCs w:val="16"/>
                <w:b w:val="1"/>
                <w:bCs w:val="1"/>
                <w:color w:val="auto"/>
              </w:rPr>
              <w:t>FOR</w:t>
            </w:r>
          </w:p>
        </w:tc>
        <w:tc>
          <w:tcPr>
            <w:tcW w:w="900" w:type="dxa"/>
            <w:vAlign w:val="bottom"/>
            <w:tcBorders>
              <w:right w:val="single" w:sz="8" w:color="auto"/>
            </w:tcBorders>
            <w:shd w:val="clear" w:color="auto" w:fill="FCE9E8"/>
          </w:tcPr>
          <w:p>
            <w:pPr>
              <w:jc w:val="center"/>
              <w:spacing w:after="0" w:line="163" w:lineRule="exact"/>
              <w:rPr>
                <w:sz w:val="20"/>
                <w:szCs w:val="20"/>
                <w:color w:val="auto"/>
              </w:rPr>
            </w:pPr>
            <w:r>
              <w:rPr>
                <w:rFonts w:ascii="Arial" w:cs="Arial" w:eastAsia="Arial" w:hAnsi="Arial"/>
                <w:sz w:val="16"/>
                <w:szCs w:val="16"/>
                <w:b w:val="1"/>
                <w:bCs w:val="1"/>
                <w:color w:val="auto"/>
              </w:rPr>
              <w:t>64</w:t>
            </w:r>
          </w:p>
        </w:tc>
        <w:tc>
          <w:tcPr>
            <w:tcW w:w="51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00" w:type="dxa"/>
            <w:vAlign w:val="bottom"/>
            <w:tcBorders>
              <w:left w:val="single" w:sz="8" w:color="auto"/>
              <w:bottom w:val="single" w:sz="8" w:color="FCE9E8"/>
            </w:tcBorders>
            <w:gridSpan w:val="2"/>
            <w:shd w:val="clear" w:color="auto" w:fill="FCE9E8"/>
          </w:tcPr>
          <w:p>
            <w:pPr>
              <w:ind w:left="240"/>
              <w:spacing w:after="0"/>
              <w:rPr>
                <w:sz w:val="20"/>
                <w:szCs w:val="20"/>
                <w:color w:val="auto"/>
              </w:rPr>
            </w:pPr>
            <w:r>
              <w:rPr>
                <w:rFonts w:ascii="Arial" w:cs="Arial" w:eastAsia="Arial" w:hAnsi="Arial"/>
                <w:sz w:val="16"/>
                <w:szCs w:val="16"/>
                <w:color w:val="auto"/>
              </w:rPr>
              <w:t>Executive Compensation</w:t>
            </w:r>
          </w:p>
        </w:tc>
        <w:tc>
          <w:tcPr>
            <w:tcW w:w="1460" w:type="dxa"/>
            <w:vAlign w:val="bottom"/>
            <w:tcBorders>
              <w:bottom w:val="single" w:sz="8" w:color="FCE9E8"/>
            </w:tcBorders>
            <w:shd w:val="clear" w:color="auto" w:fill="FCE9E8"/>
          </w:tcPr>
          <w:p>
            <w:pPr>
              <w:spacing w:after="0"/>
              <w:rPr>
                <w:sz w:val="21"/>
                <w:szCs w:val="21"/>
                <w:color w:val="auto"/>
              </w:rPr>
            </w:pPr>
          </w:p>
        </w:tc>
        <w:tc>
          <w:tcPr>
            <w:tcW w:w="100" w:type="dxa"/>
            <w:vAlign w:val="bottom"/>
            <w:tcBorders>
              <w:bottom w:val="single" w:sz="8" w:color="FCE9E8"/>
            </w:tcBorders>
            <w:shd w:val="clear" w:color="auto" w:fill="FCE9E8"/>
          </w:tcPr>
          <w:p>
            <w:pPr>
              <w:spacing w:after="0"/>
              <w:rPr>
                <w:sz w:val="21"/>
                <w:szCs w:val="21"/>
                <w:color w:val="auto"/>
              </w:rPr>
            </w:pPr>
          </w:p>
        </w:tc>
        <w:tc>
          <w:tcPr>
            <w:tcW w:w="900" w:type="dxa"/>
            <w:vAlign w:val="bottom"/>
            <w:tcBorders>
              <w:bottom w:val="single" w:sz="8" w:color="FCE9E8"/>
              <w:right w:val="single" w:sz="8" w:color="auto"/>
            </w:tcBorders>
            <w:shd w:val="clear" w:color="auto" w:fill="FCE9E8"/>
          </w:tcPr>
          <w:p>
            <w:pPr>
              <w:spacing w:after="0"/>
              <w:rPr>
                <w:sz w:val="21"/>
                <w:szCs w:val="21"/>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7"/>
                <w:szCs w:val="17"/>
                <w:b w:val="1"/>
                <w:bCs w:val="1"/>
                <w:color w:val="auto"/>
              </w:rPr>
              <w:t>No Hedging/No Pledging</w:t>
            </w:r>
            <w:r>
              <w:rPr>
                <w:rFonts w:ascii="Arial" w:cs="Arial" w:eastAsia="Arial" w:hAnsi="Arial"/>
                <w:sz w:val="17"/>
                <w:szCs w:val="17"/>
                <w:color w:val="auto"/>
              </w:rPr>
              <w:t>: Yes (p. 38)</w:t>
            </w:r>
          </w:p>
        </w:tc>
        <w:tc>
          <w:tcPr>
            <w:tcW w:w="0" w:type="dxa"/>
            <w:vAlign w:val="bottom"/>
          </w:tcPr>
          <w:p>
            <w:pPr>
              <w:spacing w:after="0"/>
              <w:rPr>
                <w:sz w:val="1"/>
                <w:szCs w:val="1"/>
                <w:color w:val="auto"/>
              </w:rPr>
            </w:pPr>
          </w:p>
        </w:tc>
      </w:tr>
      <w:tr>
        <w:trPr>
          <w:trHeight w:val="20"/>
        </w:trPr>
        <w:tc>
          <w:tcPr>
            <w:tcW w:w="31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51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9080"/>
        <w:spacing w:after="0"/>
        <w:tabs>
          <w:tab w:leader="none" w:pos="10780" w:val="left"/>
          <w:tab w:leader="none" w:pos="110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right="1380"/>
        <w:spacing w:after="0" w:line="274" w:lineRule="auto"/>
        <w:rPr>
          <w:sz w:val="20"/>
          <w:szCs w:val="20"/>
          <w:color w:val="auto"/>
        </w:rPr>
      </w:pPr>
      <w:r>
        <w:rPr>
          <w:rFonts w:ascii="Arial" w:cs="Arial" w:eastAsia="Arial" w:hAnsi="Arial"/>
          <w:sz w:val="40"/>
          <w:szCs w:val="40"/>
          <w:b w:val="1"/>
          <w:bCs w:val="1"/>
          <w:color w:val="E2231A"/>
        </w:rPr>
        <w:t>QUESTIONS AND ANSWERS ABOUT THE ANNUAL MEETING</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Why did you send me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342"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We sent you this proxy statement because the Board of Directors (the “Board”) is soliciting your proxy to vote at the Annual Meeting to be held on May 17, 2018, at 9:00 a.m. (Eastern Time) and at any postponements or adjournments of</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Annual Meeting. This proxy statement summarizes information that is intended to assist you in making an informed vote on the proposals described in this proxy statement.</w:t>
      </w:r>
    </w:p>
    <w:p>
      <w:pPr>
        <w:spacing w:after="0" w:line="387" w:lineRule="exact"/>
        <w:rPr>
          <w:sz w:val="20"/>
          <w:szCs w:val="20"/>
          <w:color w:val="auto"/>
        </w:rPr>
      </w:pPr>
    </w:p>
    <w:p>
      <w:pPr>
        <w:sectPr>
          <w:pgSz w:w="11900" w:h="16838" w:orient="portrait"/>
          <w:cols w:equalWidth="0" w:num="2">
            <w:col w:w="5420" w:space="400"/>
            <w:col w:w="5380"/>
          </w:cols>
          <w:pgMar w:left="240" w:top="459" w:right="459" w:bottom="1440" w:gutter="0" w:footer="0" w:header="0"/>
          <w:type w:val="continuous"/>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42"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22, 2018. On the record date, there were 66,274,418 shares of our common stock, par value $0.01 per share, outstanding (excluding 304,158</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shares reserved for the satisfaction of certain claims in connection with our emergence from chapter 11 bankruptcy proceedings, which are not entitled to vote at the Annual Meeting). Our common stock is the only class of voting securities outstanding.</w:t>
      </w:r>
    </w:p>
    <w:p>
      <w:pPr>
        <w:spacing w:after="0" w:line="384"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How many shares must be present to conduct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42"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We must have a quorum present in person or by proxy to conduct the Annual Meeting. A quorum is established when a majority of shares entitled to vote is present in person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represented by proxy at the Annual Meeting. Abstentions and broker non-votes (as described below) are counted for purposes of determining whether a quorum is present.</w:t>
      </w:r>
    </w:p>
    <w:p>
      <w:pPr>
        <w:spacing w:after="0" w:line="200" w:lineRule="exact"/>
        <w:rPr>
          <w:sz w:val="20"/>
          <w:szCs w:val="20"/>
          <w:color w:val="auto"/>
        </w:rPr>
      </w:pPr>
    </w:p>
    <w:p>
      <w:pPr>
        <w:sectPr>
          <w:pgSz w:w="11900" w:h="16838" w:orient="portrait"/>
          <w:cols w:equalWidth="0" w:num="2">
            <w:col w:w="5180" w:space="640"/>
            <w:col w:w="5380"/>
          </w:cols>
          <w:pgMar w:left="240" w:top="459" w:right="459" w:bottom="1440" w:gutter="0" w:footer="0" w:header="0"/>
          <w:type w:val="continuous"/>
        </w:sectPr>
      </w:pPr>
    </w:p>
    <w:p>
      <w:pPr>
        <w:spacing w:after="0" w:line="138"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What matters are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agenda for the Annual Meeting is to:</w:t>
      </w:r>
    </w:p>
    <w:p>
      <w:pPr>
        <w:spacing w:after="0" w:line="127" w:lineRule="exact"/>
        <w:rPr>
          <w:sz w:val="20"/>
          <w:szCs w:val="20"/>
          <w:color w:val="auto"/>
        </w:rPr>
      </w:pPr>
    </w:p>
    <w:p>
      <w:pPr>
        <w:ind w:left="520" w:hanging="316"/>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elect nine directors;</w:t>
      </w:r>
    </w:p>
    <w:p>
      <w:pPr>
        <w:spacing w:after="0" w:line="126" w:lineRule="exact"/>
        <w:rPr>
          <w:rFonts w:ascii="Arial" w:cs="Arial" w:eastAsia="Arial" w:hAnsi="Arial"/>
          <w:sz w:val="16"/>
          <w:szCs w:val="16"/>
          <w:color w:val="auto"/>
        </w:rPr>
      </w:pPr>
    </w:p>
    <w:p>
      <w:pPr>
        <w:ind w:left="520" w:right="360" w:hanging="316"/>
        <w:spacing w:after="0" w:line="260"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ratify the retention of Ernst &amp; Young LLP as our independent registered public accounting firm for 2018;</w:t>
      </w:r>
    </w:p>
    <w:p>
      <w:pPr>
        <w:spacing w:after="0" w:line="101" w:lineRule="exact"/>
        <w:rPr>
          <w:rFonts w:ascii="Arial" w:cs="Arial" w:eastAsia="Arial" w:hAnsi="Arial"/>
          <w:sz w:val="16"/>
          <w:szCs w:val="16"/>
          <w:color w:val="auto"/>
        </w:rPr>
      </w:pPr>
    </w:p>
    <w:p>
      <w:pPr>
        <w:ind w:left="520" w:hanging="316"/>
        <w:spacing w:after="0" w:line="260"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an advisory vote to approve our executive compensation; and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20" w:right="520" w:hanging="316"/>
        <w:spacing w:after="0" w:line="260"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conduct any other business properly brought before the Annual Meeting or any adjournments or postponements thereof.</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463" w:lineRule="exact"/>
        <w:rPr>
          <w:sz w:val="20"/>
          <w:szCs w:val="20"/>
          <w:color w:val="auto"/>
        </w:rPr>
      </w:pPr>
    </w:p>
    <w:p>
      <w:pPr>
        <w:sectPr>
          <w:pgSz w:w="11900" w:h="16838" w:orient="portrait"/>
          <w:cols w:equalWidth="0" w:num="2">
            <w:col w:w="5200" w:space="620"/>
            <w:col w:w="5380"/>
          </w:cols>
          <w:pgMar w:left="240" w:top="459" w:right="459" w:bottom="1440" w:gutter="0" w:footer="0" w:header="0"/>
          <w:type w:val="continuous"/>
        </w:sectPr>
      </w:pPr>
    </w:p>
    <w:p>
      <w:pPr>
        <w:spacing w:after="0" w:line="14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Board recommends that you vote:</w:t>
      </w:r>
    </w:p>
    <w:p>
      <w:pPr>
        <w:spacing w:after="0" w:line="107" w:lineRule="exact"/>
        <w:rPr>
          <w:sz w:val="20"/>
          <w:szCs w:val="20"/>
          <w:color w:val="auto"/>
        </w:rPr>
      </w:pPr>
    </w:p>
    <w:p>
      <w:pPr>
        <w:ind w:left="520" w:hanging="316"/>
        <w:spacing w:after="0" w:line="286"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Lear’s director nominees named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16" w:right="440" w:hanging="316"/>
        <w:spacing w:after="0" w:line="286" w:lineRule="auto"/>
        <w:tabs>
          <w:tab w:leader="none" w:pos="316"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retention of Ernst &amp; Young LLP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2018; and</w:t>
      </w:r>
    </w:p>
    <w:p>
      <w:pPr>
        <w:spacing w:after="0" w:line="61" w:lineRule="exact"/>
        <w:rPr>
          <w:rFonts w:ascii="Arial" w:cs="Arial" w:eastAsia="Arial" w:hAnsi="Arial"/>
          <w:sz w:val="16"/>
          <w:szCs w:val="16"/>
          <w:color w:val="auto"/>
        </w:rPr>
      </w:pPr>
    </w:p>
    <w:p>
      <w:pPr>
        <w:ind w:left="316" w:right="980" w:hanging="316"/>
        <w:spacing w:after="0" w:line="286" w:lineRule="auto"/>
        <w:tabs>
          <w:tab w:leader="none" w:pos="316"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w:t>
      </w:r>
    </w:p>
    <w:p>
      <w:pPr>
        <w:spacing w:after="0" w:line="200" w:lineRule="exact"/>
        <w:rPr>
          <w:sz w:val="20"/>
          <w:szCs w:val="20"/>
          <w:color w:val="auto"/>
        </w:rPr>
      </w:pPr>
    </w:p>
    <w:p>
      <w:pPr>
        <w:sectPr>
          <w:pgSz w:w="11900" w:h="16838" w:orient="portrait"/>
          <w:cols w:equalWidth="0" w:num="2">
            <w:col w:w="5340" w:space="484"/>
            <w:col w:w="5376"/>
          </w:cols>
          <w:pgMar w:left="240" w:top="459" w:right="459" w:bottom="1440" w:gutter="0" w:footer="0" w:header="0"/>
          <w:type w:val="continuous"/>
        </w:sectPr>
      </w:pPr>
    </w:p>
    <w:p>
      <w:pPr>
        <w:spacing w:after="0" w:line="32" w:lineRule="exact"/>
        <w:rPr>
          <w:sz w:val="20"/>
          <w:szCs w:val="20"/>
          <w:color w:val="auto"/>
        </w:rPr>
      </w:pPr>
    </w:p>
    <w:p>
      <w:pPr>
        <w:ind w:left="580" w:hanging="271"/>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00"/>
          </w:cols>
          <w:pgMar w:left="240" w:top="459" w:right="4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How do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2" w:lineRule="exact"/>
        <w:rPr>
          <w:sz w:val="20"/>
          <w:szCs w:val="20"/>
          <w:color w:val="auto"/>
        </w:rPr>
      </w:pPr>
    </w:p>
    <w:p>
      <w:pPr>
        <w:jc w:val="both"/>
        <w:ind w:left="200" w:right="80"/>
        <w:spacing w:after="0" w:line="253" w:lineRule="auto"/>
        <w:rPr>
          <w:sz w:val="20"/>
          <w:szCs w:val="20"/>
          <w:color w:val="auto"/>
        </w:rPr>
      </w:pPr>
      <w:r>
        <w:rPr>
          <w:rFonts w:ascii="Arial" w:cs="Arial" w:eastAsia="Arial" w:hAnsi="Arial"/>
          <w:sz w:val="16"/>
          <w:szCs w:val="16"/>
          <w:color w:val="auto"/>
        </w:rPr>
        <w:t>You may vote in person at the Annual Meeting or by proxy. In addition, if you are a stockholder of record of Lear’s shares, there are three ways to vote by proxy:</w:t>
      </w:r>
    </w:p>
    <w:p>
      <w:pPr>
        <w:spacing w:after="0" w:line="107" w:lineRule="exact"/>
        <w:rPr>
          <w:sz w:val="20"/>
          <w:szCs w:val="20"/>
          <w:color w:val="auto"/>
        </w:rPr>
      </w:pPr>
    </w:p>
    <w:p>
      <w:pPr>
        <w:ind w:left="400" w:right="100" w:hanging="196"/>
        <w:spacing w:after="0" w:line="253"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Telephone — You can vote by telephone by following the instructions on your proxy card. You will need to use the control number appearing on your Notice or proxy card to vote by telephone;</w:t>
      </w:r>
    </w:p>
    <w:p>
      <w:pPr>
        <w:spacing w:after="0" w:line="106" w:lineRule="exact"/>
        <w:rPr>
          <w:rFonts w:ascii="Arial" w:cs="Arial" w:eastAsia="Arial" w:hAnsi="Arial"/>
          <w:sz w:val="16"/>
          <w:szCs w:val="16"/>
          <w:color w:val="auto"/>
        </w:rPr>
      </w:pPr>
    </w:p>
    <w:p>
      <w:pPr>
        <w:ind w:left="400" w:right="520" w:hanging="196"/>
        <w:spacing w:after="0" w:line="251"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Internet — You can vote via the Internet by following the instructions on your proxy card. You will need to use the control number appearing on your Notice or proxy card to vote via the Internet; or</w:t>
      </w:r>
    </w:p>
    <w:p>
      <w:pPr>
        <w:spacing w:after="0" w:line="108" w:lineRule="exact"/>
        <w:rPr>
          <w:rFonts w:ascii="Arial" w:cs="Arial" w:eastAsia="Arial" w:hAnsi="Arial"/>
          <w:sz w:val="16"/>
          <w:szCs w:val="16"/>
          <w:color w:val="auto"/>
        </w:rPr>
      </w:pPr>
    </w:p>
    <w:p>
      <w:pPr>
        <w:ind w:left="400" w:right="160" w:hanging="196"/>
        <w:spacing w:after="0" w:line="260"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Mail — You can vote by completing, dating, signing and returning the proxy card.</w:t>
      </w:r>
    </w:p>
    <w:p>
      <w:pPr>
        <w:spacing w:after="0" w:line="88"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If you are a beneficial owner of shares held in street name, you may vote as follows:</w:t>
      </w:r>
    </w:p>
    <w:p>
      <w:pPr>
        <w:spacing w:after="0" w:line="101" w:lineRule="exact"/>
        <w:rPr>
          <w:sz w:val="20"/>
          <w:szCs w:val="20"/>
          <w:color w:val="auto"/>
        </w:rPr>
      </w:pPr>
    </w:p>
    <w:p>
      <w:pPr>
        <w:ind w:left="400" w:right="40" w:hanging="196"/>
        <w:spacing w:after="0" w:line="250" w:lineRule="auto"/>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Telephone — If you request printed copies of the proxy materials by mail, you will receive a voting instruction form and you may vote by proxy by calling the toll free number found on the voting instruction form. The availability of telephone voting may depend on the voting process of the organization that holds your shares.</w:t>
      </w:r>
    </w:p>
    <w:p>
      <w:pPr>
        <w:spacing w:after="0" w:line="108" w:lineRule="exact"/>
        <w:rPr>
          <w:rFonts w:ascii="Arial" w:cs="Arial" w:eastAsia="Arial" w:hAnsi="Arial"/>
          <w:sz w:val="16"/>
          <w:szCs w:val="16"/>
          <w:color w:val="auto"/>
        </w:rPr>
      </w:pPr>
    </w:p>
    <w:p>
      <w:pPr>
        <w:ind w:left="400" w:right="280" w:hanging="196"/>
        <w:spacing w:after="0" w:line="251" w:lineRule="auto"/>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Internet — You may vote by proxy via the Internet by visiting www.proxyvote.com and entering the control number found in your Notice. The availability of Internet voting may depend on the voting process of the organization that holds your shares.</w:t>
      </w:r>
    </w:p>
    <w:p>
      <w:pPr>
        <w:spacing w:after="0" w:line="108" w:lineRule="exact"/>
        <w:rPr>
          <w:rFonts w:ascii="Arial" w:cs="Arial" w:eastAsia="Arial" w:hAnsi="Arial"/>
          <w:sz w:val="16"/>
          <w:szCs w:val="16"/>
          <w:color w:val="auto"/>
        </w:rPr>
      </w:pPr>
    </w:p>
    <w:p>
      <w:pPr>
        <w:ind w:left="400" w:hanging="196"/>
        <w:spacing w:after="0" w:line="251" w:lineRule="auto"/>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Mail — If you request printed copies of the proxy materials by mail, you will receive a voting instruction form and you may vote by proxy by filling out the voting instruction form and returning it in the envelope provided.</w:t>
      </w:r>
    </w:p>
    <w:p>
      <w:pPr>
        <w:spacing w:after="0" w:line="95"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auto"/>
        </w:rPr>
        <w:t>If you are a beneficial owner of shares held in street name and wish to vote in person at the Annual Meeting, you must obtain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a “legal proxy” from the organization that holds your shares. A legal proxy is a written document that will authorize you to vote your shares held in street name at the Annual Meeting. Please contact the organization that holds your shares for instructions regarding obtaining a legal proxy. You must bring a copy of the legal proxy to the Annual Meeting and ask for a ballot when you arrive.</w:t>
      </w:r>
    </w:p>
    <w:p>
      <w:pPr>
        <w:spacing w:after="0" w:line="9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Telephone and Internet voting facilities for stockholders of record will be available 24 hours a day. You may vote over the telephone or via the Internet until 11:59 p.m. on May 16, 2018. Even if you plan to attend the Annual Meeting in person, we recommend that you also submit your proxy or voting instructions as described above so that your vote will be counted if you later decide not to attend the Annual Meeting in person.</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and FOR the advisory approval of executive compensation described in this proxy statement.</w:t>
      </w:r>
    </w:p>
    <w:p>
      <w:pPr>
        <w:spacing w:after="0" w:line="9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1396"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4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What does it mean if I receive more than one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You may receive more than one Notice, more than one e-mail or multiple proxy cards or voting instruction cards. For example, if you hold your shares in more than one brokerage account, you may receive a separate Notice, a separate e-mail or a separate voting instruction card for each brokerage account in which you hold shares. If you are a stockholder of record and your shares are registered in more than one name, you may receive more than one Notice, more than one e-mail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or more than one proxy card. To vote all of your shares by proxy, you must complete, sign, date and return each proxy card and voting instruction card that you receive and vote over the Internet the shares represented by each Notice that you receive (unless you have requested and received a proxy card or voting instruction card for the shares represented by one or more of those Notices).</w:t>
      </w:r>
    </w:p>
    <w:p>
      <w:pPr>
        <w:spacing w:after="0" w:line="385"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65" w:lineRule="exact"/>
        <w:rPr>
          <w:sz w:val="20"/>
          <w:szCs w:val="20"/>
          <w:color w:val="auto"/>
        </w:rPr>
      </w:pPr>
    </w:p>
    <w:p>
      <w:pPr>
        <w:ind w:left="9080"/>
        <w:spacing w:after="0"/>
        <w:tabs>
          <w:tab w:leader="none" w:pos="10780" w:val="left"/>
          <w:tab w:leader="none" w:pos="110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2"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if you are a stockholder of record, you may submit another later dated proxy by telephone, Internet or mail or by voting your shares in person at the Annual Meeting (your attendance at the Annual Meeting will not, by itself, revoke your proxy; you must vote in person at the Annual Meeting to revoke your proxy). If you are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 beneficial owner and your shares are held in street name, you may change your vote by submitting new voting instructions to your bank, broker, trustee or nominee, or if you have obtained a legal proxy from such entity giving you the right to vote your shares, you may change your vote by attending the Annual Meeting and voting in person.</w:t>
      </w:r>
    </w:p>
    <w:p>
      <w:pPr>
        <w:spacing w:after="0" w:line="572" w:lineRule="exact"/>
        <w:rPr>
          <w:sz w:val="20"/>
          <w:szCs w:val="20"/>
          <w:color w:val="auto"/>
        </w:rPr>
      </w:pPr>
    </w:p>
    <w:p>
      <w:pPr>
        <w:sectPr>
          <w:pgSz w:w="11900" w:h="16838" w:orient="portrait"/>
          <w:cols w:equalWidth="0" w:num="2">
            <w:col w:w="5380" w:space="440"/>
            <w:col w:w="5400"/>
          </w:cols>
          <w:pgMar w:left="240" w:top="459" w:right="439" w:bottom="1440" w:gutter="0" w:footer="0" w:header="0"/>
          <w:type w:val="continuous"/>
        </w:sectPr>
      </w:pPr>
    </w:p>
    <w:p>
      <w:pPr>
        <w:spacing w:after="0" w:line="159" w:lineRule="exact"/>
        <w:rPr>
          <w:sz w:val="20"/>
          <w:szCs w:val="20"/>
          <w:color w:val="auto"/>
        </w:rPr>
      </w:pPr>
    </w:p>
    <w:p>
      <w:pPr>
        <w:ind w:left="200" w:right="620"/>
        <w:spacing w:after="0" w:line="298" w:lineRule="auto"/>
        <w:rPr>
          <w:sz w:val="20"/>
          <w:szCs w:val="20"/>
          <w:color w:val="auto"/>
        </w:rPr>
      </w:pPr>
      <w:r>
        <w:rPr>
          <w:rFonts w:ascii="Arial" w:cs="Arial" w:eastAsia="Arial" w:hAnsi="Arial"/>
          <w:sz w:val="23"/>
          <w:szCs w:val="23"/>
          <w:b w:val="1"/>
          <w:bCs w:val="1"/>
          <w:color w:val="auto"/>
        </w:rPr>
        <w:t>What vote is required to elect directors and approve the other matters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33"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w:t>
      </w:r>
    </w:p>
    <w:p>
      <w:pPr>
        <w:spacing w:after="0" w:line="97"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auto"/>
        </w:rPr>
        <w:t>For the ratification of the retention of Ernst &amp; Young LLP as our independent registered public accounting firm (Proposal No. 2) and the advisory approval of our executive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compensation (Proposal No. 3), the affirmative vote of the holders of a majority of the shares represented in person or by proxy and entitled to vote on the proposal will be required for approval. Abstentions will not be voted but will be counted for purposes of determining whether there is a quorum. Accordingly, abstentions will have the effect of a negative vote on Proposals No. 2 and 3. Broker non-votes will have no effect on Proposal No. 3. For additional information about broker non-votes see “How do I vote if my bank or broker holds my shares in ‘street name’?”</w:t>
      </w:r>
    </w:p>
    <w:p>
      <w:pPr>
        <w:spacing w:after="0" w:line="503" w:lineRule="exact"/>
        <w:rPr>
          <w:sz w:val="20"/>
          <w:szCs w:val="20"/>
          <w:color w:val="auto"/>
        </w:rPr>
      </w:pPr>
    </w:p>
    <w:p>
      <w:pPr>
        <w:sectPr>
          <w:pgSz w:w="11900" w:h="16838" w:orient="portrait"/>
          <w:cols w:equalWidth="0" w:num="2">
            <w:col w:w="5300" w:space="520"/>
            <w:col w:w="5400"/>
          </w:cols>
          <w:pgMar w:left="240" w:top="459" w:right="439" w:bottom="1440" w:gutter="0" w:footer="0" w:header="0"/>
          <w:type w:val="continuous"/>
        </w:sectPr>
      </w:pPr>
    </w:p>
    <w:p>
      <w:pPr>
        <w:spacing w:after="0" w:line="151" w:lineRule="exact"/>
        <w:rPr>
          <w:sz w:val="20"/>
          <w:szCs w:val="20"/>
          <w:color w:val="auto"/>
        </w:rPr>
      </w:pPr>
    </w:p>
    <w:p>
      <w:pPr>
        <w:ind w:left="200" w:right="720"/>
        <w:spacing w:after="0" w:line="298" w:lineRule="auto"/>
        <w:rPr>
          <w:sz w:val="20"/>
          <w:szCs w:val="20"/>
          <w:color w:val="auto"/>
        </w:rPr>
      </w:pPr>
      <w:r>
        <w:rPr>
          <w:rFonts w:ascii="Arial" w:cs="Arial" w:eastAsia="Arial" w:hAnsi="Arial"/>
          <w:sz w:val="23"/>
          <w:szCs w:val="23"/>
          <w:b w:val="1"/>
          <w:b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33"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385"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4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How do I vote if my bank or broker holds my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 respect to non-routine matters (Proposals No. 1 (director elections) and No. 3 (advisory vote on executive compensation)). Thus, if you do not give your bank, broker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39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62" w:lineRule="exact"/>
        <w:rPr>
          <w:sz w:val="20"/>
          <w:szCs w:val="20"/>
          <w:color w:val="auto"/>
        </w:rPr>
      </w:pPr>
    </w:p>
    <w:p>
      <w:pPr>
        <w:ind w:left="580" w:hanging="271"/>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8" w:lineRule="exact"/>
        <w:rPr>
          <w:sz w:val="20"/>
          <w:szCs w:val="20"/>
          <w:color w:val="auto"/>
        </w:rPr>
      </w:pPr>
    </w:p>
    <w:p>
      <w:pPr>
        <w:ind w:left="200" w:right="400"/>
        <w:spacing w:after="0" w:line="260" w:lineRule="auto"/>
        <w:rPr>
          <w:sz w:val="20"/>
          <w:szCs w:val="20"/>
          <w:color w:val="auto"/>
        </w:rPr>
      </w:pPr>
      <w:r>
        <w:rPr>
          <w:rFonts w:ascii="Arial" w:cs="Arial" w:eastAsia="Arial" w:hAnsi="Arial"/>
          <w:sz w:val="16"/>
          <w:szCs w:val="16"/>
          <w:color w:val="auto"/>
        </w:rPr>
        <w:t>Each share of common stock that you hold as of the record date entitles you to one vote, without cumulation, on each matter to be voted upon at the Annual Meeting.</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How will the votes be counted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votes will be counted by the inspector of election appointed for the Annual Meeting.</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How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will report the final results of the voting at the Annual Meeting in a filing with the SEC on a Current Report on Form 8-K.</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Who pays for the Company’s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2"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575"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5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What is “householding” and how does 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writing at Broadridge, Householding Department, 51 Mercedes Way, Edgewood, New York 11717.</w:t>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654"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62"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What do I need for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Attendance at the Annual Meeting or any adjournment or postponement thereof will be limited to record and beneficial stockholders as of the record date (March 22, 2018), individuals holding a valid proxy from a record holder and other persons authorized by the Company. If you are a stockholder of record (or a “recordholder”), your name will be verified against the list of stockholders of record prior to your admittance to the Annual Meeting or any adjournment or postponement thereof. You should be prepared to present photo identification for admission. If you hold your shares in a street name, you will need to provide proof of beneficial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ownership on the record date, such as a brokerage account statement showing that you owned stock as of the record date, a copy of a voting instruction form provided by your broker, bank or other nominee, or other similar evidence of ownership as of the record date, as well as your photo identification, for admission. If you do not provide photo identification or comply with the other procedures described above, you will not be admitted to the Annual Meeting or any adjournment or postponement thereof. For security reasons, you and your bags may be subject to search prior to your admittance to the Annual Meeting.</w:t>
      </w:r>
    </w:p>
    <w:p>
      <w:pPr>
        <w:spacing w:after="0" w:line="249" w:lineRule="exact"/>
        <w:rPr>
          <w:sz w:val="20"/>
          <w:szCs w:val="20"/>
          <w:color w:val="auto"/>
        </w:rPr>
      </w:pPr>
    </w:p>
    <w:p>
      <w:pPr>
        <w:ind w:left="3260"/>
        <w:spacing w:after="0"/>
        <w:tabs>
          <w:tab w:leader="none" w:pos="4960" w:val="left"/>
          <w:tab w:leader="none" w:pos="51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w:t>
      </w:r>
    </w:p>
    <w:p>
      <w:pPr>
        <w:sectPr>
          <w:pgSz w:w="11900" w:h="16838" w:orient="portrait"/>
          <w:cols w:equalWidth="0" w:num="2">
            <w:col w:w="5460" w:space="360"/>
            <w:col w:w="540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right="180"/>
        <w:spacing w:after="0" w:line="345" w:lineRule="auto"/>
        <w:rPr>
          <w:sz w:val="20"/>
          <w:szCs w:val="20"/>
          <w:color w:val="auto"/>
        </w:rPr>
      </w:pPr>
      <w:r>
        <w:rPr>
          <w:rFonts w:ascii="Arial" w:cs="Arial" w:eastAsia="Arial" w:hAnsi="Arial"/>
          <w:sz w:val="39"/>
          <w:szCs w:val="39"/>
          <w:b w:val="1"/>
          <w:bCs w:val="1"/>
          <w:color w:val="E2231A"/>
        </w:rPr>
        <w:t>ELECTION OF DIRECTORS (PROPOSAL NO. 1)</w:t>
      </w:r>
    </w:p>
    <w:p>
      <w:pPr>
        <w:spacing w:after="0" w:line="80"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Matthew J. Simoncini, who has served on our Board and as our President and Chief Executive Officer since 2011, resigned as a member of the Board on February 28, 2018. Mr. Simoncini now serves as a non-executive employee of the Company in an advisory role and will continue to do so until his retirement from the Company on January 4, 2019. Donald L. Runkle, who has served on our Board since 2009, will not be standing for re-election when his current term expires, as he has reached the Company’s mandatory retirement age. The Board would like to thank Messrs. Simoncini and Runkle for their years of dedicated service to the Company. Although we presently have ten directors, the Board has resolved to reduce the number of directors from ten to nine effective upon the expiration of the current term of the members of the Board. Our Board determined that to assist the Company in its transition to a new President and Chief Executive Officer, it would waive the Company’s mandatory retirement age for Mr. Wallace in order for him to continue serving as Non-Executive Chairman of our Board through the Company’s 2019 annual meeting.</w:t>
      </w:r>
    </w:p>
    <w:p>
      <w:pPr>
        <w:spacing w:after="0" w:line="103" w:lineRule="exact"/>
        <w:rPr>
          <w:sz w:val="20"/>
          <w:szCs w:val="20"/>
          <w:color w:val="auto"/>
        </w:rPr>
      </w:pPr>
    </w:p>
    <w:p>
      <w:pPr>
        <w:ind w:left="220" w:right="40"/>
        <w:spacing w:after="0" w:line="260" w:lineRule="auto"/>
        <w:rPr>
          <w:sz w:val="20"/>
          <w:szCs w:val="20"/>
          <w:color w:val="auto"/>
        </w:rPr>
      </w:pPr>
      <w:r>
        <w:rPr>
          <w:rFonts w:ascii="Arial" w:cs="Arial" w:eastAsia="Arial" w:hAnsi="Arial"/>
          <w:sz w:val="16"/>
          <w:szCs w:val="16"/>
          <w:color w:val="auto"/>
        </w:rPr>
        <w:t>Upon the recommendation of our Nominating and Corporate Governance Committee (the “Nominating Committee”),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Board has nominated the nine individuals listed below to stand for election to the Board for a one-year term ending at the annual meeting of stockholders in 2019 or until their successors, if any, are elected or appointed. Our Amended and Restated Certificate of Incorporation and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Scott, if elected, would be an independent director, as further described below in “Directors and Corporate Governance — 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-3519805</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5480" w:space="340"/>
            <w:col w:w="5420"/>
          </w:cols>
          <w:pgMar w:left="240" w:top="459" w:right="419" w:bottom="1440" w:gutter="0" w:footer="0" w:header="0"/>
        </w:sectPr>
      </w:pPr>
    </w:p>
    <w:p>
      <w:pPr>
        <w:spacing w:after="0" w:line="50" w:lineRule="exact"/>
        <w:rPr>
          <w:sz w:val="20"/>
          <w:szCs w:val="20"/>
          <w:color w:val="auto"/>
        </w:rPr>
      </w:pPr>
    </w:p>
    <w:p>
      <w:pPr>
        <w:ind w:left="200" w:right="300"/>
        <w:spacing w:after="0" w:line="253" w:lineRule="auto"/>
        <w:rPr>
          <w:sz w:val="20"/>
          <w:szCs w:val="20"/>
          <w:color w:val="auto"/>
        </w:rPr>
      </w:pPr>
      <w:r>
        <w:rPr>
          <w:rFonts w:ascii="Arial" w:cs="Arial" w:eastAsia="Arial" w:hAnsi="Arial"/>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w:t>
            </w:r>
          </w:p>
        </w:tc>
        <w:tc>
          <w:tcPr>
            <w:tcW w:w="732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E2231A"/>
              </w:rPr>
              <w:t>Position</w:t>
            </w:r>
          </w:p>
        </w:tc>
      </w:tr>
      <w:tr>
        <w:trPr>
          <w:trHeight w:val="183"/>
        </w:trPr>
        <w:tc>
          <w:tcPr>
            <w:tcW w:w="370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Richard H. Bott</w:t>
            </w:r>
          </w:p>
        </w:tc>
        <w:tc>
          <w:tcPr>
            <w:tcW w:w="7320" w:type="dxa"/>
            <w:vAlign w:val="bottom"/>
            <w:shd w:val="clear" w:color="auto" w:fill="FCE9E8"/>
          </w:tcPr>
          <w:p>
            <w:pPr>
              <w:ind w:left="2140"/>
              <w:spacing w:after="0" w:line="183" w:lineRule="exact"/>
              <w:rPr>
                <w:sz w:val="20"/>
                <w:szCs w:val="20"/>
                <w:color w:val="auto"/>
              </w:rPr>
            </w:pPr>
            <w:r>
              <w:rPr>
                <w:rFonts w:ascii="Arial" w:cs="Arial" w:eastAsia="Arial" w:hAnsi="Arial"/>
                <w:sz w:val="16"/>
                <w:szCs w:val="16"/>
                <w:color w:val="auto"/>
              </w:rPr>
              <w:t>Director</w:t>
            </w:r>
          </w:p>
        </w:tc>
      </w:tr>
      <w:tr>
        <w:trPr>
          <w:trHeight w:val="189"/>
        </w:trPr>
        <w:tc>
          <w:tcPr>
            <w:tcW w:w="3700" w:type="dxa"/>
            <w:vAlign w:val="bottom"/>
          </w:tcPr>
          <w:p>
            <w:pPr>
              <w:ind w:left="80"/>
              <w:spacing w:after="0"/>
              <w:rPr>
                <w:sz w:val="20"/>
                <w:szCs w:val="20"/>
                <w:color w:val="auto"/>
              </w:rPr>
            </w:pPr>
            <w:r>
              <w:rPr>
                <w:rFonts w:ascii="Arial" w:cs="Arial" w:eastAsia="Arial" w:hAnsi="Arial"/>
                <w:sz w:val="16"/>
                <w:szCs w:val="16"/>
                <w:color w:val="auto"/>
              </w:rPr>
              <w:t>Thomas P. Capo</w:t>
            </w:r>
          </w:p>
        </w:tc>
        <w:tc>
          <w:tcPr>
            <w:tcW w:w="7320" w:type="dxa"/>
            <w:vAlign w:val="bottom"/>
          </w:tcPr>
          <w:p>
            <w:pPr>
              <w:ind w:left="2140"/>
              <w:spacing w:after="0"/>
              <w:rPr>
                <w:sz w:val="20"/>
                <w:szCs w:val="20"/>
                <w:color w:val="auto"/>
              </w:rPr>
            </w:pPr>
            <w:r>
              <w:rPr>
                <w:rFonts w:ascii="Arial" w:cs="Arial" w:eastAsia="Arial" w:hAnsi="Arial"/>
                <w:sz w:val="16"/>
                <w:szCs w:val="16"/>
                <w:color w:val="auto"/>
              </w:rPr>
              <w:t>Director</w:t>
            </w:r>
          </w:p>
        </w:tc>
      </w:tr>
      <w:tr>
        <w:trPr>
          <w:trHeight w:val="189"/>
        </w:trPr>
        <w:tc>
          <w:tcPr>
            <w:tcW w:w="3700" w:type="dxa"/>
            <w:vAlign w:val="bottom"/>
            <w:shd w:val="clear" w:color="auto" w:fill="FCE9E8"/>
          </w:tcPr>
          <w:p>
            <w:pPr>
              <w:ind w:left="80"/>
              <w:spacing w:after="0"/>
              <w:rPr>
                <w:sz w:val="20"/>
                <w:szCs w:val="20"/>
                <w:color w:val="auto"/>
              </w:rPr>
            </w:pPr>
            <w:r>
              <w:rPr>
                <w:rFonts w:ascii="Arial" w:cs="Arial" w:eastAsia="Arial" w:hAnsi="Arial"/>
                <w:sz w:val="16"/>
                <w:szCs w:val="16"/>
                <w:color w:val="auto"/>
              </w:rPr>
              <w:t>Jonathan F. Foster</w:t>
            </w:r>
          </w:p>
        </w:tc>
        <w:tc>
          <w:tcPr>
            <w:tcW w:w="7320" w:type="dxa"/>
            <w:vAlign w:val="bottom"/>
            <w:shd w:val="clear" w:color="auto" w:fill="FCE9E8"/>
          </w:tcPr>
          <w:p>
            <w:pPr>
              <w:ind w:left="2140"/>
              <w:spacing w:after="0"/>
              <w:rPr>
                <w:sz w:val="20"/>
                <w:szCs w:val="20"/>
                <w:color w:val="auto"/>
              </w:rPr>
            </w:pPr>
            <w:r>
              <w:rPr>
                <w:rFonts w:ascii="Arial" w:cs="Arial" w:eastAsia="Arial" w:hAnsi="Arial"/>
                <w:sz w:val="16"/>
                <w:szCs w:val="16"/>
                <w:color w:val="auto"/>
              </w:rPr>
              <w:t>Director</w:t>
            </w:r>
          </w:p>
        </w:tc>
      </w:tr>
      <w:tr>
        <w:trPr>
          <w:trHeight w:val="189"/>
        </w:trPr>
        <w:tc>
          <w:tcPr>
            <w:tcW w:w="3700" w:type="dxa"/>
            <w:vAlign w:val="bottom"/>
          </w:tcPr>
          <w:p>
            <w:pPr>
              <w:ind w:left="80"/>
              <w:spacing w:after="0"/>
              <w:rPr>
                <w:sz w:val="20"/>
                <w:szCs w:val="20"/>
                <w:color w:val="auto"/>
              </w:rPr>
            </w:pPr>
            <w:r>
              <w:rPr>
                <w:rFonts w:ascii="Arial" w:cs="Arial" w:eastAsia="Arial" w:hAnsi="Arial"/>
                <w:sz w:val="16"/>
                <w:szCs w:val="16"/>
                <w:color w:val="auto"/>
              </w:rPr>
              <w:t>Mary Lou Jepsen</w:t>
            </w:r>
          </w:p>
        </w:tc>
        <w:tc>
          <w:tcPr>
            <w:tcW w:w="7320" w:type="dxa"/>
            <w:vAlign w:val="bottom"/>
          </w:tcPr>
          <w:p>
            <w:pPr>
              <w:ind w:left="2140"/>
              <w:spacing w:after="0"/>
              <w:rPr>
                <w:sz w:val="20"/>
                <w:szCs w:val="20"/>
                <w:color w:val="auto"/>
              </w:rPr>
            </w:pPr>
            <w:r>
              <w:rPr>
                <w:rFonts w:ascii="Arial" w:cs="Arial" w:eastAsia="Arial" w:hAnsi="Arial"/>
                <w:sz w:val="16"/>
                <w:szCs w:val="16"/>
                <w:color w:val="auto"/>
              </w:rPr>
              <w:t>Director</w:t>
            </w:r>
          </w:p>
        </w:tc>
      </w:tr>
      <w:tr>
        <w:trPr>
          <w:trHeight w:val="189"/>
        </w:trPr>
        <w:tc>
          <w:tcPr>
            <w:tcW w:w="3700" w:type="dxa"/>
            <w:vAlign w:val="bottom"/>
            <w:shd w:val="clear" w:color="auto" w:fill="FCE9E8"/>
          </w:tcPr>
          <w:p>
            <w:pPr>
              <w:ind w:left="80"/>
              <w:spacing w:after="0"/>
              <w:rPr>
                <w:sz w:val="20"/>
                <w:szCs w:val="20"/>
                <w:color w:val="auto"/>
              </w:rPr>
            </w:pPr>
            <w:r>
              <w:rPr>
                <w:rFonts w:ascii="Arial" w:cs="Arial" w:eastAsia="Arial" w:hAnsi="Arial"/>
                <w:sz w:val="16"/>
                <w:szCs w:val="16"/>
                <w:color w:val="auto"/>
              </w:rPr>
              <w:t>Kathleen A. Ligocki</w:t>
            </w:r>
          </w:p>
        </w:tc>
        <w:tc>
          <w:tcPr>
            <w:tcW w:w="7320" w:type="dxa"/>
            <w:vAlign w:val="bottom"/>
            <w:shd w:val="clear" w:color="auto" w:fill="FCE9E8"/>
          </w:tcPr>
          <w:p>
            <w:pPr>
              <w:ind w:left="2140"/>
              <w:spacing w:after="0"/>
              <w:rPr>
                <w:sz w:val="20"/>
                <w:szCs w:val="20"/>
                <w:color w:val="auto"/>
              </w:rPr>
            </w:pPr>
            <w:r>
              <w:rPr>
                <w:rFonts w:ascii="Arial" w:cs="Arial" w:eastAsia="Arial" w:hAnsi="Arial"/>
                <w:sz w:val="16"/>
                <w:szCs w:val="16"/>
                <w:color w:val="auto"/>
              </w:rPr>
              <w:t>Director</w:t>
            </w:r>
          </w:p>
        </w:tc>
      </w:tr>
      <w:tr>
        <w:trPr>
          <w:trHeight w:val="189"/>
        </w:trPr>
        <w:tc>
          <w:tcPr>
            <w:tcW w:w="3700" w:type="dxa"/>
            <w:vAlign w:val="bottom"/>
          </w:tcPr>
          <w:p>
            <w:pPr>
              <w:ind w:left="80"/>
              <w:spacing w:after="0"/>
              <w:rPr>
                <w:sz w:val="20"/>
                <w:szCs w:val="20"/>
                <w:color w:val="auto"/>
              </w:rPr>
            </w:pPr>
            <w:r>
              <w:rPr>
                <w:rFonts w:ascii="Arial" w:cs="Arial" w:eastAsia="Arial" w:hAnsi="Arial"/>
                <w:sz w:val="16"/>
                <w:szCs w:val="16"/>
                <w:color w:val="auto"/>
              </w:rPr>
              <w:t>Conrad L. Mallett, Jr.</w:t>
            </w:r>
          </w:p>
        </w:tc>
        <w:tc>
          <w:tcPr>
            <w:tcW w:w="7320" w:type="dxa"/>
            <w:vAlign w:val="bottom"/>
          </w:tcPr>
          <w:p>
            <w:pPr>
              <w:ind w:left="2140"/>
              <w:spacing w:after="0"/>
              <w:rPr>
                <w:sz w:val="20"/>
                <w:szCs w:val="20"/>
                <w:color w:val="auto"/>
              </w:rPr>
            </w:pPr>
            <w:r>
              <w:rPr>
                <w:rFonts w:ascii="Arial" w:cs="Arial" w:eastAsia="Arial" w:hAnsi="Arial"/>
                <w:sz w:val="16"/>
                <w:szCs w:val="16"/>
                <w:color w:val="auto"/>
              </w:rPr>
              <w:t>Director</w:t>
            </w:r>
          </w:p>
        </w:tc>
      </w:tr>
      <w:tr>
        <w:trPr>
          <w:trHeight w:val="189"/>
        </w:trPr>
        <w:tc>
          <w:tcPr>
            <w:tcW w:w="370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7320" w:type="dxa"/>
            <w:vAlign w:val="bottom"/>
            <w:shd w:val="clear" w:color="auto" w:fill="FCE9E8"/>
          </w:tcPr>
          <w:p>
            <w:pPr>
              <w:ind w:left="2140"/>
              <w:spacing w:after="0"/>
              <w:rPr>
                <w:sz w:val="20"/>
                <w:szCs w:val="20"/>
                <w:color w:val="auto"/>
              </w:rPr>
            </w:pPr>
            <w:r>
              <w:rPr>
                <w:rFonts w:ascii="Arial" w:cs="Arial" w:eastAsia="Arial" w:hAnsi="Arial"/>
                <w:sz w:val="16"/>
                <w:szCs w:val="16"/>
                <w:color w:val="auto"/>
              </w:rPr>
              <w:t>Director, President and Chief Executive Officer</w:t>
            </w:r>
          </w:p>
        </w:tc>
      </w:tr>
      <w:tr>
        <w:trPr>
          <w:trHeight w:val="189"/>
        </w:trPr>
        <w:tc>
          <w:tcPr>
            <w:tcW w:w="3700" w:type="dxa"/>
            <w:vAlign w:val="bottom"/>
          </w:tcPr>
          <w:p>
            <w:pPr>
              <w:ind w:left="80"/>
              <w:spacing w:after="0"/>
              <w:rPr>
                <w:sz w:val="20"/>
                <w:szCs w:val="20"/>
                <w:color w:val="auto"/>
              </w:rPr>
            </w:pPr>
            <w:r>
              <w:rPr>
                <w:rFonts w:ascii="Arial" w:cs="Arial" w:eastAsia="Arial" w:hAnsi="Arial"/>
                <w:sz w:val="16"/>
                <w:szCs w:val="16"/>
                <w:color w:val="auto"/>
              </w:rPr>
              <w:t>Gregory C. Smith</w:t>
            </w:r>
          </w:p>
        </w:tc>
        <w:tc>
          <w:tcPr>
            <w:tcW w:w="7320" w:type="dxa"/>
            <w:vAlign w:val="bottom"/>
          </w:tcPr>
          <w:p>
            <w:pPr>
              <w:ind w:left="2140"/>
              <w:spacing w:after="0"/>
              <w:rPr>
                <w:sz w:val="20"/>
                <w:szCs w:val="20"/>
                <w:color w:val="auto"/>
              </w:rPr>
            </w:pPr>
            <w:r>
              <w:rPr>
                <w:rFonts w:ascii="Arial" w:cs="Arial" w:eastAsia="Arial" w:hAnsi="Arial"/>
                <w:sz w:val="16"/>
                <w:szCs w:val="16"/>
                <w:color w:val="auto"/>
              </w:rPr>
              <w:t>Director</w:t>
            </w:r>
          </w:p>
        </w:tc>
      </w:tr>
      <w:tr>
        <w:trPr>
          <w:trHeight w:val="189"/>
        </w:trPr>
        <w:tc>
          <w:tcPr>
            <w:tcW w:w="3700" w:type="dxa"/>
            <w:vAlign w:val="bottom"/>
            <w:shd w:val="clear" w:color="auto" w:fill="FCE9E8"/>
          </w:tcPr>
          <w:p>
            <w:pPr>
              <w:ind w:left="80"/>
              <w:spacing w:after="0"/>
              <w:rPr>
                <w:sz w:val="20"/>
                <w:szCs w:val="20"/>
                <w:color w:val="auto"/>
              </w:rPr>
            </w:pPr>
            <w:r>
              <w:rPr>
                <w:rFonts w:ascii="Arial" w:cs="Arial" w:eastAsia="Arial" w:hAnsi="Arial"/>
                <w:sz w:val="16"/>
                <w:szCs w:val="16"/>
                <w:color w:val="auto"/>
              </w:rPr>
              <w:t>Henry D.G. Wallace</w:t>
            </w:r>
          </w:p>
        </w:tc>
        <w:tc>
          <w:tcPr>
            <w:tcW w:w="7320" w:type="dxa"/>
            <w:vAlign w:val="bottom"/>
            <w:shd w:val="clear" w:color="auto" w:fill="FCE9E8"/>
          </w:tcPr>
          <w:p>
            <w:pPr>
              <w:ind w:left="2140"/>
              <w:spacing w:after="0"/>
              <w:rPr>
                <w:sz w:val="20"/>
                <w:szCs w:val="20"/>
                <w:color w:val="auto"/>
              </w:rPr>
            </w:pPr>
            <w:r>
              <w:rPr>
                <w:rFonts w:ascii="Arial" w:cs="Arial" w:eastAsia="Arial" w:hAnsi="Arial"/>
                <w:sz w:val="16"/>
                <w:szCs w:val="16"/>
                <w:color w:val="auto"/>
              </w:rPr>
              <w:t>Director, Non-Executive Chairman</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20"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color w:val="auto"/>
        </w:rPr>
        <w:t>Biographical information relating to each of the director nominees is set forth below under “Directors and Corporate Governance” and incorporated by reference herein.</w:t>
      </w:r>
    </w:p>
    <w:p>
      <w:pPr>
        <w:spacing w:after="0" w:line="73"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b w:val="1"/>
          <w:bCs w:val="1"/>
          <w:color w:val="auto"/>
        </w:rPr>
        <w:t>THE BOARD UNANIMOUSLY RECOMMENDS A VOTE “FOR” THE ELECTION OF EACH OF LEAR’S DIRECTOR NOMINEES NAMED IN THIS PROXY STATEMENT.</w:t>
      </w:r>
    </w:p>
    <w:p>
      <w:pPr>
        <w:spacing w:after="0" w:line="234" w:lineRule="exact"/>
        <w:rPr>
          <w:sz w:val="20"/>
          <w:szCs w:val="20"/>
          <w:color w:val="auto"/>
        </w:rPr>
      </w:pPr>
    </w:p>
    <w:p>
      <w:pPr>
        <w:ind w:left="580" w:hanging="271"/>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ELECTION OF EACH OF LEAR’S DIRECTOR NOMINEES NAMED IN THIS PROXY STATEMENT UNLESS STOCKHOLDERS SPECIFY A CONTRARY VOTE.</w:t>
      </w:r>
    </w:p>
    <w:p>
      <w:pPr>
        <w:sectPr>
          <w:pgSz w:w="11900" w:h="16838" w:orient="portrait"/>
          <w:cols w:equalWidth="0" w:num="2">
            <w:col w:w="5360" w:space="460"/>
            <w:col w:w="542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DIRECTORS AND CORPORATE GOVERNANCE</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Director Biographical Information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right="500"/>
        <w:spacing w:after="0" w:line="253" w:lineRule="auto"/>
        <w:rPr>
          <w:sz w:val="20"/>
          <w:szCs w:val="20"/>
          <w:color w:val="auto"/>
        </w:rPr>
      </w:pPr>
      <w:r>
        <w:rPr>
          <w:rFonts w:ascii="Arial" w:cs="Arial" w:eastAsia="Arial" w:hAnsi="Arial"/>
          <w:sz w:val="16"/>
          <w:szCs w:val="16"/>
          <w:color w:val="auto"/>
        </w:rPr>
        <w:t>Set forth below is a description of the business experience of each director nominee, as well as the specific qualifications, skills and experiences considered by the Nominating Committee and the Board in recommending our slate of director nominees. Each director nominee listed below is nominated for election to the Board for a term expiring at the annual meeting of stockholders in 2019. See “Election of Directors (Proposal No. 1).”</w:t>
      </w:r>
    </w:p>
    <w:p>
      <w:pPr>
        <w:spacing w:after="0" w:line="212" w:lineRule="exact"/>
        <w:rPr>
          <w:sz w:val="20"/>
          <w:szCs w:val="20"/>
          <w:color w:val="auto"/>
        </w:rPr>
      </w:pPr>
    </w:p>
    <w:p>
      <w:pPr>
        <w:ind w:left="200"/>
        <w:spacing w:after="0"/>
        <w:tabs>
          <w:tab w:leader="none" w:pos="2400" w:val="left"/>
          <w:tab w:leader="none" w:pos="3360" w:val="left"/>
        </w:tabs>
        <w:rPr>
          <w:sz w:val="20"/>
          <w:szCs w:val="20"/>
          <w:color w:val="auto"/>
        </w:rPr>
      </w:pPr>
      <w:r>
        <w:rPr>
          <w:rFonts w:ascii="Arial" w:cs="Arial" w:eastAsia="Arial" w:hAnsi="Arial"/>
          <w:sz w:val="16"/>
          <w:szCs w:val="16"/>
          <w:i w:val="1"/>
          <w:iCs w:val="1"/>
          <w:color w:val="auto"/>
        </w:rPr>
        <w:t>Richard H. Bott</w:t>
      </w:r>
      <w:r>
        <w:rPr>
          <w:sz w:val="20"/>
          <w:szCs w:val="20"/>
          <w:color w:val="auto"/>
        </w:rPr>
        <w:tab/>
      </w:r>
      <w:r>
        <w:rPr>
          <w:rFonts w:ascii="Arial" w:cs="Arial" w:eastAsia="Arial" w:hAnsi="Arial"/>
          <w:sz w:val="16"/>
          <w:szCs w:val="16"/>
          <w:color w:val="auto"/>
        </w:rPr>
        <w:t>Age: 71</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 Audit</w:t>
      </w:r>
    </w:p>
    <w:p>
      <w:pPr>
        <w:spacing w:after="0" w:line="228" w:lineRule="exact"/>
        <w:rPr>
          <w:sz w:val="20"/>
          <w:szCs w:val="20"/>
          <w:color w:val="auto"/>
        </w:rPr>
      </w:pPr>
    </w:p>
    <w:p>
      <w:pPr>
        <w:ind w:left="24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1" w:lineRule="exact"/>
        <w:rPr>
          <w:sz w:val="20"/>
          <w:szCs w:val="20"/>
          <w:color w:val="auto"/>
        </w:rPr>
      </w:pPr>
    </w:p>
    <w:p>
      <w:pPr>
        <w:ind w:left="2420"/>
        <w:spacing w:after="0" w:line="228" w:lineRule="auto"/>
        <w:rPr>
          <w:sz w:val="20"/>
          <w:szCs w:val="20"/>
          <w:color w:val="auto"/>
        </w:rPr>
      </w:pPr>
      <w:r>
        <w:rPr>
          <w:rFonts w:ascii="Arial" w:cs="Arial" w:eastAsia="Arial" w:hAnsi="Arial"/>
          <w:sz w:val="15"/>
          <w:szCs w:val="15"/>
          <w:color w:val="auto"/>
        </w:rPr>
        <w:t>Mr. Bott has been a director of the Company since September 2013. Mr. Bott worked in investment banking for more than 35 years at Morgan Stanley &amp; Co. and Credit Suisse First Boston (now Credit Suisse), where he provided financial structuring and strategic advice to numerous large American and international corporations, with a focus on industrial, automotive and transportation companies. Mr. Bott served as Vice Chairman, Institutional Securities Group of Morgan Stanley &amp; Co. Incorporated from 2003 until his retirement at the end of 2007. Prior to holding this position, Mr. Bott served as Vice Chairman, Investment Banking, Credit Suisse First Boston Corporation from 1998 to 2003; Managing Director, The First Boston Corporation and its successor companies, CS First Boston Corporation and Credit Suisse First Boston Corporation, from 1982 to 1998; and Vice President, Assistant Vice President &amp; Associate, The First Boston Corporation from 1972 to 1982. Mr. Bott is also a director of Genesee &amp; Wyoming Inc., serving on both the Audit and Compensation Committees. Mr. Bott has a bachelor’s degree in Economics from Princeton University and an MBA from Columbia Business School.</w:t>
      </w:r>
    </w:p>
    <w:p>
      <w:pPr>
        <w:spacing w:after="0" w:line="210" w:lineRule="exact"/>
        <w:rPr>
          <w:sz w:val="20"/>
          <w:szCs w:val="20"/>
          <w:color w:val="auto"/>
        </w:rPr>
      </w:pPr>
    </w:p>
    <w:p>
      <w:pPr>
        <w:ind w:left="24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620" w:hanging="201"/>
        <w:spacing w:after="0"/>
        <w:tabs>
          <w:tab w:leader="none" w:pos="2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6" w:lineRule="exact"/>
        <w:rPr>
          <w:rFonts w:ascii="Arial" w:cs="Arial" w:eastAsia="Arial" w:hAnsi="Arial"/>
          <w:sz w:val="16"/>
          <w:szCs w:val="16"/>
          <w:color w:val="auto"/>
        </w:rPr>
      </w:pPr>
    </w:p>
    <w:p>
      <w:pPr>
        <w:ind w:left="2620" w:hanging="201"/>
        <w:spacing w:after="0"/>
        <w:tabs>
          <w:tab w:leader="none" w:pos="2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620" w:hanging="201"/>
        <w:spacing w:after="0"/>
        <w:tabs>
          <w:tab w:leader="none" w:pos="2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Extensive experience in global finance, investment banking and capital markets</w:t>
      </w:r>
    </w:p>
    <w:p>
      <w:pPr>
        <w:spacing w:after="0" w:line="126" w:lineRule="exact"/>
        <w:rPr>
          <w:rFonts w:ascii="Arial" w:cs="Arial" w:eastAsia="Arial" w:hAnsi="Arial"/>
          <w:sz w:val="16"/>
          <w:szCs w:val="16"/>
          <w:color w:val="auto"/>
        </w:rPr>
      </w:pPr>
    </w:p>
    <w:p>
      <w:pPr>
        <w:ind w:left="2620" w:hanging="201"/>
        <w:spacing w:after="0"/>
        <w:tabs>
          <w:tab w:leader="none" w:pos="2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experience in structuring and executing financing transactions and mergers and acquisitions</w:t>
      </w:r>
    </w:p>
    <w:p>
      <w:pPr>
        <w:spacing w:after="0" w:line="126" w:lineRule="exact"/>
        <w:rPr>
          <w:rFonts w:ascii="Arial" w:cs="Arial" w:eastAsia="Arial" w:hAnsi="Arial"/>
          <w:sz w:val="16"/>
          <w:szCs w:val="16"/>
          <w:color w:val="auto"/>
        </w:rPr>
      </w:pPr>
    </w:p>
    <w:p>
      <w:pPr>
        <w:ind w:left="2620" w:hanging="201"/>
        <w:spacing w:after="0"/>
        <w:tabs>
          <w:tab w:leader="none" w:pos="2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64" w:lineRule="exact"/>
        <w:rPr>
          <w:sz w:val="20"/>
          <w:szCs w:val="20"/>
          <w:color w:val="auto"/>
        </w:rPr>
      </w:pPr>
    </w:p>
    <w:p>
      <w:pPr>
        <w:ind w:left="9080"/>
        <w:spacing w:after="0"/>
        <w:tabs>
          <w:tab w:leader="none" w:pos="10780" w:val="left"/>
          <w:tab w:leader="none" w:pos="110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9" w:lineRule="exact"/>
        <w:rPr>
          <w:sz w:val="20"/>
          <w:szCs w:val="20"/>
          <w:color w:val="auto"/>
        </w:rPr>
      </w:pPr>
    </w:p>
    <w:p>
      <w:pPr>
        <w:ind w:left="200"/>
        <w:spacing w:after="0"/>
        <w:tabs>
          <w:tab w:leader="none" w:pos="2400" w:val="left"/>
          <w:tab w:leader="none" w:pos="3360" w:val="left"/>
        </w:tabs>
        <w:rPr>
          <w:sz w:val="20"/>
          <w:szCs w:val="20"/>
          <w:color w:val="auto"/>
        </w:rPr>
      </w:pPr>
      <w:r>
        <w:rPr>
          <w:rFonts w:ascii="Arial" w:cs="Arial" w:eastAsia="Arial" w:hAnsi="Arial"/>
          <w:sz w:val="16"/>
          <w:szCs w:val="16"/>
          <w:i w:val="1"/>
          <w:iCs w:val="1"/>
          <w:color w:val="auto"/>
        </w:rPr>
        <w:t>Thomas P. Capo</w:t>
      </w:r>
      <w:r>
        <w:rPr>
          <w:sz w:val="20"/>
          <w:szCs w:val="20"/>
          <w:color w:val="auto"/>
        </w:rPr>
        <w:tab/>
      </w:r>
      <w:r>
        <w:rPr>
          <w:rFonts w:ascii="Arial" w:cs="Arial" w:eastAsia="Arial" w:hAnsi="Arial"/>
          <w:sz w:val="16"/>
          <w:szCs w:val="16"/>
          <w:color w:val="auto"/>
        </w:rPr>
        <w:t>Age: 67</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500" w:hanging="145"/>
        <w:spacing w:after="0"/>
        <w:tabs>
          <w:tab w:leader="none" w:pos="3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500" w:hanging="145"/>
        <w:spacing w:after="0"/>
        <w:tabs>
          <w:tab w:leader="none" w:pos="3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228" w:lineRule="exact"/>
        <w:rPr>
          <w:sz w:val="20"/>
          <w:szCs w:val="20"/>
          <w:color w:val="auto"/>
        </w:rPr>
      </w:pPr>
    </w:p>
    <w:p>
      <w:pPr>
        <w:ind w:left="24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420"/>
        <w:spacing w:after="0" w:line="248" w:lineRule="auto"/>
        <w:rPr>
          <w:sz w:val="20"/>
          <w:szCs w:val="20"/>
          <w:color w:val="auto"/>
        </w:rPr>
      </w:pPr>
      <w:r>
        <w:rPr>
          <w:rFonts w:ascii="Arial" w:cs="Arial" w:eastAsia="Arial" w:hAnsi="Arial"/>
          <w:sz w:val="16"/>
          <w:szCs w:val="16"/>
          <w:color w:val="auto"/>
        </w:rPr>
        <w:t>Mr. Capo has been a director of the Company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the Non-Executive Chairman of Cooper Tire &amp; Rubber Company. Previously, Mr. Capo served as a director of Dollar Thrifty Automotive Group, Inc. from its initial public offering in 1997 until its sale to Hertz Corporation in 2012, JLG Industries, Inc. until its sale to Oshkosh Corp. in 2006, Sonic Automotive, Inc. and Microheat, Inc. Mr. Capo has a bachelor’s degree in Finance, an MBA and a master’s degree in Economics from the University of Detroit-Mercy.</w:t>
      </w: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80" w:hanging="161"/>
        <w:spacing w:after="0"/>
        <w:tabs>
          <w:tab w:leader="none" w:pos="2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extensive knowledge of the automotive industry</w:t>
      </w:r>
    </w:p>
    <w:p>
      <w:pPr>
        <w:spacing w:after="0" w:line="126" w:lineRule="exact"/>
        <w:rPr>
          <w:rFonts w:ascii="Arial" w:cs="Arial" w:eastAsia="Arial" w:hAnsi="Arial"/>
          <w:sz w:val="16"/>
          <w:szCs w:val="16"/>
          <w:color w:val="auto"/>
        </w:rPr>
      </w:pPr>
    </w:p>
    <w:p>
      <w:pPr>
        <w:ind w:left="2580" w:hanging="161"/>
        <w:spacing w:after="0"/>
        <w:tabs>
          <w:tab w:leader="none" w:pos="2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at board chairman level</w:t>
      </w:r>
    </w:p>
    <w:p>
      <w:pPr>
        <w:spacing w:after="0" w:line="126" w:lineRule="exact"/>
        <w:rPr>
          <w:rFonts w:ascii="Arial" w:cs="Arial" w:eastAsia="Arial" w:hAnsi="Arial"/>
          <w:sz w:val="16"/>
          <w:szCs w:val="16"/>
          <w:color w:val="auto"/>
        </w:rPr>
      </w:pPr>
    </w:p>
    <w:p>
      <w:pPr>
        <w:ind w:left="2580" w:hanging="161"/>
        <w:spacing w:after="0"/>
        <w:tabs>
          <w:tab w:leader="none" w:pos="2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experience in global finance, treasury, investment management and capital markets</w:t>
      </w:r>
    </w:p>
    <w:p>
      <w:pPr>
        <w:spacing w:after="0" w:line="126" w:lineRule="exact"/>
        <w:rPr>
          <w:rFonts w:ascii="Arial" w:cs="Arial" w:eastAsia="Arial" w:hAnsi="Arial"/>
          <w:sz w:val="16"/>
          <w:szCs w:val="16"/>
          <w:color w:val="auto"/>
        </w:rPr>
      </w:pPr>
    </w:p>
    <w:p>
      <w:pPr>
        <w:ind w:left="2580" w:right="420" w:hanging="161"/>
        <w:spacing w:after="0" w:line="260" w:lineRule="auto"/>
        <w:tabs>
          <w:tab w:leader="none" w:pos="25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Core leadership and management experience in mergers, acquisitions and divestitures, strategy development and capital restructuring</w:t>
      </w:r>
    </w:p>
    <w:p>
      <w:pPr>
        <w:spacing w:after="0" w:line="101" w:lineRule="exact"/>
        <w:rPr>
          <w:rFonts w:ascii="Arial" w:cs="Arial" w:eastAsia="Arial" w:hAnsi="Arial"/>
          <w:sz w:val="16"/>
          <w:szCs w:val="16"/>
          <w:color w:val="auto"/>
        </w:rPr>
      </w:pPr>
    </w:p>
    <w:p>
      <w:pPr>
        <w:ind w:left="2580" w:hanging="161"/>
        <w:spacing w:after="0"/>
        <w:tabs>
          <w:tab w:leader="none" w:pos="2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reporting, compliance and internal controls</w:t>
      </w:r>
    </w:p>
    <w:p>
      <w:pPr>
        <w:spacing w:after="0" w:line="126" w:lineRule="exact"/>
        <w:rPr>
          <w:rFonts w:ascii="Arial" w:cs="Arial" w:eastAsia="Arial" w:hAnsi="Arial"/>
          <w:sz w:val="16"/>
          <w:szCs w:val="16"/>
          <w:color w:val="auto"/>
        </w:rPr>
      </w:pPr>
    </w:p>
    <w:p>
      <w:pPr>
        <w:ind w:left="2580" w:hanging="161"/>
        <w:spacing w:after="0"/>
        <w:tabs>
          <w:tab w:leader="none" w:pos="2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580" w:hanging="271"/>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9" w:lineRule="exact"/>
        <w:rPr>
          <w:sz w:val="20"/>
          <w:szCs w:val="20"/>
          <w:color w:val="auto"/>
        </w:rPr>
      </w:pPr>
    </w:p>
    <w:p>
      <w:pPr>
        <w:ind w:left="200"/>
        <w:spacing w:after="0"/>
        <w:tabs>
          <w:tab w:leader="none" w:pos="2500" w:val="left"/>
          <w:tab w:leader="none" w:pos="3480" w:val="left"/>
        </w:tabs>
        <w:rPr>
          <w:sz w:val="20"/>
          <w:szCs w:val="20"/>
          <w:color w:val="auto"/>
        </w:rPr>
      </w:pPr>
      <w:r>
        <w:rPr>
          <w:rFonts w:ascii="Arial" w:cs="Arial" w:eastAsia="Arial" w:hAnsi="Arial"/>
          <w:sz w:val="16"/>
          <w:szCs w:val="16"/>
          <w:i w:val="1"/>
          <w:iCs w:val="1"/>
          <w:color w:val="auto"/>
        </w:rPr>
        <w:t>Jonathan F. Foster</w:t>
      </w:r>
      <w:r>
        <w:rPr>
          <w:sz w:val="20"/>
          <w:szCs w:val="20"/>
          <w:color w:val="auto"/>
        </w:rPr>
        <w:tab/>
      </w:r>
      <w:r>
        <w:rPr>
          <w:rFonts w:ascii="Arial" w:cs="Arial" w:eastAsia="Arial" w:hAnsi="Arial"/>
          <w:sz w:val="16"/>
          <w:szCs w:val="16"/>
          <w:color w:val="auto"/>
        </w:rPr>
        <w:t>Age: 57</w:t>
      </w:r>
      <w:r>
        <w:rPr>
          <w:sz w:val="20"/>
          <w:szCs w:val="20"/>
          <w:color w:val="auto"/>
        </w:rPr>
        <w:tab/>
      </w:r>
      <w:r>
        <w:rPr>
          <w:rFonts w:ascii="Arial" w:cs="Arial" w:eastAsia="Arial" w:hAnsi="Arial"/>
          <w:sz w:val="15"/>
          <w:szCs w:val="15"/>
          <w:color w:val="auto"/>
        </w:rPr>
        <w:t>Lear Committees:</w:t>
      </w:r>
    </w:p>
    <w:p>
      <w:pPr>
        <w:spacing w:after="0" w:line="143" w:lineRule="exact"/>
        <w:rPr>
          <w:sz w:val="20"/>
          <w:szCs w:val="20"/>
          <w:color w:val="auto"/>
        </w:rPr>
      </w:pPr>
    </w:p>
    <w:p>
      <w:pPr>
        <w:ind w:left="3600" w:hanging="137"/>
        <w:spacing w:after="0"/>
        <w:tabs>
          <w:tab w:leader="none" w:pos="3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26" w:lineRule="exact"/>
        <w:rPr>
          <w:rFonts w:ascii="Arial" w:cs="Arial" w:eastAsia="Arial" w:hAnsi="Arial"/>
          <w:sz w:val="16"/>
          <w:szCs w:val="16"/>
          <w:color w:val="auto"/>
        </w:rPr>
      </w:pPr>
    </w:p>
    <w:p>
      <w:pPr>
        <w:ind w:left="3620" w:hanging="157"/>
        <w:spacing w:after="0"/>
        <w:tabs>
          <w:tab w:leader="none" w:pos="3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28"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520" w:right="60"/>
        <w:spacing w:after="0" w:line="247"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Partners LLC, a private equity investing and management services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 director of publicly traded Masonite International Corporation, Berry Plastics and Five Point Holdings. He was previously a director of publicly traded Chemtura Corp., Sabine Oil &amp; Gas and Smurfit-Stone Container Corporation. Mr. Foster is also a director of privately held automotive suppliers Chassix, Dayco and Rimstock. He was previously a director of privately held automotive suppliers TI Automotive and Stackpole. Mr. Foster has a bachelor’s degree in Accounting from Emory University, a master’s degree in Accounting &amp; Finance from the London School of Economics and has attended the Executive Education Program at Harvard Business School.</w:t>
      </w:r>
    </w:p>
    <w:p>
      <w:pPr>
        <w:spacing w:after="0" w:line="219"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700" w:hanging="173"/>
        <w:spacing w:after="0"/>
        <w:tabs>
          <w:tab w:leader="none" w:pos="2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Experience in financial statement preparation and accounting, financial reporting, compliance and internal controls</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Previous experience as a chief financial officer</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26" w:lineRule="exact"/>
        <w:rPr>
          <w:rFonts w:ascii="Arial" w:cs="Arial" w:eastAsia="Arial" w:hAnsi="Arial"/>
          <w:sz w:val="16"/>
          <w:szCs w:val="16"/>
          <w:color w:val="auto"/>
        </w:rPr>
      </w:pPr>
    </w:p>
    <w:p>
      <w:pPr>
        <w:ind w:left="2680" w:right="20" w:hanging="153"/>
        <w:spacing w:after="0" w:line="260" w:lineRule="auto"/>
        <w:tabs>
          <w:tab w:leader="none" w:pos="26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Extensive experience as an investment banker, private equity investor and director with industrial companies, including those in the automotive sector</w:t>
      </w:r>
    </w:p>
    <w:p>
      <w:pPr>
        <w:spacing w:after="0" w:line="101" w:lineRule="exact"/>
        <w:rPr>
          <w:rFonts w:ascii="Arial" w:cs="Arial" w:eastAsia="Arial" w:hAnsi="Arial"/>
          <w:sz w:val="16"/>
          <w:szCs w:val="16"/>
          <w:color w:val="auto"/>
        </w:rPr>
      </w:pPr>
    </w:p>
    <w:p>
      <w:pPr>
        <w:ind w:left="2700" w:hanging="173"/>
        <w:spacing w:after="0"/>
        <w:tabs>
          <w:tab w:leader="none" w:pos="2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9080"/>
        <w:spacing w:after="0"/>
        <w:tabs>
          <w:tab w:leader="none" w:pos="10780" w:val="left"/>
          <w:tab w:leader="none" w:pos="110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9" w:lineRule="exact"/>
        <w:rPr>
          <w:sz w:val="20"/>
          <w:szCs w:val="20"/>
          <w:color w:val="auto"/>
        </w:rPr>
      </w:pPr>
    </w:p>
    <w:p>
      <w:pPr>
        <w:ind w:left="200"/>
        <w:spacing w:after="0"/>
        <w:tabs>
          <w:tab w:leader="none" w:pos="2500" w:val="left"/>
          <w:tab w:leader="none" w:pos="3480" w:val="left"/>
        </w:tabs>
        <w:rPr>
          <w:sz w:val="20"/>
          <w:szCs w:val="20"/>
          <w:color w:val="auto"/>
        </w:rPr>
      </w:pPr>
      <w:r>
        <w:rPr>
          <w:rFonts w:ascii="Arial" w:cs="Arial" w:eastAsia="Arial" w:hAnsi="Arial"/>
          <w:sz w:val="16"/>
          <w:szCs w:val="16"/>
          <w:i w:val="1"/>
          <w:iCs w:val="1"/>
          <w:color w:val="auto"/>
        </w:rPr>
        <w:t>Mary Lou Jepsen</w:t>
      </w:r>
      <w:r>
        <w:rPr>
          <w:sz w:val="20"/>
          <w:szCs w:val="20"/>
          <w:color w:val="auto"/>
        </w:rPr>
        <w:tab/>
      </w:r>
      <w:r>
        <w:rPr>
          <w:rFonts w:ascii="Arial" w:cs="Arial" w:eastAsia="Arial" w:hAnsi="Arial"/>
          <w:sz w:val="16"/>
          <w:szCs w:val="16"/>
          <w:color w:val="auto"/>
        </w:rPr>
        <w:t>Age: 53</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 Compensation</w:t>
      </w:r>
    </w:p>
    <w:p>
      <w:pPr>
        <w:spacing w:after="0" w:line="228"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520"/>
        <w:spacing w:after="0" w:line="248" w:lineRule="auto"/>
        <w:rPr>
          <w:sz w:val="20"/>
          <w:szCs w:val="20"/>
          <w:color w:val="auto"/>
        </w:rPr>
      </w:pPr>
      <w:r>
        <w:rPr>
          <w:rFonts w:ascii="Arial" w:cs="Arial" w:eastAsia="Arial" w:hAnsi="Arial"/>
          <w:sz w:val="16"/>
          <w:szCs w:val="16"/>
          <w:color w:val="auto"/>
        </w:rPr>
        <w:t>Dr. Jepsen was appointed a director of the Company in March 2016. Dr. Jepsen is the CEO, Founder and Chairman of the Board of Openwater, a start-up company focused on replacing the functionality of Magnetic Resonance Imaging (MRI) with a consumer electronic wearable using novel opto-electronics to achieve comparable resolution to a MRI. Previously, Dr. Jepsen was the Executive Director of Engineering at Facebook, Inc. and Head of Display Technologies at Oculus where she led advanced consumer electronics, opto-electronic and display design and manufacturing efforts. From 2012 to 2015, Dr. Jepsen had a similar role at Google, Inc. and Google X. She also co-founded One Laptop per Child and was the lead architect of the $100 laptop, millions of which were shipped to children in the developing world. She is the principal inventor on approximately 200 patents. She has broad advisory experience in Peru, China, Uruguay, Taiwan, Brazil and the United States, as well as at the United Nations. Dr. Jepsen holds a doctorate degree from Brown University in Optical Sciences, a master of science degree from Massachusetts Institute of Technology in Visual Studies and a bachelor’s of science degree in Electrical Engineering from Brown University.</w:t>
      </w:r>
    </w:p>
    <w:p>
      <w:pPr>
        <w:spacing w:after="0" w:line="212"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700" w:hanging="173"/>
        <w:spacing w:after="0"/>
        <w:tabs>
          <w:tab w:leader="none" w:pos="2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One of the world’s foremost display innovators</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Exceptional track record of leadership and innovation</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 experience in working with Asia’s largest computer manufacturers</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Experience and leadership in engineering with global technology companies</w:t>
      </w:r>
    </w:p>
    <w:p>
      <w:pPr>
        <w:spacing w:after="0" w:line="126" w:lineRule="exact"/>
        <w:rPr>
          <w:rFonts w:ascii="Arial" w:cs="Arial" w:eastAsia="Arial" w:hAnsi="Arial"/>
          <w:sz w:val="16"/>
          <w:szCs w:val="16"/>
          <w:color w:val="auto"/>
        </w:rPr>
      </w:pPr>
    </w:p>
    <w:p>
      <w:pPr>
        <w:ind w:left="2680" w:hanging="153"/>
        <w:spacing w:after="0" w:line="253" w:lineRule="auto"/>
        <w:tabs>
          <w:tab w:leader="none" w:pos="26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Globally recognized with dozens of prestigious awards, including TIME magazine’s “Time 100” as one of the 100 most influential people in the world, a CNN top 10 thinker and by the leading global professional societies in optics, display and electronics</w:t>
      </w:r>
    </w:p>
    <w:p>
      <w:pPr>
        <w:spacing w:after="0" w:line="106" w:lineRule="exact"/>
        <w:rPr>
          <w:rFonts w:ascii="Arial" w:cs="Arial" w:eastAsia="Arial" w:hAnsi="Arial"/>
          <w:sz w:val="16"/>
          <w:szCs w:val="16"/>
          <w:color w:val="auto"/>
        </w:rPr>
      </w:pPr>
    </w:p>
    <w:p>
      <w:pPr>
        <w:ind w:left="2700" w:hanging="173"/>
        <w:spacing w:after="0"/>
        <w:tabs>
          <w:tab w:leader="none" w:pos="2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Executive management experience</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660" w:hanging="35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24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9" w:lineRule="exact"/>
        <w:rPr>
          <w:sz w:val="20"/>
          <w:szCs w:val="20"/>
          <w:color w:val="auto"/>
        </w:rPr>
      </w:pPr>
    </w:p>
    <w:p>
      <w:pPr>
        <w:ind w:left="200"/>
        <w:spacing w:after="0"/>
        <w:tabs>
          <w:tab w:leader="none" w:pos="2500" w:val="left"/>
          <w:tab w:leader="none" w:pos="3480" w:val="left"/>
        </w:tabs>
        <w:rPr>
          <w:sz w:val="20"/>
          <w:szCs w:val="20"/>
          <w:color w:val="auto"/>
        </w:rPr>
      </w:pPr>
      <w:r>
        <w:rPr>
          <w:rFonts w:ascii="Arial" w:cs="Arial" w:eastAsia="Arial" w:hAnsi="Arial"/>
          <w:sz w:val="16"/>
          <w:szCs w:val="16"/>
          <w:i w:val="1"/>
          <w:iCs w:val="1"/>
          <w:color w:val="auto"/>
        </w:rPr>
        <w:t>Kathleen A. Ligocki</w:t>
      </w:r>
      <w:r>
        <w:rPr>
          <w:sz w:val="20"/>
          <w:szCs w:val="20"/>
          <w:color w:val="auto"/>
        </w:rPr>
        <w:tab/>
      </w:r>
      <w:r>
        <w:rPr>
          <w:rFonts w:ascii="Arial" w:cs="Arial" w:eastAsia="Arial" w:hAnsi="Arial"/>
          <w:sz w:val="16"/>
          <w:szCs w:val="16"/>
          <w:color w:val="auto"/>
        </w:rPr>
        <w:t>Age: 61</w:t>
      </w:r>
      <w:r>
        <w:rPr>
          <w:sz w:val="20"/>
          <w:szCs w:val="20"/>
          <w:color w:val="auto"/>
        </w:rPr>
        <w:tab/>
      </w:r>
      <w:r>
        <w:rPr>
          <w:rFonts w:ascii="Arial" w:cs="Arial" w:eastAsia="Arial" w:hAnsi="Arial"/>
          <w:sz w:val="15"/>
          <w:szCs w:val="15"/>
          <w:color w:val="auto"/>
        </w:rPr>
        <w:t>Lear Committees:</w:t>
      </w:r>
    </w:p>
    <w:p>
      <w:pPr>
        <w:spacing w:after="0" w:line="143" w:lineRule="exact"/>
        <w:rPr>
          <w:sz w:val="20"/>
          <w:szCs w:val="20"/>
          <w:color w:val="auto"/>
        </w:rPr>
      </w:pPr>
    </w:p>
    <w:p>
      <w:pPr>
        <w:ind w:left="3620" w:hanging="157"/>
        <w:spacing w:after="0"/>
        <w:tabs>
          <w:tab w:leader="none" w:pos="3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620" w:hanging="157"/>
        <w:spacing w:after="0"/>
        <w:tabs>
          <w:tab w:leader="none" w:pos="3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Nominating and Corporate Governance (Chair)</w:t>
      </w:r>
    </w:p>
    <w:p>
      <w:pPr>
        <w:spacing w:after="0" w:line="228"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520" w:right="60"/>
        <w:spacing w:after="0" w:line="247" w:lineRule="auto"/>
        <w:rPr>
          <w:sz w:val="20"/>
          <w:szCs w:val="20"/>
          <w:color w:val="auto"/>
        </w:rPr>
      </w:pPr>
      <w:r>
        <w:rPr>
          <w:rFonts w:ascii="Arial" w:cs="Arial" w:eastAsia="Arial" w:hAnsi="Arial"/>
          <w:sz w:val="16"/>
          <w:szCs w:val="16"/>
          <w:color w:val="auto"/>
        </w:rPr>
        <w:t>Ms. Ligocki has been a director of the Company since September 2012. Ms. Ligocki is the Chief Executive Officer of Agility Fuel Solutions, based in Costa Mesa, California. Ms. Ligocki served as the Chief Executive Officer of Harvest Power, Inc., one of the leading organics management companies in North America from 2014 to 2015 and has served as a director of Carpenter Technology Company since 2017. From 2012 to 2014, she served as an Operating Partner at Kleiner Perkins Caufield &amp; Byers, one of Silicon Valley’s top venture capital providers where she worked with the firm’s greentech ventures on strategic challenges, scaling operations and commercialization. Ms. Ligocki also has served as the Chief Executive Officer of two early stage companies: Next Autoworks, an auto company with a unique low-cost business model, from 2010 to 2012, and GS Motors, a Mexico City-based auto retailer owned by Grupo Salinas, a large Mexican conglomerate, from 2008 to 2009. From 2008 to 2010, Ms. Ligocki also served as a Principal in Pine Lake Partners, a consultancy focused on start-ups and turnarounds. From 2003 to 2007, 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career at General Motors Corporation working for 15 years at Delco Electronics Corporation. Ms. Ligocki formerly served as a director of Harvest Power, Inc., Ashland Inc., Next Autoworks, BlueOak Resources and Lehigh Technologies.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218"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700" w:hanging="173"/>
        <w:spacing w:after="0"/>
        <w:tabs>
          <w:tab w:leader="none" w:pos="2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in the automotive industry</w:t>
      </w:r>
    </w:p>
    <w:p>
      <w:pPr>
        <w:spacing w:after="0" w:line="126" w:lineRule="exact"/>
        <w:rPr>
          <w:rFonts w:ascii="Arial" w:cs="Arial" w:eastAsia="Arial" w:hAnsi="Arial"/>
          <w:sz w:val="16"/>
          <w:szCs w:val="16"/>
          <w:color w:val="auto"/>
        </w:rPr>
      </w:pPr>
    </w:p>
    <w:p>
      <w:pPr>
        <w:ind w:left="2680" w:right="60" w:hanging="153"/>
        <w:spacing w:after="0" w:line="260" w:lineRule="auto"/>
        <w:tabs>
          <w:tab w:leader="none" w:pos="26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statement preparation, financial reporting, compliance and internal controls</w:t>
      </w:r>
    </w:p>
    <w:p>
      <w:pPr>
        <w:spacing w:after="0" w:line="101" w:lineRule="exact"/>
        <w:rPr>
          <w:rFonts w:ascii="Arial" w:cs="Arial" w:eastAsia="Arial" w:hAnsi="Arial"/>
          <w:sz w:val="16"/>
          <w:szCs w:val="16"/>
          <w:color w:val="auto"/>
        </w:rPr>
      </w:pPr>
    </w:p>
    <w:p>
      <w:pPr>
        <w:ind w:left="2700" w:hanging="173"/>
        <w:spacing w:after="0"/>
        <w:tabs>
          <w:tab w:leader="none" w:pos="2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6" w:lineRule="exact"/>
        <w:rPr>
          <w:rFonts w:ascii="Arial" w:cs="Arial" w:eastAsia="Arial" w:hAnsi="Arial"/>
          <w:sz w:val="16"/>
          <w:szCs w:val="16"/>
          <w:color w:val="auto"/>
        </w:rPr>
      </w:pPr>
    </w:p>
    <w:p>
      <w:pPr>
        <w:ind w:left="2680" w:right="280" w:hanging="153"/>
        <w:spacing w:after="0" w:line="260" w:lineRule="auto"/>
        <w:tabs>
          <w:tab w:leader="none" w:pos="26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Understanding of a wide range of issues through experience with businesses ranging from start-ups to large, global manufacturing operations</w:t>
      </w:r>
    </w:p>
    <w:p>
      <w:pPr>
        <w:spacing w:after="0" w:line="101" w:lineRule="exact"/>
        <w:rPr>
          <w:rFonts w:ascii="Arial" w:cs="Arial" w:eastAsia="Arial" w:hAnsi="Arial"/>
          <w:sz w:val="16"/>
          <w:szCs w:val="16"/>
          <w:color w:val="auto"/>
        </w:rPr>
      </w:pPr>
    </w:p>
    <w:p>
      <w:pPr>
        <w:ind w:left="2700" w:hanging="173"/>
        <w:spacing w:after="0"/>
        <w:tabs>
          <w:tab w:leader="none" w:pos="2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9" w:lineRule="exact"/>
        <w:rPr>
          <w:sz w:val="20"/>
          <w:szCs w:val="20"/>
          <w:color w:val="auto"/>
        </w:rPr>
      </w:pPr>
    </w:p>
    <w:p>
      <w:pPr>
        <w:ind w:left="200"/>
        <w:spacing w:after="0"/>
        <w:tabs>
          <w:tab w:leader="none" w:pos="2500" w:val="left"/>
          <w:tab w:leader="none" w:pos="3480" w:val="left"/>
        </w:tabs>
        <w:rPr>
          <w:sz w:val="20"/>
          <w:szCs w:val="20"/>
          <w:color w:val="auto"/>
        </w:rPr>
      </w:pPr>
      <w:r>
        <w:rPr>
          <w:rFonts w:ascii="Arial" w:cs="Arial" w:eastAsia="Arial" w:hAnsi="Arial"/>
          <w:sz w:val="16"/>
          <w:szCs w:val="16"/>
          <w:i w:val="1"/>
          <w:iCs w:val="1"/>
          <w:color w:val="auto"/>
        </w:rPr>
        <w:t>Conrad L. Mallett, Jr</w:t>
      </w:r>
      <w:r>
        <w:rPr>
          <w:sz w:val="20"/>
          <w:szCs w:val="20"/>
          <w:color w:val="auto"/>
        </w:rPr>
        <w:tab/>
      </w:r>
      <w:r>
        <w:rPr>
          <w:rFonts w:ascii="Arial" w:cs="Arial" w:eastAsia="Arial" w:hAnsi="Arial"/>
          <w:sz w:val="16"/>
          <w:szCs w:val="16"/>
          <w:color w:val="auto"/>
        </w:rPr>
        <w:t>Age: 64</w:t>
      </w:r>
      <w:r>
        <w:rPr>
          <w:sz w:val="20"/>
          <w:szCs w:val="20"/>
          <w:color w:val="auto"/>
        </w:rPr>
        <w:tab/>
      </w:r>
      <w:r>
        <w:rPr>
          <w:rFonts w:ascii="Arial" w:cs="Arial" w:eastAsia="Arial" w:hAnsi="Arial"/>
          <w:sz w:val="15"/>
          <w:szCs w:val="15"/>
          <w:color w:val="auto"/>
        </w:rPr>
        <w:t>Lear Committees:</w:t>
      </w:r>
    </w:p>
    <w:p>
      <w:pPr>
        <w:spacing w:after="0" w:line="143" w:lineRule="exact"/>
        <w:rPr>
          <w:sz w:val="20"/>
          <w:szCs w:val="20"/>
          <w:color w:val="auto"/>
        </w:rPr>
      </w:pPr>
    </w:p>
    <w:p>
      <w:pPr>
        <w:ind w:left="3620" w:hanging="157"/>
        <w:spacing w:after="0"/>
        <w:tabs>
          <w:tab w:leader="none" w:pos="3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620" w:hanging="157"/>
        <w:spacing w:after="0"/>
        <w:tabs>
          <w:tab w:leader="none" w:pos="3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28"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520"/>
        <w:spacing w:after="0" w:line="247" w:lineRule="auto"/>
        <w:rPr>
          <w:sz w:val="20"/>
          <w:szCs w:val="20"/>
          <w:color w:val="auto"/>
        </w:rPr>
      </w:pPr>
      <w:r>
        <w:rPr>
          <w:rFonts w:ascii="Arial" w:cs="Arial" w:eastAsia="Arial" w:hAnsi="Arial"/>
          <w:sz w:val="16"/>
          <w:szCs w:val="16"/>
          <w:color w:val="auto"/>
        </w:rPr>
        <w:t>Justice Mallett has been a director of the Company since August 2002. In August 2017, Justice Mallett was named Chief Executive Officer of Detroit Medical Center’s Sinai-Grace Hospital. Prior to that, he was Interim Chief Executive Officer of Detroit Medical Center, Huron Valley Sinai Hospital from March 2017 to August 2017 and also Executive Vice President and Chief Administrative Officer of Detroit Medical Center from January 2012 to August 2017. Previously, Justice Mallett served as the Chief Legal and Administrative Officer of the Detroit Medical Center beginning in March 2003,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formerly served as a director of Kelly Services, Inc. He was recognized by Savoy Magazine as one of 2016 Most Influential Black Corporate Directors. Justice Mallett has a bachelor’s degree from the University of California, Los Angeles, a JD and a master of public administration degree from the University of Southern California and an MBA from Oakland University.</w:t>
      </w:r>
    </w:p>
    <w:p>
      <w:pPr>
        <w:spacing w:after="0" w:line="219"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700" w:hanging="173"/>
        <w:spacing w:after="0"/>
        <w:tabs>
          <w:tab w:leader="none" w:pos="2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Leadership experience gained as Chief Justice of the Michigan Supreme Court</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680" w:right="360" w:hanging="153"/>
        <w:spacing w:after="0" w:line="260" w:lineRule="auto"/>
        <w:tabs>
          <w:tab w:leader="none" w:pos="2688"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Extensive legal and governmental experience, including significant involvement in state, municipal and community governmental activities</w:t>
      </w:r>
    </w:p>
    <w:p>
      <w:pPr>
        <w:spacing w:after="0" w:line="101" w:lineRule="exact"/>
        <w:rPr>
          <w:rFonts w:ascii="Arial" w:cs="Arial" w:eastAsia="Arial" w:hAnsi="Arial"/>
          <w:sz w:val="16"/>
          <w:szCs w:val="16"/>
          <w:color w:val="auto"/>
        </w:rPr>
      </w:pPr>
    </w:p>
    <w:p>
      <w:pPr>
        <w:ind w:left="2700" w:hanging="173"/>
        <w:spacing w:after="0"/>
        <w:tabs>
          <w:tab w:leader="none" w:pos="2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660" w:hanging="354"/>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9" w:lineRule="exact"/>
        <w:rPr>
          <w:sz w:val="20"/>
          <w:szCs w:val="20"/>
          <w:color w:val="auto"/>
        </w:rPr>
      </w:pPr>
    </w:p>
    <w:p>
      <w:pPr>
        <w:ind w:left="200"/>
        <w:spacing w:after="0"/>
        <w:tabs>
          <w:tab w:leader="none" w:pos="2500" w:val="left"/>
          <w:tab w:leader="none" w:pos="3480" w:val="left"/>
        </w:tabs>
        <w:rPr>
          <w:sz w:val="20"/>
          <w:szCs w:val="20"/>
          <w:color w:val="auto"/>
        </w:rPr>
      </w:pPr>
      <w:r>
        <w:rPr>
          <w:rFonts w:ascii="Arial" w:cs="Arial" w:eastAsia="Arial" w:hAnsi="Arial"/>
          <w:sz w:val="16"/>
          <w:szCs w:val="16"/>
          <w:i w:val="1"/>
          <w:iCs w:val="1"/>
          <w:color w:val="auto"/>
        </w:rPr>
        <w:t>Raymond E. Scott</w:t>
      </w:r>
      <w:r>
        <w:rPr>
          <w:sz w:val="20"/>
          <w:szCs w:val="20"/>
          <w:color w:val="auto"/>
        </w:rPr>
        <w:tab/>
      </w:r>
      <w:r>
        <w:rPr>
          <w:rFonts w:ascii="Arial" w:cs="Arial" w:eastAsia="Arial" w:hAnsi="Arial"/>
          <w:sz w:val="16"/>
          <w:szCs w:val="16"/>
          <w:color w:val="auto"/>
        </w:rPr>
        <w:t>Age: 52</w:t>
      </w:r>
      <w:r>
        <w:rPr>
          <w:sz w:val="20"/>
          <w:szCs w:val="20"/>
          <w:color w:val="auto"/>
        </w:rPr>
        <w:tab/>
      </w:r>
      <w:r>
        <w:rPr>
          <w:rFonts w:ascii="Arial" w:cs="Arial" w:eastAsia="Arial" w:hAnsi="Arial"/>
          <w:sz w:val="16"/>
          <w:szCs w:val="16"/>
          <w:color w:val="auto"/>
        </w:rPr>
        <w:t>President and Chief Executive Officer</w:t>
      </w:r>
    </w:p>
    <w:p>
      <w:pPr>
        <w:spacing w:after="0" w:line="244"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520"/>
        <w:spacing w:after="0" w:line="248" w:lineRule="auto"/>
        <w:rPr>
          <w:sz w:val="20"/>
          <w:szCs w:val="20"/>
          <w:color w:val="auto"/>
        </w:rPr>
      </w:pPr>
      <w:r>
        <w:rPr>
          <w:rFonts w:ascii="Arial" w:cs="Arial" w:eastAsia="Arial" w:hAnsi="Arial"/>
          <w:sz w:val="16"/>
          <w:szCs w:val="16"/>
          <w:color w:val="auto"/>
        </w:rPr>
        <w:t>Mr. Scott was appointed as President and Chief Executive Officer of the Company on March 1, 2018. Prior to that, he served as the Company’s Executive Vice President and President, Seating, a position he had held since November 2011, and prior to that, as the Company’s Senior Vice President and President, E-Systems, a position he had held since February 2008. Previously, he served in other positions at the Company, including Senior Vice President and President, North American Seat Systems Group since August 2006, Senior Vice President and President, North American Customer Group since June 2005, President, European Customer Focused Division since June 2004 and President, General Motors Division since November 2000. Mr. Scott earned a Bachelor of Science degree in economics from the University of Michigan. He also earned a master of business administration degree from Michigan State University’s Advanced Management Program.</w:t>
      </w:r>
    </w:p>
    <w:p>
      <w:pPr>
        <w:spacing w:after="0" w:line="214"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680" w:right="320" w:hanging="153"/>
        <w:spacing w:after="0" w:line="260" w:lineRule="auto"/>
        <w:tabs>
          <w:tab w:leader="none" w:pos="26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the Company, with extensive knowledge of the Company’s business, operations and global strategy</w:t>
      </w:r>
    </w:p>
    <w:p>
      <w:pPr>
        <w:spacing w:after="0" w:line="101" w:lineRule="exact"/>
        <w:rPr>
          <w:rFonts w:ascii="Arial" w:cs="Arial" w:eastAsia="Arial" w:hAnsi="Arial"/>
          <w:sz w:val="16"/>
          <w:szCs w:val="16"/>
          <w:color w:val="auto"/>
        </w:rPr>
      </w:pPr>
    </w:p>
    <w:p>
      <w:pPr>
        <w:ind w:left="2700" w:hanging="173"/>
        <w:spacing w:after="0"/>
        <w:tabs>
          <w:tab w:leader="none" w:pos="2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Track record of leadership, achievement, innovation and execution in the Company’s Seating business</w:t>
      </w:r>
    </w:p>
    <w:p>
      <w:pPr>
        <w:spacing w:after="0" w:line="264"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9" w:lineRule="exact"/>
        <w:rPr>
          <w:sz w:val="20"/>
          <w:szCs w:val="20"/>
          <w:color w:val="auto"/>
        </w:rPr>
      </w:pPr>
    </w:p>
    <w:p>
      <w:pPr>
        <w:ind w:left="200"/>
        <w:spacing w:after="0"/>
        <w:tabs>
          <w:tab w:leader="none" w:pos="2500" w:val="left"/>
          <w:tab w:leader="none" w:pos="3480" w:val="left"/>
        </w:tabs>
        <w:rPr>
          <w:sz w:val="20"/>
          <w:szCs w:val="20"/>
          <w:color w:val="auto"/>
        </w:rPr>
      </w:pPr>
      <w:r>
        <w:rPr>
          <w:rFonts w:ascii="Arial" w:cs="Arial" w:eastAsia="Arial" w:hAnsi="Arial"/>
          <w:sz w:val="16"/>
          <w:szCs w:val="16"/>
          <w:i w:val="1"/>
          <w:iCs w:val="1"/>
          <w:color w:val="auto"/>
        </w:rPr>
        <w:t>Gregory C. Smith</w:t>
      </w:r>
      <w:r>
        <w:rPr>
          <w:sz w:val="20"/>
          <w:szCs w:val="20"/>
          <w:color w:val="auto"/>
        </w:rPr>
        <w:tab/>
      </w:r>
      <w:r>
        <w:rPr>
          <w:rFonts w:ascii="Arial" w:cs="Arial" w:eastAsia="Arial" w:hAnsi="Arial"/>
          <w:sz w:val="16"/>
          <w:szCs w:val="16"/>
          <w:color w:val="auto"/>
        </w:rPr>
        <w:t>Age: 66</w:t>
      </w:r>
      <w:r>
        <w:rPr>
          <w:sz w:val="20"/>
          <w:szCs w:val="20"/>
          <w:color w:val="auto"/>
        </w:rPr>
        <w:tab/>
      </w:r>
      <w:r>
        <w:rPr>
          <w:rFonts w:ascii="Arial" w:cs="Arial" w:eastAsia="Arial" w:hAnsi="Arial"/>
          <w:sz w:val="15"/>
          <w:szCs w:val="15"/>
          <w:color w:val="auto"/>
        </w:rPr>
        <w:t>Lear Committees:</w:t>
      </w:r>
    </w:p>
    <w:p>
      <w:pPr>
        <w:spacing w:after="0" w:line="143" w:lineRule="exact"/>
        <w:rPr>
          <w:sz w:val="20"/>
          <w:szCs w:val="20"/>
          <w:color w:val="auto"/>
        </w:rPr>
      </w:pPr>
    </w:p>
    <w:p>
      <w:pPr>
        <w:ind w:left="3600" w:hanging="137"/>
        <w:spacing w:after="0"/>
        <w:tabs>
          <w:tab w:leader="none" w:pos="3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620" w:hanging="157"/>
        <w:spacing w:after="0"/>
        <w:tabs>
          <w:tab w:leader="none" w:pos="3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42"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1"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Mr. Smith has been a director of the Company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 Ford Motor Company, and President and Chief Operating Officer —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Currently, Mr. Smith serves as a director of publicly traded Penske Automotive Group, where he serves as the chair of the Audit Committee and formerly served as a director of the Federal National Mortgage Association (Fannie Mae), Penske Corporation and Solutia Inc. Mr. Smith is a Board Leadership Fellow of the National Association of Corporate Directors and also serves on the Risk Oversight Advisory Council of the National Association of Corporate Directors. Mr. Smith has a bachelor’s degree in Mechanical Engineering from Rose-Hulman Institute of Technology and an MBA from Eastern Michigan University.</w:t>
      </w:r>
    </w:p>
    <w:p>
      <w:pPr>
        <w:spacing w:after="0" w:line="224"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700" w:hanging="173"/>
        <w:spacing w:after="0"/>
        <w:tabs>
          <w:tab w:leader="none" w:pos="2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Served on audit committees of public and private companies</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Experience actively overseeing finance departments and personnel</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Extensive experience and knowledge of automotive industry</w:t>
      </w:r>
    </w:p>
    <w:p>
      <w:pPr>
        <w:spacing w:after="0" w:line="126" w:lineRule="exact"/>
        <w:rPr>
          <w:rFonts w:ascii="Arial" w:cs="Arial" w:eastAsia="Arial" w:hAnsi="Arial"/>
          <w:sz w:val="16"/>
          <w:szCs w:val="16"/>
          <w:color w:val="auto"/>
        </w:rPr>
      </w:pPr>
    </w:p>
    <w:p>
      <w:pPr>
        <w:ind w:left="2680" w:right="820" w:hanging="153"/>
        <w:spacing w:after="0" w:line="260" w:lineRule="auto"/>
        <w:tabs>
          <w:tab w:leader="none" w:pos="26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Experience and knowledge of automotive company operations and strategic issues, including engineering, manufacturing, marketing, human resources and finance</w:t>
      </w:r>
    </w:p>
    <w:p>
      <w:pPr>
        <w:spacing w:after="0" w:line="101" w:lineRule="exact"/>
        <w:rPr>
          <w:rFonts w:ascii="Arial" w:cs="Arial" w:eastAsia="Arial" w:hAnsi="Arial"/>
          <w:sz w:val="16"/>
          <w:szCs w:val="16"/>
          <w:color w:val="auto"/>
        </w:rPr>
      </w:pPr>
    </w:p>
    <w:p>
      <w:pPr>
        <w:ind w:left="2700" w:hanging="173"/>
        <w:spacing w:after="0"/>
        <w:tabs>
          <w:tab w:leader="none" w:pos="2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660" w:hanging="35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240" w:top="459"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389" w:lineRule="exact"/>
        <w:rPr>
          <w:sz w:val="20"/>
          <w:szCs w:val="20"/>
          <w:color w:val="auto"/>
        </w:rPr>
      </w:pPr>
    </w:p>
    <w:p>
      <w:pPr>
        <w:ind w:left="200"/>
        <w:spacing w:after="0"/>
        <w:tabs>
          <w:tab w:leader="none" w:pos="2500" w:val="left"/>
        </w:tabs>
        <w:rPr>
          <w:sz w:val="20"/>
          <w:szCs w:val="20"/>
          <w:color w:val="auto"/>
        </w:rPr>
      </w:pPr>
      <w:r>
        <w:rPr>
          <w:rFonts w:ascii="Arial" w:cs="Arial" w:eastAsia="Arial" w:hAnsi="Arial"/>
          <w:sz w:val="16"/>
          <w:szCs w:val="16"/>
          <w:i w:val="1"/>
          <w:iCs w:val="1"/>
          <w:color w:val="auto"/>
        </w:rPr>
        <w:t>Henry D.G. Wallace</w:t>
      </w:r>
      <w:r>
        <w:rPr>
          <w:sz w:val="20"/>
          <w:szCs w:val="20"/>
          <w:color w:val="auto"/>
        </w:rPr>
        <w:tab/>
      </w:r>
      <w:r>
        <w:rPr>
          <w:rFonts w:ascii="Arial" w:cs="Arial" w:eastAsia="Arial" w:hAnsi="Arial"/>
          <w:sz w:val="16"/>
          <w:szCs w:val="16"/>
          <w:color w:val="auto"/>
        </w:rPr>
        <w:t>Age: 72</w:t>
      </w:r>
    </w:p>
    <w:p>
      <w:pPr>
        <w:spacing w:after="0" w:line="244"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520"/>
        <w:spacing w:after="0" w:line="248" w:lineRule="auto"/>
        <w:rPr>
          <w:sz w:val="20"/>
          <w:szCs w:val="20"/>
          <w:color w:val="auto"/>
        </w:rPr>
      </w:pPr>
      <w:r>
        <w:rPr>
          <w:rFonts w:ascii="Arial" w:cs="Arial" w:eastAsia="Arial" w:hAnsi="Arial"/>
          <w:sz w:val="16"/>
          <w:szCs w:val="16"/>
          <w:color w:val="auto"/>
        </w:rPr>
        <w:t>Mr. Wallace has served as the Company’s Non-Executive Chairman since August 2010 and has been a director of the Company since February 2005. Mr. Wallace worked for 30 years at Ford Motor Company until his retirement in 2001 and held several executive level operations and financial oversight positions. His most recent positions included Chief Financial Officer and President and CEO of Mazda Motor Corporation. Mr. Wallace served as Non-Executive Chairman of Diebold Nixdorf, Inc. until December 2017. Mr. Wallace also formerly served as a director of Hayes Lemmerz International, Inc. and AMBAC Financial Group, Inc. Mr. Wallace earned a bachelor’s degree with Honours from the University of Leicester, England.</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700" w:hanging="173"/>
        <w:spacing w:after="0"/>
        <w:tabs>
          <w:tab w:leader="none" w:pos="2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Experience and leadership with a global manufacturing company</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Leadership experience on boards of several public companies</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Extensive international experience in Asia, Europe and Latin America</w:t>
      </w:r>
    </w:p>
    <w:p>
      <w:pPr>
        <w:spacing w:after="0" w:line="126" w:lineRule="exact"/>
        <w:rPr>
          <w:rFonts w:ascii="Arial" w:cs="Arial" w:eastAsia="Arial" w:hAnsi="Arial"/>
          <w:sz w:val="16"/>
          <w:szCs w:val="16"/>
          <w:color w:val="auto"/>
        </w:rPr>
      </w:pPr>
    </w:p>
    <w:p>
      <w:pPr>
        <w:ind w:left="2680" w:right="360" w:hanging="153"/>
        <w:spacing w:after="0" w:line="260" w:lineRule="auto"/>
        <w:tabs>
          <w:tab w:leader="none" w:pos="26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Experience in finance, financial statement preparation and accounting, financial reporting, compliance and internal controls, including as chief financial officer</w:t>
      </w:r>
    </w:p>
    <w:p>
      <w:pPr>
        <w:spacing w:after="0" w:line="101" w:lineRule="exact"/>
        <w:rPr>
          <w:rFonts w:ascii="Arial" w:cs="Arial" w:eastAsia="Arial" w:hAnsi="Arial"/>
          <w:sz w:val="16"/>
          <w:szCs w:val="16"/>
          <w:color w:val="auto"/>
        </w:rPr>
      </w:pPr>
    </w:p>
    <w:p>
      <w:pPr>
        <w:ind w:left="2700" w:hanging="173"/>
        <w:spacing w:after="0"/>
        <w:tabs>
          <w:tab w:leader="none" w:pos="2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Executive management experience, including in the automotive industry</w:t>
      </w:r>
    </w:p>
    <w:p>
      <w:pPr>
        <w:spacing w:after="0" w:line="126" w:lineRule="exact"/>
        <w:rPr>
          <w:rFonts w:ascii="Arial" w:cs="Arial" w:eastAsia="Arial" w:hAnsi="Arial"/>
          <w:sz w:val="16"/>
          <w:szCs w:val="16"/>
          <w:color w:val="auto"/>
        </w:rPr>
      </w:pPr>
    </w:p>
    <w:p>
      <w:pPr>
        <w:ind w:left="2700" w:hanging="173"/>
        <w:spacing w:after="0"/>
        <w:tabs>
          <w:tab w:leader="none" w:pos="2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Criteria for 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342"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following are the general criteria for the selection of our directors that the Nominating Committee utilizes in evaluating candidates for Board membership. The Nominating Committee considers, without limitation, a director nominee’s independence, skills and other attributes, experience, perspective, background and diversity (which we define broadly to include differences in viewpoints, background, experience, skill, education, national origin, gender, race, age,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culture and current affiliations that may offer the Company exposure to contemporary business issues and is considered in the context of the Board as a whole). These qualifications may vary from year to year, depending on the needs of the Company at the time.</w:t>
      </w:r>
    </w:p>
    <w:p>
      <w:pPr>
        <w:spacing w:after="0" w:line="9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285750</wp:posOffset>
            </wp:positionV>
            <wp:extent cx="5702935" cy="3533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2935" cy="353314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5500" w:space="320"/>
            <w:col w:w="536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w:t>
      </w:r>
    </w:p>
    <w:p>
      <w:pPr>
        <w:spacing w:after="0" w:line="97" w:lineRule="exact"/>
        <w:rPr>
          <w:sz w:val="20"/>
          <w:szCs w:val="20"/>
          <w:color w:val="auto"/>
        </w:rPr>
      </w:pPr>
    </w:p>
    <w:p>
      <w:pPr>
        <w:ind w:left="200" w:right="80"/>
        <w:spacing w:after="0" w:line="249"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w:t>
      </w:r>
    </w:p>
    <w:p>
      <w:pPr>
        <w:spacing w:after="0" w:line="200" w:lineRule="exact"/>
        <w:rPr>
          <w:sz w:val="20"/>
          <w:szCs w:val="20"/>
          <w:color w:val="auto"/>
        </w:rPr>
      </w:pPr>
    </w:p>
    <w:p>
      <w:pPr>
        <w:spacing w:after="0" w:line="237" w:lineRule="exact"/>
        <w:rPr>
          <w:sz w:val="20"/>
          <w:szCs w:val="20"/>
          <w:color w:val="auto"/>
        </w:rPr>
      </w:pPr>
    </w:p>
    <w:p>
      <w:pPr>
        <w:ind w:left="660" w:hanging="354"/>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Nominating Committee screens candidates and recommends director nominees who are approved by the Board. The Nominating Committee considers candidates for Board membership suggested by its members and other Board members, as well as management and stockholders. The Nominating Committee also may retain a search firm (which may be paid a fee) to identify director candidates. Once a potential candidate has been identified, the Nominating</w:t>
      </w:r>
    </w:p>
    <w:p>
      <w:pPr>
        <w:sectPr>
          <w:pgSz w:w="11900" w:h="16838" w:orient="portrait"/>
          <w:cols w:equalWidth="0" w:num="2">
            <w:col w:w="5460" w:space="360"/>
            <w:col w:w="5360"/>
          </w:cols>
          <w:pgMar w:left="240" w:top="459" w:right="4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Committee evaluates the potential candidate based on the Board’s criteria for selection of directors (described above) and the composition and needs of the Board at the time. All director candidates are evaluated on the same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9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-635635</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Candidates also are evaluated in light of Board policies, such as those relating to director independence and service on other boards, as well as considerations relating to the size and structure of the Board.</w:t>
      </w:r>
    </w:p>
    <w:p>
      <w:pPr>
        <w:spacing w:after="0" w:line="387" w:lineRule="exact"/>
        <w:rPr>
          <w:sz w:val="20"/>
          <w:szCs w:val="20"/>
          <w:color w:val="auto"/>
        </w:rPr>
      </w:pPr>
    </w:p>
    <w:p>
      <w:pPr>
        <w:sectPr>
          <w:pgSz w:w="11900" w:h="16838" w:orient="portrait"/>
          <w:cols w:equalWidth="0" w:num="2">
            <w:col w:w="5400" w:space="420"/>
            <w:col w:w="5400"/>
          </w:cols>
          <w:pgMar w:left="240" w:top="459" w:right="439" w:bottom="1440" w:gutter="0" w:footer="0" w:header="0"/>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Recommendation of Directors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evaluates such candidates in the same manner by which it evaluates other director candidates considered by the Nominating Committee, as described above.</w:t>
      </w:r>
    </w:p>
    <w:p>
      <w:pPr>
        <w:spacing w:after="0" w:line="100"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9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Executive Vice President, Business Development, General Counsel and Corporate Secretary.</w:t>
      </w:r>
    </w:p>
    <w:p>
      <w:pPr>
        <w:spacing w:after="0" w:line="98" w:lineRule="exact"/>
        <w:rPr>
          <w:sz w:val="20"/>
          <w:szCs w:val="20"/>
          <w:color w:val="auto"/>
        </w:rPr>
      </w:pPr>
    </w:p>
    <w:p>
      <w:pPr>
        <w:jc w:val="both"/>
        <w:ind w:right="380"/>
        <w:spacing w:after="0" w:line="260" w:lineRule="auto"/>
        <w:rPr>
          <w:sz w:val="20"/>
          <w:szCs w:val="20"/>
          <w:color w:val="auto"/>
        </w:rPr>
      </w:pPr>
      <w:r>
        <w:rPr>
          <w:rFonts w:ascii="Arial" w:cs="Arial" w:eastAsia="Arial" w:hAnsi="Arial"/>
          <w:sz w:val="16"/>
          <w:szCs w:val="16"/>
          <w:color w:val="auto"/>
        </w:rPr>
        <w:t>A copy of our Bylaws, as amended, has been filed as an exhibit to our Current Report on Form 8-K filed with the SEC on November 9, 2009.</w:t>
      </w:r>
    </w:p>
    <w:p>
      <w:pPr>
        <w:spacing w:after="0" w:line="642"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62"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These independence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Board has made director independence determinations with respect to each of our directors. Based on our director independence guidelines and the NYSE independence guidelines, the Board has affirmatively determined that (i) Messrs. Bott, Capo and Foster, Dr. Jepsen, Ms. Ligocki and Messrs. Mallett, Runkle, Smith and Wallace (A) have no relationships or only immaterial relationships with us, (B) meet our director independence guidelines and the NYSE independence guidelines with respect to any such relationships and (C) are independent; and</w:t>
      </w:r>
    </w:p>
    <w:p>
      <w:pPr>
        <w:spacing w:after="0" w:line="4" w:lineRule="exact"/>
        <w:rPr>
          <w:sz w:val="20"/>
          <w:szCs w:val="20"/>
          <w:color w:val="auto"/>
        </w:rPr>
      </w:pPr>
    </w:p>
    <w:p>
      <w:pPr>
        <w:ind w:right="520" w:firstLine="4"/>
        <w:spacing w:after="0" w:line="260" w:lineRule="auto"/>
        <w:tabs>
          <w:tab w:leader="none" w:pos="225"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Scott is not independent. Mr. Scott is our President and Chief Executive Officer (the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4880" w:val="left"/>
          <w:tab w:leader="none" w:pos="50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17</w:t>
      </w:r>
    </w:p>
    <w:p>
      <w:pPr>
        <w:sectPr>
          <w:pgSz w:w="11900" w:h="16838" w:orient="portrait"/>
          <w:cols w:equalWidth="0" w:num="2">
            <w:col w:w="5480" w:space="340"/>
            <w:col w:w="5400"/>
          </w:cols>
          <w:pgMar w:left="24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42"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The Company’s management continually monitors the material risks facing the Company. Our enterprise risk management process is designed to facilitate the identification, assessment and management of certain key risks the Company may encounter and which may impact our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ability to achieve our strategic objectives. The enterprise risk management process supplements management’s ongoing responsibilities to monitor and address risks by working with risk owners to identify the key mitigating actions for certain risks, which then are discussed with senior management.</w:t>
      </w:r>
    </w:p>
    <w:p>
      <w:pPr>
        <w:spacing w:after="0" w:line="200" w:lineRule="exact"/>
        <w:rPr>
          <w:sz w:val="20"/>
          <w:szCs w:val="20"/>
          <w:color w:val="auto"/>
        </w:rPr>
      </w:pPr>
    </w:p>
    <w:p>
      <w:pPr>
        <w:sectPr>
          <w:pgSz w:w="11900" w:h="16838" w:orient="portrait"/>
          <w:cols w:equalWidth="0" w:num="2">
            <w:col w:w="5420" w:space="400"/>
            <w:col w:w="5420"/>
          </w:cols>
          <w:pgMar w:left="240" w:top="459" w:right="419" w:bottom="1440" w:gutter="0" w:footer="0" w:header="0"/>
          <w:type w:val="continuous"/>
        </w:sectPr>
      </w:pPr>
    </w:p>
    <w:p>
      <w:pPr>
        <w:spacing w:after="0" w:line="57"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auto"/>
        </w:rPr>
        <w:t>The Board, with the assistance of the Board committees, is responsible for overseeing such management actions to ensure that material risks affecting the Company are identified and managed appropriately. The Board and the Board committees oversee risks associated with their principal areas of focus, as summarized below:</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Board/Committee Areas of Risk Oversight and Actions</w:t>
      </w:r>
    </w:p>
    <w:p>
      <w:pPr>
        <w:spacing w:after="0" w:line="262"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500" w:type="dxa"/>
            <w:vAlign w:val="bottom"/>
            <w:shd w:val="clear" w:color="auto" w:fill="FCE9E8"/>
          </w:tcPr>
          <w:p>
            <w:pPr>
              <w:spacing w:after="0"/>
              <w:rPr>
                <w:sz w:val="20"/>
                <w:szCs w:val="20"/>
                <w:color w:val="auto"/>
              </w:rPr>
            </w:pPr>
            <w:r>
              <w:rPr>
                <w:rFonts w:ascii="Arial" w:cs="Arial" w:eastAsia="Arial" w:hAnsi="Arial"/>
                <w:sz w:val="16"/>
                <w:szCs w:val="16"/>
                <w:b w:val="1"/>
                <w:bCs w:val="1"/>
                <w:color w:val="auto"/>
              </w:rPr>
              <w:t>Full Board</w:t>
            </w:r>
          </w:p>
        </w:tc>
        <w:tc>
          <w:tcPr>
            <w:tcW w:w="600" w:type="dxa"/>
            <w:vAlign w:val="bottom"/>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Carefully evaluates the reports received from management and makes inquiries of management on areas of</w:t>
            </w:r>
          </w:p>
        </w:tc>
      </w:tr>
      <w:tr>
        <w:trPr>
          <w:trHeight w:val="195"/>
        </w:trPr>
        <w:tc>
          <w:tcPr>
            <w:tcW w:w="20" w:type="dxa"/>
            <w:vAlign w:val="bottom"/>
          </w:tcPr>
          <w:p>
            <w:pPr>
              <w:spacing w:after="0"/>
              <w:rPr>
                <w:sz w:val="16"/>
                <w:szCs w:val="16"/>
                <w:color w:val="auto"/>
              </w:rPr>
            </w:pPr>
          </w:p>
        </w:tc>
        <w:tc>
          <w:tcPr>
            <w:tcW w:w="2500" w:type="dxa"/>
            <w:vAlign w:val="bottom"/>
            <w:shd w:val="clear" w:color="auto" w:fill="FCE9E8"/>
          </w:tcPr>
          <w:p>
            <w:pPr>
              <w:spacing w:after="0"/>
              <w:rPr>
                <w:sz w:val="16"/>
                <w:szCs w:val="16"/>
                <w:color w:val="auto"/>
              </w:rPr>
            </w:pPr>
          </w:p>
        </w:tc>
        <w:tc>
          <w:tcPr>
            <w:tcW w:w="600" w:type="dxa"/>
            <w:vAlign w:val="bottom"/>
            <w:shd w:val="clear" w:color="auto" w:fill="FCE9E8"/>
          </w:tcPr>
          <w:p>
            <w:pPr>
              <w:spacing w:after="0"/>
              <w:rPr>
                <w:sz w:val="16"/>
                <w:szCs w:val="16"/>
                <w:color w:val="auto"/>
              </w:rPr>
            </w:pPr>
          </w:p>
        </w:tc>
        <w:tc>
          <w:tcPr>
            <w:tcW w:w="7920" w:type="dxa"/>
            <w:vAlign w:val="bottom"/>
            <w:shd w:val="clear" w:color="auto" w:fill="FCE9E8"/>
          </w:tcPr>
          <w:p>
            <w:pPr>
              <w:ind w:left="60"/>
              <w:spacing w:after="0"/>
              <w:rPr>
                <w:sz w:val="20"/>
                <w:szCs w:val="20"/>
                <w:color w:val="auto"/>
              </w:rPr>
            </w:pPr>
            <w:r>
              <w:rPr>
                <w:rFonts w:ascii="Arial" w:cs="Arial" w:eastAsia="Arial" w:hAnsi="Arial"/>
                <w:sz w:val="16"/>
                <w:szCs w:val="16"/>
                <w:color w:val="auto"/>
              </w:rPr>
              <w:t>particular interest to the Board</w:t>
            </w:r>
          </w:p>
        </w:tc>
      </w:tr>
      <w:tr>
        <w:trPr>
          <w:trHeight w:val="311"/>
        </w:trPr>
        <w:tc>
          <w:tcPr>
            <w:tcW w:w="20" w:type="dxa"/>
            <w:vAlign w:val="bottom"/>
          </w:tcPr>
          <w:p>
            <w:pPr>
              <w:spacing w:after="0"/>
              <w:rPr>
                <w:sz w:val="24"/>
                <w:szCs w:val="24"/>
                <w:color w:val="auto"/>
              </w:rPr>
            </w:pPr>
          </w:p>
        </w:tc>
        <w:tc>
          <w:tcPr>
            <w:tcW w:w="2500" w:type="dxa"/>
            <w:vAlign w:val="bottom"/>
            <w:shd w:val="clear" w:color="auto" w:fill="FCE9E8"/>
          </w:tcPr>
          <w:p>
            <w:pPr>
              <w:spacing w:after="0"/>
              <w:rPr>
                <w:sz w:val="24"/>
                <w:szCs w:val="24"/>
                <w:color w:val="auto"/>
              </w:rPr>
            </w:pPr>
          </w:p>
        </w:tc>
        <w:tc>
          <w:tcPr>
            <w:tcW w:w="600" w:type="dxa"/>
            <w:vAlign w:val="bottom"/>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Reviews with management material strategic, operational, financial, compensation and compliance risks</w:t>
            </w:r>
          </w:p>
        </w:tc>
      </w:tr>
      <w:tr>
        <w:trPr>
          <w:trHeight w:val="311"/>
        </w:trPr>
        <w:tc>
          <w:tcPr>
            <w:tcW w:w="20" w:type="dxa"/>
            <w:vAlign w:val="bottom"/>
          </w:tcPr>
          <w:p>
            <w:pPr>
              <w:spacing w:after="0"/>
              <w:rPr>
                <w:sz w:val="24"/>
                <w:szCs w:val="24"/>
                <w:color w:val="auto"/>
              </w:rPr>
            </w:pPr>
          </w:p>
        </w:tc>
        <w:tc>
          <w:tcPr>
            <w:tcW w:w="2500" w:type="dxa"/>
            <w:vAlign w:val="bottom"/>
            <w:shd w:val="clear" w:color="auto" w:fill="FCE9E8"/>
          </w:tcPr>
          <w:p>
            <w:pPr>
              <w:spacing w:after="0"/>
              <w:rPr>
                <w:sz w:val="24"/>
                <w:szCs w:val="24"/>
                <w:color w:val="auto"/>
              </w:rPr>
            </w:pPr>
          </w:p>
        </w:tc>
        <w:tc>
          <w:tcPr>
            <w:tcW w:w="600" w:type="dxa"/>
            <w:vAlign w:val="bottom"/>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Considers specific risk topics in connection with strategic planning and other matters</w:t>
            </w:r>
          </w:p>
        </w:tc>
      </w:tr>
      <w:tr>
        <w:trPr>
          <w:trHeight w:val="305"/>
        </w:trPr>
        <w:tc>
          <w:tcPr>
            <w:tcW w:w="20" w:type="dxa"/>
            <w:vAlign w:val="bottom"/>
          </w:tcPr>
          <w:p>
            <w:pPr>
              <w:spacing w:after="0"/>
              <w:rPr>
                <w:sz w:val="24"/>
                <w:szCs w:val="24"/>
                <w:color w:val="auto"/>
              </w:rPr>
            </w:pPr>
          </w:p>
        </w:tc>
        <w:tc>
          <w:tcPr>
            <w:tcW w:w="2500" w:type="dxa"/>
            <w:vAlign w:val="bottom"/>
            <w:shd w:val="clear" w:color="auto" w:fill="FCE9E8"/>
          </w:tcPr>
          <w:p>
            <w:pPr>
              <w:spacing w:after="0"/>
              <w:rPr>
                <w:sz w:val="24"/>
                <w:szCs w:val="24"/>
                <w:color w:val="auto"/>
              </w:rPr>
            </w:pPr>
          </w:p>
        </w:tc>
        <w:tc>
          <w:tcPr>
            <w:tcW w:w="600" w:type="dxa"/>
            <w:vAlign w:val="bottom"/>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Oversees risk oversight and related activities conducted by the Board committees through reports of the</w:t>
            </w:r>
          </w:p>
        </w:tc>
      </w:tr>
      <w:tr>
        <w:trPr>
          <w:trHeight w:val="195"/>
        </w:trPr>
        <w:tc>
          <w:tcPr>
            <w:tcW w:w="20" w:type="dxa"/>
            <w:vAlign w:val="bottom"/>
          </w:tcPr>
          <w:p>
            <w:pPr>
              <w:spacing w:after="0"/>
              <w:rPr>
                <w:sz w:val="16"/>
                <w:szCs w:val="16"/>
                <w:color w:val="auto"/>
              </w:rPr>
            </w:pPr>
          </w:p>
        </w:tc>
        <w:tc>
          <w:tcPr>
            <w:tcW w:w="2500" w:type="dxa"/>
            <w:vAlign w:val="bottom"/>
            <w:shd w:val="clear" w:color="auto" w:fill="FCE9E8"/>
          </w:tcPr>
          <w:p>
            <w:pPr>
              <w:spacing w:after="0"/>
              <w:rPr>
                <w:sz w:val="16"/>
                <w:szCs w:val="16"/>
                <w:color w:val="auto"/>
              </w:rPr>
            </w:pPr>
          </w:p>
        </w:tc>
        <w:tc>
          <w:tcPr>
            <w:tcW w:w="600" w:type="dxa"/>
            <w:vAlign w:val="bottom"/>
            <w:shd w:val="clear" w:color="auto" w:fill="FCE9E8"/>
          </w:tcPr>
          <w:p>
            <w:pPr>
              <w:spacing w:after="0"/>
              <w:rPr>
                <w:sz w:val="16"/>
                <w:szCs w:val="16"/>
                <w:color w:val="auto"/>
              </w:rPr>
            </w:pPr>
          </w:p>
        </w:tc>
        <w:tc>
          <w:tcPr>
            <w:tcW w:w="79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committee chairmen to the Board</w:t>
            </w:r>
          </w:p>
        </w:tc>
      </w:tr>
      <w:tr>
        <w:trPr>
          <w:trHeight w:val="128"/>
        </w:trPr>
        <w:tc>
          <w:tcPr>
            <w:tcW w:w="20" w:type="dxa"/>
            <w:vAlign w:val="bottom"/>
          </w:tcPr>
          <w:p>
            <w:pPr>
              <w:spacing w:after="0"/>
              <w:rPr>
                <w:sz w:val="11"/>
                <w:szCs w:val="11"/>
                <w:color w:val="auto"/>
              </w:rPr>
            </w:pPr>
          </w:p>
        </w:tc>
        <w:tc>
          <w:tcPr>
            <w:tcW w:w="2500" w:type="dxa"/>
            <w:vAlign w:val="bottom"/>
            <w:tcBorders>
              <w:bottom w:val="single" w:sz="8" w:color="auto"/>
            </w:tcBorders>
            <w:shd w:val="clear" w:color="auto" w:fill="FCE9E8"/>
          </w:tcPr>
          <w:p>
            <w:pPr>
              <w:spacing w:after="0"/>
              <w:rPr>
                <w:sz w:val="11"/>
                <w:szCs w:val="11"/>
                <w:color w:val="auto"/>
              </w:rPr>
            </w:pPr>
          </w:p>
        </w:tc>
        <w:tc>
          <w:tcPr>
            <w:tcW w:w="600" w:type="dxa"/>
            <w:vAlign w:val="bottom"/>
            <w:tcBorders>
              <w:bottom w:val="single" w:sz="8" w:color="auto"/>
            </w:tcBorders>
            <w:shd w:val="clear" w:color="auto" w:fill="FCE9E8"/>
          </w:tcPr>
          <w:p>
            <w:pPr>
              <w:spacing w:after="0"/>
              <w:rPr>
                <w:sz w:val="11"/>
                <w:szCs w:val="11"/>
                <w:color w:val="auto"/>
              </w:rPr>
            </w:pPr>
          </w:p>
        </w:tc>
        <w:tc>
          <w:tcPr>
            <w:tcW w:w="7920" w:type="dxa"/>
            <w:vAlign w:val="bottom"/>
            <w:tcBorders>
              <w:bottom w:val="single" w:sz="8" w:color="auto"/>
            </w:tcBorders>
            <w:shd w:val="clear" w:color="auto" w:fill="FCE9E8"/>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Responsible for ensuring that the Company has an internal audit function to provide management and the</w:t>
            </w:r>
          </w:p>
        </w:tc>
      </w:tr>
      <w:tr>
        <w:trPr>
          <w:trHeight w:val="189"/>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Audit Committee with ongoing assessments of the Company’s risk management process and system of</w:t>
            </w: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internal controls</w:t>
            </w:r>
          </w:p>
        </w:tc>
      </w:tr>
      <w:tr>
        <w:trPr>
          <w:trHeight w:val="30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Discusses with management the Company’s process for assessing and managing risks, including the</w:t>
            </w:r>
          </w:p>
        </w:tc>
      </w:tr>
      <w:tr>
        <w:trPr>
          <w:trHeight w:val="189"/>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Company’s major risk exposures related to tax matters, financial instruments, litigation and information</w:t>
            </w: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security (including cybersecurity) and the steps necessary to monitor and control such exposures</w:t>
            </w:r>
          </w:p>
        </w:tc>
      </w:tr>
      <w:tr>
        <w:trPr>
          <w:trHeight w:val="311"/>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Central oversight of financial and compliance risks</w:t>
            </w:r>
          </w:p>
        </w:tc>
      </w:tr>
      <w:tr>
        <w:trPr>
          <w:trHeight w:val="30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Meets periodically with senior management, our vice president of internal audit, our chief compliance officer</w:t>
            </w:r>
          </w:p>
        </w:tc>
      </w:tr>
      <w:tr>
        <w:trPr>
          <w:trHeight w:val="189"/>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and our independent auditor, Ernst &amp; Young LLP, and reports on its findings at each regularly scheduled</w:t>
            </w: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meeting of the Board</w:t>
            </w:r>
          </w:p>
        </w:tc>
      </w:tr>
      <w:tr>
        <w:trPr>
          <w:trHeight w:val="30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Periodically assesses reports provided by management on risks addressed in the enterprise risk</w:t>
            </w: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management process and other risks, and reports to the Board, as appropriate</w:t>
            </w:r>
          </w:p>
        </w:tc>
      </w:tr>
      <w:tr>
        <w:trPr>
          <w:trHeight w:val="128"/>
        </w:trPr>
        <w:tc>
          <w:tcPr>
            <w:tcW w:w="20" w:type="dxa"/>
            <w:vAlign w:val="bottom"/>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920" w:type="dxa"/>
            <w:vAlign w:val="bottom"/>
            <w:tcBorders>
              <w:bottom w:val="single" w:sz="8" w:color="auto"/>
            </w:tcBorders>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2500" w:type="dxa"/>
            <w:vAlign w:val="bottom"/>
            <w:shd w:val="clear" w:color="auto" w:fill="FCE9E8"/>
          </w:tcPr>
          <w:p>
            <w:pPr>
              <w:spacing w:after="0"/>
              <w:rPr>
                <w:sz w:val="20"/>
                <w:szCs w:val="20"/>
                <w:color w:val="auto"/>
              </w:rPr>
            </w:pPr>
            <w:r>
              <w:rPr>
                <w:rFonts w:ascii="Arial" w:cs="Arial" w:eastAsia="Arial" w:hAnsi="Arial"/>
                <w:sz w:val="16"/>
                <w:szCs w:val="16"/>
                <w:b w:val="1"/>
                <w:bCs w:val="1"/>
                <w:color w:val="auto"/>
              </w:rPr>
              <w:t>Compensation Committee</w:t>
            </w:r>
          </w:p>
        </w:tc>
        <w:tc>
          <w:tcPr>
            <w:tcW w:w="600" w:type="dxa"/>
            <w:vAlign w:val="bottom"/>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Oversees the review and evaluation of the risks associated with our compensation policies and practices (see</w:t>
            </w:r>
          </w:p>
        </w:tc>
      </w:tr>
      <w:tr>
        <w:trPr>
          <w:trHeight w:val="195"/>
        </w:trPr>
        <w:tc>
          <w:tcPr>
            <w:tcW w:w="20" w:type="dxa"/>
            <w:vAlign w:val="bottom"/>
          </w:tcPr>
          <w:p>
            <w:pPr>
              <w:spacing w:after="0"/>
              <w:rPr>
                <w:sz w:val="16"/>
                <w:szCs w:val="16"/>
                <w:color w:val="auto"/>
              </w:rPr>
            </w:pPr>
          </w:p>
        </w:tc>
        <w:tc>
          <w:tcPr>
            <w:tcW w:w="2500" w:type="dxa"/>
            <w:vAlign w:val="bottom"/>
            <w:shd w:val="clear" w:color="auto" w:fill="FCE9E8"/>
          </w:tcPr>
          <w:p>
            <w:pPr>
              <w:spacing w:after="0"/>
              <w:rPr>
                <w:sz w:val="16"/>
                <w:szCs w:val="16"/>
                <w:color w:val="auto"/>
              </w:rPr>
            </w:pPr>
          </w:p>
        </w:tc>
        <w:tc>
          <w:tcPr>
            <w:tcW w:w="600" w:type="dxa"/>
            <w:vAlign w:val="bottom"/>
            <w:shd w:val="clear" w:color="auto" w:fill="FCE9E8"/>
          </w:tcPr>
          <w:p>
            <w:pPr>
              <w:spacing w:after="0"/>
              <w:rPr>
                <w:sz w:val="16"/>
                <w:szCs w:val="16"/>
                <w:color w:val="auto"/>
              </w:rPr>
            </w:pPr>
          </w:p>
        </w:tc>
        <w:tc>
          <w:tcPr>
            <w:tcW w:w="7920" w:type="dxa"/>
            <w:vAlign w:val="bottom"/>
            <w:shd w:val="clear" w:color="auto" w:fill="FCE9E8"/>
          </w:tcPr>
          <w:p>
            <w:pPr>
              <w:ind w:left="60"/>
              <w:spacing w:after="0"/>
              <w:rPr>
                <w:sz w:val="20"/>
                <w:szCs w:val="20"/>
                <w:color w:val="auto"/>
              </w:rPr>
            </w:pPr>
            <w:r>
              <w:rPr>
                <w:rFonts w:ascii="Arial" w:cs="Arial" w:eastAsia="Arial" w:hAnsi="Arial"/>
                <w:sz w:val="16"/>
                <w:szCs w:val="16"/>
                <w:color w:val="auto"/>
              </w:rPr>
              <w:t>also “Compensation and Risk”)</w:t>
            </w:r>
          </w:p>
        </w:tc>
      </w:tr>
      <w:tr>
        <w:trPr>
          <w:trHeight w:val="128"/>
        </w:trPr>
        <w:tc>
          <w:tcPr>
            <w:tcW w:w="20" w:type="dxa"/>
            <w:vAlign w:val="bottom"/>
          </w:tcPr>
          <w:p>
            <w:pPr>
              <w:spacing w:after="0"/>
              <w:rPr>
                <w:sz w:val="11"/>
                <w:szCs w:val="11"/>
                <w:color w:val="auto"/>
              </w:rPr>
            </w:pPr>
          </w:p>
        </w:tc>
        <w:tc>
          <w:tcPr>
            <w:tcW w:w="2500" w:type="dxa"/>
            <w:vAlign w:val="bottom"/>
            <w:tcBorders>
              <w:bottom w:val="single" w:sz="8" w:color="auto"/>
            </w:tcBorders>
            <w:shd w:val="clear" w:color="auto" w:fill="FCE9E8"/>
          </w:tcPr>
          <w:p>
            <w:pPr>
              <w:spacing w:after="0"/>
              <w:rPr>
                <w:sz w:val="11"/>
                <w:szCs w:val="11"/>
                <w:color w:val="auto"/>
              </w:rPr>
            </w:pPr>
          </w:p>
        </w:tc>
        <w:tc>
          <w:tcPr>
            <w:tcW w:w="600" w:type="dxa"/>
            <w:vAlign w:val="bottom"/>
            <w:tcBorders>
              <w:bottom w:val="single" w:sz="8" w:color="auto"/>
            </w:tcBorders>
            <w:shd w:val="clear" w:color="auto" w:fill="FCE9E8"/>
          </w:tcPr>
          <w:p>
            <w:pPr>
              <w:spacing w:after="0"/>
              <w:rPr>
                <w:sz w:val="11"/>
                <w:szCs w:val="11"/>
                <w:color w:val="auto"/>
              </w:rPr>
            </w:pPr>
          </w:p>
        </w:tc>
        <w:tc>
          <w:tcPr>
            <w:tcW w:w="7920" w:type="dxa"/>
            <w:vAlign w:val="bottom"/>
            <w:tcBorders>
              <w:bottom w:val="single" w:sz="8" w:color="auto"/>
            </w:tcBorders>
            <w:shd w:val="clear" w:color="auto" w:fill="FCE9E8"/>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b w:val="1"/>
                <w:bCs w:val="1"/>
                <w:color w:val="auto"/>
              </w:rPr>
              <w:t>Nominating Committee</w:t>
            </w: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Oversees risks associated with our governance structure and processes</w:t>
            </w:r>
          </w:p>
        </w:tc>
      </w:tr>
      <w:tr>
        <w:trPr>
          <w:trHeight w:val="28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Reviews our organizational documents, Code of Business Conduct and Ethics, Corporate Governance</w:t>
            </w: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Guidelines and other policies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123825</wp:posOffset>
            </wp:positionV>
            <wp:extent cx="6997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4" w:lineRule="exact"/>
        <w:rPr>
          <w:sz w:val="20"/>
          <w:szCs w:val="20"/>
          <w:color w:val="auto"/>
        </w:rPr>
      </w:pPr>
    </w:p>
    <w:p>
      <w:pPr>
        <w:ind w:left="660" w:hanging="354"/>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40"/>
          </w:cols>
          <w:pgMar w:left="240" w:top="459" w:right="41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42"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387" w:lineRule="exact"/>
        <w:rPr>
          <w:sz w:val="20"/>
          <w:szCs w:val="20"/>
          <w:color w:val="auto"/>
        </w:rPr>
      </w:pPr>
    </w:p>
    <w:p>
      <w:pPr>
        <w:sectPr>
          <w:pgSz w:w="11900" w:h="16838" w:orient="portrait"/>
          <w:cols w:equalWidth="0" w:num="2">
            <w:col w:w="5420" w:space="400"/>
            <w:col w:w="5420"/>
          </w:cols>
          <w:pgMar w:left="240" w:top="459" w:right="419" w:bottom="1440" w:gutter="0" w:footer="0" w:header="0"/>
          <w:type w:val="continuous"/>
        </w:sectPr>
      </w:pPr>
    </w:p>
    <w:p>
      <w:pPr>
        <w:spacing w:after="0" w:line="15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Other 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96"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Henry D.G. Wallace is our Non-Executive Chairman of the Board and has served in that role since August 2010. Our Board has decided to maintain separate Chairman and CEO roles to allow our CEO to focus on the execution of our business strategy, growth and development, while allowing the Non-Executive Chairman to lead the Board in its fundamental role of providing advice to, and independent oversight of, management. The Board recognizes the time, effort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energy that the CEO is required to devote to his position in the current business environment, as well as the commitment required to serve as our Chairman. While our Bylaws and Corporate Governance Guidelines do not require that our Chairman and CEO positions be separate, the Board believes that having separate positions and having an independent director serve as Non-Executive Chairman is the appropriate leadership structure for the Company at this time.</w:t>
      </w:r>
    </w:p>
    <w:p>
      <w:pPr>
        <w:spacing w:after="0" w:line="200"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Meetings</w:t>
      </w:r>
    </w:p>
    <w:p>
      <w:pPr>
        <w:spacing w:after="0" w:line="196"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In 2017, our Board held 7 meetings. In addition to our Board meetings, our directors attend meetings of committees established by our Board. Each of Lear’s director nominees attended at least 75% of the meetings of our Board and the committees on which he or she served during 2017 that were</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96"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held when he or she was a director. Our directors are encouraged to attend all annual and special meetings of our stockholders. In 2017, our annual meeting of stockholders was held on May 18, 2017, and all directors attended (either in person or telephonically).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management present. Mr. Wallace, our Non-Executive Chairman, presides over these executive sessions.</w:t>
      </w:r>
    </w:p>
    <w:p>
      <w:pPr>
        <w:spacing w:after="0" w:line="383" w:lineRule="exact"/>
        <w:rPr>
          <w:sz w:val="20"/>
          <w:szCs w:val="20"/>
          <w:color w:val="auto"/>
        </w:rPr>
      </w:pPr>
    </w:p>
    <w:p>
      <w:pPr>
        <w:sectPr>
          <w:pgSz w:w="11900" w:h="16838" w:orient="portrait"/>
          <w:cols w:equalWidth="0" w:num="2">
            <w:col w:w="5400" w:space="420"/>
            <w:col w:w="5420"/>
          </w:cols>
          <w:pgMar w:left="240" w:top="459" w:right="419" w:bottom="1440" w:gutter="0" w:footer="0" w:header="0"/>
          <w:type w:val="continuous"/>
        </w:sectPr>
      </w:pP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28" w:lineRule="exact"/>
        <w:rPr>
          <w:sz w:val="20"/>
          <w:szCs w:val="20"/>
          <w:color w:val="auto"/>
        </w:rPr>
      </w:pPr>
    </w:p>
    <w:p>
      <w:pPr>
        <w:ind w:left="200" w:right="160"/>
        <w:spacing w:after="0" w:line="260"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Committee. The following chart sets forth the directors who currently serve as members of each of the Board committees.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360" w:type="dxa"/>
            <w:vAlign w:val="bottom"/>
          </w:tcPr>
          <w:p>
            <w:pPr>
              <w:jc w:val="right"/>
              <w:ind w:right="642"/>
              <w:spacing w:after="0"/>
              <w:rPr>
                <w:sz w:val="20"/>
                <w:szCs w:val="20"/>
                <w:color w:val="auto"/>
              </w:rPr>
            </w:pPr>
            <w:r>
              <w:rPr>
                <w:rFonts w:ascii="Arial" w:cs="Arial" w:eastAsia="Arial" w:hAnsi="Arial"/>
                <w:sz w:val="14"/>
                <w:szCs w:val="14"/>
                <w:b w:val="1"/>
                <w:bCs w:val="1"/>
                <w:color w:val="E2231A"/>
              </w:rPr>
              <w:t>Audit</w:t>
            </w:r>
          </w:p>
        </w:tc>
        <w:tc>
          <w:tcPr>
            <w:tcW w:w="1680" w:type="dxa"/>
            <w:vAlign w:val="bottom"/>
          </w:tcPr>
          <w:p>
            <w:pPr>
              <w:jc w:val="right"/>
              <w:ind w:right="81"/>
              <w:spacing w:after="0"/>
              <w:rPr>
                <w:sz w:val="20"/>
                <w:szCs w:val="20"/>
                <w:color w:val="auto"/>
              </w:rPr>
            </w:pPr>
            <w:r>
              <w:rPr>
                <w:rFonts w:ascii="Arial" w:cs="Arial" w:eastAsia="Arial" w:hAnsi="Arial"/>
                <w:sz w:val="14"/>
                <w:szCs w:val="14"/>
                <w:b w:val="1"/>
                <w:bCs w:val="1"/>
                <w:color w:val="E2231A"/>
              </w:rPr>
              <w:t>Compensation</w:t>
            </w:r>
          </w:p>
        </w:tc>
        <w:tc>
          <w:tcPr>
            <w:tcW w:w="2400" w:type="dxa"/>
            <w:vAlign w:val="bottom"/>
          </w:tcPr>
          <w:p>
            <w:pPr>
              <w:jc w:val="right"/>
              <w:ind w:right="621"/>
              <w:spacing w:after="0"/>
              <w:rPr>
                <w:sz w:val="20"/>
                <w:szCs w:val="20"/>
                <w:color w:val="auto"/>
              </w:rPr>
            </w:pPr>
            <w:r>
              <w:rPr>
                <w:rFonts w:ascii="Arial" w:cs="Arial" w:eastAsia="Arial" w:hAnsi="Arial"/>
                <w:sz w:val="14"/>
                <w:szCs w:val="14"/>
                <w:b w:val="1"/>
                <w:bCs w:val="1"/>
                <w:color w:val="E2231A"/>
              </w:rPr>
              <w:t>Nominating</w:t>
            </w:r>
          </w:p>
        </w:tc>
      </w:tr>
      <w:tr>
        <w:trPr>
          <w:trHeight w:val="189"/>
        </w:trPr>
        <w:tc>
          <w:tcPr>
            <w:tcW w:w="3600" w:type="dxa"/>
            <w:vAlign w:val="bottom"/>
            <w:gridSpan w:val="2"/>
          </w:tcPr>
          <w:p>
            <w:pPr>
              <w:spacing w:after="0"/>
              <w:rPr>
                <w:sz w:val="20"/>
                <w:szCs w:val="20"/>
                <w:color w:val="auto"/>
              </w:rPr>
            </w:pPr>
            <w:r>
              <w:rPr>
                <w:rFonts w:ascii="Arial" w:cs="Arial" w:eastAsia="Arial" w:hAnsi="Arial"/>
                <w:sz w:val="14"/>
                <w:szCs w:val="14"/>
                <w:b w:val="1"/>
                <w:bCs w:val="1"/>
                <w:color w:val="E2231A"/>
              </w:rPr>
              <w:t>Directors</w:t>
            </w:r>
          </w:p>
        </w:tc>
        <w:tc>
          <w:tcPr>
            <w:tcW w:w="3360" w:type="dxa"/>
            <w:vAlign w:val="bottom"/>
          </w:tcPr>
          <w:p>
            <w:pPr>
              <w:jc w:val="right"/>
              <w:ind w:right="462"/>
              <w:spacing w:after="0"/>
              <w:rPr>
                <w:sz w:val="20"/>
                <w:szCs w:val="20"/>
                <w:color w:val="auto"/>
              </w:rPr>
            </w:pPr>
            <w:r>
              <w:rPr>
                <w:rFonts w:ascii="Arial" w:cs="Arial" w:eastAsia="Arial" w:hAnsi="Arial"/>
                <w:sz w:val="14"/>
                <w:szCs w:val="14"/>
                <w:b w:val="1"/>
                <w:bCs w:val="1"/>
                <w:color w:val="E2231A"/>
              </w:rPr>
              <w:t>Committee</w:t>
            </w:r>
          </w:p>
        </w:tc>
        <w:tc>
          <w:tcPr>
            <w:tcW w:w="1680" w:type="dxa"/>
            <w:vAlign w:val="bottom"/>
          </w:tcPr>
          <w:p>
            <w:pPr>
              <w:jc w:val="right"/>
              <w:ind w:right="201"/>
              <w:spacing w:after="0"/>
              <w:rPr>
                <w:sz w:val="20"/>
                <w:szCs w:val="20"/>
                <w:color w:val="auto"/>
              </w:rPr>
            </w:pPr>
            <w:r>
              <w:rPr>
                <w:rFonts w:ascii="Arial" w:cs="Arial" w:eastAsia="Arial" w:hAnsi="Arial"/>
                <w:sz w:val="14"/>
                <w:szCs w:val="14"/>
                <w:b w:val="1"/>
                <w:bCs w:val="1"/>
                <w:color w:val="E2231A"/>
              </w:rPr>
              <w:t>Committee</w:t>
            </w:r>
          </w:p>
        </w:tc>
        <w:tc>
          <w:tcPr>
            <w:tcW w:w="2400" w:type="dxa"/>
            <w:vAlign w:val="bottom"/>
          </w:tcPr>
          <w:p>
            <w:pPr>
              <w:jc w:val="right"/>
              <w:ind w:right="661"/>
              <w:spacing w:after="0"/>
              <w:rPr>
                <w:sz w:val="20"/>
                <w:szCs w:val="20"/>
                <w:color w:val="auto"/>
              </w:rPr>
            </w:pPr>
            <w:r>
              <w:rPr>
                <w:rFonts w:ascii="Arial" w:cs="Arial" w:eastAsia="Arial" w:hAnsi="Arial"/>
                <w:sz w:val="14"/>
                <w:szCs w:val="14"/>
                <w:b w:val="1"/>
                <w:bCs w:val="1"/>
                <w:color w:val="E2231A"/>
              </w:rPr>
              <w:t>Committee</w:t>
            </w:r>
          </w:p>
        </w:tc>
      </w:tr>
      <w:tr>
        <w:trPr>
          <w:trHeight w:val="183"/>
        </w:trPr>
        <w:tc>
          <w:tcPr>
            <w:tcW w:w="20" w:type="dxa"/>
            <w:vAlign w:val="bottom"/>
          </w:tcPr>
          <w:p>
            <w:pPr>
              <w:spacing w:after="0"/>
              <w:rPr>
                <w:sz w:val="15"/>
                <w:szCs w:val="15"/>
                <w:color w:val="auto"/>
              </w:rPr>
            </w:pPr>
          </w:p>
        </w:tc>
        <w:tc>
          <w:tcPr>
            <w:tcW w:w="3580" w:type="dxa"/>
            <w:vAlign w:val="bottom"/>
            <w:tcBorders>
              <w:top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Richard H. Bott</w:t>
            </w:r>
          </w:p>
        </w:tc>
        <w:tc>
          <w:tcPr>
            <w:tcW w:w="3360" w:type="dxa"/>
            <w:vAlign w:val="bottom"/>
            <w:tcBorders>
              <w:top w:val="single" w:sz="8" w:color="auto"/>
            </w:tcBorders>
            <w:shd w:val="clear" w:color="auto" w:fill="FCE9E8"/>
          </w:tcPr>
          <w:p>
            <w:pPr>
              <w:jc w:val="right"/>
              <w:ind w:right="442"/>
              <w:spacing w:after="0" w:line="183" w:lineRule="exact"/>
              <w:rPr>
                <w:sz w:val="20"/>
                <w:szCs w:val="20"/>
                <w:color w:val="auto"/>
              </w:rPr>
            </w:pPr>
            <w:r>
              <w:rPr>
                <w:rFonts w:ascii="Arial" w:cs="Arial" w:eastAsia="Arial" w:hAnsi="Arial"/>
                <w:sz w:val="16"/>
                <w:szCs w:val="16"/>
                <w:color w:val="auto"/>
              </w:rPr>
              <w:t>X</w:t>
            </w:r>
          </w:p>
        </w:tc>
        <w:tc>
          <w:tcPr>
            <w:tcW w:w="1680" w:type="dxa"/>
            <w:vAlign w:val="bottom"/>
            <w:tcBorders>
              <w:top w:val="single" w:sz="8" w:color="auto"/>
            </w:tcBorders>
            <w:shd w:val="clear" w:color="auto" w:fill="FCE9E8"/>
          </w:tcPr>
          <w:p>
            <w:pPr>
              <w:spacing w:after="0"/>
              <w:rPr>
                <w:sz w:val="15"/>
                <w:szCs w:val="15"/>
                <w:color w:val="auto"/>
              </w:rPr>
            </w:pPr>
          </w:p>
        </w:tc>
        <w:tc>
          <w:tcPr>
            <w:tcW w:w="2400" w:type="dxa"/>
            <w:vAlign w:val="bottom"/>
            <w:tcBorders>
              <w:top w:val="single" w:sz="8" w:color="auto"/>
            </w:tcBorders>
            <w:shd w:val="clear" w:color="auto" w:fill="FCE9E8"/>
          </w:tcPr>
          <w:p>
            <w:pPr>
              <w:spacing w:after="0"/>
              <w:rPr>
                <w:sz w:val="15"/>
                <w:szCs w:val="15"/>
                <w:color w:val="auto"/>
              </w:rPr>
            </w:pPr>
          </w:p>
        </w:tc>
      </w:tr>
      <w:tr>
        <w:trPr>
          <w:trHeight w:val="189"/>
        </w:trPr>
        <w:tc>
          <w:tcPr>
            <w:tcW w:w="3600" w:type="dxa"/>
            <w:vAlign w:val="bottom"/>
            <w:gridSpan w:val="2"/>
          </w:tcPr>
          <w:p>
            <w:pPr>
              <w:spacing w:after="0"/>
              <w:rPr>
                <w:sz w:val="20"/>
                <w:szCs w:val="20"/>
                <w:color w:val="auto"/>
              </w:rPr>
            </w:pPr>
            <w:r>
              <w:rPr>
                <w:rFonts w:ascii="Arial" w:cs="Arial" w:eastAsia="Arial" w:hAnsi="Arial"/>
                <w:sz w:val="16"/>
                <w:szCs w:val="16"/>
                <w:color w:val="auto"/>
              </w:rPr>
              <w:t>Thomas P. Capo</w:t>
            </w:r>
          </w:p>
        </w:tc>
        <w:tc>
          <w:tcPr>
            <w:tcW w:w="3360" w:type="dxa"/>
            <w:vAlign w:val="bottom"/>
          </w:tcPr>
          <w:p>
            <w:pPr>
              <w:jc w:val="right"/>
              <w:ind w:right="442"/>
              <w:spacing w:after="0"/>
              <w:rPr>
                <w:sz w:val="20"/>
                <w:szCs w:val="20"/>
                <w:color w:val="auto"/>
              </w:rPr>
            </w:pPr>
            <w:r>
              <w:rPr>
                <w:rFonts w:ascii="Arial" w:cs="Arial" w:eastAsia="Arial" w:hAnsi="Arial"/>
                <w:sz w:val="16"/>
                <w:szCs w:val="16"/>
                <w:color w:val="auto"/>
              </w:rPr>
              <w:t>X</w:t>
            </w:r>
          </w:p>
        </w:tc>
        <w:tc>
          <w:tcPr>
            <w:tcW w:w="1680" w:type="dxa"/>
            <w:vAlign w:val="bottom"/>
          </w:tcPr>
          <w:p>
            <w:pPr>
              <w:jc w:val="right"/>
              <w:ind w:right="81"/>
              <w:spacing w:after="0"/>
              <w:rPr>
                <w:sz w:val="20"/>
                <w:szCs w:val="20"/>
                <w:color w:val="auto"/>
              </w:rPr>
            </w:pPr>
            <w:r>
              <w:rPr>
                <w:rFonts w:ascii="Arial" w:cs="Arial" w:eastAsia="Arial" w:hAnsi="Arial"/>
                <w:sz w:val="16"/>
                <w:szCs w:val="16"/>
                <w:color w:val="auto"/>
              </w:rPr>
              <w:t>C</w:t>
            </w:r>
          </w:p>
        </w:tc>
        <w:tc>
          <w:tcPr>
            <w:tcW w:w="24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FCE9E8"/>
          </w:tcPr>
          <w:p>
            <w:pPr>
              <w:spacing w:after="0"/>
              <w:rPr>
                <w:sz w:val="20"/>
                <w:szCs w:val="20"/>
                <w:color w:val="auto"/>
              </w:rPr>
            </w:pPr>
            <w:r>
              <w:rPr>
                <w:rFonts w:ascii="Arial" w:cs="Arial" w:eastAsia="Arial" w:hAnsi="Arial"/>
                <w:sz w:val="16"/>
                <w:szCs w:val="16"/>
                <w:color w:val="auto"/>
              </w:rPr>
              <w:t>Jonathan F. Foster</w:t>
            </w:r>
          </w:p>
        </w:tc>
        <w:tc>
          <w:tcPr>
            <w:tcW w:w="336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C</w:t>
            </w:r>
          </w:p>
        </w:tc>
        <w:tc>
          <w:tcPr>
            <w:tcW w:w="1680" w:type="dxa"/>
            <w:vAlign w:val="bottom"/>
            <w:shd w:val="clear" w:color="auto" w:fill="FCE9E8"/>
          </w:tcPr>
          <w:p>
            <w:pPr>
              <w:spacing w:after="0"/>
              <w:rPr>
                <w:sz w:val="16"/>
                <w:szCs w:val="16"/>
                <w:color w:val="auto"/>
              </w:rPr>
            </w:pPr>
          </w:p>
        </w:tc>
        <w:tc>
          <w:tcPr>
            <w:tcW w:w="2400" w:type="dxa"/>
            <w:vAlign w:val="bottom"/>
            <w:shd w:val="clear" w:color="auto" w:fill="FCE9E8"/>
          </w:tcPr>
          <w:p>
            <w:pPr>
              <w:jc w:val="right"/>
              <w:ind w:right="621"/>
              <w:spacing w:after="0"/>
              <w:rPr>
                <w:sz w:val="20"/>
                <w:szCs w:val="20"/>
                <w:color w:val="auto"/>
              </w:rPr>
            </w:pPr>
            <w:r>
              <w:rPr>
                <w:rFonts w:ascii="Arial" w:cs="Arial" w:eastAsia="Arial" w:hAnsi="Arial"/>
                <w:sz w:val="16"/>
                <w:szCs w:val="16"/>
                <w:color w:val="auto"/>
              </w:rPr>
              <w:t>X</w:t>
            </w:r>
          </w:p>
        </w:tc>
      </w:tr>
      <w:tr>
        <w:trPr>
          <w:trHeight w:val="189"/>
        </w:trPr>
        <w:tc>
          <w:tcPr>
            <w:tcW w:w="3600" w:type="dxa"/>
            <w:vAlign w:val="bottom"/>
            <w:gridSpan w:val="2"/>
          </w:tcPr>
          <w:p>
            <w:pPr>
              <w:spacing w:after="0"/>
              <w:rPr>
                <w:sz w:val="20"/>
                <w:szCs w:val="20"/>
                <w:color w:val="auto"/>
              </w:rPr>
            </w:pPr>
            <w:r>
              <w:rPr>
                <w:rFonts w:ascii="Arial" w:cs="Arial" w:eastAsia="Arial" w:hAnsi="Arial"/>
                <w:sz w:val="16"/>
                <w:szCs w:val="16"/>
                <w:color w:val="auto"/>
              </w:rPr>
              <w:t>Mary Lou Jepsen</w:t>
            </w:r>
          </w:p>
        </w:tc>
        <w:tc>
          <w:tcPr>
            <w:tcW w:w="3360" w:type="dxa"/>
            <w:vAlign w:val="bottom"/>
          </w:tcPr>
          <w:p>
            <w:pPr>
              <w:spacing w:after="0"/>
              <w:rPr>
                <w:sz w:val="16"/>
                <w:szCs w:val="16"/>
                <w:color w:val="auto"/>
              </w:rPr>
            </w:pPr>
          </w:p>
        </w:tc>
        <w:tc>
          <w:tcPr>
            <w:tcW w:w="1680" w:type="dxa"/>
            <w:vAlign w:val="bottom"/>
          </w:tcPr>
          <w:p>
            <w:pPr>
              <w:jc w:val="right"/>
              <w:ind w:right="81"/>
              <w:spacing w:after="0"/>
              <w:rPr>
                <w:sz w:val="20"/>
                <w:szCs w:val="20"/>
                <w:color w:val="auto"/>
              </w:rPr>
            </w:pPr>
            <w:r>
              <w:rPr>
                <w:rFonts w:ascii="Arial" w:cs="Arial" w:eastAsia="Arial" w:hAnsi="Arial"/>
                <w:sz w:val="16"/>
                <w:szCs w:val="16"/>
                <w:color w:val="auto"/>
              </w:rPr>
              <w:t>X</w:t>
            </w:r>
          </w:p>
        </w:tc>
        <w:tc>
          <w:tcPr>
            <w:tcW w:w="24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FCE9E8"/>
          </w:tcPr>
          <w:p>
            <w:pPr>
              <w:spacing w:after="0"/>
              <w:rPr>
                <w:sz w:val="20"/>
                <w:szCs w:val="20"/>
                <w:color w:val="auto"/>
              </w:rPr>
            </w:pPr>
            <w:r>
              <w:rPr>
                <w:rFonts w:ascii="Arial" w:cs="Arial" w:eastAsia="Arial" w:hAnsi="Arial"/>
                <w:sz w:val="16"/>
                <w:szCs w:val="16"/>
                <w:color w:val="auto"/>
              </w:rPr>
              <w:t>Kathleen A. Ligocki</w:t>
            </w:r>
          </w:p>
        </w:tc>
        <w:tc>
          <w:tcPr>
            <w:tcW w:w="3360" w:type="dxa"/>
            <w:vAlign w:val="bottom"/>
            <w:shd w:val="clear" w:color="auto" w:fill="FCE9E8"/>
          </w:tcPr>
          <w:p>
            <w:pPr>
              <w:spacing w:after="0"/>
              <w:rPr>
                <w:sz w:val="16"/>
                <w:szCs w:val="16"/>
                <w:color w:val="auto"/>
              </w:rPr>
            </w:pPr>
          </w:p>
        </w:tc>
        <w:tc>
          <w:tcPr>
            <w:tcW w:w="1680" w:type="dxa"/>
            <w:vAlign w:val="bottom"/>
            <w:shd w:val="clear" w:color="auto" w:fill="FCE9E8"/>
          </w:tcPr>
          <w:p>
            <w:pPr>
              <w:jc w:val="right"/>
              <w:ind w:right="81"/>
              <w:spacing w:after="0"/>
              <w:rPr>
                <w:sz w:val="20"/>
                <w:szCs w:val="20"/>
                <w:color w:val="auto"/>
              </w:rPr>
            </w:pPr>
            <w:r>
              <w:rPr>
                <w:rFonts w:ascii="Arial" w:cs="Arial" w:eastAsia="Arial" w:hAnsi="Arial"/>
                <w:sz w:val="16"/>
                <w:szCs w:val="16"/>
                <w:color w:val="auto"/>
              </w:rPr>
              <w:t>X</w:t>
            </w:r>
          </w:p>
        </w:tc>
        <w:tc>
          <w:tcPr>
            <w:tcW w:w="2400" w:type="dxa"/>
            <w:vAlign w:val="bottom"/>
            <w:shd w:val="clear" w:color="auto" w:fill="FCE9E8"/>
          </w:tcPr>
          <w:p>
            <w:pPr>
              <w:jc w:val="right"/>
              <w:ind w:right="621"/>
              <w:spacing w:after="0"/>
              <w:rPr>
                <w:sz w:val="20"/>
                <w:szCs w:val="20"/>
                <w:color w:val="auto"/>
              </w:rPr>
            </w:pPr>
            <w:r>
              <w:rPr>
                <w:rFonts w:ascii="Arial" w:cs="Arial" w:eastAsia="Arial" w:hAnsi="Arial"/>
                <w:sz w:val="16"/>
                <w:szCs w:val="16"/>
                <w:color w:val="auto"/>
              </w:rPr>
              <w:t>C</w:t>
            </w:r>
          </w:p>
        </w:tc>
      </w:tr>
      <w:tr>
        <w:trPr>
          <w:trHeight w:val="189"/>
        </w:trPr>
        <w:tc>
          <w:tcPr>
            <w:tcW w:w="3600" w:type="dxa"/>
            <w:vAlign w:val="bottom"/>
            <w:gridSpan w:val="2"/>
          </w:tcPr>
          <w:p>
            <w:pPr>
              <w:spacing w:after="0"/>
              <w:rPr>
                <w:sz w:val="20"/>
                <w:szCs w:val="20"/>
                <w:color w:val="auto"/>
              </w:rPr>
            </w:pPr>
            <w:r>
              <w:rPr>
                <w:rFonts w:ascii="Arial" w:cs="Arial" w:eastAsia="Arial" w:hAnsi="Arial"/>
                <w:sz w:val="16"/>
                <w:szCs w:val="16"/>
                <w:color w:val="auto"/>
              </w:rPr>
              <w:t>Conrad L. Mallett, Jr.</w:t>
            </w:r>
          </w:p>
        </w:tc>
        <w:tc>
          <w:tcPr>
            <w:tcW w:w="3360" w:type="dxa"/>
            <w:vAlign w:val="bottom"/>
          </w:tcPr>
          <w:p>
            <w:pPr>
              <w:spacing w:after="0"/>
              <w:rPr>
                <w:sz w:val="16"/>
                <w:szCs w:val="16"/>
                <w:color w:val="auto"/>
              </w:rPr>
            </w:pPr>
          </w:p>
        </w:tc>
        <w:tc>
          <w:tcPr>
            <w:tcW w:w="1680" w:type="dxa"/>
            <w:vAlign w:val="bottom"/>
          </w:tcPr>
          <w:p>
            <w:pPr>
              <w:jc w:val="right"/>
              <w:ind w:right="81"/>
              <w:spacing w:after="0"/>
              <w:rPr>
                <w:sz w:val="20"/>
                <w:szCs w:val="20"/>
                <w:color w:val="auto"/>
              </w:rPr>
            </w:pPr>
            <w:r>
              <w:rPr>
                <w:rFonts w:ascii="Arial" w:cs="Arial" w:eastAsia="Arial" w:hAnsi="Arial"/>
                <w:sz w:val="16"/>
                <w:szCs w:val="16"/>
                <w:color w:val="auto"/>
              </w:rPr>
              <w:t>X</w:t>
            </w:r>
          </w:p>
        </w:tc>
        <w:tc>
          <w:tcPr>
            <w:tcW w:w="2400" w:type="dxa"/>
            <w:vAlign w:val="bottom"/>
          </w:tcPr>
          <w:p>
            <w:pPr>
              <w:jc w:val="right"/>
              <w:ind w:right="621"/>
              <w:spacing w:after="0"/>
              <w:rPr>
                <w:sz w:val="20"/>
                <w:szCs w:val="20"/>
                <w:color w:val="auto"/>
              </w:rPr>
            </w:pPr>
            <w:r>
              <w:rPr>
                <w:rFonts w:ascii="Arial" w:cs="Arial" w:eastAsia="Arial" w:hAnsi="Arial"/>
                <w:sz w:val="16"/>
                <w:szCs w:val="16"/>
                <w:color w:val="auto"/>
              </w:rPr>
              <w:t>X</w:t>
            </w:r>
          </w:p>
        </w:tc>
      </w:tr>
      <w:tr>
        <w:trPr>
          <w:trHeight w:val="189"/>
        </w:trPr>
        <w:tc>
          <w:tcPr>
            <w:tcW w:w="20" w:type="dxa"/>
            <w:vAlign w:val="bottom"/>
          </w:tcPr>
          <w:p>
            <w:pPr>
              <w:spacing w:after="0"/>
              <w:rPr>
                <w:sz w:val="16"/>
                <w:szCs w:val="16"/>
                <w:color w:val="auto"/>
              </w:rPr>
            </w:pPr>
          </w:p>
        </w:tc>
        <w:tc>
          <w:tcPr>
            <w:tcW w:w="3580" w:type="dxa"/>
            <w:vAlign w:val="bottom"/>
            <w:shd w:val="clear" w:color="auto" w:fill="FCE9E8"/>
          </w:tcPr>
          <w:p>
            <w:pPr>
              <w:spacing w:after="0"/>
              <w:rPr>
                <w:sz w:val="20"/>
                <w:szCs w:val="20"/>
                <w:color w:val="auto"/>
              </w:rPr>
            </w:pPr>
            <w:r>
              <w:rPr>
                <w:rFonts w:ascii="Arial" w:cs="Arial" w:eastAsia="Arial" w:hAnsi="Arial"/>
                <w:sz w:val="16"/>
                <w:szCs w:val="16"/>
                <w:color w:val="auto"/>
              </w:rPr>
              <w:t>Donald L. Runkle</w:t>
            </w:r>
          </w:p>
        </w:tc>
        <w:tc>
          <w:tcPr>
            <w:tcW w:w="3360" w:type="dxa"/>
            <w:vAlign w:val="bottom"/>
            <w:shd w:val="clear" w:color="auto" w:fill="FCE9E8"/>
          </w:tcPr>
          <w:p>
            <w:pPr>
              <w:spacing w:after="0"/>
              <w:rPr>
                <w:sz w:val="16"/>
                <w:szCs w:val="16"/>
                <w:color w:val="auto"/>
              </w:rPr>
            </w:pPr>
          </w:p>
        </w:tc>
        <w:tc>
          <w:tcPr>
            <w:tcW w:w="1680" w:type="dxa"/>
            <w:vAlign w:val="bottom"/>
            <w:shd w:val="clear" w:color="auto" w:fill="FCE9E8"/>
          </w:tcPr>
          <w:p>
            <w:pPr>
              <w:jc w:val="right"/>
              <w:ind w:right="81"/>
              <w:spacing w:after="0"/>
              <w:rPr>
                <w:sz w:val="20"/>
                <w:szCs w:val="20"/>
                <w:color w:val="auto"/>
              </w:rPr>
            </w:pPr>
            <w:r>
              <w:rPr>
                <w:rFonts w:ascii="Arial" w:cs="Arial" w:eastAsia="Arial" w:hAnsi="Arial"/>
                <w:sz w:val="16"/>
                <w:szCs w:val="16"/>
                <w:color w:val="auto"/>
              </w:rPr>
              <w:t>X</w:t>
            </w:r>
          </w:p>
        </w:tc>
        <w:tc>
          <w:tcPr>
            <w:tcW w:w="2400" w:type="dxa"/>
            <w:vAlign w:val="bottom"/>
            <w:shd w:val="clear" w:color="auto" w:fill="FCE9E8"/>
          </w:tcPr>
          <w:p>
            <w:pPr>
              <w:jc w:val="right"/>
              <w:ind w:right="621"/>
              <w:spacing w:after="0"/>
              <w:rPr>
                <w:sz w:val="20"/>
                <w:szCs w:val="20"/>
                <w:color w:val="auto"/>
              </w:rPr>
            </w:pPr>
            <w:r>
              <w:rPr>
                <w:rFonts w:ascii="Arial" w:cs="Arial" w:eastAsia="Arial" w:hAnsi="Arial"/>
                <w:sz w:val="16"/>
                <w:szCs w:val="16"/>
                <w:color w:val="auto"/>
              </w:rPr>
              <w:t>X</w:t>
            </w:r>
          </w:p>
        </w:tc>
      </w:tr>
      <w:tr>
        <w:trPr>
          <w:trHeight w:val="189"/>
        </w:trPr>
        <w:tc>
          <w:tcPr>
            <w:tcW w:w="3600" w:type="dxa"/>
            <w:vAlign w:val="bottom"/>
            <w:gridSpan w:val="2"/>
          </w:tcPr>
          <w:p>
            <w:pPr>
              <w:spacing w:after="0"/>
              <w:rPr>
                <w:sz w:val="20"/>
                <w:szCs w:val="20"/>
                <w:color w:val="auto"/>
              </w:rPr>
            </w:pPr>
            <w:r>
              <w:rPr>
                <w:rFonts w:ascii="Arial" w:cs="Arial" w:eastAsia="Arial" w:hAnsi="Arial"/>
                <w:sz w:val="16"/>
                <w:szCs w:val="16"/>
                <w:color w:val="auto"/>
              </w:rPr>
              <w:t>Raymond E. Scott</w:t>
            </w:r>
          </w:p>
        </w:tc>
        <w:tc>
          <w:tcPr>
            <w:tcW w:w="3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FCE9E8"/>
          </w:tcPr>
          <w:p>
            <w:pPr>
              <w:spacing w:after="0"/>
              <w:rPr>
                <w:sz w:val="20"/>
                <w:szCs w:val="20"/>
                <w:color w:val="auto"/>
              </w:rPr>
            </w:pPr>
            <w:r>
              <w:rPr>
                <w:rFonts w:ascii="Arial" w:cs="Arial" w:eastAsia="Arial" w:hAnsi="Arial"/>
                <w:sz w:val="16"/>
                <w:szCs w:val="16"/>
                <w:color w:val="auto"/>
              </w:rPr>
              <w:t>Gregory C. Smith</w:t>
            </w:r>
          </w:p>
        </w:tc>
        <w:tc>
          <w:tcPr>
            <w:tcW w:w="336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X</w:t>
            </w:r>
          </w:p>
        </w:tc>
        <w:tc>
          <w:tcPr>
            <w:tcW w:w="1680" w:type="dxa"/>
            <w:vAlign w:val="bottom"/>
            <w:shd w:val="clear" w:color="auto" w:fill="FCE9E8"/>
          </w:tcPr>
          <w:p>
            <w:pPr>
              <w:spacing w:after="0"/>
              <w:rPr>
                <w:sz w:val="16"/>
                <w:szCs w:val="16"/>
                <w:color w:val="auto"/>
              </w:rPr>
            </w:pPr>
          </w:p>
        </w:tc>
        <w:tc>
          <w:tcPr>
            <w:tcW w:w="2400" w:type="dxa"/>
            <w:vAlign w:val="bottom"/>
            <w:shd w:val="clear" w:color="auto" w:fill="FCE9E8"/>
          </w:tcPr>
          <w:p>
            <w:pPr>
              <w:jc w:val="right"/>
              <w:ind w:right="621"/>
              <w:spacing w:after="0"/>
              <w:rPr>
                <w:sz w:val="20"/>
                <w:szCs w:val="20"/>
                <w:color w:val="auto"/>
              </w:rPr>
            </w:pPr>
            <w:r>
              <w:rPr>
                <w:rFonts w:ascii="Arial" w:cs="Arial" w:eastAsia="Arial" w:hAnsi="Arial"/>
                <w:sz w:val="16"/>
                <w:szCs w:val="16"/>
                <w:color w:val="auto"/>
              </w:rPr>
              <w:t>X</w:t>
            </w:r>
          </w:p>
        </w:tc>
      </w:tr>
      <w:tr>
        <w:trPr>
          <w:trHeight w:val="189"/>
        </w:trPr>
        <w:tc>
          <w:tcPr>
            <w:tcW w:w="3600" w:type="dxa"/>
            <w:vAlign w:val="bottom"/>
            <w:gridSpan w:val="2"/>
          </w:tcPr>
          <w:p>
            <w:pPr>
              <w:spacing w:after="0"/>
              <w:rPr>
                <w:sz w:val="20"/>
                <w:szCs w:val="20"/>
                <w:color w:val="auto"/>
              </w:rPr>
            </w:pPr>
            <w:r>
              <w:rPr>
                <w:rFonts w:ascii="Arial" w:cs="Arial" w:eastAsia="Arial" w:hAnsi="Arial"/>
                <w:sz w:val="16"/>
                <w:szCs w:val="16"/>
                <w:color w:val="auto"/>
              </w:rPr>
              <w:t>Henry D.G. Wallace*</w:t>
            </w:r>
          </w:p>
        </w:tc>
        <w:tc>
          <w:tcPr>
            <w:tcW w:w="3360" w:type="dxa"/>
            <w:vAlign w:val="bottom"/>
          </w:tcPr>
          <w:p>
            <w:pPr>
              <w:jc w:val="right"/>
              <w:ind w:right="442"/>
              <w:spacing w:after="0"/>
              <w:rPr>
                <w:sz w:val="20"/>
                <w:szCs w:val="20"/>
                <w:color w:val="auto"/>
              </w:rPr>
            </w:pPr>
            <w:r>
              <w:rPr>
                <w:rFonts w:ascii="Arial" w:cs="Arial" w:eastAsia="Arial" w:hAnsi="Arial"/>
                <w:sz w:val="16"/>
                <w:szCs w:val="16"/>
                <w:color w:val="auto"/>
              </w:rPr>
              <w:t>E</w:t>
            </w:r>
          </w:p>
        </w:tc>
        <w:tc>
          <w:tcPr>
            <w:tcW w:w="1680" w:type="dxa"/>
            <w:vAlign w:val="bottom"/>
          </w:tcPr>
          <w:p>
            <w:pPr>
              <w:jc w:val="right"/>
              <w:ind w:right="81"/>
              <w:spacing w:after="0"/>
              <w:rPr>
                <w:sz w:val="20"/>
                <w:szCs w:val="20"/>
                <w:color w:val="auto"/>
              </w:rPr>
            </w:pPr>
            <w:r>
              <w:rPr>
                <w:rFonts w:ascii="Arial" w:cs="Arial" w:eastAsia="Arial" w:hAnsi="Arial"/>
                <w:sz w:val="16"/>
                <w:szCs w:val="16"/>
                <w:color w:val="auto"/>
              </w:rPr>
              <w:t>E</w:t>
            </w:r>
          </w:p>
        </w:tc>
        <w:tc>
          <w:tcPr>
            <w:tcW w:w="2400" w:type="dxa"/>
            <w:vAlign w:val="bottom"/>
          </w:tcPr>
          <w:p>
            <w:pPr>
              <w:jc w:val="right"/>
              <w:ind w:right="621"/>
              <w:spacing w:after="0"/>
              <w:rPr>
                <w:sz w:val="20"/>
                <w:szCs w:val="20"/>
                <w:color w:val="auto"/>
              </w:rPr>
            </w:pPr>
            <w:r>
              <w:rPr>
                <w:rFonts w:ascii="Arial" w:cs="Arial" w:eastAsia="Arial" w:hAnsi="Arial"/>
                <w:sz w:val="16"/>
                <w:szCs w:val="16"/>
                <w:color w:val="auto"/>
              </w:rPr>
              <w:t>E</w:t>
            </w:r>
          </w:p>
        </w:tc>
      </w:tr>
      <w:tr>
        <w:trPr>
          <w:trHeight w:val="358"/>
        </w:trPr>
        <w:tc>
          <w:tcPr>
            <w:tcW w:w="20" w:type="dxa"/>
            <w:vAlign w:val="bottom"/>
          </w:tcPr>
          <w:p>
            <w:pPr>
              <w:spacing w:after="0"/>
              <w:rPr>
                <w:sz w:val="24"/>
                <w:szCs w:val="24"/>
                <w:color w:val="auto"/>
              </w:rPr>
            </w:pPr>
          </w:p>
        </w:tc>
        <w:tc>
          <w:tcPr>
            <w:tcW w:w="358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jc w:val="right"/>
              <w:ind w:right="41"/>
              <w:spacing w:after="0"/>
              <w:rPr>
                <w:sz w:val="20"/>
                <w:szCs w:val="20"/>
                <w:color w:val="auto"/>
              </w:rPr>
            </w:pPr>
            <w:r>
              <w:rPr>
                <w:rFonts w:ascii="Arial" w:cs="Arial" w:eastAsia="Arial" w:hAnsi="Arial"/>
                <w:sz w:val="15"/>
                <w:szCs w:val="15"/>
                <w:b w:val="1"/>
                <w:bCs w:val="1"/>
                <w:color w:val="E2231A"/>
              </w:rPr>
              <w:t xml:space="preserve">2018 Proxy Statement  </w:t>
            </w:r>
            <w:r>
              <w:rPr>
                <w:rFonts w:ascii="Arial" w:cs="Arial" w:eastAsia="Arial" w:hAnsi="Arial"/>
                <w:sz w:val="18"/>
                <w:szCs w:val="18"/>
                <w:b w:val="1"/>
                <w:bCs w:val="1"/>
                <w:color w:val="E2231A"/>
              </w:rPr>
              <w:t>|</w:t>
            </w:r>
            <w:r>
              <w:rPr>
                <w:rFonts w:ascii="Arial" w:cs="Arial" w:eastAsia="Arial" w:hAnsi="Arial"/>
                <w:sz w:val="15"/>
                <w:szCs w:val="15"/>
                <w:b w:val="1"/>
                <w:bCs w:val="1"/>
                <w:color w:val="E2231A"/>
              </w:rPr>
              <w:t xml:space="preserve">  </w:t>
            </w:r>
            <w:r>
              <w:rPr>
                <w:rFonts w:ascii="Arial" w:cs="Arial" w:eastAsia="Arial" w:hAnsi="Arial"/>
                <w:sz w:val="18"/>
                <w:szCs w:val="18"/>
                <w:b w:val="1"/>
                <w:bCs w:val="1"/>
                <w:color w:val="000000"/>
              </w:rPr>
              <w:t>19</w:t>
            </w:r>
          </w:p>
        </w:tc>
      </w:tr>
    </w:tbl>
    <w:p>
      <w:pPr>
        <w:sectPr>
          <w:pgSz w:w="11900" w:h="16838" w:orient="portrait"/>
          <w:cols w:equalWidth="0" w:num="1">
            <w:col w:w="11240"/>
          </w:cols>
          <w:pgMar w:left="240" w:top="459" w:right="4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45" w:lineRule="exact"/>
        <w:rPr>
          <w:sz w:val="20"/>
          <w:szCs w:val="20"/>
          <w:color w:val="auto"/>
        </w:rPr>
      </w:pPr>
    </w:p>
    <w:p>
      <w:pPr>
        <w:ind w:left="520" w:hanging="316"/>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Non-Executive Chairman of the Board</w:t>
      </w:r>
    </w:p>
    <w:p>
      <w:pPr>
        <w:spacing w:after="0" w:line="82"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“C”</w:t>
        <w:tab/>
        <w:t>Denotes member and chairman of committee</w:t>
      </w:r>
    </w:p>
    <w:p>
      <w:pPr>
        <w:spacing w:after="0" w:line="123"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“X”</w:t>
        <w:tab/>
        <w:t>Denotes member</w:t>
      </w:r>
    </w:p>
    <w:p>
      <w:pPr>
        <w:spacing w:after="0" w:line="82"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“E”</w:t>
        <w:tab/>
        <w:t>Denotes Ex Officio member</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Audit Committee</w:t>
      </w:r>
    </w:p>
    <w:p>
      <w:pPr>
        <w:spacing w:after="0" w:line="192"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In 2017, the Audit Committee held 9 meetings. Each of the members of the Audit Committee is a non-employee director. In addition, the Board has determined that all of the members of the Audit Committee are independent, financially literate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and financial experts, as further discussed under “Audit Committee Report.” For a description of the Audit Committee’s responsibilities and findings and additional information about the Audit Committee, see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-2247265</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20"/>
            <w:col w:w="5360"/>
          </w:cols>
          <w:pgMar w:left="240" w:top="459" w:right="479" w:bottom="1440" w:gutter="0" w:footer="0" w:header="0"/>
        </w:sectPr>
      </w:pP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w:t>
      </w:r>
    </w:p>
    <w:p>
      <w:pPr>
        <w:spacing w:after="0" w:line="192" w:lineRule="exact"/>
        <w:rPr>
          <w:sz w:val="20"/>
          <w:szCs w:val="20"/>
          <w:color w:val="auto"/>
        </w:rPr>
      </w:pPr>
    </w:p>
    <w:p>
      <w:pPr>
        <w:ind w:left="220" w:right="20"/>
        <w:spacing w:after="0" w:line="247" w:lineRule="auto"/>
        <w:rPr>
          <w:sz w:val="20"/>
          <w:szCs w:val="20"/>
          <w:color w:val="auto"/>
        </w:rPr>
      </w:pPr>
      <w:r>
        <w:rPr>
          <w:rFonts w:ascii="Arial" w:cs="Arial" w:eastAsia="Arial" w:hAnsi="Arial"/>
          <w:sz w:val="16"/>
          <w:szCs w:val="16"/>
          <w:color w:val="auto"/>
        </w:rPr>
        <w:t>In 2017, the Compensation Committee held 4 meetings. Each of the members of the Compensation Committee is a non-employee director. In addition, the Board has determined that all of the members of the Compensation Committee are independent as defined in the listing standards of the NYSE, including the independence standards applicable to compensation committees.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utilizes an independent compensation consultant to assist it in its duties. The Compensation Committee operates under a written charter setting forth its functions and responsibilities. A copy of the current charter is available on our website at www.lear.com or in printed form upon request.</w:t>
      </w:r>
    </w:p>
    <w:p>
      <w:pPr>
        <w:spacing w:after="0" w:line="104"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w:t>
      </w:r>
    </w:p>
    <w:p>
      <w:pPr>
        <w:spacing w:after="0" w:line="200" w:lineRule="exact"/>
        <w:rPr>
          <w:sz w:val="20"/>
          <w:szCs w:val="20"/>
          <w:color w:val="auto"/>
        </w:rPr>
      </w:pPr>
    </w:p>
    <w:p>
      <w:pPr>
        <w:spacing w:after="0" w:line="257" w:lineRule="exact"/>
        <w:rPr>
          <w:sz w:val="20"/>
          <w:szCs w:val="20"/>
          <w:color w:val="auto"/>
        </w:rPr>
      </w:pPr>
    </w:p>
    <w:p>
      <w:pPr>
        <w:ind w:left="660" w:hanging="354"/>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awards. Under our equity award policy, an aggregate equity award pool to non-executive officers may be approved by the Compensation Committee and allocated to individuals by the Company’s CEO. The policy also allows the Compensation Committee to delegate to the CEO the ability to grant equity awards to non-executive officer employees who are newly hired or promoted or deemed to be deserving of special retention or recognition awards.</w:t>
      </w:r>
    </w:p>
    <w:p>
      <w:pPr>
        <w:spacing w:after="0" w:line="10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with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Compensation Committee or the Company.</w:t>
      </w:r>
    </w:p>
    <w:p>
      <w:pPr>
        <w:sectPr>
          <w:pgSz w:w="11900" w:h="16838" w:orient="portrait"/>
          <w:cols w:equalWidth="0" w:num="2">
            <w:col w:w="5500" w:space="320"/>
            <w:col w:w="5360"/>
          </w:cols>
          <w:pgMar w:left="240" w:top="459" w:right="4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ectPr>
          <w:pgSz w:w="11900" w:h="16838" w:orient="portrait"/>
          <w:cols w:equalWidth="0" w:num="1">
            <w:col w:w="11220"/>
          </w:cols>
          <w:pgMar w:left="240" w:top="459" w:right="439" w:bottom="1440" w:gutter="0" w:footer="0" w:header="0"/>
        </w:sectPr>
      </w:pPr>
    </w:p>
    <w:p>
      <w:pPr>
        <w:spacing w:after="0" w:line="337"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The Compensation Committee has reviewed the independence of Pay Governance in light of SEC rules and NYSE listing standards regarding compensation consultants and has concluded that Pay Governance’s work for the Compensation Committee does not raise any conflict of interest.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In 2017, the Company’s management retained Frederic W. Cook &amp; Co., Inc. to assist in the review of various executive compensation programs. The Company and the Compensation Committee reviewed the engagement of the management consultant under the SEC disclosure rules and found that no conflicts of interest existed with respect to such engagement.</w:t>
      </w:r>
    </w:p>
    <w:p>
      <w:pPr>
        <w:spacing w:after="0" w:line="200" w:lineRule="exact"/>
        <w:rPr>
          <w:sz w:val="20"/>
          <w:szCs w:val="20"/>
          <w:color w:val="auto"/>
        </w:rPr>
      </w:pPr>
    </w:p>
    <w:p>
      <w:pPr>
        <w:sectPr>
          <w:pgSz w:w="11900" w:h="16838" w:orient="portrait"/>
          <w:cols w:equalWidth="0" w:num="2">
            <w:col w:w="5300" w:space="520"/>
            <w:col w:w="5400"/>
          </w:cols>
          <w:pgMar w:left="240" w:top="459" w:right="439" w:bottom="1440" w:gutter="0" w:footer="0" w:header="0"/>
          <w:type w:val="continuous"/>
        </w:sectPr>
      </w:pP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Nominating Committee</w:t>
      </w:r>
    </w:p>
    <w:p>
      <w:pPr>
        <w:spacing w:after="0" w:line="192" w:lineRule="exact"/>
        <w:rPr>
          <w:sz w:val="20"/>
          <w:szCs w:val="20"/>
          <w:color w:val="auto"/>
        </w:rPr>
      </w:pPr>
    </w:p>
    <w:p>
      <w:pPr>
        <w:ind w:left="200" w:right="260"/>
        <w:spacing w:after="0" w:line="250" w:lineRule="auto"/>
        <w:rPr>
          <w:sz w:val="20"/>
          <w:szCs w:val="20"/>
          <w:color w:val="auto"/>
        </w:rPr>
      </w:pPr>
      <w:r>
        <w:rPr>
          <w:rFonts w:ascii="Arial" w:cs="Arial" w:eastAsia="Arial" w:hAnsi="Arial"/>
          <w:sz w:val="16"/>
          <w:szCs w:val="16"/>
          <w:color w:val="auto"/>
        </w:rPr>
        <w:t>In 2017, the Nominating Committee held 5 meetings. Each of the members of the Nominating Committee is a non-employee director. In addition, the Board has determined that all of the members of the Nominating Committee are independent as defined in the listing standards of the NYSE.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Nominating Committee is responsible for, among other things:</w:t>
      </w:r>
    </w:p>
    <w:p>
      <w:pPr>
        <w:spacing w:after="0" w:line="5" w:lineRule="exact"/>
        <w:rPr>
          <w:sz w:val="20"/>
          <w:szCs w:val="20"/>
          <w:color w:val="auto"/>
        </w:rPr>
      </w:pPr>
    </w:p>
    <w:p>
      <w:pPr>
        <w:ind w:left="200" w:firstLine="4"/>
        <w:spacing w:after="0" w:line="250" w:lineRule="auto"/>
        <w:tabs>
          <w:tab w:leader="none" w:pos="3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consistent with criteria approved by the Board; (ii) recommending director nominees to the Board for election at the next annual meeting of the stockholders of the Company; (iii) in the event of a vacancy on or an increase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the size of the Board, recommending director nominees to the Board to fill such vacancy or newly established Board seat; (iv) recommending directors to the Board for membership on each committee of the Board;</w:t>
      </w:r>
    </w:p>
    <w:p>
      <w:pPr>
        <w:spacing w:after="0" w:line="1" w:lineRule="exact"/>
        <w:rPr>
          <w:sz w:val="20"/>
          <w:szCs w:val="20"/>
          <w:color w:val="auto"/>
        </w:rPr>
      </w:pPr>
    </w:p>
    <w:p>
      <w:pPr>
        <w:ind w:right="120" w:firstLine="4"/>
        <w:spacing w:after="0" w:line="249" w:lineRule="auto"/>
        <w:tabs>
          <w:tab w:leader="none" w:pos="234"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establishing and reviewing annually our Corporate Governance Guidelines and Code of Business Conduct and Ethics; and (vi) reviewing potential conflicts of interest involving our executive officers. The Nominating Committee operates under a written charter setting forth its functions and responsibilities. A copy of the current charter is available on our website at www.lear.com or in printed form upon request.</w:t>
      </w:r>
    </w:p>
    <w:p>
      <w:pPr>
        <w:spacing w:after="0" w:line="688"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96"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Terrence B. Larkin, Executive Vice President, Business Development,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196" w:lineRule="exact"/>
        <w:rPr>
          <w:sz w:val="20"/>
          <w:szCs w:val="20"/>
          <w:color w:val="auto"/>
        </w:rPr>
      </w:pPr>
    </w:p>
    <w:p>
      <w:pPr>
        <w:ind w:left="200" w:right="300"/>
        <w:spacing w:after="0" w:line="260" w:lineRule="auto"/>
        <w:rPr>
          <w:sz w:val="20"/>
          <w:szCs w:val="20"/>
          <w:color w:val="auto"/>
        </w:rPr>
      </w:pPr>
      <w:r>
        <w:rPr>
          <w:rFonts w:ascii="Arial" w:cs="Arial" w:eastAsia="Arial" w:hAnsi="Arial"/>
          <w:sz w:val="16"/>
          <w:szCs w:val="16"/>
          <w:color w:val="auto"/>
        </w:rPr>
        <w:t>In 2009, the Company filed for reorganization under chapter 11 of the Bankruptcy Code. At such time, Mr. Scott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serving as our Senior Vice President and President, E-Systems.</w:t>
      </w:r>
    </w:p>
    <w:p>
      <w:pPr>
        <w:spacing w:after="0" w:line="200" w:lineRule="exact"/>
        <w:rPr>
          <w:sz w:val="20"/>
          <w:szCs w:val="20"/>
          <w:color w:val="auto"/>
        </w:rPr>
      </w:pPr>
    </w:p>
    <w:p>
      <w:pPr>
        <w:spacing w:after="0" w:line="267" w:lineRule="exact"/>
        <w:rPr>
          <w:sz w:val="20"/>
          <w:szCs w:val="20"/>
          <w:color w:val="auto"/>
        </w:rPr>
      </w:pPr>
    </w:p>
    <w:p>
      <w:pPr>
        <w:ind w:left="3160"/>
        <w:spacing w:after="0"/>
        <w:tabs>
          <w:tab w:leader="none" w:pos="4880" w:val="left"/>
          <w:tab w:leader="none" w:pos="50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21</w:t>
      </w:r>
    </w:p>
    <w:p>
      <w:pPr>
        <w:sectPr>
          <w:pgSz w:w="11900" w:h="16838" w:orient="portrait"/>
          <w:cols w:equalWidth="0" w:num="2">
            <w:col w:w="5460" w:space="360"/>
            <w:col w:w="5400"/>
          </w:cols>
          <w:pgMar w:left="24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auto"/>
        </w:rPr>
        <w:t>The following table summarizes the annual compensation for our non-employee directors during 2017. A summary of the director compensation program and elements is presented after the table below.</w:t>
      </w:r>
    </w:p>
    <w:p>
      <w:pPr>
        <w:spacing w:after="0" w:line="195"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FFFFFF"/>
        </w:rPr>
        <w:t>2017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699770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820" w:type="dxa"/>
            <w:vAlign w:val="bottom"/>
            <w:gridSpan w:val="2"/>
          </w:tcPr>
          <w:p>
            <w:pPr>
              <w:ind w:left="2000"/>
              <w:spacing w:after="0"/>
              <w:rPr>
                <w:sz w:val="20"/>
                <w:szCs w:val="20"/>
                <w:color w:val="auto"/>
              </w:rPr>
            </w:pPr>
            <w:r>
              <w:rPr>
                <w:rFonts w:ascii="Arial" w:cs="Arial" w:eastAsia="Arial" w:hAnsi="Arial"/>
                <w:sz w:val="14"/>
                <w:szCs w:val="14"/>
                <w:b w:val="1"/>
                <w:bCs w:val="1"/>
                <w:color w:val="E2231A"/>
              </w:rPr>
              <w:t>Fees Earned or Paid</w:t>
            </w: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9"/>
        </w:trPr>
        <w:tc>
          <w:tcPr>
            <w:tcW w:w="3560" w:type="dxa"/>
            <w:vAlign w:val="bottom"/>
            <w:gridSpan w:val="2"/>
          </w:tcPr>
          <w:p>
            <w:pPr>
              <w:spacing w:after="0"/>
              <w:rPr>
                <w:sz w:val="20"/>
                <w:szCs w:val="20"/>
                <w:color w:val="auto"/>
              </w:rPr>
            </w:pPr>
            <w:r>
              <w:rPr>
                <w:rFonts w:ascii="Arial" w:cs="Arial" w:eastAsia="Arial" w:hAnsi="Arial"/>
                <w:sz w:val="14"/>
                <w:szCs w:val="14"/>
                <w:b w:val="1"/>
                <w:bCs w:val="1"/>
                <w:color w:val="E2231A"/>
              </w:rPr>
              <w:t>Name</w:t>
            </w:r>
          </w:p>
        </w:tc>
        <w:tc>
          <w:tcPr>
            <w:tcW w:w="2180" w:type="dxa"/>
            <w:vAlign w:val="bottom"/>
          </w:tcPr>
          <w:p>
            <w:pPr>
              <w:spacing w:after="0"/>
              <w:rPr>
                <w:sz w:val="15"/>
                <w:szCs w:val="15"/>
                <w:color w:val="auto"/>
              </w:rPr>
            </w:pPr>
          </w:p>
        </w:tc>
        <w:tc>
          <w:tcPr>
            <w:tcW w:w="1640" w:type="dxa"/>
            <w:vAlign w:val="bottom"/>
          </w:tcPr>
          <w:p>
            <w:pPr>
              <w:jc w:val="right"/>
              <w:ind w:right="641"/>
              <w:spacing w:after="0" w:line="179" w:lineRule="exact"/>
              <w:rPr>
                <w:sz w:val="20"/>
                <w:szCs w:val="20"/>
                <w:color w:val="auto"/>
              </w:rPr>
            </w:pPr>
            <w:r>
              <w:rPr>
                <w:rFonts w:ascii="Arial" w:cs="Arial" w:eastAsia="Arial" w:hAnsi="Arial"/>
                <w:sz w:val="12"/>
                <w:szCs w:val="12"/>
                <w:b w:val="1"/>
                <w:bCs w:val="1"/>
                <w:color w:val="E2231A"/>
              </w:rPr>
              <w:t>in Cash</w:t>
            </w:r>
            <w:r>
              <w:rPr>
                <w:rFonts w:ascii="Arial" w:cs="Arial" w:eastAsia="Arial" w:hAnsi="Arial"/>
                <w:sz w:val="20"/>
                <w:szCs w:val="20"/>
                <w:b w:val="1"/>
                <w:bCs w:val="1"/>
                <w:color w:val="E2231A"/>
                <w:vertAlign w:val="superscript"/>
              </w:rPr>
              <w:t>(2)(3)</w:t>
            </w:r>
          </w:p>
        </w:tc>
        <w:tc>
          <w:tcPr>
            <w:tcW w:w="1960" w:type="dxa"/>
            <w:vAlign w:val="bottom"/>
            <w:gridSpan w:val="2"/>
          </w:tcPr>
          <w:p>
            <w:pPr>
              <w:ind w:left="440"/>
              <w:spacing w:after="0" w:line="179" w:lineRule="exact"/>
              <w:rPr>
                <w:sz w:val="20"/>
                <w:szCs w:val="20"/>
                <w:color w:val="auto"/>
              </w:rPr>
            </w:pPr>
            <w:r>
              <w:rPr>
                <w:rFonts w:ascii="Arial" w:cs="Arial" w:eastAsia="Arial" w:hAnsi="Arial"/>
                <w:sz w:val="12"/>
                <w:szCs w:val="12"/>
                <w:b w:val="1"/>
                <w:bCs w:val="1"/>
                <w:color w:val="E2231A"/>
              </w:rPr>
              <w:t>Stock Awards</w:t>
            </w:r>
            <w:r>
              <w:rPr>
                <w:rFonts w:ascii="Arial" w:cs="Arial" w:eastAsia="Arial" w:hAnsi="Arial"/>
                <w:sz w:val="20"/>
                <w:szCs w:val="20"/>
                <w:b w:val="1"/>
                <w:bCs w:val="1"/>
                <w:color w:val="E2231A"/>
                <w:vertAlign w:val="superscript"/>
              </w:rPr>
              <w:t>(4)</w:t>
            </w:r>
          </w:p>
        </w:tc>
        <w:tc>
          <w:tcPr>
            <w:tcW w:w="1700" w:type="dxa"/>
            <w:vAlign w:val="bottom"/>
          </w:tcPr>
          <w:p>
            <w:pPr>
              <w:jc w:val="center"/>
              <w:ind w:right="80"/>
              <w:spacing w:after="0"/>
              <w:rPr>
                <w:sz w:val="20"/>
                <w:szCs w:val="20"/>
                <w:color w:val="auto"/>
              </w:rPr>
            </w:pPr>
            <w:r>
              <w:rPr>
                <w:rFonts w:ascii="Arial" w:cs="Arial" w:eastAsia="Arial" w:hAnsi="Arial"/>
                <w:sz w:val="14"/>
                <w:szCs w:val="14"/>
                <w:b w:val="1"/>
                <w:bCs w:val="1"/>
                <w:color w:val="E2231A"/>
              </w:rPr>
              <w:t>Total</w:t>
            </w:r>
          </w:p>
        </w:tc>
      </w:tr>
      <w:tr>
        <w:trPr>
          <w:trHeight w:val="183"/>
        </w:trPr>
        <w:tc>
          <w:tcPr>
            <w:tcW w:w="20" w:type="dxa"/>
            <w:vAlign w:val="bottom"/>
          </w:tcPr>
          <w:p>
            <w:pPr>
              <w:spacing w:after="0"/>
              <w:rPr>
                <w:sz w:val="15"/>
                <w:szCs w:val="15"/>
                <w:color w:val="auto"/>
              </w:rPr>
            </w:pPr>
          </w:p>
        </w:tc>
        <w:tc>
          <w:tcPr>
            <w:tcW w:w="3540" w:type="dxa"/>
            <w:vAlign w:val="bottom"/>
            <w:tcBorders>
              <w:top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Richard H. Bott</w:t>
            </w:r>
          </w:p>
        </w:tc>
        <w:tc>
          <w:tcPr>
            <w:tcW w:w="2180" w:type="dxa"/>
            <w:vAlign w:val="bottom"/>
            <w:tcBorders>
              <w:top w:val="single" w:sz="8" w:color="auto"/>
            </w:tcBorders>
            <w:shd w:val="clear" w:color="auto" w:fill="FCE9E8"/>
          </w:tcPr>
          <w:p>
            <w:pPr>
              <w:ind w:left="2000"/>
              <w:spacing w:after="0" w:line="183" w:lineRule="exact"/>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FCE9E8"/>
          </w:tcPr>
          <w:p>
            <w:pPr>
              <w:jc w:val="right"/>
              <w:ind w:right="361"/>
              <w:spacing w:after="0" w:line="183" w:lineRule="exact"/>
              <w:rPr>
                <w:sz w:val="20"/>
                <w:szCs w:val="20"/>
                <w:color w:val="auto"/>
              </w:rPr>
            </w:pPr>
            <w:r>
              <w:rPr>
                <w:rFonts w:ascii="Arial" w:cs="Arial" w:eastAsia="Arial" w:hAnsi="Arial"/>
                <w:sz w:val="16"/>
                <w:szCs w:val="16"/>
                <w:color w:val="auto"/>
              </w:rPr>
              <w:t>112,000</w:t>
            </w:r>
          </w:p>
        </w:tc>
        <w:tc>
          <w:tcPr>
            <w:tcW w:w="720" w:type="dxa"/>
            <w:vAlign w:val="bottom"/>
            <w:tcBorders>
              <w:top w:val="single" w:sz="8" w:color="auto"/>
            </w:tcBorders>
            <w:shd w:val="clear" w:color="auto" w:fill="FCE9E8"/>
          </w:tcPr>
          <w:p>
            <w:pPr>
              <w:ind w:left="420"/>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FCE9E8"/>
          </w:tcPr>
          <w:p>
            <w:pPr>
              <w:jc w:val="right"/>
              <w:ind w:right="359"/>
              <w:spacing w:after="0" w:line="183" w:lineRule="exact"/>
              <w:rPr>
                <w:sz w:val="20"/>
                <w:szCs w:val="20"/>
                <w:color w:val="auto"/>
              </w:rPr>
            </w:pPr>
            <w:r>
              <w:rPr>
                <w:rFonts w:ascii="Arial" w:cs="Arial" w:eastAsia="Arial" w:hAnsi="Arial"/>
                <w:sz w:val="16"/>
                <w:szCs w:val="16"/>
                <w:color w:val="auto"/>
              </w:rPr>
              <w:t>149,883</w:t>
            </w:r>
          </w:p>
        </w:tc>
        <w:tc>
          <w:tcPr>
            <w:tcW w:w="1700" w:type="dxa"/>
            <w:vAlign w:val="bottom"/>
            <w:tcBorders>
              <w:top w:val="single" w:sz="8" w:color="auto"/>
            </w:tcBorders>
            <w:shd w:val="clear" w:color="auto" w:fill="FCE9E8"/>
          </w:tcPr>
          <w:p>
            <w:pPr>
              <w:jc w:val="center"/>
              <w:ind w:right="80"/>
              <w:spacing w:after="0" w:line="183" w:lineRule="exact"/>
              <w:rPr>
                <w:sz w:val="20"/>
                <w:szCs w:val="20"/>
                <w:color w:val="auto"/>
              </w:rPr>
            </w:pPr>
            <w:r>
              <w:rPr>
                <w:rFonts w:ascii="Arial" w:cs="Arial" w:eastAsia="Arial" w:hAnsi="Arial"/>
                <w:sz w:val="16"/>
                <w:szCs w:val="16"/>
                <w:color w:val="auto"/>
              </w:rPr>
              <w:t>$261,883</w:t>
            </w:r>
          </w:p>
        </w:tc>
      </w:tr>
      <w:tr>
        <w:trPr>
          <w:trHeight w:val="189"/>
        </w:trPr>
        <w:tc>
          <w:tcPr>
            <w:tcW w:w="3560" w:type="dxa"/>
            <w:vAlign w:val="bottom"/>
            <w:gridSpan w:val="2"/>
          </w:tcPr>
          <w:p>
            <w:pPr>
              <w:spacing w:after="0"/>
              <w:rPr>
                <w:sz w:val="20"/>
                <w:szCs w:val="20"/>
                <w:color w:val="auto"/>
              </w:rPr>
            </w:pPr>
            <w:r>
              <w:rPr>
                <w:rFonts w:ascii="Arial" w:cs="Arial" w:eastAsia="Arial" w:hAnsi="Arial"/>
                <w:sz w:val="16"/>
                <w:szCs w:val="16"/>
                <w:color w:val="auto"/>
              </w:rPr>
              <w:t>Thomas P. Capo</w:t>
            </w:r>
          </w:p>
        </w:tc>
        <w:tc>
          <w:tcPr>
            <w:tcW w:w="2180" w:type="dxa"/>
            <w:vAlign w:val="bottom"/>
          </w:tcPr>
          <w:p>
            <w:pPr>
              <w:ind w:left="200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132,000</w:t>
            </w:r>
          </w:p>
        </w:tc>
        <w:tc>
          <w:tcPr>
            <w:tcW w:w="720" w:type="dxa"/>
            <w:vAlign w:val="bottom"/>
          </w:tcPr>
          <w:p>
            <w:pPr>
              <w:ind w:left="4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149,883</w:t>
            </w:r>
          </w:p>
        </w:tc>
        <w:tc>
          <w:tcPr>
            <w:tcW w:w="1700" w:type="dxa"/>
            <w:vAlign w:val="bottom"/>
          </w:tcPr>
          <w:p>
            <w:pPr>
              <w:jc w:val="center"/>
              <w:ind w:right="80"/>
              <w:spacing w:after="0"/>
              <w:rPr>
                <w:sz w:val="20"/>
                <w:szCs w:val="20"/>
                <w:color w:val="auto"/>
              </w:rPr>
            </w:pPr>
            <w:r>
              <w:rPr>
                <w:rFonts w:ascii="Arial" w:cs="Arial" w:eastAsia="Arial" w:hAnsi="Arial"/>
                <w:sz w:val="16"/>
                <w:szCs w:val="16"/>
                <w:color w:val="auto"/>
              </w:rPr>
              <w:t>$281,883</w:t>
            </w:r>
          </w:p>
        </w:tc>
      </w:tr>
      <w:tr>
        <w:trPr>
          <w:trHeight w:val="189"/>
        </w:trPr>
        <w:tc>
          <w:tcPr>
            <w:tcW w:w="20" w:type="dxa"/>
            <w:vAlign w:val="bottom"/>
          </w:tcPr>
          <w:p>
            <w:pPr>
              <w:spacing w:after="0"/>
              <w:rPr>
                <w:sz w:val="16"/>
                <w:szCs w:val="16"/>
                <w:color w:val="auto"/>
              </w:rPr>
            </w:pPr>
          </w:p>
        </w:tc>
        <w:tc>
          <w:tcPr>
            <w:tcW w:w="354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Jonathan F. Foster</w:t>
            </w:r>
            <w:r>
              <w:rPr>
                <w:rFonts w:ascii="Arial" w:cs="Arial" w:eastAsia="Arial" w:hAnsi="Arial"/>
                <w:sz w:val="21"/>
                <w:szCs w:val="21"/>
                <w:color w:val="auto"/>
                <w:vertAlign w:val="superscript"/>
              </w:rPr>
              <w:t>(1)</w:t>
            </w:r>
          </w:p>
        </w:tc>
        <w:tc>
          <w:tcPr>
            <w:tcW w:w="2180" w:type="dxa"/>
            <w:vAlign w:val="bottom"/>
            <w:shd w:val="clear" w:color="auto" w:fill="FCE9E8"/>
          </w:tcPr>
          <w:p>
            <w:pPr>
              <w:ind w:left="2000"/>
              <w:spacing w:after="0"/>
              <w:rPr>
                <w:sz w:val="20"/>
                <w:szCs w:val="20"/>
                <w:color w:val="auto"/>
              </w:rPr>
            </w:pPr>
            <w:r>
              <w:rPr>
                <w:rFonts w:ascii="Arial" w:cs="Arial" w:eastAsia="Arial" w:hAnsi="Arial"/>
                <w:sz w:val="16"/>
                <w:szCs w:val="16"/>
                <w:color w:val="auto"/>
              </w:rPr>
              <w:t>$</w:t>
            </w:r>
          </w:p>
        </w:tc>
        <w:tc>
          <w:tcPr>
            <w:tcW w:w="16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131,583</w:t>
            </w:r>
          </w:p>
        </w:tc>
        <w:tc>
          <w:tcPr>
            <w:tcW w:w="7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rPr>
              <w:t>149,883</w:t>
            </w:r>
          </w:p>
        </w:tc>
        <w:tc>
          <w:tcPr>
            <w:tcW w:w="1700" w:type="dxa"/>
            <w:vAlign w:val="bottom"/>
            <w:shd w:val="clear" w:color="auto" w:fill="FCE9E8"/>
          </w:tcPr>
          <w:p>
            <w:pPr>
              <w:jc w:val="center"/>
              <w:ind w:right="80"/>
              <w:spacing w:after="0"/>
              <w:rPr>
                <w:sz w:val="20"/>
                <w:szCs w:val="20"/>
                <w:color w:val="auto"/>
              </w:rPr>
            </w:pPr>
            <w:r>
              <w:rPr>
                <w:rFonts w:ascii="Arial" w:cs="Arial" w:eastAsia="Arial" w:hAnsi="Arial"/>
                <w:sz w:val="16"/>
                <w:szCs w:val="16"/>
                <w:color w:val="auto"/>
              </w:rPr>
              <w:t>$281,466</w:t>
            </w:r>
          </w:p>
        </w:tc>
      </w:tr>
      <w:tr>
        <w:trPr>
          <w:trHeight w:val="189"/>
        </w:trPr>
        <w:tc>
          <w:tcPr>
            <w:tcW w:w="3560" w:type="dxa"/>
            <w:vAlign w:val="bottom"/>
            <w:gridSpan w:val="2"/>
          </w:tcPr>
          <w:p>
            <w:pPr>
              <w:spacing w:after="0"/>
              <w:rPr>
                <w:sz w:val="20"/>
                <w:szCs w:val="20"/>
                <w:color w:val="auto"/>
              </w:rPr>
            </w:pPr>
            <w:r>
              <w:rPr>
                <w:rFonts w:ascii="Arial" w:cs="Arial" w:eastAsia="Arial" w:hAnsi="Arial"/>
                <w:sz w:val="16"/>
                <w:szCs w:val="16"/>
                <w:color w:val="auto"/>
              </w:rPr>
              <w:t>Mary Lou Jepsen</w:t>
            </w:r>
          </w:p>
        </w:tc>
        <w:tc>
          <w:tcPr>
            <w:tcW w:w="2180" w:type="dxa"/>
            <w:vAlign w:val="bottom"/>
          </w:tcPr>
          <w:p>
            <w:pPr>
              <w:ind w:left="200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110,000</w:t>
            </w:r>
          </w:p>
        </w:tc>
        <w:tc>
          <w:tcPr>
            <w:tcW w:w="720" w:type="dxa"/>
            <w:vAlign w:val="bottom"/>
          </w:tcPr>
          <w:p>
            <w:pPr>
              <w:ind w:left="4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149,883</w:t>
            </w:r>
          </w:p>
        </w:tc>
        <w:tc>
          <w:tcPr>
            <w:tcW w:w="1700" w:type="dxa"/>
            <w:vAlign w:val="bottom"/>
          </w:tcPr>
          <w:p>
            <w:pPr>
              <w:jc w:val="center"/>
              <w:ind w:right="80"/>
              <w:spacing w:after="0"/>
              <w:rPr>
                <w:sz w:val="20"/>
                <w:szCs w:val="20"/>
                <w:color w:val="auto"/>
              </w:rPr>
            </w:pPr>
            <w:r>
              <w:rPr>
                <w:rFonts w:ascii="Arial" w:cs="Arial" w:eastAsia="Arial" w:hAnsi="Arial"/>
                <w:sz w:val="16"/>
                <w:szCs w:val="16"/>
                <w:color w:val="auto"/>
              </w:rPr>
              <w:t>$259,883</w:t>
            </w:r>
          </w:p>
        </w:tc>
      </w:tr>
      <w:tr>
        <w:trPr>
          <w:trHeight w:val="189"/>
        </w:trPr>
        <w:tc>
          <w:tcPr>
            <w:tcW w:w="20" w:type="dxa"/>
            <w:vAlign w:val="bottom"/>
          </w:tcPr>
          <w:p>
            <w:pPr>
              <w:spacing w:after="0"/>
              <w:rPr>
                <w:sz w:val="16"/>
                <w:szCs w:val="16"/>
                <w:color w:val="auto"/>
              </w:rPr>
            </w:pPr>
          </w:p>
        </w:tc>
        <w:tc>
          <w:tcPr>
            <w:tcW w:w="354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Kathleen A. Ligocki</w:t>
            </w:r>
            <w:r>
              <w:rPr>
                <w:rFonts w:ascii="Arial" w:cs="Arial" w:eastAsia="Arial" w:hAnsi="Arial"/>
                <w:sz w:val="21"/>
                <w:szCs w:val="21"/>
                <w:color w:val="auto"/>
                <w:vertAlign w:val="superscript"/>
              </w:rPr>
              <w:t>(1)</w:t>
            </w:r>
          </w:p>
        </w:tc>
        <w:tc>
          <w:tcPr>
            <w:tcW w:w="2180" w:type="dxa"/>
            <w:vAlign w:val="bottom"/>
            <w:shd w:val="clear" w:color="auto" w:fill="FCE9E8"/>
          </w:tcPr>
          <w:p>
            <w:pPr>
              <w:ind w:left="2000"/>
              <w:spacing w:after="0"/>
              <w:rPr>
                <w:sz w:val="20"/>
                <w:szCs w:val="20"/>
                <w:color w:val="auto"/>
              </w:rPr>
            </w:pPr>
            <w:r>
              <w:rPr>
                <w:rFonts w:ascii="Arial" w:cs="Arial" w:eastAsia="Arial" w:hAnsi="Arial"/>
                <w:sz w:val="16"/>
                <w:szCs w:val="16"/>
                <w:color w:val="auto"/>
              </w:rPr>
              <w:t>$</w:t>
            </w:r>
          </w:p>
        </w:tc>
        <w:tc>
          <w:tcPr>
            <w:tcW w:w="16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120,000</w:t>
            </w:r>
          </w:p>
        </w:tc>
        <w:tc>
          <w:tcPr>
            <w:tcW w:w="7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rPr>
              <w:t>149,883</w:t>
            </w:r>
          </w:p>
        </w:tc>
        <w:tc>
          <w:tcPr>
            <w:tcW w:w="1700" w:type="dxa"/>
            <w:vAlign w:val="bottom"/>
            <w:shd w:val="clear" w:color="auto" w:fill="FCE9E8"/>
          </w:tcPr>
          <w:p>
            <w:pPr>
              <w:jc w:val="center"/>
              <w:ind w:right="80"/>
              <w:spacing w:after="0"/>
              <w:rPr>
                <w:sz w:val="20"/>
                <w:szCs w:val="20"/>
                <w:color w:val="auto"/>
              </w:rPr>
            </w:pPr>
            <w:r>
              <w:rPr>
                <w:rFonts w:ascii="Arial" w:cs="Arial" w:eastAsia="Arial" w:hAnsi="Arial"/>
                <w:sz w:val="16"/>
                <w:szCs w:val="16"/>
                <w:color w:val="auto"/>
              </w:rPr>
              <w:t>$269,883</w:t>
            </w:r>
          </w:p>
        </w:tc>
      </w:tr>
      <w:tr>
        <w:trPr>
          <w:trHeight w:val="189"/>
        </w:trPr>
        <w:tc>
          <w:tcPr>
            <w:tcW w:w="3560" w:type="dxa"/>
            <w:vAlign w:val="bottom"/>
            <w:gridSpan w:val="2"/>
          </w:tcPr>
          <w:p>
            <w:pPr>
              <w:spacing w:after="0"/>
              <w:rPr>
                <w:sz w:val="20"/>
                <w:szCs w:val="20"/>
                <w:color w:val="auto"/>
              </w:rPr>
            </w:pPr>
            <w:r>
              <w:rPr>
                <w:rFonts w:ascii="Arial" w:cs="Arial" w:eastAsia="Arial" w:hAnsi="Arial"/>
                <w:sz w:val="16"/>
                <w:szCs w:val="16"/>
                <w:color w:val="auto"/>
              </w:rPr>
              <w:t>Conrad L. Mallett, Jr.</w:t>
            </w:r>
          </w:p>
        </w:tc>
        <w:tc>
          <w:tcPr>
            <w:tcW w:w="2180" w:type="dxa"/>
            <w:vAlign w:val="bottom"/>
          </w:tcPr>
          <w:p>
            <w:pPr>
              <w:ind w:left="200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110,000</w:t>
            </w:r>
          </w:p>
        </w:tc>
        <w:tc>
          <w:tcPr>
            <w:tcW w:w="720" w:type="dxa"/>
            <w:vAlign w:val="bottom"/>
          </w:tcPr>
          <w:p>
            <w:pPr>
              <w:ind w:left="4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149,883</w:t>
            </w:r>
          </w:p>
        </w:tc>
        <w:tc>
          <w:tcPr>
            <w:tcW w:w="1700" w:type="dxa"/>
            <w:vAlign w:val="bottom"/>
          </w:tcPr>
          <w:p>
            <w:pPr>
              <w:jc w:val="center"/>
              <w:ind w:right="80"/>
              <w:spacing w:after="0"/>
              <w:rPr>
                <w:sz w:val="20"/>
                <w:szCs w:val="20"/>
                <w:color w:val="auto"/>
              </w:rPr>
            </w:pPr>
            <w:r>
              <w:rPr>
                <w:rFonts w:ascii="Arial" w:cs="Arial" w:eastAsia="Arial" w:hAnsi="Arial"/>
                <w:sz w:val="16"/>
                <w:szCs w:val="16"/>
                <w:color w:val="auto"/>
              </w:rPr>
              <w:t>$259,883</w:t>
            </w:r>
          </w:p>
        </w:tc>
      </w:tr>
      <w:tr>
        <w:trPr>
          <w:trHeight w:val="189"/>
        </w:trPr>
        <w:tc>
          <w:tcPr>
            <w:tcW w:w="20" w:type="dxa"/>
            <w:vAlign w:val="bottom"/>
          </w:tcPr>
          <w:p>
            <w:pPr>
              <w:spacing w:after="0"/>
              <w:rPr>
                <w:sz w:val="16"/>
                <w:szCs w:val="16"/>
                <w:color w:val="auto"/>
              </w:rPr>
            </w:pPr>
          </w:p>
        </w:tc>
        <w:tc>
          <w:tcPr>
            <w:tcW w:w="3540" w:type="dxa"/>
            <w:vAlign w:val="bottom"/>
            <w:shd w:val="clear" w:color="auto" w:fill="FCE9E8"/>
          </w:tcPr>
          <w:p>
            <w:pPr>
              <w:spacing w:after="0"/>
              <w:rPr>
                <w:sz w:val="20"/>
                <w:szCs w:val="20"/>
                <w:color w:val="auto"/>
              </w:rPr>
            </w:pPr>
            <w:r>
              <w:rPr>
                <w:rFonts w:ascii="Arial" w:cs="Arial" w:eastAsia="Arial" w:hAnsi="Arial"/>
                <w:sz w:val="16"/>
                <w:szCs w:val="16"/>
                <w:color w:val="auto"/>
              </w:rPr>
              <w:t>Donald L. Runkle</w:t>
            </w:r>
          </w:p>
        </w:tc>
        <w:tc>
          <w:tcPr>
            <w:tcW w:w="2180" w:type="dxa"/>
            <w:vAlign w:val="bottom"/>
            <w:shd w:val="clear" w:color="auto" w:fill="FCE9E8"/>
          </w:tcPr>
          <w:p>
            <w:pPr>
              <w:ind w:left="2000"/>
              <w:spacing w:after="0"/>
              <w:rPr>
                <w:sz w:val="20"/>
                <w:szCs w:val="20"/>
                <w:color w:val="auto"/>
              </w:rPr>
            </w:pPr>
            <w:r>
              <w:rPr>
                <w:rFonts w:ascii="Arial" w:cs="Arial" w:eastAsia="Arial" w:hAnsi="Arial"/>
                <w:sz w:val="16"/>
                <w:szCs w:val="16"/>
                <w:color w:val="auto"/>
              </w:rPr>
              <w:t>$</w:t>
            </w:r>
          </w:p>
        </w:tc>
        <w:tc>
          <w:tcPr>
            <w:tcW w:w="16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110,000</w:t>
            </w:r>
          </w:p>
        </w:tc>
        <w:tc>
          <w:tcPr>
            <w:tcW w:w="7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rPr>
              <w:t>149,883</w:t>
            </w:r>
          </w:p>
        </w:tc>
        <w:tc>
          <w:tcPr>
            <w:tcW w:w="1700" w:type="dxa"/>
            <w:vAlign w:val="bottom"/>
            <w:shd w:val="clear" w:color="auto" w:fill="FCE9E8"/>
          </w:tcPr>
          <w:p>
            <w:pPr>
              <w:jc w:val="center"/>
              <w:ind w:right="80"/>
              <w:spacing w:after="0"/>
              <w:rPr>
                <w:sz w:val="20"/>
                <w:szCs w:val="20"/>
                <w:color w:val="auto"/>
              </w:rPr>
            </w:pPr>
            <w:r>
              <w:rPr>
                <w:rFonts w:ascii="Arial" w:cs="Arial" w:eastAsia="Arial" w:hAnsi="Arial"/>
                <w:sz w:val="16"/>
                <w:szCs w:val="16"/>
                <w:color w:val="auto"/>
              </w:rPr>
              <w:t>$259,883</w:t>
            </w: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3"/>
                <w:szCs w:val="13"/>
                <w:color w:val="auto"/>
              </w:rPr>
              <w:t>Gregory C. Smith</w:t>
            </w:r>
            <w:r>
              <w:rPr>
                <w:rFonts w:ascii="Arial" w:cs="Arial" w:eastAsia="Arial" w:hAnsi="Arial"/>
                <w:sz w:val="21"/>
                <w:szCs w:val="21"/>
                <w:color w:val="auto"/>
                <w:vertAlign w:val="superscript"/>
              </w:rPr>
              <w:t>(1)</w:t>
            </w:r>
          </w:p>
        </w:tc>
        <w:tc>
          <w:tcPr>
            <w:tcW w:w="2180" w:type="dxa"/>
            <w:vAlign w:val="bottom"/>
          </w:tcPr>
          <w:p>
            <w:pPr>
              <w:ind w:left="200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118,333</w:t>
            </w:r>
          </w:p>
        </w:tc>
        <w:tc>
          <w:tcPr>
            <w:tcW w:w="720" w:type="dxa"/>
            <w:vAlign w:val="bottom"/>
          </w:tcPr>
          <w:p>
            <w:pPr>
              <w:ind w:left="4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149,883</w:t>
            </w:r>
          </w:p>
        </w:tc>
        <w:tc>
          <w:tcPr>
            <w:tcW w:w="1700" w:type="dxa"/>
            <w:vAlign w:val="bottom"/>
          </w:tcPr>
          <w:p>
            <w:pPr>
              <w:jc w:val="center"/>
              <w:ind w:right="80"/>
              <w:spacing w:after="0"/>
              <w:rPr>
                <w:sz w:val="20"/>
                <w:szCs w:val="20"/>
                <w:color w:val="auto"/>
              </w:rPr>
            </w:pPr>
            <w:r>
              <w:rPr>
                <w:rFonts w:ascii="Arial" w:cs="Arial" w:eastAsia="Arial" w:hAnsi="Arial"/>
                <w:sz w:val="16"/>
                <w:szCs w:val="16"/>
                <w:color w:val="auto"/>
              </w:rPr>
              <w:t>$268,216</w:t>
            </w:r>
          </w:p>
        </w:tc>
      </w:tr>
      <w:tr>
        <w:trPr>
          <w:trHeight w:val="189"/>
        </w:trPr>
        <w:tc>
          <w:tcPr>
            <w:tcW w:w="20" w:type="dxa"/>
            <w:vAlign w:val="bottom"/>
          </w:tcPr>
          <w:p>
            <w:pPr>
              <w:spacing w:after="0"/>
              <w:rPr>
                <w:sz w:val="16"/>
                <w:szCs w:val="16"/>
                <w:color w:val="auto"/>
              </w:rPr>
            </w:pPr>
          </w:p>
        </w:tc>
        <w:tc>
          <w:tcPr>
            <w:tcW w:w="354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Henry D.G. Wallace</w:t>
            </w:r>
          </w:p>
        </w:tc>
        <w:tc>
          <w:tcPr>
            <w:tcW w:w="2180" w:type="dxa"/>
            <w:vAlign w:val="bottom"/>
            <w:tcBorders>
              <w:bottom w:val="single" w:sz="8" w:color="auto"/>
            </w:tcBorders>
            <w:shd w:val="clear" w:color="auto" w:fill="FCE9E8"/>
          </w:tcPr>
          <w:p>
            <w:pPr>
              <w:ind w:left="200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FCE9E8"/>
          </w:tcPr>
          <w:p>
            <w:pPr>
              <w:jc w:val="right"/>
              <w:ind w:right="361"/>
              <w:spacing w:after="0"/>
              <w:rPr>
                <w:sz w:val="20"/>
                <w:szCs w:val="20"/>
                <w:color w:val="auto"/>
              </w:rPr>
            </w:pPr>
            <w:r>
              <w:rPr>
                <w:rFonts w:ascii="Arial" w:cs="Arial" w:eastAsia="Arial" w:hAnsi="Arial"/>
                <w:sz w:val="16"/>
                <w:szCs w:val="16"/>
                <w:color w:val="auto"/>
              </w:rPr>
              <w:t>185,000</w:t>
            </w:r>
          </w:p>
        </w:tc>
        <w:tc>
          <w:tcPr>
            <w:tcW w:w="720" w:type="dxa"/>
            <w:vAlign w:val="bottom"/>
            <w:tcBorders>
              <w:bottom w:val="single" w:sz="8" w:color="auto"/>
            </w:tcBorders>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FCE9E8"/>
          </w:tcPr>
          <w:p>
            <w:pPr>
              <w:jc w:val="right"/>
              <w:ind w:right="359"/>
              <w:spacing w:after="0"/>
              <w:rPr>
                <w:sz w:val="20"/>
                <w:szCs w:val="20"/>
                <w:color w:val="auto"/>
              </w:rPr>
            </w:pPr>
            <w:r>
              <w:rPr>
                <w:rFonts w:ascii="Arial" w:cs="Arial" w:eastAsia="Arial" w:hAnsi="Arial"/>
                <w:sz w:val="16"/>
                <w:szCs w:val="16"/>
                <w:color w:val="auto"/>
              </w:rPr>
              <w:t>259,863</w:t>
            </w:r>
          </w:p>
        </w:tc>
        <w:tc>
          <w:tcPr>
            <w:tcW w:w="1700" w:type="dxa"/>
            <w:vAlign w:val="bottom"/>
            <w:tcBorders>
              <w:bottom w:val="single" w:sz="8" w:color="auto"/>
            </w:tcBorders>
            <w:shd w:val="clear" w:color="auto" w:fill="FCE9E8"/>
          </w:tcPr>
          <w:p>
            <w:pPr>
              <w:jc w:val="center"/>
              <w:ind w:right="80"/>
              <w:spacing w:after="0"/>
              <w:rPr>
                <w:sz w:val="20"/>
                <w:szCs w:val="20"/>
                <w:color w:val="auto"/>
              </w:rPr>
            </w:pPr>
            <w:r>
              <w:rPr>
                <w:rFonts w:ascii="Arial" w:cs="Arial" w:eastAsia="Arial" w:hAnsi="Arial"/>
                <w:sz w:val="16"/>
                <w:szCs w:val="16"/>
                <w:color w:val="auto"/>
              </w:rPr>
              <w:t>$444,863</w:t>
            </w:r>
          </w:p>
        </w:tc>
      </w:tr>
    </w:tbl>
    <w:p>
      <w:pPr>
        <w:spacing w:after="0" w:line="86" w:lineRule="exact"/>
        <w:rPr>
          <w:sz w:val="20"/>
          <w:szCs w:val="20"/>
          <w:color w:val="auto"/>
        </w:rPr>
      </w:pPr>
    </w:p>
    <w:p>
      <w:pPr>
        <w:ind w:left="520" w:right="400" w:hanging="316"/>
        <w:spacing w:after="0" w:line="183" w:lineRule="auto"/>
        <w:tabs>
          <w:tab w:leader="none" w:pos="5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In May 2017, Mr. Smith resigned as Chairman of the Audit Committee; Mr. Foster resigned as Chairman of the Nominating Committee and commenced serving as Chairman of the Audit Committee; and Ms. Ligocki commenced serving as Chair of the Nominating Committee.</w:t>
      </w:r>
    </w:p>
    <w:p>
      <w:pPr>
        <w:spacing w:after="0" w:line="71" w:lineRule="exact"/>
        <w:rPr>
          <w:rFonts w:ascii="Arial" w:cs="Arial" w:eastAsia="Arial" w:hAnsi="Arial"/>
          <w:sz w:val="24"/>
          <w:szCs w:val="24"/>
          <w:color w:val="auto"/>
          <w:vertAlign w:val="superscript"/>
        </w:rPr>
      </w:pPr>
    </w:p>
    <w:p>
      <w:pPr>
        <w:ind w:left="520" w:right="100" w:hanging="316"/>
        <w:spacing w:after="0"/>
        <w:tabs>
          <w:tab w:leader="none" w:pos="5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Includes cash retainer and other fees earned for service as directors in 2017. The base annual cash retainer is $110,000 and as described below, there is an additional cash retainer for the Non-Executive Chairman and the Chairman of each of the Audit Committee, Compensation Committee and the Nominating Committee. Messrs. Bott, Capo and Foster each received aggregate non-standing committee meeting fees of $2,000 in 2017 with respect to their attendance at two Financing Committee meetings.</w:t>
      </w:r>
    </w:p>
    <w:p>
      <w:pPr>
        <w:spacing w:after="0" w:line="60" w:lineRule="exact"/>
        <w:rPr>
          <w:rFonts w:ascii="Arial" w:cs="Arial" w:eastAsia="Arial" w:hAnsi="Arial"/>
          <w:sz w:val="24"/>
          <w:szCs w:val="24"/>
          <w:color w:val="auto"/>
          <w:vertAlign w:val="superscript"/>
        </w:rPr>
      </w:pPr>
    </w:p>
    <w:p>
      <w:pPr>
        <w:ind w:left="520" w:hanging="316"/>
        <w:spacing w:after="0" w:line="211" w:lineRule="auto"/>
        <w:tabs>
          <w:tab w:leader="none" w:pos="5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Three of our directors deferred the following amounts from their 2017 retainer fees: Dr. Jepsen – $9,167; Ms. Ligocki – $120,000; and Mr. Wallace – $185,000.</w:t>
      </w:r>
    </w:p>
    <w:p>
      <w:pPr>
        <w:spacing w:after="0" w:line="71" w:lineRule="exact"/>
        <w:rPr>
          <w:rFonts w:ascii="Arial" w:cs="Arial" w:eastAsia="Arial" w:hAnsi="Arial"/>
          <w:sz w:val="24"/>
          <w:szCs w:val="24"/>
          <w:color w:val="auto"/>
          <w:vertAlign w:val="superscript"/>
        </w:rPr>
      </w:pPr>
    </w:p>
    <w:p>
      <w:pPr>
        <w:ind w:left="520" w:right="120" w:hanging="316"/>
        <w:spacing w:after="0" w:line="199" w:lineRule="auto"/>
        <w:tabs>
          <w:tab w:leader="none" w:pos="5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For the annual grant of stock, the amounts reported in this column for each director reflect the aggregate grant date fair value determined in accordance with FASB Accounting Standards Codification™ (“ASC”) 718, “Compensation-Stock Compensation.” Messrs. Bott, Capo, Foster, Runkle and Wallace along with Ms. Ligocki and Dr. Jepsen deferred 100% of their 2017 annual stock grants into deferred stock units; Mr. Mallett deferred 91% of his 2017 annual stock grant into deferred stock units.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Summary of 2017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96" w:lineRule="exact"/>
        <w:rPr>
          <w:sz w:val="20"/>
          <w:szCs w:val="20"/>
          <w:color w:val="auto"/>
        </w:rPr>
      </w:pPr>
    </w:p>
    <w:p>
      <w:pPr>
        <w:ind w:left="200"/>
        <w:spacing w:after="0" w:line="246" w:lineRule="auto"/>
        <w:rPr>
          <w:sz w:val="20"/>
          <w:szCs w:val="20"/>
          <w:color w:val="auto"/>
        </w:rPr>
      </w:pPr>
      <w:r>
        <w:rPr>
          <w:rFonts w:ascii="Arial" w:cs="Arial" w:eastAsia="Arial" w:hAnsi="Arial"/>
          <w:sz w:val="16"/>
          <w:szCs w:val="16"/>
          <w:color w:val="auto"/>
        </w:rPr>
        <w:t>In order to attract and retain highly qualified directors to represent stockholders, our philosophy is to set compensation to be within a competitive range of non-employee director pay at comparable companies. At least every two years, the independent compensation consultant presents an analysis of director pay levels among our Comparator Group (described in “Compensation Discussion and Analysis</w:t>
      </w:r>
    </w:p>
    <w:p>
      <w:pPr>
        <w:spacing w:after="0" w:line="3" w:lineRule="exact"/>
        <w:rPr>
          <w:sz w:val="20"/>
          <w:szCs w:val="20"/>
          <w:color w:val="auto"/>
        </w:rPr>
      </w:pPr>
    </w:p>
    <w:p>
      <w:pPr>
        <w:ind w:left="200" w:right="340"/>
        <w:spacing w:after="0" w:line="260" w:lineRule="auto"/>
        <w:rPr>
          <w:sz w:val="20"/>
          <w:szCs w:val="20"/>
          <w:color w:val="auto"/>
        </w:rPr>
      </w:pPr>
      <w:r>
        <w:rPr>
          <w:rFonts w:ascii="Arial" w:cs="Arial" w:eastAsia="Arial" w:hAnsi="Arial"/>
          <w:sz w:val="16"/>
          <w:szCs w:val="16"/>
          <w:color w:val="auto"/>
        </w:rPr>
        <w:t>— Benchmarking” below) and a broader set of large companies. The most recent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competitive pay study was completed in September 2017. As noted below, changes, effective for 2018, were made to the director pay program based on consideration of the pay philosophy, results of the recent market pay analysis, recognition that the last time pay was changed was effective for 2016 and other factors. Based on the most recent benchmarking analysis, the director compensation is near the market median level within the Comparator Group.</w:t>
      </w:r>
    </w:p>
    <w:p>
      <w:pPr>
        <w:spacing w:after="0" w:line="402"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base annual cash retainer for each non-employee director under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Outside Directors Compensation Plan is $110,000 (increased to</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$115,000 beginning in 2018). The additional cash retainer for the chairs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the Compensation Committee and the Audit Committee is $20,000,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additional cash retainer for the chair of the Nominating Committee is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$15,000</w:t>
      </w:r>
    </w:p>
    <w:p>
      <w:pPr>
        <w:spacing w:after="0" w:line="264" w:lineRule="exact"/>
        <w:rPr>
          <w:sz w:val="20"/>
          <w:szCs w:val="20"/>
          <w:color w:val="auto"/>
        </w:rPr>
      </w:pPr>
    </w:p>
    <w:p>
      <w:pPr>
        <w:ind w:left="660" w:hanging="354"/>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and the additional cash retainer for the Presiding Director, if any, is</w:t>
      </w:r>
    </w:p>
    <w:p>
      <w:pPr>
        <w:spacing w:after="0" w:line="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$10,000. The annual cash retainer for each non-employee director is paid in advance in equal installments on the last business day of the month. Because the Company has an independent Non-Executive Chairman, there currently is no Presiding Director.</w:t>
      </w:r>
    </w:p>
    <w:p>
      <w:pPr>
        <w:sectPr>
          <w:pgSz w:w="11900" w:h="16838" w:orient="portrait"/>
          <w:cols w:equalWidth="0" w:num="2">
            <w:col w:w="5460" w:space="360"/>
            <w:col w:w="5420"/>
          </w:cols>
          <w:pgMar w:left="240" w:top="459" w:right="41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ectPr>
          <w:pgSz w:w="11900" w:h="16838" w:orient="portrait"/>
          <w:cols w:equalWidth="0" w:num="1">
            <w:col w:w="11220"/>
          </w:cols>
          <w:pgMar w:left="240" w:top="459" w:right="439" w:bottom="1440" w:gutter="0" w:footer="0" w:header="0"/>
        </w:sectPr>
      </w:pPr>
    </w:p>
    <w:p>
      <w:pPr>
        <w:spacing w:after="0" w:line="337"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Non-employee directors generally do not receive Board or standing committee meeting fees; however, each non-employee director is eligible to receive $1,500 for each Board meeting in excess of twelve that he/she attends in a calendar year. Meeting fees for a special committee of the</w:t>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96"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auto"/>
        </w:rPr>
        <w:t>Pursuant to the Outside Directors Compensation Plan, each non-employee director receives a base annual unrestricted grant of Lear common stock approximately equal in value to $150,000 (increased to $160,000 beginning in 2018) and</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Board are set by the Board at the time of the formation of the special committee and usually are set at the rate of $1,000 per meeting. Meeting fees, if any, are paid on the last business day of the month (for that month’s meeting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subject to the stock ownership guidelines described below. Stock grants are made on the date of the annual meeting of stockholders at which a director is elected or re-elected to serve on the Board.</w:t>
      </w:r>
    </w:p>
    <w:p>
      <w:pPr>
        <w:spacing w:after="0" w:line="387"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196"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auto"/>
        </w:rPr>
        <w:t>The additional compensation for our Non-Executive Chairman, currently Mr. Wallace, in 2017 was an additional annual cash retainer in the amount of $75,000 and an additional annual grant of Lear common stock equal in value to $110,000</w:t>
      </w:r>
    </w:p>
    <w:p>
      <w:pPr>
        <w:spacing w:after="0" w:line="3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Deferrals</w:t>
      </w:r>
    </w:p>
    <w:p>
      <w:pPr>
        <w:spacing w:after="0" w:line="196"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stock retainer into deferred stock units.</w:t>
      </w:r>
    </w:p>
    <w:p>
      <w:pPr>
        <w:spacing w:after="0" w:line="101"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auto"/>
        </w:rPr>
        <w:t>In general, amounts deferred are paid to a non-employee director as of the earliest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(increased to $80,000 and $120,000, respectively, beginning in 2018). The payment schedule for this additional annual compensation is the same as that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hanging="196"/>
        <w:spacing w:after="0"/>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date elected by such director;</w:t>
      </w:r>
    </w:p>
    <w:p>
      <w:pPr>
        <w:spacing w:after="0" w:line="126" w:lineRule="exact"/>
        <w:rPr>
          <w:rFonts w:ascii="Arial" w:cs="Arial" w:eastAsia="Arial" w:hAnsi="Arial"/>
          <w:sz w:val="16"/>
          <w:szCs w:val="16"/>
          <w:color w:val="auto"/>
        </w:rPr>
      </w:pPr>
    </w:p>
    <w:p>
      <w:pPr>
        <w:ind w:left="200" w:hanging="196"/>
        <w:spacing w:after="0"/>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date the director ceases to be a director; or</w:t>
      </w:r>
    </w:p>
    <w:p>
      <w:pPr>
        <w:spacing w:after="0" w:line="126" w:lineRule="exact"/>
        <w:rPr>
          <w:rFonts w:ascii="Arial" w:cs="Arial" w:eastAsia="Arial" w:hAnsi="Arial"/>
          <w:sz w:val="16"/>
          <w:szCs w:val="16"/>
          <w:color w:val="auto"/>
        </w:rPr>
      </w:pPr>
    </w:p>
    <w:p>
      <w:pPr>
        <w:ind w:left="200" w:right="600" w:hanging="196"/>
        <w:spacing w:after="0" w:line="260" w:lineRule="auto"/>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date a change of control (as defined in the Outside Directors Compensation Plan) occurs.</w:t>
      </w:r>
    </w:p>
    <w:p>
      <w:pPr>
        <w:spacing w:after="0" w:line="196"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Retainer, meeting fees and restricted cash amounts that are deferred are paid in cash in a single sum payment or, at the director’s election, in installments. Amounts of the stock grant that are deferred are paid in the form of shares of common stock in a lump sum or installments in accordance with the director’s election.</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96"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Each non-employee director must achieve a stock ownership level of a number of shares with a value equal to five times the base annual cash retainer and, beginning in 2014, must hold 50% of the net shares from their annual stock grants received</w:t>
      </w:r>
    </w:p>
    <w:p>
      <w:pPr>
        <w:spacing w:after="0" w:line="3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96" w:lineRule="exact"/>
        <w:rPr>
          <w:sz w:val="20"/>
          <w:szCs w:val="20"/>
          <w:color w:val="auto"/>
        </w:rPr>
      </w:pPr>
    </w:p>
    <w:p>
      <w:pPr>
        <w:ind w:left="200" w:right="80"/>
        <w:spacing w:after="0" w:line="260" w:lineRule="auto"/>
        <w:rPr>
          <w:sz w:val="20"/>
          <w:szCs w:val="20"/>
          <w:color w:val="auto"/>
        </w:rPr>
      </w:pPr>
      <w:r>
        <w:rPr>
          <w:rFonts w:ascii="Arial" w:cs="Arial" w:eastAsia="Arial" w:hAnsi="Arial"/>
          <w:sz w:val="16"/>
          <w:szCs w:val="16"/>
          <w:color w:val="auto"/>
        </w:rPr>
        <w:t>Directors who are also our employees receive no compensation for their services as directors except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until they are in compliance with these guidelines. As of our latest measurement date (December 31, 2017), all of our non-employee directors (other than Dr. Jepsen, who joined the Board in March 2016 and is in compliance with the 50% hold requirement) have met the required ownership guideline level.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reimbursement of expenses incurred in attending meetings of our Board or Board committees.</w:t>
      </w:r>
    </w:p>
    <w:p>
      <w:pPr>
        <w:spacing w:after="0" w:line="238" w:lineRule="exact"/>
        <w:rPr>
          <w:sz w:val="20"/>
          <w:szCs w:val="20"/>
          <w:color w:val="auto"/>
        </w:rPr>
      </w:pPr>
    </w:p>
    <w:p>
      <w:pPr>
        <w:ind w:left="3160"/>
        <w:spacing w:after="0"/>
        <w:tabs>
          <w:tab w:leader="none" w:pos="4880" w:val="left"/>
          <w:tab w:leader="none" w:pos="50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23</w:t>
      </w:r>
    </w:p>
    <w:p>
      <w:pPr>
        <w:sectPr>
          <w:pgSz w:w="11900" w:h="16838" w:orient="portrait"/>
          <w:cols w:equalWidth="0" w:num="2">
            <w:col w:w="5440" w:space="380"/>
            <w:col w:w="5400"/>
          </w:cols>
          <w:pgMar w:left="24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auto"/>
        </w:rPr>
        <w:t>The following table sets forth, as of March 22, 2018 (except as indicated below), beneficial ownership, as defined by SEC rules, of our common stock and ownership of RSUs by the persons or groups specified. Each of the persons listed below has sole voting and investment power with respect to the beneficially owned shares listed unless otherwise indicated. The percentage calculations set forth in the table are based on 66,274,418 shares of common stock outstanding on March 22, 2018, rather than based on the percentages set forth in stockholders’ Schedules 13G or 13D, as applicable, filed with the SEC.</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80" w:type="dxa"/>
            <w:vAlign w:val="bottom"/>
          </w:tcPr>
          <w:p>
            <w:pPr>
              <w:jc w:val="center"/>
              <w:ind w:left="281"/>
              <w:spacing w:after="0"/>
              <w:rPr>
                <w:sz w:val="20"/>
                <w:szCs w:val="20"/>
                <w:color w:val="auto"/>
              </w:rPr>
            </w:pPr>
            <w:r>
              <w:rPr>
                <w:rFonts w:ascii="Arial" w:cs="Arial" w:eastAsia="Arial" w:hAnsi="Arial"/>
                <w:sz w:val="14"/>
                <w:szCs w:val="14"/>
                <w:b w:val="1"/>
                <w:bCs w:val="1"/>
                <w:color w:val="E2231A"/>
              </w:rPr>
              <w:t>Number of</w:t>
            </w:r>
          </w:p>
        </w:tc>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80" w:type="dxa"/>
            <w:vAlign w:val="bottom"/>
          </w:tcPr>
          <w:p>
            <w:pPr>
              <w:jc w:val="center"/>
              <w:ind w:left="301"/>
              <w:spacing w:after="0"/>
              <w:rPr>
                <w:sz w:val="20"/>
                <w:szCs w:val="20"/>
                <w:color w:val="auto"/>
              </w:rPr>
            </w:pPr>
            <w:r>
              <w:rPr>
                <w:rFonts w:ascii="Arial" w:cs="Arial" w:eastAsia="Arial" w:hAnsi="Arial"/>
                <w:sz w:val="14"/>
                <w:szCs w:val="14"/>
                <w:b w:val="1"/>
                <w:bCs w:val="1"/>
                <w:color w:val="E2231A"/>
              </w:rPr>
              <w:t>Shares of</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E2231A"/>
              </w:rPr>
              <w:t>Percentage of</w:t>
            </w:r>
          </w:p>
        </w:tc>
        <w:tc>
          <w:tcPr>
            <w:tcW w:w="15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80" w:type="dxa"/>
            <w:vAlign w:val="bottom"/>
          </w:tcPr>
          <w:p>
            <w:pPr>
              <w:jc w:val="center"/>
              <w:ind w:left="301"/>
              <w:spacing w:after="0"/>
              <w:rPr>
                <w:sz w:val="20"/>
                <w:szCs w:val="20"/>
                <w:color w:val="auto"/>
              </w:rPr>
            </w:pPr>
            <w:r>
              <w:rPr>
                <w:rFonts w:ascii="Arial" w:cs="Arial" w:eastAsia="Arial" w:hAnsi="Arial"/>
                <w:sz w:val="14"/>
                <w:szCs w:val="14"/>
                <w:b w:val="1"/>
                <w:bCs w:val="1"/>
                <w:color w:val="E2231A"/>
              </w:rPr>
              <w:t>Common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E2231A"/>
              </w:rPr>
              <w:t>Common</w:t>
            </w:r>
          </w:p>
        </w:tc>
        <w:tc>
          <w:tcPr>
            <w:tcW w:w="1560" w:type="dxa"/>
            <w:vAlign w:val="bottom"/>
          </w:tcPr>
          <w:p>
            <w:pPr>
              <w:jc w:val="center"/>
              <w:ind w:right="101"/>
              <w:spacing w:after="0"/>
              <w:rPr>
                <w:sz w:val="20"/>
                <w:szCs w:val="20"/>
                <w:color w:val="auto"/>
              </w:rPr>
            </w:pPr>
            <w:r>
              <w:rPr>
                <w:rFonts w:ascii="Arial" w:cs="Arial" w:eastAsia="Arial" w:hAnsi="Arial"/>
                <w:sz w:val="14"/>
                <w:szCs w:val="14"/>
                <w:b w:val="1"/>
                <w:bCs w:val="1"/>
                <w:color w:val="E2231A"/>
              </w:rPr>
              <w:t>Number</w:t>
            </w: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80" w:type="dxa"/>
            <w:vAlign w:val="bottom"/>
          </w:tcPr>
          <w:p>
            <w:pPr>
              <w:jc w:val="center"/>
              <w:ind w:left="281"/>
              <w:spacing w:after="0"/>
              <w:rPr>
                <w:sz w:val="20"/>
                <w:szCs w:val="20"/>
                <w:color w:val="auto"/>
              </w:rPr>
            </w:pPr>
            <w:r>
              <w:rPr>
                <w:rFonts w:ascii="Arial" w:cs="Arial" w:eastAsia="Arial" w:hAnsi="Arial"/>
                <w:sz w:val="14"/>
                <w:szCs w:val="14"/>
                <w:b w:val="1"/>
                <w:bCs w:val="1"/>
                <w:color w:val="E2231A"/>
              </w:rPr>
              <w:t>Stock</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E2231A"/>
              </w:rPr>
              <w:t>Stock</w:t>
            </w:r>
          </w:p>
        </w:tc>
        <w:tc>
          <w:tcPr>
            <w:tcW w:w="1560" w:type="dxa"/>
            <w:vAlign w:val="bottom"/>
          </w:tcPr>
          <w:p>
            <w:pPr>
              <w:jc w:val="center"/>
              <w:ind w:right="101"/>
              <w:spacing w:after="0"/>
              <w:rPr>
                <w:sz w:val="20"/>
                <w:szCs w:val="20"/>
                <w:color w:val="auto"/>
              </w:rPr>
            </w:pPr>
            <w:r>
              <w:rPr>
                <w:rFonts w:ascii="Arial" w:cs="Arial" w:eastAsia="Arial" w:hAnsi="Arial"/>
                <w:sz w:val="14"/>
                <w:szCs w:val="14"/>
                <w:b w:val="1"/>
                <w:bCs w:val="1"/>
                <w:color w:val="E2231A"/>
              </w:rPr>
              <w:t>of</w:t>
            </w:r>
          </w:p>
        </w:tc>
      </w:tr>
      <w:tr>
        <w:trPr>
          <w:trHeight w:val="159"/>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80" w:type="dxa"/>
            <w:vAlign w:val="bottom"/>
          </w:tcPr>
          <w:p>
            <w:pPr>
              <w:jc w:val="center"/>
              <w:ind w:left="281"/>
              <w:spacing w:after="0" w:line="159" w:lineRule="exact"/>
              <w:rPr>
                <w:sz w:val="20"/>
                <w:szCs w:val="20"/>
                <w:color w:val="auto"/>
              </w:rPr>
            </w:pPr>
            <w:r>
              <w:rPr>
                <w:rFonts w:ascii="Arial" w:cs="Arial" w:eastAsia="Arial" w:hAnsi="Arial"/>
                <w:sz w:val="14"/>
                <w:szCs w:val="14"/>
                <w:b w:val="1"/>
                <w:bCs w:val="1"/>
                <w:color w:val="E2231A"/>
              </w:rPr>
              <w:t>Owned</w:t>
            </w:r>
          </w:p>
        </w:tc>
        <w:tc>
          <w:tcPr>
            <w:tcW w:w="188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Owned</w:t>
            </w:r>
          </w:p>
        </w:tc>
        <w:tc>
          <w:tcPr>
            <w:tcW w:w="1560" w:type="dxa"/>
            <w:vAlign w:val="bottom"/>
          </w:tcPr>
          <w:p>
            <w:pPr>
              <w:jc w:val="center"/>
              <w:ind w:right="101"/>
              <w:spacing w:after="0" w:line="159" w:lineRule="exact"/>
              <w:rPr>
                <w:sz w:val="20"/>
                <w:szCs w:val="20"/>
                <w:color w:val="auto"/>
              </w:rPr>
            </w:pPr>
            <w:r>
              <w:rPr>
                <w:rFonts w:ascii="Arial" w:cs="Arial" w:eastAsia="Arial" w:hAnsi="Arial"/>
                <w:sz w:val="14"/>
                <w:szCs w:val="14"/>
                <w:b w:val="1"/>
                <w:bCs w:val="1"/>
                <w:color w:val="E2231A"/>
              </w:rPr>
              <w:t>RSUs</w:t>
            </w:r>
          </w:p>
        </w:tc>
      </w:tr>
      <w:tr>
        <w:trPr>
          <w:trHeight w:val="179"/>
        </w:trPr>
        <w:tc>
          <w:tcPr>
            <w:tcW w:w="20" w:type="dxa"/>
            <w:vAlign w:val="bottom"/>
          </w:tcPr>
          <w:p>
            <w:pPr>
              <w:spacing w:after="0"/>
              <w:rPr>
                <w:sz w:val="15"/>
                <w:szCs w:val="15"/>
                <w:color w:val="auto"/>
              </w:rPr>
            </w:pPr>
          </w:p>
        </w:tc>
        <w:tc>
          <w:tcPr>
            <w:tcW w:w="55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left="281"/>
              <w:spacing w:after="0"/>
              <w:rPr>
                <w:sz w:val="20"/>
                <w:szCs w:val="20"/>
                <w:color w:val="auto"/>
              </w:rPr>
            </w:pPr>
            <w:r>
              <w:rPr>
                <w:rFonts w:ascii="Arial" w:cs="Arial" w:eastAsia="Arial" w:hAnsi="Arial"/>
                <w:sz w:val="14"/>
                <w:szCs w:val="14"/>
                <w:b w:val="1"/>
                <w:bCs w:val="1"/>
                <w:color w:val="E2231A"/>
              </w:rPr>
              <w:t>Beneficially</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Beneficially</w:t>
            </w:r>
          </w:p>
        </w:tc>
        <w:tc>
          <w:tcPr>
            <w:tcW w:w="1560" w:type="dxa"/>
            <w:vAlign w:val="bottom"/>
            <w:tcBorders>
              <w:bottom w:val="single" w:sz="8" w:color="auto"/>
            </w:tcBorders>
          </w:tcPr>
          <w:p>
            <w:pPr>
              <w:jc w:val="center"/>
              <w:ind w:right="101"/>
              <w:spacing w:after="0" w:line="179" w:lineRule="exact"/>
              <w:rPr>
                <w:sz w:val="20"/>
                <w:szCs w:val="20"/>
                <w:color w:val="auto"/>
              </w:rPr>
            </w:pPr>
            <w:r>
              <w:rPr>
                <w:rFonts w:ascii="Arial" w:cs="Arial" w:eastAsia="Arial" w:hAnsi="Arial"/>
                <w:sz w:val="12"/>
                <w:szCs w:val="12"/>
                <w:b w:val="1"/>
                <w:bCs w:val="1"/>
                <w:color w:val="E2231A"/>
              </w:rPr>
              <w:t>Owned</w:t>
            </w:r>
            <w:r>
              <w:rPr>
                <w:rFonts w:ascii="Arial" w:cs="Arial" w:eastAsia="Arial" w:hAnsi="Arial"/>
                <w:sz w:val="20"/>
                <w:szCs w:val="20"/>
                <w:b w:val="1"/>
                <w:bCs w:val="1"/>
                <w:color w:val="E2231A"/>
                <w:vertAlign w:val="superscript"/>
              </w:rPr>
              <w:t>(17)</w:t>
            </w:r>
          </w:p>
        </w:tc>
      </w:tr>
      <w:tr>
        <w:trPr>
          <w:trHeight w:val="183"/>
        </w:trPr>
        <w:tc>
          <w:tcPr>
            <w:tcW w:w="20" w:type="dxa"/>
            <w:vAlign w:val="bottom"/>
          </w:tcPr>
          <w:p>
            <w:pPr>
              <w:spacing w:after="0"/>
              <w:rPr>
                <w:sz w:val="15"/>
                <w:szCs w:val="15"/>
                <w:color w:val="auto"/>
              </w:rPr>
            </w:pPr>
          </w:p>
        </w:tc>
        <w:tc>
          <w:tcPr>
            <w:tcW w:w="5500" w:type="dxa"/>
            <w:vAlign w:val="bottom"/>
            <w:shd w:val="clear" w:color="auto" w:fill="FCE9E8"/>
          </w:tcPr>
          <w:p>
            <w:pPr>
              <w:spacing w:after="0" w:line="183" w:lineRule="exact"/>
              <w:rPr>
                <w:sz w:val="20"/>
                <w:szCs w:val="20"/>
                <w:color w:val="auto"/>
              </w:rPr>
            </w:pPr>
            <w:r>
              <w:rPr>
                <w:rFonts w:ascii="Arial" w:cs="Arial" w:eastAsia="Arial" w:hAnsi="Arial"/>
                <w:sz w:val="16"/>
                <w:szCs w:val="16"/>
                <w:b w:val="1"/>
                <w:bCs w:val="1"/>
                <w:color w:val="auto"/>
              </w:rPr>
              <w:t>5% Beneficial Owners:</w:t>
            </w:r>
          </w:p>
        </w:tc>
        <w:tc>
          <w:tcPr>
            <w:tcW w:w="2080" w:type="dxa"/>
            <w:vAlign w:val="bottom"/>
            <w:shd w:val="clear" w:color="auto" w:fill="FCE9E8"/>
          </w:tcPr>
          <w:p>
            <w:pPr>
              <w:spacing w:after="0"/>
              <w:rPr>
                <w:sz w:val="15"/>
                <w:szCs w:val="15"/>
                <w:color w:val="auto"/>
              </w:rPr>
            </w:pPr>
          </w:p>
        </w:tc>
        <w:tc>
          <w:tcPr>
            <w:tcW w:w="1880" w:type="dxa"/>
            <w:vAlign w:val="bottom"/>
            <w:shd w:val="clear" w:color="auto" w:fill="FCE9E8"/>
          </w:tcPr>
          <w:p>
            <w:pPr>
              <w:spacing w:after="0"/>
              <w:rPr>
                <w:sz w:val="15"/>
                <w:szCs w:val="15"/>
                <w:color w:val="auto"/>
              </w:rPr>
            </w:pPr>
          </w:p>
        </w:tc>
        <w:tc>
          <w:tcPr>
            <w:tcW w:w="1560" w:type="dxa"/>
            <w:vAlign w:val="bottom"/>
            <w:shd w:val="clear" w:color="auto" w:fill="FCE9E8"/>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3"/>
                <w:szCs w:val="13"/>
                <w:color w:val="auto"/>
              </w:rPr>
              <w:t>BlackRock, Inc.</w:t>
            </w:r>
            <w:r>
              <w:rPr>
                <w:rFonts w:ascii="Arial" w:cs="Arial" w:eastAsia="Arial" w:hAnsi="Arial"/>
                <w:sz w:val="21"/>
                <w:szCs w:val="21"/>
                <w:color w:val="auto"/>
                <w:vertAlign w:val="superscript"/>
              </w:rPr>
              <w:t>(1)</w:t>
            </w:r>
          </w:p>
        </w:tc>
        <w:tc>
          <w:tcPr>
            <w:tcW w:w="2080" w:type="dxa"/>
            <w:vAlign w:val="bottom"/>
          </w:tcPr>
          <w:p>
            <w:pPr>
              <w:jc w:val="right"/>
              <w:ind w:right="381"/>
              <w:spacing w:after="0"/>
              <w:rPr>
                <w:sz w:val="20"/>
                <w:szCs w:val="20"/>
                <w:color w:val="auto"/>
              </w:rPr>
            </w:pPr>
            <w:r>
              <w:rPr>
                <w:rFonts w:ascii="Arial" w:cs="Arial" w:eastAsia="Arial" w:hAnsi="Arial"/>
                <w:sz w:val="16"/>
                <w:szCs w:val="16"/>
                <w:color w:val="auto"/>
              </w:rPr>
              <w:t>5,297,482</w:t>
            </w:r>
          </w:p>
        </w:tc>
        <w:tc>
          <w:tcPr>
            <w:tcW w:w="1880" w:type="dxa"/>
            <w:vAlign w:val="bottom"/>
          </w:tcPr>
          <w:p>
            <w:pPr>
              <w:jc w:val="right"/>
              <w:ind w:right="261"/>
              <w:spacing w:after="0"/>
              <w:rPr>
                <w:sz w:val="20"/>
                <w:szCs w:val="20"/>
                <w:color w:val="auto"/>
              </w:rPr>
            </w:pPr>
            <w:r>
              <w:rPr>
                <w:rFonts w:ascii="Arial" w:cs="Arial" w:eastAsia="Arial" w:hAnsi="Arial"/>
                <w:sz w:val="16"/>
                <w:szCs w:val="16"/>
                <w:color w:val="auto"/>
              </w:rPr>
              <w:t>8.0%</w:t>
            </w:r>
          </w:p>
        </w:tc>
        <w:tc>
          <w:tcPr>
            <w:tcW w:w="1560" w:type="dxa"/>
            <w:vAlign w:val="bottom"/>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The Vanguard Group</w:t>
            </w:r>
            <w:r>
              <w:rPr>
                <w:rFonts w:ascii="Arial" w:cs="Arial" w:eastAsia="Arial" w:hAnsi="Arial"/>
                <w:sz w:val="21"/>
                <w:szCs w:val="21"/>
                <w:color w:val="auto"/>
                <w:vertAlign w:val="superscript"/>
              </w:rPr>
              <w:t>(2)</w:t>
            </w:r>
          </w:p>
        </w:tc>
        <w:tc>
          <w:tcPr>
            <w:tcW w:w="208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6,366,824</w:t>
            </w:r>
          </w:p>
        </w:tc>
        <w:tc>
          <w:tcPr>
            <w:tcW w:w="188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9.6%</w:t>
            </w:r>
          </w:p>
        </w:tc>
        <w:tc>
          <w:tcPr>
            <w:tcW w:w="156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Jeffrey H. Vanneste</w:t>
            </w:r>
            <w:r>
              <w:rPr>
                <w:rFonts w:ascii="Arial" w:cs="Arial" w:eastAsia="Arial" w:hAnsi="Arial"/>
                <w:sz w:val="21"/>
                <w:szCs w:val="21"/>
                <w:color w:val="auto"/>
                <w:vertAlign w:val="superscript"/>
              </w:rPr>
              <w:t>(3)(4)</w:t>
            </w:r>
          </w:p>
        </w:tc>
        <w:tc>
          <w:tcPr>
            <w:tcW w:w="208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26,242</w:t>
            </w:r>
          </w:p>
        </w:tc>
        <w:tc>
          <w:tcPr>
            <w:tcW w:w="188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4,820</w:t>
            </w: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3"/>
                <w:szCs w:val="13"/>
                <w:color w:val="auto"/>
              </w:rPr>
              <w:t>Raymond E. Scott</w:t>
            </w:r>
            <w:r>
              <w:rPr>
                <w:rFonts w:ascii="Arial" w:cs="Arial" w:eastAsia="Arial" w:hAnsi="Arial"/>
                <w:sz w:val="21"/>
                <w:szCs w:val="21"/>
                <w:color w:val="auto"/>
                <w:vertAlign w:val="superscript"/>
              </w:rPr>
              <w:t>(3)(5)(6)</w:t>
            </w:r>
          </w:p>
        </w:tc>
        <w:tc>
          <w:tcPr>
            <w:tcW w:w="2080" w:type="dxa"/>
            <w:vAlign w:val="bottom"/>
          </w:tcPr>
          <w:p>
            <w:pPr>
              <w:jc w:val="right"/>
              <w:ind w:right="381"/>
              <w:spacing w:after="0"/>
              <w:rPr>
                <w:sz w:val="20"/>
                <w:szCs w:val="20"/>
                <w:color w:val="auto"/>
              </w:rPr>
            </w:pPr>
            <w:r>
              <w:rPr>
                <w:rFonts w:ascii="Arial" w:cs="Arial" w:eastAsia="Arial" w:hAnsi="Arial"/>
                <w:sz w:val="16"/>
                <w:szCs w:val="16"/>
                <w:color w:val="auto"/>
              </w:rPr>
              <w:t>9,524</w:t>
            </w:r>
          </w:p>
        </w:tc>
        <w:tc>
          <w:tcPr>
            <w:tcW w:w="18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41"/>
              <w:spacing w:after="0"/>
              <w:rPr>
                <w:sz w:val="20"/>
                <w:szCs w:val="20"/>
                <w:color w:val="auto"/>
              </w:rPr>
            </w:pPr>
            <w:r>
              <w:rPr>
                <w:rFonts w:ascii="Arial" w:cs="Arial" w:eastAsia="Arial" w:hAnsi="Arial"/>
                <w:sz w:val="16"/>
                <w:szCs w:val="16"/>
                <w:color w:val="auto"/>
              </w:rPr>
              <w:t>33,585</w:t>
            </w:r>
          </w:p>
        </w:tc>
      </w:tr>
      <w:tr>
        <w:trPr>
          <w:trHeight w:val="189"/>
        </w:trPr>
        <w:tc>
          <w:tcPr>
            <w:tcW w:w="20" w:type="dxa"/>
            <w:vAlign w:val="bottom"/>
          </w:tcPr>
          <w:p>
            <w:pPr>
              <w:spacing w:after="0"/>
              <w:rPr>
                <w:sz w:val="16"/>
                <w:szCs w:val="16"/>
                <w:color w:val="auto"/>
              </w:rPr>
            </w:pPr>
          </w:p>
        </w:tc>
        <w:tc>
          <w:tcPr>
            <w:tcW w:w="550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 xml:space="preserve">Matthew J. Simoncini </w:t>
            </w:r>
            <w:r>
              <w:rPr>
                <w:rFonts w:ascii="Arial" w:cs="Arial" w:eastAsia="Arial" w:hAnsi="Arial"/>
                <w:sz w:val="21"/>
                <w:szCs w:val="21"/>
                <w:color w:val="auto"/>
                <w:vertAlign w:val="superscript"/>
              </w:rPr>
              <w:t>(3)(7)</w:t>
            </w:r>
          </w:p>
        </w:tc>
        <w:tc>
          <w:tcPr>
            <w:tcW w:w="208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67,260</w:t>
            </w:r>
          </w:p>
        </w:tc>
        <w:tc>
          <w:tcPr>
            <w:tcW w:w="188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3"/>
                <w:szCs w:val="13"/>
                <w:color w:val="auto"/>
              </w:rPr>
              <w:t>Terrence B. Larkin</w:t>
            </w:r>
            <w:r>
              <w:rPr>
                <w:rFonts w:ascii="Arial" w:cs="Arial" w:eastAsia="Arial" w:hAnsi="Arial"/>
                <w:sz w:val="21"/>
                <w:szCs w:val="21"/>
                <w:color w:val="auto"/>
                <w:vertAlign w:val="superscript"/>
              </w:rPr>
              <w:t>(3)(8)</w:t>
            </w:r>
          </w:p>
        </w:tc>
        <w:tc>
          <w:tcPr>
            <w:tcW w:w="2080" w:type="dxa"/>
            <w:vAlign w:val="bottom"/>
          </w:tcPr>
          <w:p>
            <w:pPr>
              <w:jc w:val="right"/>
              <w:ind w:right="381"/>
              <w:spacing w:after="0"/>
              <w:rPr>
                <w:sz w:val="20"/>
                <w:szCs w:val="20"/>
                <w:color w:val="auto"/>
              </w:rPr>
            </w:pPr>
            <w:r>
              <w:rPr>
                <w:rFonts w:ascii="Arial" w:cs="Arial" w:eastAsia="Arial" w:hAnsi="Arial"/>
                <w:sz w:val="16"/>
                <w:szCs w:val="16"/>
                <w:color w:val="auto"/>
              </w:rPr>
              <w:t>16,085</w:t>
            </w:r>
          </w:p>
        </w:tc>
        <w:tc>
          <w:tcPr>
            <w:tcW w:w="18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41"/>
              <w:spacing w:after="0"/>
              <w:rPr>
                <w:sz w:val="20"/>
                <w:szCs w:val="20"/>
                <w:color w:val="auto"/>
              </w:rPr>
            </w:pPr>
            <w:r>
              <w:rPr>
                <w:rFonts w:ascii="Arial" w:cs="Arial" w:eastAsia="Arial" w:hAnsi="Arial"/>
                <w:sz w:val="16"/>
                <w:szCs w:val="16"/>
                <w:color w:val="auto"/>
              </w:rPr>
              <w:t>5,103</w:t>
            </w:r>
          </w:p>
        </w:tc>
      </w:tr>
      <w:tr>
        <w:trPr>
          <w:trHeight w:val="189"/>
        </w:trPr>
        <w:tc>
          <w:tcPr>
            <w:tcW w:w="20" w:type="dxa"/>
            <w:vAlign w:val="bottom"/>
          </w:tcPr>
          <w:p>
            <w:pPr>
              <w:spacing w:after="0"/>
              <w:rPr>
                <w:sz w:val="16"/>
                <w:szCs w:val="16"/>
                <w:color w:val="auto"/>
              </w:rPr>
            </w:pPr>
          </w:p>
        </w:tc>
        <w:tc>
          <w:tcPr>
            <w:tcW w:w="550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Frank Orsini</w:t>
            </w:r>
            <w:r>
              <w:rPr>
                <w:rFonts w:ascii="Arial" w:cs="Arial" w:eastAsia="Arial" w:hAnsi="Arial"/>
                <w:sz w:val="21"/>
                <w:szCs w:val="21"/>
                <w:color w:val="auto"/>
                <w:vertAlign w:val="superscript"/>
              </w:rPr>
              <w:t>(3)(5)</w:t>
            </w:r>
          </w:p>
        </w:tc>
        <w:tc>
          <w:tcPr>
            <w:tcW w:w="208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8,735</w:t>
            </w:r>
          </w:p>
        </w:tc>
        <w:tc>
          <w:tcPr>
            <w:tcW w:w="188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20,356</w:t>
            </w: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3"/>
                <w:szCs w:val="13"/>
                <w:color w:val="auto"/>
              </w:rPr>
              <w:t>Richard H. Bott</w:t>
            </w:r>
            <w:r>
              <w:rPr>
                <w:rFonts w:ascii="Arial" w:cs="Arial" w:eastAsia="Arial" w:hAnsi="Arial"/>
                <w:sz w:val="21"/>
                <w:szCs w:val="21"/>
                <w:color w:val="auto"/>
                <w:vertAlign w:val="superscript"/>
              </w:rPr>
              <w:t>(6)(9)</w:t>
            </w:r>
          </w:p>
        </w:tc>
        <w:tc>
          <w:tcPr>
            <w:tcW w:w="2080" w:type="dxa"/>
            <w:vAlign w:val="bottom"/>
          </w:tcPr>
          <w:p>
            <w:pPr>
              <w:jc w:val="right"/>
              <w:ind w:right="381"/>
              <w:spacing w:after="0"/>
              <w:rPr>
                <w:sz w:val="20"/>
                <w:szCs w:val="20"/>
                <w:color w:val="auto"/>
              </w:rPr>
            </w:pPr>
            <w:r>
              <w:rPr>
                <w:rFonts w:ascii="Arial" w:cs="Arial" w:eastAsia="Arial" w:hAnsi="Arial"/>
                <w:sz w:val="16"/>
                <w:szCs w:val="16"/>
                <w:color w:val="auto"/>
              </w:rPr>
              <w:t>6,457</w:t>
            </w:r>
          </w:p>
        </w:tc>
        <w:tc>
          <w:tcPr>
            <w:tcW w:w="18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Thomas P. Capo</w:t>
            </w:r>
            <w:r>
              <w:rPr>
                <w:rFonts w:ascii="Arial" w:cs="Arial" w:eastAsia="Arial" w:hAnsi="Arial"/>
                <w:sz w:val="21"/>
                <w:szCs w:val="21"/>
                <w:color w:val="auto"/>
                <w:vertAlign w:val="superscript"/>
              </w:rPr>
              <w:t>(6)(10)</w:t>
            </w:r>
          </w:p>
        </w:tc>
        <w:tc>
          <w:tcPr>
            <w:tcW w:w="208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10,773</w:t>
            </w:r>
          </w:p>
        </w:tc>
        <w:tc>
          <w:tcPr>
            <w:tcW w:w="188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3"/>
                <w:szCs w:val="13"/>
                <w:color w:val="auto"/>
              </w:rPr>
              <w:t>Jonathan F. Foster</w:t>
            </w:r>
            <w:r>
              <w:rPr>
                <w:rFonts w:ascii="Arial" w:cs="Arial" w:eastAsia="Arial" w:hAnsi="Arial"/>
                <w:sz w:val="21"/>
                <w:szCs w:val="21"/>
                <w:color w:val="auto"/>
                <w:vertAlign w:val="superscript"/>
              </w:rPr>
              <w:t>(6)(11)</w:t>
            </w:r>
          </w:p>
        </w:tc>
        <w:tc>
          <w:tcPr>
            <w:tcW w:w="2080" w:type="dxa"/>
            <w:vAlign w:val="bottom"/>
          </w:tcPr>
          <w:p>
            <w:pPr>
              <w:jc w:val="right"/>
              <w:ind w:right="381"/>
              <w:spacing w:after="0"/>
              <w:rPr>
                <w:sz w:val="20"/>
                <w:szCs w:val="20"/>
                <w:color w:val="auto"/>
              </w:rPr>
            </w:pPr>
            <w:r>
              <w:rPr>
                <w:rFonts w:ascii="Arial" w:cs="Arial" w:eastAsia="Arial" w:hAnsi="Arial"/>
                <w:sz w:val="16"/>
                <w:szCs w:val="16"/>
                <w:color w:val="auto"/>
              </w:rPr>
              <w:t>10,155</w:t>
            </w:r>
          </w:p>
        </w:tc>
        <w:tc>
          <w:tcPr>
            <w:tcW w:w="18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Mary Lou Jepsen</w:t>
            </w:r>
            <w:r>
              <w:rPr>
                <w:rFonts w:ascii="Arial" w:cs="Arial" w:eastAsia="Arial" w:hAnsi="Arial"/>
                <w:sz w:val="21"/>
                <w:szCs w:val="21"/>
                <w:color w:val="auto"/>
                <w:vertAlign w:val="superscript"/>
              </w:rPr>
              <w:t>(6)(12)</w:t>
            </w:r>
          </w:p>
        </w:tc>
        <w:tc>
          <w:tcPr>
            <w:tcW w:w="208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2,607</w:t>
            </w:r>
          </w:p>
        </w:tc>
        <w:tc>
          <w:tcPr>
            <w:tcW w:w="188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3"/>
                <w:szCs w:val="13"/>
                <w:color w:val="auto"/>
              </w:rPr>
              <w:t>Kathleen A. Ligocki</w:t>
            </w:r>
            <w:r>
              <w:rPr>
                <w:rFonts w:ascii="Arial" w:cs="Arial" w:eastAsia="Arial" w:hAnsi="Arial"/>
                <w:sz w:val="21"/>
                <w:szCs w:val="21"/>
                <w:color w:val="auto"/>
                <w:vertAlign w:val="superscript"/>
              </w:rPr>
              <w:t>(6)(13)</w:t>
            </w:r>
          </w:p>
        </w:tc>
        <w:tc>
          <w:tcPr>
            <w:tcW w:w="2080" w:type="dxa"/>
            <w:vAlign w:val="bottom"/>
          </w:tcPr>
          <w:p>
            <w:pPr>
              <w:jc w:val="right"/>
              <w:ind w:right="381"/>
              <w:spacing w:after="0"/>
              <w:rPr>
                <w:sz w:val="20"/>
                <w:szCs w:val="20"/>
                <w:color w:val="auto"/>
              </w:rPr>
            </w:pPr>
            <w:r>
              <w:rPr>
                <w:rFonts w:ascii="Arial" w:cs="Arial" w:eastAsia="Arial" w:hAnsi="Arial"/>
                <w:sz w:val="16"/>
                <w:szCs w:val="16"/>
                <w:color w:val="auto"/>
              </w:rPr>
              <w:t>12,067</w:t>
            </w:r>
          </w:p>
        </w:tc>
        <w:tc>
          <w:tcPr>
            <w:tcW w:w="18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Conrad L. Mallett, Jr.</w:t>
            </w:r>
            <w:r>
              <w:rPr>
                <w:rFonts w:ascii="Arial" w:cs="Arial" w:eastAsia="Arial" w:hAnsi="Arial"/>
                <w:sz w:val="21"/>
                <w:szCs w:val="21"/>
                <w:color w:val="auto"/>
                <w:vertAlign w:val="superscript"/>
              </w:rPr>
              <w:t>(6)(14)</w:t>
            </w:r>
          </w:p>
        </w:tc>
        <w:tc>
          <w:tcPr>
            <w:tcW w:w="208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7,128</w:t>
            </w:r>
          </w:p>
        </w:tc>
        <w:tc>
          <w:tcPr>
            <w:tcW w:w="188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3"/>
                <w:szCs w:val="13"/>
                <w:color w:val="auto"/>
              </w:rPr>
              <w:t>Donald L. Runkle</w:t>
            </w:r>
            <w:r>
              <w:rPr>
                <w:rFonts w:ascii="Arial" w:cs="Arial" w:eastAsia="Arial" w:hAnsi="Arial"/>
                <w:sz w:val="21"/>
                <w:szCs w:val="21"/>
                <w:color w:val="auto"/>
                <w:vertAlign w:val="superscript"/>
              </w:rPr>
              <w:t>(6)(15)</w:t>
            </w:r>
          </w:p>
        </w:tc>
        <w:tc>
          <w:tcPr>
            <w:tcW w:w="2080" w:type="dxa"/>
            <w:vAlign w:val="bottom"/>
          </w:tcPr>
          <w:p>
            <w:pPr>
              <w:jc w:val="right"/>
              <w:ind w:right="381"/>
              <w:spacing w:after="0"/>
              <w:rPr>
                <w:sz w:val="20"/>
                <w:szCs w:val="20"/>
                <w:color w:val="auto"/>
              </w:rPr>
            </w:pPr>
            <w:r>
              <w:rPr>
                <w:rFonts w:ascii="Arial" w:cs="Arial" w:eastAsia="Arial" w:hAnsi="Arial"/>
                <w:sz w:val="16"/>
                <w:szCs w:val="16"/>
                <w:color w:val="auto"/>
              </w:rPr>
              <w:t>10,379</w:t>
            </w:r>
          </w:p>
        </w:tc>
        <w:tc>
          <w:tcPr>
            <w:tcW w:w="18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Gregory C. Smith</w:t>
            </w:r>
            <w:r>
              <w:rPr>
                <w:rFonts w:ascii="Arial" w:cs="Arial" w:eastAsia="Arial" w:hAnsi="Arial"/>
                <w:sz w:val="21"/>
                <w:szCs w:val="21"/>
                <w:color w:val="auto"/>
                <w:vertAlign w:val="superscript"/>
              </w:rPr>
              <w:t>(6)</w:t>
            </w:r>
          </w:p>
        </w:tc>
        <w:tc>
          <w:tcPr>
            <w:tcW w:w="208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11,349</w:t>
            </w:r>
          </w:p>
        </w:tc>
        <w:tc>
          <w:tcPr>
            <w:tcW w:w="188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shd w:val="clear" w:color="auto" w:fill="FCE9E8"/>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3"/>
                <w:szCs w:val="13"/>
                <w:color w:val="auto"/>
              </w:rPr>
              <w:t>Henry D.G. Wallace</w:t>
            </w:r>
            <w:r>
              <w:rPr>
                <w:rFonts w:ascii="Arial" w:cs="Arial" w:eastAsia="Arial" w:hAnsi="Arial"/>
                <w:sz w:val="21"/>
                <w:szCs w:val="21"/>
                <w:color w:val="auto"/>
                <w:vertAlign w:val="superscript"/>
              </w:rPr>
              <w:t>(6)(16)</w:t>
            </w:r>
          </w:p>
        </w:tc>
        <w:tc>
          <w:tcPr>
            <w:tcW w:w="2080" w:type="dxa"/>
            <w:vAlign w:val="bottom"/>
          </w:tcPr>
          <w:p>
            <w:pPr>
              <w:jc w:val="right"/>
              <w:ind w:right="381"/>
              <w:spacing w:after="0"/>
              <w:rPr>
                <w:sz w:val="20"/>
                <w:szCs w:val="20"/>
                <w:color w:val="auto"/>
              </w:rPr>
            </w:pPr>
            <w:r>
              <w:rPr>
                <w:rFonts w:ascii="Arial" w:cs="Arial" w:eastAsia="Arial" w:hAnsi="Arial"/>
                <w:sz w:val="16"/>
                <w:szCs w:val="16"/>
                <w:color w:val="auto"/>
              </w:rPr>
              <w:t>17,848</w:t>
            </w:r>
          </w:p>
        </w:tc>
        <w:tc>
          <w:tcPr>
            <w:tcW w:w="18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41"/>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50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Total Executive Officers and Directors as a Group (19 individuals)</w:t>
            </w:r>
          </w:p>
        </w:tc>
        <w:tc>
          <w:tcPr>
            <w:tcW w:w="2080" w:type="dxa"/>
            <w:vAlign w:val="bottom"/>
            <w:tcBorders>
              <w:bottom w:val="single" w:sz="8" w:color="auto"/>
            </w:tcBorders>
            <w:shd w:val="clear" w:color="auto" w:fill="FCE9E8"/>
          </w:tcPr>
          <w:p>
            <w:pPr>
              <w:jc w:val="right"/>
              <w:ind w:right="381"/>
              <w:spacing w:after="0"/>
              <w:rPr>
                <w:sz w:val="20"/>
                <w:szCs w:val="20"/>
                <w:color w:val="auto"/>
              </w:rPr>
            </w:pPr>
            <w:r>
              <w:rPr>
                <w:rFonts w:ascii="Arial" w:cs="Arial" w:eastAsia="Arial" w:hAnsi="Arial"/>
                <w:sz w:val="16"/>
                <w:szCs w:val="16"/>
                <w:color w:val="auto"/>
              </w:rPr>
              <w:t>288,278</w:t>
            </w:r>
          </w:p>
        </w:tc>
        <w:tc>
          <w:tcPr>
            <w:tcW w:w="1880" w:type="dxa"/>
            <w:vAlign w:val="bottom"/>
            <w:tcBorders>
              <w:bottom w:val="single" w:sz="8" w:color="auto"/>
            </w:tcBorders>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FCE9E8"/>
          </w:tcPr>
          <w:p>
            <w:pPr>
              <w:jc w:val="right"/>
              <w:ind w:right="441"/>
              <w:spacing w:after="0"/>
              <w:rPr>
                <w:sz w:val="20"/>
                <w:szCs w:val="20"/>
                <w:color w:val="auto"/>
              </w:rPr>
            </w:pPr>
            <w:r>
              <w:rPr>
                <w:rFonts w:ascii="Arial" w:cs="Arial" w:eastAsia="Arial" w:hAnsi="Arial"/>
                <w:sz w:val="16"/>
                <w:szCs w:val="16"/>
                <w:color w:val="auto"/>
              </w:rPr>
              <w:t>116,183</w:t>
            </w:r>
          </w:p>
        </w:tc>
      </w:tr>
    </w:tbl>
    <w:p>
      <w:pPr>
        <w:spacing w:after="0" w:line="86" w:lineRule="exact"/>
        <w:rPr>
          <w:sz w:val="20"/>
          <w:szCs w:val="20"/>
          <w:color w:val="auto"/>
        </w:rPr>
      </w:pPr>
    </w:p>
    <w:p>
      <w:pPr>
        <w:ind w:left="520" w:hanging="316"/>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520" w:right="180" w:hanging="316"/>
        <w:spacing w:after="0" w:line="214" w:lineRule="auto"/>
        <w:tabs>
          <w:tab w:leader="none" w:pos="52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January 25, 2018 by BlackRock, Inc. (“BlackRock”). BlackRock is the beneficial owner of 5,297,482 shares, with sole dispositive power as to all such shares and sole voting power as to 4,553,886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55 East 52nd Street, New York, New York 10055.</w:t>
      </w:r>
    </w:p>
    <w:p>
      <w:pPr>
        <w:spacing w:after="0" w:line="71" w:lineRule="exact"/>
        <w:rPr>
          <w:rFonts w:ascii="Arial" w:cs="Arial" w:eastAsia="Arial" w:hAnsi="Arial"/>
          <w:sz w:val="24"/>
          <w:szCs w:val="24"/>
          <w:color w:val="auto"/>
          <w:vertAlign w:val="superscript"/>
        </w:rPr>
      </w:pPr>
    </w:p>
    <w:p>
      <w:pPr>
        <w:ind w:left="520" w:right="100" w:hanging="316"/>
        <w:spacing w:after="0" w:line="208" w:lineRule="auto"/>
        <w:tabs>
          <w:tab w:leader="none" w:pos="52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9, 2018 by The Vanguard Group (“Vanguard”). Vanguard is the beneficial owner of 6,366,824 shares, with sole voting power as to 52,274 such shares, sole dispositive power as to 6,301,209 such shares, shared voting power as to 15,019 such shares and shared dispositive power as to 65,615 such shares. Vanguard’s principal place of business is 100 Vanguard Blvd., Malvern, PA 19355.</w:t>
      </w:r>
    </w:p>
    <w:p>
      <w:pPr>
        <w:ind w:left="520" w:hanging="316"/>
        <w:spacing w:after="0" w:line="211" w:lineRule="auto"/>
        <w:tabs>
          <w:tab w:leader="none" w:pos="52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The individual is a Named Executive Officer.</w:t>
      </w:r>
    </w:p>
    <w:p>
      <w:pPr>
        <w:spacing w:after="0" w:line="71" w:lineRule="exact"/>
        <w:rPr>
          <w:rFonts w:ascii="Arial" w:cs="Arial" w:eastAsia="Arial" w:hAnsi="Arial"/>
          <w:sz w:val="24"/>
          <w:szCs w:val="24"/>
          <w:color w:val="auto"/>
          <w:vertAlign w:val="superscript"/>
        </w:rPr>
      </w:pPr>
    </w:p>
    <w:p>
      <w:pPr>
        <w:ind w:left="520" w:right="160" w:hanging="316"/>
        <w:spacing w:after="0" w:line="208" w:lineRule="auto"/>
        <w:tabs>
          <w:tab w:leader="none" w:pos="52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Mr. Vanneste is retirement-eligible and therefore qualifies for accelerated vesting of all of his Career Shares and RSUs that would have vested if the date of retirement had been 24 months later than it actually occurred. As a result, Mr. Vanneste’s share ownership includes 12,741 Career Shares and 7,936 unvested RSUs (all RSUs awarded more than one year prior to the record date). Such Career Shares and unvested RSUs would be forfeited only if Mr. Vanneste were terminated for “cause” pursuant to the terms of his employment agreement.</w:t>
      </w:r>
    </w:p>
    <w:p>
      <w:pPr>
        <w:spacing w:after="0" w:line="71" w:lineRule="exact"/>
        <w:rPr>
          <w:rFonts w:ascii="Arial" w:cs="Arial" w:eastAsia="Arial" w:hAnsi="Arial"/>
          <w:sz w:val="24"/>
          <w:szCs w:val="24"/>
          <w:color w:val="auto"/>
          <w:vertAlign w:val="superscript"/>
        </w:rPr>
      </w:pPr>
    </w:p>
    <w:p>
      <w:pPr>
        <w:ind w:left="520" w:right="660" w:hanging="316"/>
        <w:spacing w:after="0" w:line="183" w:lineRule="auto"/>
        <w:tabs>
          <w:tab w:leader="none" w:pos="52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Messrs. Scott and Orsini are not yet retirement-eligible, and thus, their share ownership does not include any unvested Career Shares or RSUs. If they remain employed by the Company, Messrs. Scott and Orsini will become retirement-eligible on August 2, 2020 and April 2, 2027, respectively.</w:t>
      </w:r>
    </w:p>
    <w:p>
      <w:pPr>
        <w:spacing w:after="0" w:line="112" w:lineRule="exact"/>
        <w:rPr>
          <w:sz w:val="20"/>
          <w:szCs w:val="20"/>
          <w:color w:val="auto"/>
        </w:rPr>
      </w:pPr>
    </w:p>
    <w:p>
      <w:pPr>
        <w:ind w:left="660" w:hanging="354"/>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42" w:lineRule="exact"/>
        <w:rPr>
          <w:sz w:val="20"/>
          <w:szCs w:val="20"/>
          <w:color w:val="auto"/>
        </w:rPr>
      </w:pPr>
    </w:p>
    <w:p>
      <w:pPr>
        <w:ind w:left="520" w:hanging="316"/>
        <w:spacing w:after="0"/>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The individual is a director.</w:t>
      </w:r>
    </w:p>
    <w:p>
      <w:pPr>
        <w:spacing w:after="0" w:line="70" w:lineRule="exact"/>
        <w:rPr>
          <w:rFonts w:ascii="Arial" w:cs="Arial" w:eastAsia="Arial" w:hAnsi="Arial"/>
          <w:sz w:val="24"/>
          <w:szCs w:val="24"/>
          <w:color w:val="auto"/>
          <w:vertAlign w:val="superscript"/>
        </w:rPr>
      </w:pPr>
    </w:p>
    <w:p>
      <w:pPr>
        <w:ind w:left="520" w:hanging="316"/>
        <w:spacing w:after="0"/>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Mr. Simoncini resigned as President and Chief Executive Officer and as a member of the Board effective February 28, 2018. Mr. Simoncini is retirement-eligible and therefore qualifies for accelerated vesting of all of his Career Shares and RSUs that would have vested if the date of retirement had been 24 months later than it actually occurred. As a result, Mr. Simoncini’s share ownership includes 34,363 Career Shares and 32,897 unvested RSUs (all RSUs awarded more than one year prior to the record date). Such Career Shares and unvested RSUs would be forfeited only if Mr. Simoncini were terminated for “cause” pursuant to the terms of his employment agreement.</w:t>
      </w:r>
    </w:p>
    <w:p>
      <w:pPr>
        <w:spacing w:after="0" w:line="132" w:lineRule="exact"/>
        <w:rPr>
          <w:rFonts w:ascii="Arial" w:cs="Arial" w:eastAsia="Arial" w:hAnsi="Arial"/>
          <w:sz w:val="24"/>
          <w:szCs w:val="24"/>
          <w:color w:val="auto"/>
          <w:vertAlign w:val="superscript"/>
        </w:rPr>
      </w:pPr>
    </w:p>
    <w:p>
      <w:pPr>
        <w:ind w:left="520" w:right="60" w:hanging="316"/>
        <w:spacing w:after="0" w:line="208"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Mr. Larkin is retirement-eligible and therefore qualifies for accelerated vesting of all of his Career Shares and RSUs that would have vested if the date of retirement had been 24 months later than it actually occurred. As a result, Mr. Larkin’s share ownership includes 4,396 Career Shares and 8,711 unvested RSUs (all RSUs awarded more than one year prior to the record date). Such Career Shares and unvested RSUs would be forfeited only if Mr. Larkin were terminated for “cause” pursuant to the terms of his employment agreement.</w:t>
      </w:r>
    </w:p>
    <w:p>
      <w:pPr>
        <w:spacing w:after="0" w:line="71" w:lineRule="exact"/>
        <w:rPr>
          <w:rFonts w:ascii="Arial" w:cs="Arial" w:eastAsia="Arial" w:hAnsi="Arial"/>
          <w:sz w:val="24"/>
          <w:szCs w:val="24"/>
          <w:color w:val="auto"/>
          <w:vertAlign w:val="superscript"/>
        </w:rPr>
      </w:pPr>
    </w:p>
    <w:p>
      <w:pPr>
        <w:ind w:left="520" w:right="6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6,457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520" w:right="32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10,633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520" w:right="6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1,063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520" w:right="6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1,063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520" w:right="6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9,567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520" w:right="6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7,128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520" w:right="6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7,435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520" w:right="32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17,848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jc w:val="both"/>
        <w:ind w:left="520" w:right="60" w:hanging="316"/>
        <w:spacing w:after="0" w:line="199"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as of March 22, 2018, (i) Career Shares and unvested RSUs owned by our retirement-eligible executive officers that have been outstanding for less than one year, and (ii) Career Shares and unvested RSUs owned by our non-retirement-eligible executive officers. These Career Shares and unvested RSUs are subject to all of the economic risks of stock ownership but may not be voted or sold and are subject to vesting provisions as set forth in the respective grant agreements.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2"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2017, with the exception of a late Form 4</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filing for Justice Mallett in respect of a total of 4,236 shares of Lear common stock sold in open market transactions during the period from 2009 through 2014. These transactions were reported in a Form 4 filed March 16, 2017.</w:t>
      </w:r>
    </w:p>
    <w:p>
      <w:pPr>
        <w:spacing w:after="0" w:line="388"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59"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25</w:t>
      </w:r>
    </w:p>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COMPENSATION DISCUSSION AND ANALYSIS</w:t>
      </w:r>
    </w:p>
    <w:p>
      <w:pPr>
        <w:spacing w:after="0" w:line="261"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auto"/>
        </w:rPr>
        <w:t>The following discusses the material elements of the compensation for our Chief Executive Officer (CEO), Chief Financial Officer (CFO) and each of the other executive officers listed in the “2017 Summary Compensation Table” (collectively, the “Named Executive Officers”) during the year ended December 31, 2017. To assist in understanding compensation for 2017, we have included a discussion of our compensation policies and practices for periods before and after 2017 where relevant. To avoid repetition, in the discussion that follows we make cross-references to specific compensation data and terms for our Named Executive Officers contained in “Executive Compensation.” In addition, because we have a global team of managers in 39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Named Executive Officers for 2017 are:</w:t>
      </w:r>
    </w:p>
    <w:p>
      <w:pPr>
        <w:spacing w:after="0" w:line="93" w:lineRule="exact"/>
        <w:rPr>
          <w:sz w:val="20"/>
          <w:szCs w:val="20"/>
          <w:color w:val="auto"/>
        </w:rPr>
      </w:pPr>
    </w:p>
    <w:p>
      <w:pPr>
        <w:ind w:left="520" w:right="300"/>
        <w:spacing w:after="0" w:line="286" w:lineRule="auto"/>
        <w:rPr>
          <w:sz w:val="20"/>
          <w:szCs w:val="20"/>
          <w:color w:val="auto"/>
        </w:rPr>
      </w:pPr>
      <w:r>
        <w:rPr>
          <w:rFonts w:ascii="Arial" w:cs="Arial" w:eastAsia="Arial" w:hAnsi="Arial"/>
          <w:sz w:val="16"/>
          <w:szCs w:val="16"/>
          <w:b w:val="1"/>
          <w:bCs w:val="1"/>
          <w:color w:val="auto"/>
        </w:rPr>
        <w:t xml:space="preserve">Matthew J. Simoncini, </w:t>
      </w:r>
      <w:r>
        <w:rPr>
          <w:rFonts w:ascii="Arial" w:cs="Arial" w:eastAsia="Arial" w:hAnsi="Arial"/>
          <w:sz w:val="16"/>
          <w:szCs w:val="16"/>
          <w:color w:val="auto"/>
        </w:rPr>
        <w:t>Former President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w:t>
      </w:r>
    </w:p>
    <w:p>
      <w:pPr>
        <w:spacing w:after="0" w:line="48" w:lineRule="exact"/>
        <w:rPr>
          <w:sz w:val="20"/>
          <w:szCs w:val="20"/>
          <w:color w:val="auto"/>
        </w:rPr>
      </w:pPr>
    </w:p>
    <w:p>
      <w:pPr>
        <w:ind w:left="520"/>
        <w:spacing w:after="0" w:line="286" w:lineRule="auto"/>
        <w:rPr>
          <w:sz w:val="20"/>
          <w:szCs w:val="20"/>
          <w:color w:val="auto"/>
        </w:rPr>
      </w:pPr>
      <w:r>
        <w:rPr>
          <w:rFonts w:ascii="Arial" w:cs="Arial" w:eastAsia="Arial" w:hAnsi="Arial"/>
          <w:sz w:val="16"/>
          <w:szCs w:val="16"/>
          <w:b w:val="1"/>
          <w:bCs w:val="1"/>
          <w:color w:val="auto"/>
        </w:rPr>
        <w:t xml:space="preserve">Raymond E. Scott, </w:t>
      </w:r>
      <w:r>
        <w:rPr>
          <w:rFonts w:ascii="Arial" w:cs="Arial" w:eastAsia="Arial" w:hAnsi="Arial"/>
          <w:sz w:val="16"/>
          <w:szCs w:val="16"/>
          <w:color w:val="auto"/>
        </w:rPr>
        <w:t>President and Chief Executive Officer; Former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President, Seating</w:t>
      </w:r>
    </w:p>
    <w:p>
      <w:pPr>
        <w:spacing w:after="0" w:line="48" w:lineRule="exact"/>
        <w:rPr>
          <w:sz w:val="20"/>
          <w:szCs w:val="20"/>
          <w:color w:val="auto"/>
        </w:rPr>
      </w:pPr>
    </w:p>
    <w:p>
      <w:pPr>
        <w:ind w:left="520" w:right="200"/>
        <w:spacing w:after="0" w:line="286" w:lineRule="auto"/>
        <w:rPr>
          <w:sz w:val="20"/>
          <w:szCs w:val="20"/>
          <w:color w:val="auto"/>
        </w:rPr>
      </w:pPr>
      <w:r>
        <w:rPr>
          <w:rFonts w:ascii="Arial" w:cs="Arial" w:eastAsia="Arial" w:hAnsi="Arial"/>
          <w:sz w:val="16"/>
          <w:szCs w:val="16"/>
          <w:b w:val="1"/>
          <w:bCs w:val="1"/>
          <w:color w:val="auto"/>
        </w:rPr>
        <w:t xml:space="preserve">Jeffrey H. Vanneste, </w:t>
      </w:r>
      <w:r>
        <w:rPr>
          <w:rFonts w:ascii="Arial" w:cs="Arial" w:eastAsia="Arial" w:hAnsi="Arial"/>
          <w:sz w:val="16"/>
          <w:szCs w:val="16"/>
          <w:color w:val="auto"/>
        </w:rPr>
        <w:t>Senior Vice President and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w:t>
      </w:r>
    </w:p>
    <w:p>
      <w:pPr>
        <w:spacing w:after="0" w:line="48" w:lineRule="exact"/>
        <w:rPr>
          <w:sz w:val="20"/>
          <w:szCs w:val="20"/>
          <w:color w:val="auto"/>
        </w:rPr>
      </w:pPr>
    </w:p>
    <w:p>
      <w:pPr>
        <w:ind w:left="520" w:right="700"/>
        <w:spacing w:after="0" w:line="286" w:lineRule="auto"/>
        <w:rPr>
          <w:sz w:val="20"/>
          <w:szCs w:val="20"/>
          <w:color w:val="auto"/>
        </w:rPr>
      </w:pPr>
      <w:r>
        <w:rPr>
          <w:rFonts w:ascii="Arial" w:cs="Arial" w:eastAsia="Arial" w:hAnsi="Arial"/>
          <w:sz w:val="16"/>
          <w:szCs w:val="16"/>
          <w:b w:val="1"/>
          <w:bCs w:val="1"/>
          <w:color w:val="auto"/>
        </w:rPr>
        <w:t xml:space="preserve">Terrence B. Larkin, </w:t>
      </w:r>
      <w:r>
        <w:rPr>
          <w:rFonts w:ascii="Arial" w:cs="Arial" w:eastAsia="Arial" w:hAnsi="Arial"/>
          <w:sz w:val="16"/>
          <w:szCs w:val="16"/>
          <w:color w:val="auto"/>
        </w:rPr>
        <w:t>Executive Vice President,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General Counsel and Corporate Secretary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20" w:right="300"/>
        <w:spacing w:after="0" w:line="286" w:lineRule="auto"/>
        <w:rPr>
          <w:sz w:val="20"/>
          <w:szCs w:val="20"/>
          <w:color w:val="auto"/>
        </w:rPr>
      </w:pPr>
      <w:r>
        <w:rPr>
          <w:rFonts w:ascii="Arial" w:cs="Arial" w:eastAsia="Arial" w:hAnsi="Arial"/>
          <w:sz w:val="16"/>
          <w:szCs w:val="16"/>
          <w:b w:val="1"/>
          <w:bCs w:val="1"/>
          <w:color w:val="auto"/>
        </w:rPr>
        <w:t xml:space="preserve">Frank C. Orsini, </w:t>
      </w:r>
      <w:r>
        <w:rPr>
          <w:rFonts w:ascii="Arial" w:cs="Arial" w:eastAsia="Arial" w:hAnsi="Arial"/>
          <w:sz w:val="16"/>
          <w:szCs w:val="16"/>
          <w:color w:val="auto"/>
        </w:rPr>
        <w:t>Executive Vice President and President, Seating;</w:t>
      </w:r>
      <w:r>
        <w:rPr>
          <w:rFonts w:ascii="Arial" w:cs="Arial" w:eastAsia="Arial" w:hAnsi="Arial"/>
          <w:sz w:val="16"/>
          <w:szCs w:val="16"/>
          <w:b w:val="1"/>
          <w:bCs w:val="1"/>
          <w:color w:val="auto"/>
        </w:rPr>
        <w:t xml:space="preserve"> </w:t>
      </w:r>
      <w:r>
        <w:rPr>
          <w:rFonts w:ascii="Arial" w:cs="Arial" w:eastAsia="Arial" w:hAnsi="Arial"/>
          <w:sz w:val="16"/>
          <w:szCs w:val="16"/>
          <w:color w:val="auto"/>
        </w:rPr>
        <w:t>Former Senior Vice President and President, E-Systems</w:t>
      </w:r>
    </w:p>
    <w:p>
      <w:pPr>
        <w:spacing w:after="0" w:line="68"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As previously disclosed, effective February 28, 2018, Mr. Simoncini resigned as President and CEO and Mr. Scott assumed the role as his successor. A description of the compensation arrangements with Messrs. Simoncini and Scott entered into in connection with the transition can be found under the heading, “CEO Transition” following the Summary Compensation Table below. Mr. Orsini was promoted to Executive Vice President and President, Seating effective March 1, 2018.</w:t>
      </w:r>
    </w:p>
    <w:p>
      <w:pPr>
        <w:spacing w:after="0" w:line="557" w:lineRule="exact"/>
        <w:rPr>
          <w:sz w:val="20"/>
          <w:szCs w:val="20"/>
          <w:color w:val="auto"/>
        </w:rPr>
      </w:pPr>
    </w:p>
    <w:p>
      <w:pPr>
        <w:sectPr>
          <w:pgSz w:w="11900" w:h="16838" w:orient="portrait"/>
          <w:cols w:equalWidth="0" w:num="2">
            <w:col w:w="5300" w:space="520"/>
            <w:col w:w="5400"/>
          </w:cols>
          <w:pgMar w:left="240" w:top="459" w:right="439" w:bottom="1440" w:gutter="0" w:footer="0" w:header="0"/>
          <w:type w:val="continuous"/>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We are a leading Tier 1 supplier to the global automotive industry that operates in two business segments: Seating and E-Systems. We supply seating, electrical distribution systems and electronic modules, as well as related sub-systems, components and software, to all of the world’s major automotive manufacturers. We have 257 manufacturing, engineering and administrative locations in 39 countries with approximately 165,000 employees worldwide and are continuing to grow our business in all automotive producing regions of the world, both organically and through complementary acquisitions. Our manufacturing footprint reflects more than 151 facilities in 22 low cost countries. We have an executive compensation program that is generally market-median based, and which is closely linked to our Company’s performance.</w:t>
      </w:r>
    </w:p>
    <w:p>
      <w:pPr>
        <w:spacing w:after="0" w:line="105"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auto"/>
        </w:rPr>
        <w:t>Our overarching objective is to maximize shareholder value by delivering profitable sales growth while balancing risk and returns, maintaining a strong balance sheet with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409575</wp:posOffset>
            </wp:positionV>
            <wp:extent cx="694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grade credit metrics and consistently returning excess cash to our shareholders.</w:t>
      </w:r>
    </w:p>
    <w:p>
      <w:pPr>
        <w:spacing w:after="0" w:line="8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Highlights of our 2017 performance and recent significant events include the following:</w:t>
      </w:r>
    </w:p>
    <w:p>
      <w:pPr>
        <w:spacing w:after="0" w:line="101" w:lineRule="exact"/>
        <w:rPr>
          <w:sz w:val="20"/>
          <w:szCs w:val="20"/>
          <w:color w:val="auto"/>
        </w:rPr>
      </w:pPr>
    </w:p>
    <w:p>
      <w:pPr>
        <w:ind w:left="200" w:hanging="196"/>
        <w:spacing w:after="0"/>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delivered record sales of $20.5 billion, up 10% from 2016.</w:t>
      </w:r>
    </w:p>
    <w:p>
      <w:pPr>
        <w:spacing w:after="0" w:line="126" w:lineRule="exact"/>
        <w:rPr>
          <w:rFonts w:ascii="Arial" w:cs="Arial" w:eastAsia="Arial" w:hAnsi="Arial"/>
          <w:sz w:val="16"/>
          <w:szCs w:val="16"/>
          <w:color w:val="auto"/>
        </w:rPr>
      </w:pPr>
    </w:p>
    <w:p>
      <w:pPr>
        <w:ind w:left="200" w:right="80" w:hanging="196"/>
        <w:spacing w:after="0" w:line="253"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achieved record core operating earnings of $1.7 billion, an increase of 12%, with a record margin of 8.4% (see discussion of Adjusted Operating Income below).*</w:t>
      </w:r>
    </w:p>
    <w:p>
      <w:pPr>
        <w:spacing w:after="0" w:line="106" w:lineRule="exact"/>
        <w:rPr>
          <w:rFonts w:ascii="Arial" w:cs="Arial" w:eastAsia="Arial" w:hAnsi="Arial"/>
          <w:sz w:val="16"/>
          <w:szCs w:val="16"/>
          <w:color w:val="auto"/>
        </w:rPr>
      </w:pPr>
    </w:p>
    <w:p>
      <w:pPr>
        <w:ind w:left="200" w:right="60" w:hanging="196"/>
        <w:spacing w:after="0" w:line="260"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achieved record adjusted earnings per share of $17.00, an increase of 21%.*</w:t>
      </w:r>
    </w:p>
    <w:p>
      <w:pPr>
        <w:spacing w:after="0" w:line="96" w:lineRule="exact"/>
        <w:rPr>
          <w:rFonts w:ascii="Arial" w:cs="Arial" w:eastAsia="Arial" w:hAnsi="Arial"/>
          <w:sz w:val="16"/>
          <w:szCs w:val="16"/>
          <w:color w:val="auto"/>
        </w:rPr>
      </w:pPr>
    </w:p>
    <w:p>
      <w:pPr>
        <w:ind w:left="200" w:right="200" w:hanging="196"/>
        <w:spacing w:after="0" w:line="188"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achieved an 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year of increased sales and adjusted earnings per share.*</w:t>
      </w:r>
    </w:p>
    <w:p>
      <w:pPr>
        <w:spacing w:after="0" w:line="117" w:lineRule="exact"/>
        <w:rPr>
          <w:rFonts w:ascii="Arial" w:cs="Arial" w:eastAsia="Arial" w:hAnsi="Arial"/>
          <w:sz w:val="16"/>
          <w:szCs w:val="16"/>
          <w:color w:val="auto"/>
        </w:rPr>
      </w:pPr>
    </w:p>
    <w:p>
      <w:pPr>
        <w:ind w:left="200" w:hanging="196"/>
        <w:spacing w:after="0"/>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generated record free cash flow of $1.2 billion in 2017.*</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278" w:lineRule="exact"/>
        <w:rPr>
          <w:sz w:val="20"/>
          <w:szCs w:val="20"/>
          <w:color w:val="auto"/>
        </w:rPr>
      </w:pPr>
    </w:p>
    <w:p>
      <w:pPr>
        <w:ind w:left="520" w:hanging="316"/>
        <w:spacing w:after="0" w:line="253"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Core operating earnings, adjusted earnings per share and free cash flow are non-GAAP financial measures, and we are including our 2017 results for these measures to show an aspect of our performance. Appendix A to this proxy statement contains reconciliations of these measures to the most directly comparable GAAP financial measures.</w:t>
      </w:r>
    </w:p>
    <w:p>
      <w:pPr>
        <w:spacing w:after="0" w:line="109" w:lineRule="exact"/>
        <w:rPr>
          <w:sz w:val="20"/>
          <w:szCs w:val="20"/>
          <w:color w:val="auto"/>
        </w:rPr>
      </w:pPr>
    </w:p>
    <w:p>
      <w:pPr>
        <w:ind w:left="660" w:hanging="354"/>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0" w:hanging="196"/>
        <w:spacing w:after="0" w:line="260" w:lineRule="auto"/>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2017, we continued to make strategic acquisitions to strengthen our core businesses:</w:t>
      </w:r>
    </w:p>
    <w:p>
      <w:pPr>
        <w:spacing w:after="0" w:line="101" w:lineRule="exact"/>
        <w:rPr>
          <w:rFonts w:ascii="Arial" w:cs="Arial" w:eastAsia="Arial" w:hAnsi="Arial"/>
          <w:sz w:val="16"/>
          <w:szCs w:val="16"/>
          <w:color w:val="auto"/>
        </w:rPr>
      </w:pPr>
    </w:p>
    <w:p>
      <w:pPr>
        <w:ind w:left="640" w:right="60" w:hanging="274"/>
        <w:spacing w:after="0" w:line="253" w:lineRule="auto"/>
        <w:tabs>
          <w:tab w:leader="none" w:pos="640" w:val="left"/>
        </w:tabs>
        <w:numPr>
          <w:ilvl w:val="1"/>
          <w:numId w:val="52"/>
        </w:numPr>
        <w:rPr>
          <w:rFonts w:ascii="Arial" w:cs="Arial" w:eastAsia="Arial" w:hAnsi="Arial"/>
          <w:sz w:val="14"/>
          <w:szCs w:val="14"/>
          <w:color w:val="auto"/>
        </w:rPr>
      </w:pPr>
      <w:r>
        <w:rPr>
          <w:rFonts w:ascii="Arial" w:cs="Arial" w:eastAsia="Arial" w:hAnsi="Arial"/>
          <w:sz w:val="16"/>
          <w:szCs w:val="16"/>
          <w:color w:val="auto"/>
        </w:rPr>
        <w:t>In Seating, we acquired Grupo Antolin’s seating business, further strengthening our market share with key European customers and expanding our seat component capabilities.</w:t>
      </w:r>
    </w:p>
    <w:p>
      <w:pPr>
        <w:spacing w:after="0" w:line="106" w:lineRule="exact"/>
        <w:rPr>
          <w:rFonts w:ascii="Arial" w:cs="Arial" w:eastAsia="Arial" w:hAnsi="Arial"/>
          <w:sz w:val="14"/>
          <w:szCs w:val="14"/>
          <w:color w:val="auto"/>
        </w:rPr>
      </w:pPr>
    </w:p>
    <w:p>
      <w:pPr>
        <w:ind w:left="640" w:right="40" w:hanging="274"/>
        <w:spacing w:after="0" w:line="250" w:lineRule="auto"/>
        <w:tabs>
          <w:tab w:leader="none" w:pos="640" w:val="left"/>
        </w:tabs>
        <w:numPr>
          <w:ilvl w:val="1"/>
          <w:numId w:val="52"/>
        </w:numPr>
        <w:rPr>
          <w:rFonts w:ascii="Arial" w:cs="Arial" w:eastAsia="Arial" w:hAnsi="Arial"/>
          <w:sz w:val="14"/>
          <w:szCs w:val="14"/>
          <w:color w:val="auto"/>
        </w:rPr>
      </w:pPr>
      <w:r>
        <w:rPr>
          <w:rFonts w:ascii="Arial" w:cs="Arial" w:eastAsia="Arial" w:hAnsi="Arial"/>
          <w:sz w:val="16"/>
          <w:szCs w:val="16"/>
          <w:color w:val="auto"/>
        </w:rPr>
        <w:t>In E-Systems, we announced the signing of a definitive agreement to acquire EXO Technologies, which provides us with industry-leading accuracy in vehicle positioning for autonomous and connected vehicle applications. This acquisition was completed early in 2018.</w:t>
      </w:r>
    </w:p>
    <w:p>
      <w:pPr>
        <w:spacing w:after="0" w:line="108" w:lineRule="exact"/>
        <w:rPr>
          <w:rFonts w:ascii="Arial" w:cs="Arial" w:eastAsia="Arial" w:hAnsi="Arial"/>
          <w:sz w:val="14"/>
          <w:szCs w:val="14"/>
          <w:color w:val="auto"/>
        </w:rPr>
      </w:pPr>
    </w:p>
    <w:p>
      <w:pPr>
        <w:ind w:left="400" w:right="60" w:hanging="196"/>
        <w:spacing w:after="0" w:line="252" w:lineRule="auto"/>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continued to gain market share in both product segments and our 2018 to 2020 sales backlog of $3.2 billion ($3.9 billion including non-consolidated joint ventures) is the largest in the Company’s history.</w:t>
      </w:r>
    </w:p>
    <w:p>
      <w:pPr>
        <w:spacing w:after="0" w:line="298" w:lineRule="exact"/>
        <w:rPr>
          <w:rFonts w:ascii="Arial" w:cs="Arial" w:eastAsia="Arial" w:hAnsi="Arial"/>
          <w:sz w:val="16"/>
          <w:szCs w:val="16"/>
          <w:color w:val="auto"/>
        </w:rPr>
      </w:pPr>
    </w:p>
    <w:p>
      <w:pPr>
        <w:ind w:left="400" w:right="160" w:hanging="196"/>
        <w:spacing w:after="0" w:line="260" w:lineRule="auto"/>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returned $592 million to stockholders in 2017 through its share repurchase and dividend programs. Since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996"/>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-635635</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5" w:lineRule="exact"/>
        <w:rPr>
          <w:sz w:val="20"/>
          <w:szCs w:val="20"/>
          <w:color w:val="auto"/>
        </w:rPr>
      </w:pPr>
    </w:p>
    <w:p>
      <w:pPr>
        <w:ind w:left="196" w:right="20"/>
        <w:spacing w:after="0" w:line="250" w:lineRule="auto"/>
        <w:rPr>
          <w:sz w:val="20"/>
          <w:szCs w:val="20"/>
          <w:color w:val="auto"/>
        </w:rPr>
      </w:pPr>
      <w:r>
        <w:rPr>
          <w:rFonts w:ascii="Arial" w:cs="Arial" w:eastAsia="Arial" w:hAnsi="Arial"/>
          <w:sz w:val="16"/>
          <w:szCs w:val="16"/>
          <w:color w:val="auto"/>
        </w:rPr>
        <w:t>these programs were initiated in 2011, the Company has returned $4 billion to stockholders, including the repurchase of 42% of total shares outstanding. In February 2018, the Company’s share repurchase authorization was increased to $1.5 billion and the authorization period was extended to December 31, 2020.</w:t>
      </w:r>
    </w:p>
    <w:p>
      <w:pPr>
        <w:spacing w:after="0" w:line="109" w:lineRule="exact"/>
        <w:rPr>
          <w:sz w:val="20"/>
          <w:szCs w:val="20"/>
          <w:color w:val="auto"/>
        </w:rPr>
      </w:pPr>
    </w:p>
    <w:p>
      <w:pPr>
        <w:ind w:left="196" w:right="220" w:hanging="196"/>
        <w:spacing w:after="0" w:line="202" w:lineRule="auto"/>
        <w:tabs>
          <w:tab w:leader="none" w:pos="1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February 2018, our quarterly cash dividend was increased by 40%, representing the 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annual increase since the dividend program was initiated.</w:t>
      </w:r>
    </w:p>
    <w:p>
      <w:pPr>
        <w:spacing w:after="0" w:line="117" w:lineRule="exact"/>
        <w:rPr>
          <w:rFonts w:ascii="Arial" w:cs="Arial" w:eastAsia="Arial" w:hAnsi="Arial"/>
          <w:sz w:val="16"/>
          <w:szCs w:val="16"/>
          <w:color w:val="auto"/>
        </w:rPr>
      </w:pPr>
    </w:p>
    <w:p>
      <w:pPr>
        <w:ind w:left="196" w:right="140" w:hanging="196"/>
        <w:spacing w:after="0" w:line="253" w:lineRule="auto"/>
        <w:tabs>
          <w:tab w:leader="none" w:pos="1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Company’s total return to stockholders in 2017 was 35%. The Company’s total return to stockholders for the five-year period ended December 31, 2017 was 297%, compared with 108% for the S&amp;P 500.</w:t>
      </w:r>
    </w:p>
    <w:p>
      <w:pPr>
        <w:spacing w:after="0" w:line="106" w:lineRule="exact"/>
        <w:rPr>
          <w:rFonts w:ascii="Arial" w:cs="Arial" w:eastAsia="Arial" w:hAnsi="Arial"/>
          <w:sz w:val="16"/>
          <w:szCs w:val="16"/>
          <w:color w:val="auto"/>
        </w:rPr>
      </w:pPr>
    </w:p>
    <w:p>
      <w:pPr>
        <w:ind w:left="196" w:right="60" w:hanging="196"/>
        <w:spacing w:after="0" w:line="246" w:lineRule="auto"/>
        <w:tabs>
          <w:tab w:leader="none" w:pos="1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Commensurate with our above target performance on the four incentive plan financial measures, incentive awards for the periods ending in</w:t>
      </w:r>
    </w:p>
    <w:p>
      <w:pPr>
        <w:ind w:left="196"/>
        <w:spacing w:after="0"/>
        <w:rPr>
          <w:rFonts w:ascii="Arial" w:cs="Arial" w:eastAsia="Arial" w:hAnsi="Arial"/>
          <w:sz w:val="16"/>
          <w:szCs w:val="16"/>
          <w:color w:val="auto"/>
        </w:rPr>
      </w:pPr>
      <w:r>
        <w:rPr>
          <w:rFonts w:ascii="Arial" w:cs="Arial" w:eastAsia="Arial" w:hAnsi="Arial"/>
          <w:sz w:val="16"/>
          <w:szCs w:val="16"/>
          <w:color w:val="auto"/>
        </w:rPr>
        <w:t>2017 were earned at above target levels, as illustrated below:</w:t>
      </w:r>
    </w:p>
    <w:p>
      <w:pPr>
        <w:spacing w:after="0" w:line="725" w:lineRule="exact"/>
        <w:rPr>
          <w:sz w:val="20"/>
          <w:szCs w:val="20"/>
          <w:color w:val="auto"/>
        </w:rPr>
      </w:pPr>
    </w:p>
    <w:p>
      <w:pPr>
        <w:sectPr>
          <w:pgSz w:w="11900" w:h="16838" w:orient="portrait"/>
          <w:cols w:equalWidth="0" w:num="2">
            <w:col w:w="5440" w:space="384"/>
            <w:col w:w="5396"/>
          </w:cols>
          <w:pgMar w:left="240" w:top="459" w:right="439" w:bottom="1440" w:gutter="0" w:footer="0" w:header="0"/>
        </w:sectPr>
      </w:pP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FFFFFF"/>
        </w:rPr>
        <w:t>2017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19723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FFFFFF"/>
        </w:rPr>
        <w:t>2015-2017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19723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10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27</w:t>
      </w:r>
    </w:p>
    <w:p>
      <w:pPr>
        <w:sectPr>
          <w:pgSz w:w="11900" w:h="16838" w:orient="portrait"/>
          <w:cols w:equalWidth="0" w:num="1">
            <w:col w:w="11220"/>
          </w:cols>
          <w:pgMar w:left="240" w:top="459" w:right="4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15"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(see “— 2017 Incentive Programs — Pay for Performance,” “— 2017 Incentive Programs — Annual Incentives” and “—2017 Incentive Programs — Long-Term Incentives” below for more information regarding these financial measures).</w:t>
      </w:r>
    </w:p>
    <w:p>
      <w:pPr>
        <w:spacing w:after="0" w:line="95" w:lineRule="exact"/>
        <w:rPr>
          <w:sz w:val="20"/>
          <w:szCs w:val="20"/>
          <w:color w:val="auto"/>
        </w:rPr>
      </w:pPr>
    </w:p>
    <w:p>
      <w:pPr>
        <w:ind w:left="200" w:right="300"/>
        <w:spacing w:after="0" w:line="260" w:lineRule="auto"/>
        <w:rPr>
          <w:sz w:val="20"/>
          <w:szCs w:val="20"/>
          <w:color w:val="auto"/>
        </w:rPr>
      </w:pPr>
      <w:r>
        <w:rPr>
          <w:rFonts w:ascii="Arial" w:cs="Arial" w:eastAsia="Arial" w:hAnsi="Arial"/>
          <w:sz w:val="16"/>
          <w:szCs w:val="16"/>
          <w:color w:val="auto"/>
        </w:rPr>
        <w:t>The highlights of our 2017 executive compensation program resulting from our 2017 Company financial performance were as follows:</w:t>
      </w:r>
    </w:p>
    <w:p>
      <w:pPr>
        <w:spacing w:after="0" w:line="101" w:lineRule="exact"/>
        <w:rPr>
          <w:sz w:val="20"/>
          <w:szCs w:val="20"/>
          <w:color w:val="auto"/>
        </w:rPr>
      </w:pPr>
    </w:p>
    <w:p>
      <w:pPr>
        <w:ind w:left="400" w:right="240" w:hanging="196"/>
        <w:spacing w:after="0" w:line="250" w:lineRule="auto"/>
        <w:tabs>
          <w:tab w:leader="none" w:pos="4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Incentive payouts were commensurate with our financial results. Annual incentive awards were earned at 175% of the targeted level and the 2015-2017 cycle of long-term Performance Shares was earned at 200% of the targeted level based on achievement of the financial goals outlined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91" w:hanging="191"/>
        <w:spacing w:after="0" w:line="248" w:lineRule="auto"/>
        <w:tabs>
          <w:tab w:leader="none" w:pos="191"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2017, long-term incentive awards granted in January 2017 to our Named Executive Officers were solely in the form of equity to further link the interests of our executives with those of our stockholders. We awarded Performance Shares to represent 75% of the value of these long-term incentive awards and service-based restricted stock units (“RSUs”) to represent 25% of the value. We place the greatest weighting on Performance Shares in order to directly link our executives’ interests with those of our stockholders while also rewarding executives based on our three-year financial performance.</w:t>
      </w:r>
    </w:p>
    <w:p>
      <w:pPr>
        <w:spacing w:after="0" w:line="811" w:lineRule="exact"/>
        <w:rPr>
          <w:sz w:val="20"/>
          <w:szCs w:val="20"/>
          <w:color w:val="auto"/>
        </w:rPr>
      </w:pPr>
    </w:p>
    <w:p>
      <w:pPr>
        <w:sectPr>
          <w:pgSz w:w="11900" w:h="16838" w:orient="portrait"/>
          <w:cols w:equalWidth="0" w:num="2">
            <w:col w:w="5460" w:space="369"/>
            <w:col w:w="5371"/>
          </w:cols>
          <w:pgMar w:left="240" w:top="459" w:right="459" w:bottom="1440" w:gutter="0" w:footer="0" w:header="0"/>
          <w:type w:val="continuous"/>
        </w:sectPr>
      </w:pPr>
    </w:p>
    <w:p>
      <w:pPr>
        <w:spacing w:after="0" w:line="57"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pacing w:after="0" w:line="207" w:lineRule="exact"/>
        <w:rPr>
          <w:sz w:val="20"/>
          <w:szCs w:val="20"/>
          <w:color w:val="auto"/>
        </w:rPr>
      </w:pPr>
    </w:p>
    <w:p>
      <w:pPr>
        <w:ind w:left="2540"/>
        <w:spacing w:after="0"/>
        <w:tabs>
          <w:tab w:leader="none" w:pos="7900" w:val="left"/>
        </w:tabs>
        <w:rPr>
          <w:sz w:val="20"/>
          <w:szCs w:val="20"/>
          <w:color w:val="auto"/>
        </w:rPr>
      </w:pPr>
      <w:r>
        <w:rPr>
          <w:rFonts w:ascii="Arial" w:cs="Arial" w:eastAsia="Arial" w:hAnsi="Arial"/>
          <w:sz w:val="14"/>
          <w:szCs w:val="14"/>
          <w:b w:val="1"/>
          <w:bCs w:val="1"/>
          <w:color w:val="E2231A"/>
        </w:rPr>
        <w:t>WHAT WE DO</w:t>
      </w:r>
      <w:r>
        <w:rPr>
          <w:sz w:val="20"/>
          <w:szCs w:val="20"/>
          <w:color w:val="auto"/>
        </w:rPr>
        <w:tab/>
      </w:r>
      <w:r>
        <w:rPr>
          <w:rFonts w:ascii="Arial" w:cs="Arial" w:eastAsia="Arial" w:hAnsi="Arial"/>
          <w:sz w:val="14"/>
          <w:szCs w:val="14"/>
          <w:b w:val="1"/>
          <w:bCs w:val="1"/>
          <w:color w:val="E2231A"/>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Pay Program Aligned with Business Strategy </w:t>
      </w:r>
      <w:r>
        <w:rPr>
          <w:rFonts w:ascii="Arial" w:cs="Arial" w:eastAsia="Arial" w:hAnsi="Arial"/>
          <w:sz w:val="16"/>
          <w:szCs w:val="16"/>
          <w:color w:val="auto"/>
        </w:rPr>
        <w:t>(see pages 30, 34 to 36)</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Balanced Mix of Performance Measures </w:t>
      </w:r>
      <w:r>
        <w:rPr>
          <w:rFonts w:ascii="Arial" w:cs="Arial" w:eastAsia="Arial" w:hAnsi="Arial"/>
          <w:sz w:val="16"/>
          <w:szCs w:val="16"/>
          <w:color w:val="auto"/>
        </w:rPr>
        <w:t>(see page 33)</w:t>
      </w:r>
    </w:p>
    <w:p>
      <w:pPr>
        <w:spacing w:after="0" w:line="127" w:lineRule="exact"/>
        <w:rPr>
          <w:sz w:val="20"/>
          <w:szCs w:val="20"/>
          <w:color w:val="auto"/>
        </w:rPr>
      </w:pPr>
    </w:p>
    <w:p>
      <w:pPr>
        <w:ind w:left="200" w:right="160"/>
        <w:spacing w:after="0" w:line="286" w:lineRule="auto"/>
        <w:rPr>
          <w:sz w:val="20"/>
          <w:szCs w:val="20"/>
          <w:color w:val="auto"/>
        </w:rPr>
      </w:pPr>
      <w:r>
        <w:rPr>
          <w:rFonts w:ascii="Arial" w:cs="Arial" w:eastAsia="Arial" w:hAnsi="Arial"/>
          <w:sz w:val="16"/>
          <w:szCs w:val="16"/>
          <w:b w:val="1"/>
          <w:bCs w:val="1"/>
          <w:color w:val="auto"/>
        </w:rPr>
        <w:t xml:space="preserve">High Percentage of Performance-Based Pay </w:t>
      </w:r>
      <w:r>
        <w:rPr>
          <w:rFonts w:ascii="Arial" w:cs="Arial" w:eastAsia="Arial" w:hAnsi="Arial"/>
          <w:sz w:val="16"/>
          <w:szCs w:val="16"/>
          <w:color w:val="auto"/>
        </w:rPr>
        <w:t>(see the charts below and</w:t>
      </w:r>
      <w:r>
        <w:rPr>
          <w:rFonts w:ascii="Arial" w:cs="Arial" w:eastAsia="Arial" w:hAnsi="Arial"/>
          <w:sz w:val="16"/>
          <w:szCs w:val="16"/>
          <w:b w:val="1"/>
          <w:bCs w:val="1"/>
          <w:color w:val="auto"/>
        </w:rPr>
        <w:t xml:space="preserve"> </w:t>
      </w:r>
      <w:r>
        <w:rPr>
          <w:rFonts w:ascii="Arial" w:cs="Arial" w:eastAsia="Arial" w:hAnsi="Arial"/>
          <w:sz w:val="16"/>
          <w:szCs w:val="16"/>
          <w:color w:val="auto"/>
        </w:rPr>
        <w:t>pages 30, 32 and 33)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Robust Stock Ownership Guidelines </w:t>
      </w:r>
      <w:r>
        <w:rPr>
          <w:rFonts w:ascii="Arial" w:cs="Arial" w:eastAsia="Arial" w:hAnsi="Arial"/>
          <w:sz w:val="16"/>
          <w:szCs w:val="16"/>
          <w:color w:val="auto"/>
        </w:rPr>
        <w:t>(see page 36)</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Equity Retention Requirement </w:t>
      </w:r>
      <w:r>
        <w:rPr>
          <w:rFonts w:ascii="Arial" w:cs="Arial" w:eastAsia="Arial" w:hAnsi="Arial"/>
          <w:sz w:val="16"/>
          <w:szCs w:val="16"/>
          <w:color w:val="auto"/>
        </w:rPr>
        <w:t>(see page 36)</w:t>
      </w:r>
    </w:p>
    <w:p>
      <w:pPr>
        <w:spacing w:after="0" w:line="127"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b w:val="1"/>
          <w:bCs w:val="1"/>
          <w:color w:val="auto"/>
        </w:rPr>
        <w:t xml:space="preserve">Annual Market Practices and Compensation Risk Review </w:t>
      </w:r>
      <w:r>
        <w:rPr>
          <w:rFonts w:ascii="Arial" w:cs="Arial" w:eastAsia="Arial" w:hAnsi="Arial"/>
          <w:sz w:val="16"/>
          <w:szCs w:val="16"/>
          <w:color w:val="auto"/>
        </w:rPr>
        <w:t>(see pages 31</w:t>
      </w:r>
      <w:r>
        <w:rPr>
          <w:rFonts w:ascii="Arial" w:cs="Arial" w:eastAsia="Arial" w:hAnsi="Arial"/>
          <w:sz w:val="16"/>
          <w:szCs w:val="16"/>
          <w:b w:val="1"/>
          <w:bCs w:val="1"/>
          <w:color w:val="auto"/>
        </w:rPr>
        <w:t xml:space="preserve"> </w:t>
      </w:r>
      <w:r>
        <w:rPr>
          <w:rFonts w:ascii="Arial" w:cs="Arial" w:eastAsia="Arial" w:hAnsi="Arial"/>
          <w:sz w:val="16"/>
          <w:szCs w:val="16"/>
          <w:color w:val="auto"/>
        </w:rPr>
        <w:t>and 54)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Clawback of Incentive Compensation </w:t>
      </w:r>
      <w:r>
        <w:rPr>
          <w:rFonts w:ascii="Arial" w:cs="Arial" w:eastAsia="Arial" w:hAnsi="Arial"/>
          <w:sz w:val="16"/>
          <w:szCs w:val="16"/>
          <w:color w:val="auto"/>
        </w:rPr>
        <w:t>(see page 38)</w:t>
      </w:r>
    </w:p>
    <w:p>
      <w:pPr>
        <w:spacing w:after="0" w:line="127" w:lineRule="exact"/>
        <w:rPr>
          <w:sz w:val="20"/>
          <w:szCs w:val="20"/>
          <w:color w:val="auto"/>
        </w:rPr>
      </w:pPr>
    </w:p>
    <w:p>
      <w:pPr>
        <w:ind w:left="200" w:right="120"/>
        <w:spacing w:after="0" w:line="286" w:lineRule="auto"/>
        <w:rPr>
          <w:sz w:val="20"/>
          <w:szCs w:val="20"/>
          <w:color w:val="auto"/>
        </w:rPr>
      </w:pPr>
      <w:r>
        <w:rPr>
          <w:rFonts w:ascii="Arial" w:cs="Arial" w:eastAsia="Arial" w:hAnsi="Arial"/>
          <w:sz w:val="16"/>
          <w:szCs w:val="16"/>
          <w:b w:val="1"/>
          <w:bCs w:val="1"/>
          <w:color w:val="auto"/>
        </w:rPr>
        <w:t xml:space="preserve">Independent Compensation Consultant for Compensation Committee </w:t>
      </w:r>
      <w:r>
        <w:rPr>
          <w:rFonts w:ascii="Arial" w:cs="Arial" w:eastAsia="Arial" w:hAnsi="Arial"/>
          <w:sz w:val="16"/>
          <w:szCs w:val="16"/>
          <w:color w:val="auto"/>
        </w:rPr>
        <w:t>(see pages 20 and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59055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Excise Tax Gross-Ups </w:t>
      </w:r>
      <w:r>
        <w:rPr>
          <w:rFonts w:ascii="Arial" w:cs="Arial" w:eastAsia="Arial" w:hAnsi="Arial"/>
          <w:sz w:val="16"/>
          <w:szCs w:val="16"/>
          <w:color w:val="auto"/>
        </w:rPr>
        <w:t>(see page 38)</w:t>
      </w:r>
    </w:p>
    <w:p>
      <w:pPr>
        <w:spacing w:after="0" w:line="107"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Severance Benefits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37 to 38, 50 to 54)</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No Single-Trigger Change in Control Vesting of Equity Awards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37 to 38, 50 to 54)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Hedging or Pledging of Company Stock </w:t>
      </w:r>
      <w:r>
        <w:rPr>
          <w:rFonts w:ascii="Arial" w:cs="Arial" w:eastAsia="Arial" w:hAnsi="Arial"/>
          <w:sz w:val="16"/>
          <w:szCs w:val="16"/>
          <w:color w:val="auto"/>
        </w:rPr>
        <w:t>(see page 38)</w:t>
      </w:r>
    </w:p>
    <w:p>
      <w:pPr>
        <w:spacing w:after="0" w:line="1696" w:lineRule="exact"/>
        <w:rPr>
          <w:sz w:val="20"/>
          <w:szCs w:val="20"/>
          <w:color w:val="auto"/>
        </w:rPr>
      </w:pPr>
    </w:p>
    <w:p>
      <w:pPr>
        <w:sectPr>
          <w:pgSz w:w="11900" w:h="16838" w:orient="portrait"/>
          <w:cols w:equalWidth="0" w:num="2">
            <w:col w:w="5660" w:space="400"/>
            <w:col w:w="5140"/>
          </w:cols>
          <w:pgMar w:left="240" w:top="459" w:right="459" w:bottom="1440" w:gutter="0" w:footer="0" w:header="0"/>
          <w:type w:val="continuous"/>
        </w:sectPr>
      </w:pPr>
    </w:p>
    <w:p>
      <w:pPr>
        <w:spacing w:after="0" w:line="32" w:lineRule="exact"/>
        <w:rPr>
          <w:sz w:val="20"/>
          <w:szCs w:val="20"/>
          <w:color w:val="auto"/>
        </w:rPr>
      </w:pPr>
    </w:p>
    <w:p>
      <w:pPr>
        <w:ind w:left="660" w:hanging="354"/>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00"/>
          </w:cols>
          <w:pgMar w:left="240" w:top="459" w:right="4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FFFFFF"/>
        </w:rPr>
        <w:t>2017 Target Total Direct Compensation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291465"/>
                    </a:xfrm>
                    <a:prstGeom prst="rect">
                      <a:avLst/>
                    </a:prstGeom>
                    <a:noFill/>
                  </pic:spPr>
                </pic:pic>
              </a:graphicData>
            </a:graphic>
          </wp:anchor>
        </w:drawing>
      </w:r>
    </w:p>
    <w:p>
      <w:pPr>
        <w:spacing w:after="0" w:line="2"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FFFFFF"/>
        </w:rPr>
        <w:t>(Assuming Performance-Based Components at Target and not including Career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160655</wp:posOffset>
            </wp:positionV>
            <wp:extent cx="5651500" cy="2872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1500" cy="287274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We will continue to monitor our executive compensation programs and consider appropriate modifications that will allow us to drive achievement of our business strategy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targeted financial results, meet our talent needs and maintain fully-competitive compensation programs and practices to maximize long-term stockholder value.</w:t>
      </w:r>
    </w:p>
    <w:p>
      <w:pPr>
        <w:spacing w:after="0" w:line="200"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151"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Pay-Performance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The executive compensation program is designed to strongly align pay opportunities with performance outcomes. The Compensation Committee considers multiple perspectives in assessing the achievement of this critical objective. Specifically, the Compensation Committee reviews incentive payouts as a percentage of target, financial and total shareholder return (TSR) results, and the CEO’s three-year pay relative to the Comparator Group (as defined below). These analyses found that relative to the Comparator Group:</w:t>
      </w:r>
    </w:p>
    <w:p>
      <w:pPr>
        <w:spacing w:after="0" w:line="113" w:lineRule="exact"/>
        <w:rPr>
          <w:sz w:val="20"/>
          <w:szCs w:val="20"/>
          <w:color w:val="auto"/>
        </w:rPr>
      </w:pPr>
    </w:p>
    <w:p>
      <w:pPr>
        <w:ind w:left="520" w:right="120" w:hanging="316"/>
        <w:spacing w:after="0" w:line="253" w:lineRule="auto"/>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Named Executive Officers’ target pay levels are in the competitive range of market median, on average, with an emphasis on performance-based pay opportunities.</w:t>
      </w:r>
    </w:p>
    <w:p>
      <w:pPr>
        <w:spacing w:after="0" w:line="106" w:lineRule="exact"/>
        <w:rPr>
          <w:rFonts w:ascii="Arial" w:cs="Arial" w:eastAsia="Arial" w:hAnsi="Arial"/>
          <w:sz w:val="16"/>
          <w:szCs w:val="16"/>
          <w:color w:val="auto"/>
        </w:rPr>
      </w:pPr>
    </w:p>
    <w:p>
      <w:pPr>
        <w:ind w:left="520" w:right="180" w:hanging="316"/>
        <w:spacing w:after="0" w:line="260" w:lineRule="auto"/>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Lear’s incentive plan performance measures are well-aligned to its business strategy, correlative to TSR and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36" w:right="200"/>
        <w:spacing w:after="0" w:line="260" w:lineRule="auto"/>
        <w:rPr>
          <w:sz w:val="20"/>
          <w:szCs w:val="20"/>
          <w:color w:val="auto"/>
        </w:rPr>
      </w:pPr>
      <w:r>
        <w:rPr>
          <w:rFonts w:ascii="Arial" w:cs="Arial" w:eastAsia="Arial" w:hAnsi="Arial"/>
          <w:sz w:val="16"/>
          <w:szCs w:val="16"/>
          <w:color w:val="auto"/>
        </w:rPr>
        <w:t>are generally consistent with the measures used by the Comparator Group (and the broader industrial market).</w:t>
      </w:r>
    </w:p>
    <w:p>
      <w:pPr>
        <w:spacing w:after="0" w:line="101" w:lineRule="exact"/>
        <w:rPr>
          <w:sz w:val="20"/>
          <w:szCs w:val="20"/>
          <w:color w:val="auto"/>
        </w:rPr>
      </w:pPr>
    </w:p>
    <w:p>
      <w:pPr>
        <w:ind w:left="316" w:right="240" w:hanging="316"/>
        <w:spacing w:after="0" w:line="260" w:lineRule="auto"/>
        <w:tabs>
          <w:tab w:leader="none" w:pos="316"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Lear’s annual incentive and performance share payouts are aligned with performance relative to the Comparator Group.</w:t>
      </w:r>
    </w:p>
    <w:p>
      <w:pPr>
        <w:spacing w:after="0" w:line="101" w:lineRule="exact"/>
        <w:rPr>
          <w:rFonts w:ascii="Arial" w:cs="Arial" w:eastAsia="Arial" w:hAnsi="Arial"/>
          <w:sz w:val="16"/>
          <w:szCs w:val="16"/>
          <w:color w:val="auto"/>
        </w:rPr>
      </w:pPr>
    </w:p>
    <w:p>
      <w:pPr>
        <w:ind w:left="316" w:right="40" w:hanging="316"/>
        <w:spacing w:after="0" w:line="249" w:lineRule="auto"/>
        <w:tabs>
          <w:tab w:leader="none" w:pos="31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CEO’s 2014 to 2016 aggregate “realizable pay” is well aligned with the Company’s relative TSR performance for the three years, 2014 to 2016 (which were the three most recent years of Comparator Group pay data that were publicly-disclosed at the time). This analysis considers pay granted during the three-year period and values equity awards using the stock price at the end of the period.</w:t>
      </w:r>
    </w:p>
    <w:p>
      <w:pPr>
        <w:spacing w:after="0" w:line="776" w:lineRule="exact"/>
        <w:rPr>
          <w:sz w:val="20"/>
          <w:szCs w:val="20"/>
          <w:color w:val="auto"/>
        </w:rPr>
      </w:pPr>
    </w:p>
    <w:p>
      <w:pPr>
        <w:sectPr>
          <w:pgSz w:w="11900" w:h="16838" w:orient="portrait"/>
          <w:cols w:equalWidth="0" w:num="2">
            <w:col w:w="5460" w:space="364"/>
            <w:col w:w="5396"/>
          </w:cols>
          <w:pgMar w:left="240" w:top="459" w:right="439" w:bottom="1440" w:gutter="0" w:footer="0" w:header="0"/>
          <w:type w:val="continuous"/>
        </w:sectPr>
      </w:pPr>
    </w:p>
    <w:p>
      <w:pPr>
        <w:spacing w:after="0" w:line="14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2017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The Compensation Committee reviewed the results of the 2017 stockholder advisory vote on Named Executive Officer compensation and incorporated the results as one of the many factors considered in connection with the discharge of its responsibilities. Since a substantial majority (over 96%) of</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stockholders voting at the annual meeting approved the compensation program described in our 2017 Proxy Statement, the Compensation Committee did not implement changes to our executive compensation program as a direct result of the stockholders’ advisory vote.</w:t>
      </w:r>
    </w:p>
    <w:p>
      <w:pPr>
        <w:spacing w:after="0" w:line="388"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235"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29</w:t>
      </w:r>
    </w:p>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objectives of our compensation policies are to:</w:t>
      </w:r>
    </w:p>
    <w:p>
      <w:pPr>
        <w:spacing w:after="0" w:line="127" w:lineRule="exact"/>
        <w:rPr>
          <w:sz w:val="20"/>
          <w:szCs w:val="20"/>
          <w:color w:val="auto"/>
        </w:rPr>
      </w:pPr>
    </w:p>
    <w:p>
      <w:pPr>
        <w:ind w:left="360" w:hanging="156"/>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link executive pay to Company performance;</w:t>
      </w:r>
    </w:p>
    <w:p>
      <w:pPr>
        <w:spacing w:after="0" w:line="126" w:lineRule="exact"/>
        <w:rPr>
          <w:rFonts w:ascii="Arial" w:cs="Arial" w:eastAsia="Arial" w:hAnsi="Arial"/>
          <w:sz w:val="16"/>
          <w:szCs w:val="16"/>
          <w:color w:val="auto"/>
        </w:rPr>
      </w:pPr>
    </w:p>
    <w:p>
      <w:pPr>
        <w:ind w:left="360" w:right="420" w:hanging="156"/>
        <w:spacing w:after="0" w:line="260" w:lineRule="auto"/>
        <w:tabs>
          <w:tab w:leader="none" w:pos="3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optimize profitability, cash flow and revenue growth, and return on investment;</w:t>
      </w:r>
    </w:p>
    <w:p>
      <w:pPr>
        <w:spacing w:after="0" w:line="101" w:lineRule="exact"/>
        <w:rPr>
          <w:rFonts w:ascii="Arial" w:cs="Arial" w:eastAsia="Arial" w:hAnsi="Arial"/>
          <w:sz w:val="16"/>
          <w:szCs w:val="16"/>
          <w:color w:val="auto"/>
        </w:rPr>
      </w:pPr>
    </w:p>
    <w:p>
      <w:pPr>
        <w:ind w:left="360" w:hanging="156"/>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link the interests of management with those of stockholders;</w:t>
      </w:r>
    </w:p>
    <w:p>
      <w:pPr>
        <w:spacing w:after="0" w:line="126" w:lineRule="exact"/>
        <w:rPr>
          <w:rFonts w:ascii="Arial" w:cs="Arial" w:eastAsia="Arial" w:hAnsi="Arial"/>
          <w:sz w:val="16"/>
          <w:szCs w:val="16"/>
          <w:color w:val="auto"/>
        </w:rPr>
      </w:pPr>
    </w:p>
    <w:p>
      <w:pPr>
        <w:ind w:left="360" w:right="400" w:hanging="156"/>
        <w:spacing w:after="0" w:line="260" w:lineRule="auto"/>
        <w:tabs>
          <w:tab w:leader="none" w:pos="3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align management’s compensation with our business strategy and compensation philosophy;</w:t>
      </w:r>
    </w:p>
    <w:p>
      <w:pPr>
        <w:spacing w:after="0" w:line="101" w:lineRule="exact"/>
        <w:rPr>
          <w:rFonts w:ascii="Arial" w:cs="Arial" w:eastAsia="Arial" w:hAnsi="Arial"/>
          <w:sz w:val="16"/>
          <w:szCs w:val="16"/>
          <w:color w:val="auto"/>
        </w:rPr>
      </w:pPr>
    </w:p>
    <w:p>
      <w:pPr>
        <w:ind w:left="360" w:hanging="156"/>
        <w:spacing w:after="0" w:line="260" w:lineRule="auto"/>
        <w:tabs>
          <w:tab w:leader="none" w:pos="3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promote teamwork within our group of global managers (our “One Lear” concept); and</w:t>
      </w:r>
    </w:p>
    <w:p>
      <w:pPr>
        <w:spacing w:after="0" w:line="101" w:lineRule="exact"/>
        <w:rPr>
          <w:rFonts w:ascii="Arial" w:cs="Arial" w:eastAsia="Arial" w:hAnsi="Arial"/>
          <w:sz w:val="16"/>
          <w:szCs w:val="16"/>
          <w:color w:val="auto"/>
        </w:rPr>
      </w:pPr>
    </w:p>
    <w:p>
      <w:pPr>
        <w:ind w:left="360" w:hanging="156"/>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attract, reward and retain the best executive talent.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8" w:right="360"/>
        <w:spacing w:after="0" w:line="260" w:lineRule="auto"/>
        <w:rPr>
          <w:sz w:val="20"/>
          <w:szCs w:val="20"/>
          <w:color w:val="auto"/>
        </w:rPr>
      </w:pPr>
      <w:r>
        <w:rPr>
          <w:rFonts w:ascii="Arial" w:cs="Arial" w:eastAsia="Arial" w:hAnsi="Arial"/>
          <w:sz w:val="16"/>
          <w:szCs w:val="16"/>
          <w:color w:val="auto"/>
        </w:rPr>
        <w:t>To achieve these objectives, we believe that the total compensation program for executive officers should consist of the following:</w:t>
      </w:r>
    </w:p>
    <w:p>
      <w:pPr>
        <w:spacing w:after="0" w:line="101" w:lineRule="exact"/>
        <w:rPr>
          <w:sz w:val="20"/>
          <w:szCs w:val="20"/>
          <w:color w:val="auto"/>
        </w:rPr>
      </w:pPr>
    </w:p>
    <w:p>
      <w:pPr>
        <w:ind w:left="148" w:hanging="148"/>
        <w:spacing w:after="0"/>
        <w:tabs>
          <w:tab w:leader="none" w:pos="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annual incentives;</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retirement plan benefits;</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health, welfare and other benefits; and</w:t>
      </w:r>
    </w:p>
    <w:p>
      <w:pPr>
        <w:spacing w:after="0" w:line="126" w:lineRule="exact"/>
        <w:rPr>
          <w:rFonts w:ascii="Arial" w:cs="Arial" w:eastAsia="Arial" w:hAnsi="Arial"/>
          <w:sz w:val="16"/>
          <w:szCs w:val="16"/>
          <w:color w:val="auto"/>
        </w:rPr>
      </w:pPr>
    </w:p>
    <w:p>
      <w:pPr>
        <w:ind w:left="148" w:hanging="148"/>
        <w:spacing w:after="0"/>
        <w:tabs>
          <w:tab w:leader="none" w:pos="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termination/change in control benefits.</w:t>
      </w:r>
    </w:p>
    <w:p>
      <w:pPr>
        <w:spacing w:after="0" w:line="578" w:lineRule="exact"/>
        <w:rPr>
          <w:sz w:val="20"/>
          <w:szCs w:val="20"/>
          <w:color w:val="auto"/>
        </w:rPr>
      </w:pPr>
    </w:p>
    <w:p>
      <w:pPr>
        <w:sectPr>
          <w:pgSz w:w="11900" w:h="16838" w:orient="portrait"/>
          <w:cols w:equalWidth="0" w:num="2">
            <w:col w:w="5480" w:space="572"/>
            <w:col w:w="5188"/>
          </w:cols>
          <w:pgMar w:left="240" w:top="459" w:right="419" w:bottom="1440" w:gutter="0" w:footer="0" w:header="0"/>
          <w:type w:val="continuous"/>
        </w:sectPr>
      </w:pPr>
    </w:p>
    <w:p>
      <w:pPr>
        <w:spacing w:after="0" w:line="116"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The Compensation Committee routinely reviews the elements noted above. In general, the Compensation Committee monitors compensation levels to ensure that a higher proportion of an executive’s total compensation is awarded in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form of variable and performance-based components (dependent on Company performance) as the executive’s responsibilities increase.</w:t>
      </w:r>
    </w:p>
    <w:p>
      <w:pPr>
        <w:spacing w:after="0" w:line="571" w:lineRule="exact"/>
        <w:rPr>
          <w:sz w:val="20"/>
          <w:szCs w:val="20"/>
          <w:color w:val="auto"/>
        </w:rPr>
      </w:pPr>
    </w:p>
    <w:p>
      <w:pPr>
        <w:sectPr>
          <w:pgSz w:w="11900" w:h="16838" w:orient="portrait"/>
          <w:cols w:equalWidth="0" w:num="2">
            <w:col w:w="5420" w:space="400"/>
            <w:col w:w="5420"/>
          </w:cols>
          <w:pgMar w:left="240" w:top="459" w:right="419" w:bottom="1440" w:gutter="0" w:footer="0" w:header="0"/>
          <w:type w:val="continuous"/>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42"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The Compensation Committee targets base salaries, annual incentive awards, long-term incentive awards and total direct compensation of our executives on average to be within a competitive range (i.e., +/- 10%) of the median of the Company’s comparator group (the “Comparator Group”). In addition to pay benchmarking, other factors (including our business strategy, talent needs, executives’ experience levels and cost) are considered in setting target pay. Actual compensation will vary based on such factors as external business conditions, the Company’s actual financial performance, an executive’s performance and achievement of specified management objectives. For 2017, the base salaries, targeted annual incentive awards, targeted long-term incentive awards and targeted total direct compensation for our Named Executive Officers were, on average, within the competitive range of market median for comparable positions within our Comparator Group.</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The companies in our Comparator Group are listed below. The criteria used to select the 19 peer companies focused on automotive parts and equipment, industrial machinery, heavy trucks and other durable goods manufacturing companies, generally with the following specifics: (i) annual revenues typically ranging from 0.5 times to 2.0 times the Company’s revenues; (ii) global companies typically with U.S. headquarters;</w:t>
      </w:r>
    </w:p>
    <w:p>
      <w:pPr>
        <w:spacing w:after="0" w:line="3" w:lineRule="exact"/>
        <w:rPr>
          <w:sz w:val="20"/>
          <w:szCs w:val="20"/>
          <w:color w:val="auto"/>
        </w:rPr>
      </w:pPr>
    </w:p>
    <w:p>
      <w:pPr>
        <w:ind w:right="120" w:firstLine="4"/>
        <w:spacing w:after="0" w:line="248" w:lineRule="auto"/>
        <w:tabs>
          <w:tab w:leader="none" w:pos="261"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market capitalization typically ranging from 0.2 times to 5.0 times the Company’s market capitalization; and (iv) companies that are considered by independent proxy advisors to be the Company’s proxy peers. The Company supplements its review of the Comparator Group with a broader survey of general industrial companies (not individually selected or identified) for benchmarking of executive compensation levels and, as appropriate, compensation design practices.</w:t>
      </w:r>
    </w:p>
    <w:p>
      <w:pPr>
        <w:spacing w:after="0" w:line="385" w:lineRule="exact"/>
        <w:rPr>
          <w:sz w:val="20"/>
          <w:szCs w:val="20"/>
          <w:color w:val="auto"/>
        </w:rPr>
      </w:pPr>
    </w:p>
    <w:p>
      <w:pPr>
        <w:sectPr>
          <w:pgSz w:w="11900" w:h="16838" w:orient="portrait"/>
          <w:cols w:equalWidth="0" w:num="2">
            <w:col w:w="5420" w:space="400"/>
            <w:col w:w="5420"/>
          </w:cols>
          <w:pgMar w:left="240" w:top="459" w:right="419" w:bottom="1440" w:gutter="0" w:footer="0" w:header="0"/>
          <w:type w:val="continuous"/>
        </w:sectPr>
      </w:pPr>
    </w:p>
    <w:p>
      <w:pPr>
        <w:spacing w:after="0" w:line="66" w:lineRule="exact"/>
        <w:rPr>
          <w:sz w:val="20"/>
          <w:szCs w:val="20"/>
          <w:color w:val="auto"/>
        </w:rPr>
      </w:pPr>
    </w:p>
    <w:p>
      <w:pPr>
        <w:ind w:left="200" w:right="240"/>
        <w:spacing w:after="0" w:line="260" w:lineRule="auto"/>
        <w:rPr>
          <w:sz w:val="20"/>
          <w:szCs w:val="20"/>
          <w:color w:val="auto"/>
        </w:rPr>
      </w:pPr>
      <w:r>
        <w:rPr>
          <w:rFonts w:ascii="Arial" w:cs="Arial" w:eastAsia="Arial" w:hAnsi="Arial"/>
          <w:sz w:val="16"/>
          <w:szCs w:val="16"/>
          <w:color w:val="auto"/>
        </w:rPr>
        <w:t>The companies in the Comparator Group for 2017 are shown below. The revenues for this group in their most recently reported fiscal year ranged from $9 billion to $49 billion, with a median of $15 billion. Lear’s revenues for 2017 were $20.5 billion.</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FFFFFF"/>
        </w:rPr>
        <w:t>2017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699770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80" w:type="dxa"/>
            <w:vAlign w:val="bottom"/>
            <w:shd w:val="clear" w:color="auto" w:fill="FCE9E8"/>
          </w:tcPr>
          <w:p>
            <w:pPr>
              <w:ind w:left="60"/>
              <w:spacing w:after="0"/>
              <w:rPr>
                <w:sz w:val="20"/>
                <w:szCs w:val="20"/>
                <w:color w:val="auto"/>
              </w:rPr>
            </w:pPr>
            <w:r>
              <w:rPr>
                <w:rFonts w:ascii="Arial" w:cs="Arial" w:eastAsia="Arial" w:hAnsi="Arial"/>
                <w:sz w:val="14"/>
                <w:szCs w:val="14"/>
                <w:color w:val="auto"/>
              </w:rPr>
              <w:t>Adient plc</w:t>
            </w:r>
          </w:p>
        </w:tc>
        <w:tc>
          <w:tcPr>
            <w:tcW w:w="3160" w:type="dxa"/>
            <w:vAlign w:val="bottom"/>
            <w:shd w:val="clear" w:color="auto" w:fill="FCE9E8"/>
          </w:tcPr>
          <w:p>
            <w:pPr>
              <w:ind w:left="560"/>
              <w:spacing w:after="0"/>
              <w:rPr>
                <w:sz w:val="20"/>
                <w:szCs w:val="20"/>
                <w:color w:val="auto"/>
              </w:rPr>
            </w:pPr>
            <w:r>
              <w:rPr>
                <w:rFonts w:ascii="Arial" w:cs="Arial" w:eastAsia="Arial" w:hAnsi="Arial"/>
                <w:sz w:val="14"/>
                <w:szCs w:val="14"/>
                <w:color w:val="auto"/>
              </w:rPr>
              <w:t>Eaton Corporation plc</w:t>
            </w:r>
          </w:p>
        </w:tc>
        <w:tc>
          <w:tcPr>
            <w:tcW w:w="2900" w:type="dxa"/>
            <w:vAlign w:val="bottom"/>
            <w:shd w:val="clear" w:color="auto" w:fill="FCE9E8"/>
          </w:tcPr>
          <w:p>
            <w:pPr>
              <w:ind w:left="380"/>
              <w:spacing w:after="0"/>
              <w:rPr>
                <w:sz w:val="20"/>
                <w:szCs w:val="20"/>
                <w:color w:val="auto"/>
              </w:rPr>
            </w:pPr>
            <w:r>
              <w:rPr>
                <w:rFonts w:ascii="Arial" w:cs="Arial" w:eastAsia="Arial" w:hAnsi="Arial"/>
                <w:sz w:val="14"/>
                <w:szCs w:val="14"/>
                <w:color w:val="auto"/>
              </w:rPr>
              <w:t>Johnson Controls International plc</w:t>
            </w:r>
          </w:p>
        </w:tc>
        <w:tc>
          <w:tcPr>
            <w:tcW w:w="2880" w:type="dxa"/>
            <w:vAlign w:val="bottom"/>
            <w:shd w:val="clear" w:color="auto" w:fill="FCE9E8"/>
          </w:tcPr>
          <w:p>
            <w:pPr>
              <w:ind w:left="340"/>
              <w:spacing w:after="0"/>
              <w:rPr>
                <w:sz w:val="20"/>
                <w:szCs w:val="20"/>
                <w:color w:val="auto"/>
              </w:rPr>
            </w:pPr>
            <w:r>
              <w:rPr>
                <w:rFonts w:ascii="Arial" w:cs="Arial" w:eastAsia="Arial" w:hAnsi="Arial"/>
                <w:sz w:val="14"/>
                <w:szCs w:val="14"/>
                <w:color w:val="auto"/>
              </w:rPr>
              <w:t>Parker-Hannifin Corporation</w:t>
            </w:r>
          </w:p>
        </w:tc>
      </w:tr>
      <w:tr>
        <w:trPr>
          <w:trHeight w:val="162"/>
        </w:trPr>
        <w:tc>
          <w:tcPr>
            <w:tcW w:w="2080" w:type="dxa"/>
            <w:vAlign w:val="bottom"/>
          </w:tcPr>
          <w:p>
            <w:pPr>
              <w:ind w:left="60"/>
              <w:spacing w:after="0"/>
              <w:rPr>
                <w:sz w:val="20"/>
                <w:szCs w:val="20"/>
                <w:color w:val="auto"/>
              </w:rPr>
            </w:pPr>
            <w:r>
              <w:rPr>
                <w:rFonts w:ascii="Arial" w:cs="Arial" w:eastAsia="Arial" w:hAnsi="Arial"/>
                <w:sz w:val="14"/>
                <w:szCs w:val="14"/>
                <w:color w:val="auto"/>
              </w:rPr>
              <w:t>BorgWarner Inc.</w:t>
            </w:r>
          </w:p>
        </w:tc>
        <w:tc>
          <w:tcPr>
            <w:tcW w:w="3160" w:type="dxa"/>
            <w:vAlign w:val="bottom"/>
          </w:tcPr>
          <w:p>
            <w:pPr>
              <w:ind w:left="560"/>
              <w:spacing w:after="0"/>
              <w:rPr>
                <w:sz w:val="20"/>
                <w:szCs w:val="20"/>
                <w:color w:val="auto"/>
              </w:rPr>
            </w:pPr>
            <w:r>
              <w:rPr>
                <w:rFonts w:ascii="Arial" w:cs="Arial" w:eastAsia="Arial" w:hAnsi="Arial"/>
                <w:sz w:val="14"/>
                <w:szCs w:val="14"/>
                <w:color w:val="auto"/>
              </w:rPr>
              <w:t>Emerson Electric Co.</w:t>
            </w:r>
          </w:p>
        </w:tc>
        <w:tc>
          <w:tcPr>
            <w:tcW w:w="2900" w:type="dxa"/>
            <w:vAlign w:val="bottom"/>
          </w:tcPr>
          <w:p>
            <w:pPr>
              <w:ind w:left="380"/>
              <w:spacing w:after="0"/>
              <w:rPr>
                <w:sz w:val="20"/>
                <w:szCs w:val="20"/>
                <w:color w:val="auto"/>
              </w:rPr>
            </w:pPr>
            <w:r>
              <w:rPr>
                <w:rFonts w:ascii="Arial" w:cs="Arial" w:eastAsia="Arial" w:hAnsi="Arial"/>
                <w:sz w:val="14"/>
                <w:szCs w:val="14"/>
                <w:color w:val="auto"/>
              </w:rPr>
              <w:t>L-3 Technologies, Inc.</w:t>
            </w:r>
          </w:p>
        </w:tc>
        <w:tc>
          <w:tcPr>
            <w:tcW w:w="2880" w:type="dxa"/>
            <w:vAlign w:val="bottom"/>
          </w:tcPr>
          <w:p>
            <w:pPr>
              <w:ind w:left="340"/>
              <w:spacing w:after="0"/>
              <w:rPr>
                <w:sz w:val="20"/>
                <w:szCs w:val="20"/>
                <w:color w:val="auto"/>
              </w:rPr>
            </w:pPr>
            <w:r>
              <w:rPr>
                <w:rFonts w:ascii="Arial" w:cs="Arial" w:eastAsia="Arial" w:hAnsi="Arial"/>
                <w:sz w:val="14"/>
                <w:szCs w:val="14"/>
                <w:color w:val="auto"/>
              </w:rPr>
              <w:t>Tenneco Inc.</w:t>
            </w:r>
          </w:p>
        </w:tc>
      </w:tr>
      <w:tr>
        <w:trPr>
          <w:trHeight w:val="162"/>
        </w:trPr>
        <w:tc>
          <w:tcPr>
            <w:tcW w:w="2080" w:type="dxa"/>
            <w:vAlign w:val="bottom"/>
            <w:shd w:val="clear" w:color="auto" w:fill="FCE9E8"/>
          </w:tcPr>
          <w:p>
            <w:pPr>
              <w:ind w:left="60"/>
              <w:spacing w:after="0"/>
              <w:rPr>
                <w:sz w:val="20"/>
                <w:szCs w:val="20"/>
                <w:color w:val="auto"/>
              </w:rPr>
            </w:pPr>
            <w:r>
              <w:rPr>
                <w:rFonts w:ascii="Arial" w:cs="Arial" w:eastAsia="Arial" w:hAnsi="Arial"/>
                <w:sz w:val="14"/>
                <w:szCs w:val="14"/>
                <w:color w:val="auto"/>
              </w:rPr>
              <w:t>Cummins Inc.</w:t>
            </w:r>
          </w:p>
        </w:tc>
        <w:tc>
          <w:tcPr>
            <w:tcW w:w="3160" w:type="dxa"/>
            <w:vAlign w:val="bottom"/>
            <w:shd w:val="clear" w:color="auto" w:fill="FCE9E8"/>
          </w:tcPr>
          <w:p>
            <w:pPr>
              <w:ind w:left="560"/>
              <w:spacing w:after="0"/>
              <w:rPr>
                <w:sz w:val="20"/>
                <w:szCs w:val="20"/>
                <w:color w:val="auto"/>
              </w:rPr>
            </w:pPr>
            <w:r>
              <w:rPr>
                <w:rFonts w:ascii="Arial" w:cs="Arial" w:eastAsia="Arial" w:hAnsi="Arial"/>
                <w:sz w:val="14"/>
                <w:szCs w:val="14"/>
                <w:color w:val="auto"/>
              </w:rPr>
              <w:t>Goodyear Tire &amp; Rubber Company</w:t>
            </w:r>
          </w:p>
        </w:tc>
        <w:tc>
          <w:tcPr>
            <w:tcW w:w="2900" w:type="dxa"/>
            <w:vAlign w:val="bottom"/>
            <w:shd w:val="clear" w:color="auto" w:fill="FCE9E8"/>
          </w:tcPr>
          <w:p>
            <w:pPr>
              <w:ind w:left="380"/>
              <w:spacing w:after="0"/>
              <w:rPr>
                <w:sz w:val="20"/>
                <w:szCs w:val="20"/>
                <w:color w:val="auto"/>
              </w:rPr>
            </w:pPr>
            <w:r>
              <w:rPr>
                <w:rFonts w:ascii="Arial" w:cs="Arial" w:eastAsia="Arial" w:hAnsi="Arial"/>
                <w:sz w:val="14"/>
                <w:szCs w:val="14"/>
                <w:color w:val="auto"/>
              </w:rPr>
              <w:t>Magna International Inc.</w:t>
            </w:r>
          </w:p>
        </w:tc>
        <w:tc>
          <w:tcPr>
            <w:tcW w:w="2880" w:type="dxa"/>
            <w:vAlign w:val="bottom"/>
            <w:shd w:val="clear" w:color="auto" w:fill="FCE9E8"/>
          </w:tcPr>
          <w:p>
            <w:pPr>
              <w:ind w:left="340"/>
              <w:spacing w:after="0"/>
              <w:rPr>
                <w:sz w:val="20"/>
                <w:szCs w:val="20"/>
                <w:color w:val="auto"/>
              </w:rPr>
            </w:pPr>
            <w:r>
              <w:rPr>
                <w:rFonts w:ascii="Arial" w:cs="Arial" w:eastAsia="Arial" w:hAnsi="Arial"/>
                <w:sz w:val="14"/>
                <w:szCs w:val="14"/>
                <w:color w:val="auto"/>
              </w:rPr>
              <w:t>Textron Inc.</w:t>
            </w:r>
          </w:p>
        </w:tc>
      </w:tr>
      <w:tr>
        <w:trPr>
          <w:trHeight w:val="162"/>
        </w:trPr>
        <w:tc>
          <w:tcPr>
            <w:tcW w:w="2080" w:type="dxa"/>
            <w:vAlign w:val="bottom"/>
          </w:tcPr>
          <w:p>
            <w:pPr>
              <w:ind w:left="60"/>
              <w:spacing w:after="0"/>
              <w:rPr>
                <w:sz w:val="20"/>
                <w:szCs w:val="20"/>
                <w:color w:val="auto"/>
              </w:rPr>
            </w:pPr>
            <w:r>
              <w:rPr>
                <w:rFonts w:ascii="Arial" w:cs="Arial" w:eastAsia="Arial" w:hAnsi="Arial"/>
                <w:sz w:val="14"/>
                <w:szCs w:val="14"/>
                <w:color w:val="auto"/>
              </w:rPr>
              <w:t>Deere &amp; Company</w:t>
            </w:r>
          </w:p>
        </w:tc>
        <w:tc>
          <w:tcPr>
            <w:tcW w:w="3160" w:type="dxa"/>
            <w:vAlign w:val="bottom"/>
          </w:tcPr>
          <w:p>
            <w:pPr>
              <w:ind w:left="560"/>
              <w:spacing w:after="0"/>
              <w:rPr>
                <w:sz w:val="20"/>
                <w:szCs w:val="20"/>
                <w:color w:val="auto"/>
              </w:rPr>
            </w:pPr>
            <w:r>
              <w:rPr>
                <w:rFonts w:ascii="Arial" w:cs="Arial" w:eastAsia="Arial" w:hAnsi="Arial"/>
                <w:sz w:val="14"/>
                <w:szCs w:val="14"/>
                <w:color w:val="auto"/>
              </w:rPr>
              <w:t>Illinois Tool Works Inc.</w:t>
            </w:r>
          </w:p>
        </w:tc>
        <w:tc>
          <w:tcPr>
            <w:tcW w:w="2900" w:type="dxa"/>
            <w:vAlign w:val="bottom"/>
          </w:tcPr>
          <w:p>
            <w:pPr>
              <w:ind w:left="380"/>
              <w:spacing w:after="0"/>
              <w:rPr>
                <w:sz w:val="20"/>
                <w:szCs w:val="20"/>
                <w:color w:val="auto"/>
              </w:rPr>
            </w:pPr>
            <w:r>
              <w:rPr>
                <w:rFonts w:ascii="Arial" w:cs="Arial" w:eastAsia="Arial" w:hAnsi="Arial"/>
                <w:sz w:val="14"/>
                <w:szCs w:val="14"/>
                <w:color w:val="auto"/>
              </w:rPr>
              <w:t>Navistar International Corporation</w:t>
            </w:r>
          </w:p>
        </w:tc>
        <w:tc>
          <w:tcPr>
            <w:tcW w:w="2880" w:type="dxa"/>
            <w:vAlign w:val="bottom"/>
          </w:tcPr>
          <w:p>
            <w:pPr>
              <w:ind w:left="340"/>
              <w:spacing w:after="0"/>
              <w:rPr>
                <w:sz w:val="20"/>
                <w:szCs w:val="20"/>
                <w:color w:val="auto"/>
              </w:rPr>
            </w:pPr>
            <w:r>
              <w:rPr>
                <w:rFonts w:ascii="Arial" w:cs="Arial" w:eastAsia="Arial" w:hAnsi="Arial"/>
                <w:sz w:val="14"/>
                <w:szCs w:val="14"/>
                <w:color w:val="auto"/>
              </w:rPr>
              <w:t>Whirlpool Corporation</w:t>
            </w:r>
          </w:p>
        </w:tc>
      </w:tr>
      <w:tr>
        <w:trPr>
          <w:trHeight w:val="167"/>
        </w:trPr>
        <w:tc>
          <w:tcPr>
            <w:tcW w:w="2080" w:type="dxa"/>
            <w:vAlign w:val="bottom"/>
            <w:shd w:val="clear" w:color="auto" w:fill="FCE9E8"/>
          </w:tcPr>
          <w:p>
            <w:pPr>
              <w:ind w:left="60"/>
              <w:spacing w:after="0"/>
              <w:rPr>
                <w:sz w:val="20"/>
                <w:szCs w:val="20"/>
                <w:color w:val="auto"/>
              </w:rPr>
            </w:pPr>
            <w:r>
              <w:rPr>
                <w:rFonts w:ascii="Arial" w:cs="Arial" w:eastAsia="Arial" w:hAnsi="Arial"/>
                <w:sz w:val="14"/>
                <w:szCs w:val="14"/>
                <w:color w:val="auto"/>
              </w:rPr>
              <w:t>Aptiv PLC (f/k/a Delphi</w:t>
            </w:r>
          </w:p>
        </w:tc>
        <w:tc>
          <w:tcPr>
            <w:tcW w:w="3160" w:type="dxa"/>
            <w:vAlign w:val="bottom"/>
            <w:shd w:val="clear" w:color="auto" w:fill="FCE9E8"/>
          </w:tcPr>
          <w:p>
            <w:pPr>
              <w:ind w:left="560"/>
              <w:spacing w:after="0"/>
              <w:rPr>
                <w:sz w:val="20"/>
                <w:szCs w:val="20"/>
                <w:color w:val="auto"/>
              </w:rPr>
            </w:pPr>
            <w:r>
              <w:rPr>
                <w:rFonts w:ascii="Arial" w:cs="Arial" w:eastAsia="Arial" w:hAnsi="Arial"/>
                <w:sz w:val="14"/>
                <w:szCs w:val="14"/>
                <w:color w:val="auto"/>
              </w:rPr>
              <w:t>Ingersoll-Rand Plc</w:t>
            </w:r>
          </w:p>
        </w:tc>
        <w:tc>
          <w:tcPr>
            <w:tcW w:w="2900" w:type="dxa"/>
            <w:vAlign w:val="bottom"/>
            <w:shd w:val="clear" w:color="auto" w:fill="FCE9E8"/>
          </w:tcPr>
          <w:p>
            <w:pPr>
              <w:ind w:left="380"/>
              <w:spacing w:after="0"/>
              <w:rPr>
                <w:sz w:val="20"/>
                <w:szCs w:val="20"/>
                <w:color w:val="auto"/>
              </w:rPr>
            </w:pPr>
            <w:r>
              <w:rPr>
                <w:rFonts w:ascii="Arial" w:cs="Arial" w:eastAsia="Arial" w:hAnsi="Arial"/>
                <w:sz w:val="14"/>
                <w:szCs w:val="14"/>
                <w:color w:val="auto"/>
              </w:rPr>
              <w:t>PACCAR Inc.</w:t>
            </w:r>
          </w:p>
        </w:tc>
        <w:tc>
          <w:tcPr>
            <w:tcW w:w="2880" w:type="dxa"/>
            <w:vAlign w:val="bottom"/>
            <w:shd w:val="clear" w:color="auto" w:fill="FCE9E8"/>
          </w:tcPr>
          <w:p>
            <w:pPr>
              <w:spacing w:after="0"/>
              <w:rPr>
                <w:sz w:val="14"/>
                <w:szCs w:val="14"/>
                <w:color w:val="auto"/>
              </w:rPr>
            </w:pPr>
          </w:p>
        </w:tc>
      </w:tr>
      <w:tr>
        <w:trPr>
          <w:trHeight w:val="171"/>
        </w:trPr>
        <w:tc>
          <w:tcPr>
            <w:tcW w:w="2080" w:type="dxa"/>
            <w:vAlign w:val="bottom"/>
            <w:shd w:val="clear" w:color="auto" w:fill="FCE9E8"/>
          </w:tcPr>
          <w:p>
            <w:pPr>
              <w:ind w:left="60"/>
              <w:spacing w:after="0"/>
              <w:rPr>
                <w:sz w:val="20"/>
                <w:szCs w:val="20"/>
                <w:color w:val="auto"/>
              </w:rPr>
            </w:pPr>
            <w:r>
              <w:rPr>
                <w:rFonts w:ascii="Arial" w:cs="Arial" w:eastAsia="Arial" w:hAnsi="Arial"/>
                <w:sz w:val="14"/>
                <w:szCs w:val="14"/>
                <w:color w:val="auto"/>
              </w:rPr>
              <w:t>Automotive PLC)</w:t>
            </w:r>
          </w:p>
        </w:tc>
        <w:tc>
          <w:tcPr>
            <w:tcW w:w="3160" w:type="dxa"/>
            <w:vAlign w:val="bottom"/>
            <w:shd w:val="clear" w:color="auto" w:fill="FCE9E8"/>
          </w:tcPr>
          <w:p>
            <w:pPr>
              <w:spacing w:after="0"/>
              <w:rPr>
                <w:sz w:val="14"/>
                <w:szCs w:val="14"/>
                <w:color w:val="auto"/>
              </w:rPr>
            </w:pPr>
          </w:p>
        </w:tc>
        <w:tc>
          <w:tcPr>
            <w:tcW w:w="2900" w:type="dxa"/>
            <w:vAlign w:val="bottom"/>
            <w:shd w:val="clear" w:color="auto" w:fill="FCE9E8"/>
          </w:tcPr>
          <w:p>
            <w:pPr>
              <w:spacing w:after="0"/>
              <w:rPr>
                <w:sz w:val="14"/>
                <w:szCs w:val="14"/>
                <w:color w:val="auto"/>
              </w:rPr>
            </w:pPr>
          </w:p>
        </w:tc>
        <w:tc>
          <w:tcPr>
            <w:tcW w:w="2880" w:type="dxa"/>
            <w:vAlign w:val="bottom"/>
            <w:shd w:val="clear" w:color="auto" w:fill="FCE9E8"/>
          </w:tcPr>
          <w:p>
            <w:pPr>
              <w:spacing w:after="0"/>
              <w:rPr>
                <w:sz w:val="14"/>
                <w:szCs w:val="14"/>
                <w:color w:val="auto"/>
              </w:rPr>
            </w:pPr>
          </w:p>
        </w:tc>
      </w:tr>
      <w:tr>
        <w:trPr>
          <w:trHeight w:val="162"/>
        </w:trPr>
        <w:tc>
          <w:tcPr>
            <w:tcW w:w="20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r>
    </w:tbl>
    <w:p>
      <w:pPr>
        <w:spacing w:after="0" w:line="126" w:lineRule="exact"/>
        <w:rPr>
          <w:sz w:val="20"/>
          <w:szCs w:val="20"/>
          <w:color w:val="auto"/>
        </w:rPr>
      </w:pPr>
    </w:p>
    <w:p>
      <w:pPr>
        <w:ind w:left="660" w:hanging="354"/>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40"/>
          </w:cols>
          <w:pgMar w:left="240" w:top="459" w:right="4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Total Compensation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2"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The Compensation Committee annually reviews key elements of our executive compensation program, including materials setting forth the various components of compensation for our Named Executive Officers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including an analysis of the resulting impact created by a change in control of the Company. The Compensation Committee reviews total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compensation summaries or tally sheets for our Named Executive Officers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390"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15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Role of Management in Setting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Our human resources staff supports the Compensation Committee in its work. They also work with compensation consultants, whose engagements have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to assist with the ongoing review of our executive and director compensation programs and to ensure that our programs are competitive and appropriate given the Company’s objectives and prevailing market practices, and, for most compensation topics for which the Compensation Committee is responsible, it has directed Pay Governance to work with management to develop recommendations that reflect the Compensation Committee’s objectives for the compensation program. Pay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Governance performs no other services for the Company. The Compensation Committee has final authority to approve, modify or reject these recommendations and to make its decisions in executive session. Our President and CEO provides input with respect to compensation of the executive officers (other than himself) but is otherwise not involved in decisions of the Compensation Committee affecting the compensation of our executive officers. While our CFO, General Counsel, Senior Vice President of Human Resources and other members of our human resources management attend such meetings to provide information, present materials to the Compensation Committee and answer related questions, they are not involved in decisions of the Compensation Committee affecting the compensation of our executive officers. The Compensation Committee typically meets in executive session after each of its regularly scheduled meetings to discuss executive compensation and make decisions.</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62"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Discretion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The Compensation Committee generally has the discretion to make awards under our incentive plans to our executive officers, including the Named Executive Officers. The Compensation Committee did not exercise discretion in 2017</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to increase or reduce the size of any outstanding award or to award compensation when a performance goal was not achieved.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0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31</w:t>
      </w:r>
    </w:p>
    <w:p>
      <w:pPr>
        <w:sectPr>
          <w:pgSz w:w="11900" w:h="16838" w:orient="portrait"/>
          <w:cols w:equalWidth="0" w:num="2">
            <w:col w:w="5340" w:space="480"/>
            <w:col w:w="5400"/>
          </w:cols>
          <w:pgMar w:left="24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right="180"/>
        <w:spacing w:after="0" w:line="250" w:lineRule="auto"/>
        <w:rPr>
          <w:sz w:val="20"/>
          <w:szCs w:val="20"/>
          <w:color w:val="auto"/>
        </w:rPr>
      </w:pPr>
      <w:r>
        <w:rPr>
          <w:rFonts w:ascii="Arial" w:cs="Arial" w:eastAsia="Arial" w:hAnsi="Arial"/>
          <w:sz w:val="16"/>
          <w:szCs w:val="16"/>
          <w:color w:val="auto"/>
        </w:rPr>
        <w:t>Our compensation program is designed to attract, motivate and retain executives through a mix of short-term and long-term compensation, fixed and variable pay and cash and equity-based compensation, while emphasizing our philosophy of pay for performance. A summary of the core total direct compensation elements (base salary, annual incentives and long-term incentives) follows below. Retirement plan benefits, termination/change in control benefits, and certain health, welfare and other benefits are not included in this table, but additional information about these programs can be found on pages 37 to 38:</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E2231A"/>
              </w:rPr>
              <w:t>Fixed vs.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E2231A"/>
              </w:rPr>
              <w:t>Cash vs.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E2231A"/>
              </w:rPr>
              <w:t>Payout</w:t>
            </w:r>
          </w:p>
        </w:tc>
      </w:tr>
      <w:tr>
        <w:trPr>
          <w:trHeight w:val="189"/>
        </w:trPr>
        <w:tc>
          <w:tcPr>
            <w:tcW w:w="20" w:type="dxa"/>
            <w:vAlign w:val="bottom"/>
          </w:tcPr>
          <w:p>
            <w:pPr>
              <w:spacing w:after="0"/>
              <w:rPr>
                <w:sz w:val="16"/>
                <w:szCs w:val="16"/>
                <w:color w:val="auto"/>
              </w:rPr>
            </w:pPr>
          </w:p>
        </w:tc>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Element</w:t>
            </w:r>
          </w:p>
        </w:tc>
        <w:tc>
          <w:tcPr>
            <w:tcW w:w="10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E2231A"/>
              </w:rPr>
              <w:t>Purpose</w:t>
            </w:r>
          </w:p>
        </w:tc>
        <w:tc>
          <w:tcPr>
            <w:tcW w:w="28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E2231A"/>
              </w:rPr>
              <w:t>Performance Measure(s)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Variable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Equity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Range</w:t>
            </w:r>
          </w:p>
        </w:tc>
      </w:tr>
      <w:tr>
        <w:trPr>
          <w:trHeight w:val="184"/>
        </w:trPr>
        <w:tc>
          <w:tcPr>
            <w:tcW w:w="20" w:type="dxa"/>
            <w:vAlign w:val="bottom"/>
          </w:tcPr>
          <w:p>
            <w:pPr>
              <w:spacing w:after="0"/>
              <w:rPr>
                <w:sz w:val="16"/>
                <w:szCs w:val="16"/>
                <w:color w:val="auto"/>
              </w:rPr>
            </w:pPr>
          </w:p>
        </w:tc>
        <w:tc>
          <w:tcPr>
            <w:tcW w:w="1340" w:type="dxa"/>
            <w:vAlign w:val="bottom"/>
            <w:shd w:val="clear" w:color="auto" w:fill="FCE9E8"/>
          </w:tcPr>
          <w:p>
            <w:pPr>
              <w:ind w:left="80"/>
              <w:spacing w:after="0"/>
              <w:rPr>
                <w:sz w:val="20"/>
                <w:szCs w:val="20"/>
                <w:color w:val="auto"/>
              </w:rPr>
            </w:pPr>
            <w:r>
              <w:rPr>
                <w:rFonts w:ascii="Arial" w:cs="Arial" w:eastAsia="Arial" w:hAnsi="Arial"/>
                <w:sz w:val="16"/>
                <w:szCs w:val="16"/>
                <w:color w:val="auto"/>
              </w:rPr>
              <w:t>Base Salary</w:t>
            </w:r>
          </w:p>
        </w:tc>
        <w:tc>
          <w:tcPr>
            <w:tcW w:w="1060" w:type="dxa"/>
            <w:vAlign w:val="bottom"/>
            <w:shd w:val="clear" w:color="auto" w:fill="FCE9E8"/>
          </w:tcPr>
          <w:p>
            <w:pPr>
              <w:spacing w:after="0"/>
              <w:rPr>
                <w:sz w:val="16"/>
                <w:szCs w:val="16"/>
                <w:color w:val="auto"/>
              </w:rPr>
            </w:pPr>
          </w:p>
        </w:tc>
        <w:tc>
          <w:tcPr>
            <w:tcW w:w="2800" w:type="dxa"/>
            <w:vAlign w:val="bottom"/>
            <w:shd w:val="clear" w:color="auto" w:fill="FCE9E8"/>
          </w:tcPr>
          <w:p>
            <w:pPr>
              <w:ind w:left="60"/>
              <w:spacing w:after="0"/>
              <w:rPr>
                <w:sz w:val="20"/>
                <w:szCs w:val="20"/>
                <w:color w:val="auto"/>
              </w:rPr>
            </w:pPr>
            <w:r>
              <w:rPr>
                <w:rFonts w:ascii="Arial" w:cs="Arial" w:eastAsia="Arial" w:hAnsi="Arial"/>
                <w:sz w:val="16"/>
                <w:szCs w:val="16"/>
                <w:color w:val="auto"/>
              </w:rPr>
              <w:t>Provide a competitive rate</w:t>
            </w:r>
          </w:p>
        </w:tc>
        <w:tc>
          <w:tcPr>
            <w:tcW w:w="2820" w:type="dxa"/>
            <w:vAlign w:val="bottom"/>
            <w:shd w:val="clear" w:color="auto" w:fill="FCE9E8"/>
          </w:tcPr>
          <w:p>
            <w:pPr>
              <w:ind w:left="60"/>
              <w:spacing w:after="0"/>
              <w:rPr>
                <w:sz w:val="20"/>
                <w:szCs w:val="20"/>
                <w:color w:val="auto"/>
              </w:rPr>
            </w:pPr>
            <w:r>
              <w:rPr>
                <w:rFonts w:ascii="Arial" w:cs="Arial" w:eastAsia="Arial" w:hAnsi="Arial"/>
                <w:sz w:val="16"/>
                <w:szCs w:val="16"/>
                <w:color w:val="auto"/>
              </w:rPr>
              <w:t>Individual performance,</w:t>
            </w:r>
          </w:p>
        </w:tc>
        <w:tc>
          <w:tcPr>
            <w:tcW w:w="7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Fixed</w:t>
            </w:r>
          </w:p>
        </w:tc>
        <w:tc>
          <w:tcPr>
            <w:tcW w:w="7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Cash</w:t>
            </w:r>
          </w:p>
        </w:tc>
        <w:tc>
          <w:tcPr>
            <w:tcW w:w="15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n/a</w:t>
            </w:r>
          </w:p>
        </w:tc>
      </w:tr>
      <w:tr>
        <w:trPr>
          <w:trHeight w:val="189"/>
        </w:trPr>
        <w:tc>
          <w:tcPr>
            <w:tcW w:w="20" w:type="dxa"/>
            <w:vAlign w:val="bottom"/>
          </w:tcPr>
          <w:p>
            <w:pPr>
              <w:spacing w:after="0"/>
              <w:rPr>
                <w:sz w:val="16"/>
                <w:szCs w:val="16"/>
                <w:color w:val="auto"/>
              </w:rPr>
            </w:pPr>
          </w:p>
        </w:tc>
        <w:tc>
          <w:tcPr>
            <w:tcW w:w="134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800" w:type="dxa"/>
            <w:vAlign w:val="bottom"/>
            <w:shd w:val="clear" w:color="auto" w:fill="FCE9E8"/>
          </w:tcPr>
          <w:p>
            <w:pPr>
              <w:ind w:left="60"/>
              <w:spacing w:after="0"/>
              <w:rPr>
                <w:sz w:val="20"/>
                <w:szCs w:val="20"/>
                <w:color w:val="auto"/>
              </w:rPr>
            </w:pPr>
            <w:r>
              <w:rPr>
                <w:rFonts w:ascii="Arial" w:cs="Arial" w:eastAsia="Arial" w:hAnsi="Arial"/>
                <w:sz w:val="16"/>
                <w:szCs w:val="16"/>
                <w:color w:val="auto"/>
              </w:rPr>
              <w:t>of pay to attract, motivate and retain</w:t>
            </w:r>
          </w:p>
        </w:tc>
        <w:tc>
          <w:tcPr>
            <w:tcW w:w="2820" w:type="dxa"/>
            <w:vAlign w:val="bottom"/>
            <w:shd w:val="clear" w:color="auto" w:fill="FCE9E8"/>
          </w:tcPr>
          <w:p>
            <w:pPr>
              <w:ind w:left="60"/>
              <w:spacing w:after="0"/>
              <w:rPr>
                <w:sz w:val="20"/>
                <w:szCs w:val="20"/>
                <w:color w:val="auto"/>
              </w:rPr>
            </w:pPr>
            <w:r>
              <w:rPr>
                <w:rFonts w:ascii="Arial" w:cs="Arial" w:eastAsia="Arial" w:hAnsi="Arial"/>
                <w:sz w:val="16"/>
                <w:szCs w:val="16"/>
                <w:color w:val="auto"/>
              </w:rPr>
              <w:t>responsibilities, experience, time in</w:t>
            </w:r>
          </w:p>
        </w:tc>
        <w:tc>
          <w:tcPr>
            <w:tcW w:w="78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500" w:type="dxa"/>
            <w:vAlign w:val="bottom"/>
            <w:shd w:val="clear" w:color="auto" w:fill="FCE9E8"/>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34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800" w:type="dxa"/>
            <w:vAlign w:val="bottom"/>
            <w:shd w:val="clear" w:color="auto" w:fill="FCE9E8"/>
          </w:tcPr>
          <w:p>
            <w:pPr>
              <w:ind w:left="60"/>
              <w:spacing w:after="0"/>
              <w:rPr>
                <w:sz w:val="20"/>
                <w:szCs w:val="20"/>
                <w:color w:val="auto"/>
              </w:rPr>
            </w:pPr>
            <w:r>
              <w:rPr>
                <w:rFonts w:ascii="Arial" w:cs="Arial" w:eastAsia="Arial" w:hAnsi="Arial"/>
                <w:sz w:val="16"/>
                <w:szCs w:val="16"/>
                <w:color w:val="auto"/>
              </w:rPr>
              <w:t>executive officers of the Company</w:t>
            </w:r>
          </w:p>
        </w:tc>
        <w:tc>
          <w:tcPr>
            <w:tcW w:w="2820" w:type="dxa"/>
            <w:vAlign w:val="bottom"/>
            <w:shd w:val="clear" w:color="auto" w:fill="FCE9E8"/>
          </w:tcPr>
          <w:p>
            <w:pPr>
              <w:ind w:left="60"/>
              <w:spacing w:after="0"/>
              <w:rPr>
                <w:sz w:val="20"/>
                <w:szCs w:val="20"/>
                <w:color w:val="auto"/>
              </w:rPr>
            </w:pPr>
            <w:r>
              <w:rPr>
                <w:rFonts w:ascii="Arial" w:cs="Arial" w:eastAsia="Arial" w:hAnsi="Arial"/>
                <w:sz w:val="16"/>
                <w:szCs w:val="16"/>
                <w:color w:val="auto"/>
              </w:rPr>
              <w:t>position and critical skills</w:t>
            </w:r>
          </w:p>
        </w:tc>
        <w:tc>
          <w:tcPr>
            <w:tcW w:w="78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500" w:type="dxa"/>
            <w:vAlign w:val="bottom"/>
            <w:shd w:val="clear" w:color="auto" w:fill="FCE9E8"/>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1340" w:type="dxa"/>
            <w:vAlign w:val="bottom"/>
          </w:tcPr>
          <w:p>
            <w:pPr>
              <w:ind w:left="60"/>
              <w:spacing w:after="0"/>
              <w:rPr>
                <w:sz w:val="20"/>
                <w:szCs w:val="20"/>
                <w:color w:val="auto"/>
              </w:rPr>
            </w:pPr>
            <w:r>
              <w:rPr>
                <w:rFonts w:ascii="Arial" w:cs="Arial" w:eastAsia="Arial" w:hAnsi="Arial"/>
                <w:sz w:val="16"/>
                <w:szCs w:val="16"/>
                <w:color w:val="auto"/>
              </w:rPr>
              <w:t>Annual Incentive</w:t>
            </w:r>
          </w:p>
        </w:tc>
        <w:tc>
          <w:tcPr>
            <w:tcW w:w="1060" w:type="dxa"/>
            <w:vAlign w:val="bottom"/>
          </w:tcPr>
          <w:p>
            <w:pPr>
              <w:ind w:left="60"/>
              <w:spacing w:after="0"/>
              <w:rPr>
                <w:sz w:val="20"/>
                <w:szCs w:val="20"/>
                <w:color w:val="auto"/>
              </w:rPr>
            </w:pPr>
            <w:r>
              <w:rPr>
                <w:rFonts w:ascii="Arial" w:cs="Arial" w:eastAsia="Arial" w:hAnsi="Arial"/>
                <w:sz w:val="16"/>
                <w:szCs w:val="16"/>
                <w:color w:val="auto"/>
              </w:rPr>
              <w:t>Plan (AIP)</w:t>
            </w:r>
          </w:p>
        </w:tc>
        <w:tc>
          <w:tcPr>
            <w:tcW w:w="2800" w:type="dxa"/>
            <w:vAlign w:val="bottom"/>
          </w:tcPr>
          <w:p>
            <w:pPr>
              <w:ind w:left="60"/>
              <w:spacing w:after="0"/>
              <w:rPr>
                <w:sz w:val="20"/>
                <w:szCs w:val="20"/>
                <w:color w:val="auto"/>
              </w:rPr>
            </w:pPr>
            <w:r>
              <w:rPr>
                <w:rFonts w:ascii="Arial" w:cs="Arial" w:eastAsia="Arial" w:hAnsi="Arial"/>
                <w:sz w:val="16"/>
                <w:szCs w:val="16"/>
                <w:color w:val="auto"/>
              </w:rPr>
              <w:t>Align a portion of annual pay to</w:t>
            </w:r>
          </w:p>
        </w:tc>
        <w:tc>
          <w:tcPr>
            <w:tcW w:w="2820" w:type="dxa"/>
            <w:vAlign w:val="bottom"/>
          </w:tcPr>
          <w:p>
            <w:pPr>
              <w:ind w:left="60"/>
              <w:spacing w:after="0"/>
              <w:rPr>
                <w:sz w:val="20"/>
                <w:szCs w:val="20"/>
                <w:color w:val="auto"/>
              </w:rPr>
            </w:pPr>
            <w:r>
              <w:rPr>
                <w:rFonts w:ascii="Arial" w:cs="Arial" w:eastAsia="Arial" w:hAnsi="Arial"/>
                <w:sz w:val="16"/>
                <w:szCs w:val="16"/>
                <w:color w:val="auto"/>
              </w:rPr>
              <w:t>Adjusted Operating Income (50%)</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720" w:type="dxa"/>
            <w:vAlign w:val="bottom"/>
          </w:tcPr>
          <w:p>
            <w:pPr>
              <w:jc w:val="center"/>
              <w:spacing w:after="0"/>
              <w:rPr>
                <w:sz w:val="20"/>
                <w:szCs w:val="20"/>
                <w:color w:val="auto"/>
              </w:rPr>
            </w:pPr>
            <w:r>
              <w:rPr>
                <w:rFonts w:ascii="Arial" w:cs="Arial" w:eastAsia="Arial" w:hAnsi="Arial"/>
                <w:sz w:val="16"/>
                <w:szCs w:val="16"/>
                <w:color w:val="auto"/>
              </w:rPr>
              <w:t>Cash</w:t>
            </w:r>
          </w:p>
        </w:tc>
        <w:tc>
          <w:tcPr>
            <w:tcW w:w="1500" w:type="dxa"/>
            <w:vAlign w:val="bottom"/>
          </w:tcPr>
          <w:p>
            <w:pPr>
              <w:jc w:val="center"/>
              <w:spacing w:after="0"/>
              <w:rPr>
                <w:sz w:val="20"/>
                <w:szCs w:val="20"/>
                <w:color w:val="auto"/>
              </w:rPr>
            </w:pPr>
            <w:r>
              <w:rPr>
                <w:rFonts w:ascii="Arial" w:cs="Arial" w:eastAsia="Arial" w:hAnsi="Arial"/>
                <w:sz w:val="16"/>
                <w:szCs w:val="16"/>
                <w:color w:val="auto"/>
              </w:rPr>
              <w:t>0-200% of target</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0" w:type="dxa"/>
            <w:vAlign w:val="bottom"/>
          </w:tcPr>
          <w:p>
            <w:pPr>
              <w:ind w:left="60"/>
              <w:spacing w:after="0"/>
              <w:rPr>
                <w:sz w:val="20"/>
                <w:szCs w:val="20"/>
                <w:color w:val="auto"/>
              </w:rPr>
            </w:pPr>
            <w:r>
              <w:rPr>
                <w:rFonts w:ascii="Arial" w:cs="Arial" w:eastAsia="Arial" w:hAnsi="Arial"/>
                <w:sz w:val="16"/>
                <w:szCs w:val="16"/>
                <w:color w:val="auto"/>
              </w:rPr>
              <w:t>performance against key goals and</w:t>
            </w:r>
          </w:p>
        </w:tc>
        <w:tc>
          <w:tcPr>
            <w:tcW w:w="2820" w:type="dxa"/>
            <w:vAlign w:val="bottom"/>
          </w:tcPr>
          <w:p>
            <w:pPr>
              <w:ind w:left="60"/>
              <w:spacing w:after="0"/>
              <w:rPr>
                <w:sz w:val="20"/>
                <w:szCs w:val="20"/>
                <w:color w:val="auto"/>
              </w:rPr>
            </w:pPr>
            <w:r>
              <w:rPr>
                <w:rFonts w:ascii="Arial" w:cs="Arial" w:eastAsia="Arial" w:hAnsi="Arial"/>
                <w:sz w:val="16"/>
                <w:szCs w:val="16"/>
                <w:color w:val="auto"/>
              </w:rPr>
              <w:t>Free Cash Flow (50%)</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0" w:type="dxa"/>
            <w:vAlign w:val="bottom"/>
          </w:tcPr>
          <w:p>
            <w:pPr>
              <w:ind w:left="60"/>
              <w:spacing w:after="0"/>
              <w:rPr>
                <w:sz w:val="20"/>
                <w:szCs w:val="20"/>
                <w:color w:val="auto"/>
              </w:rPr>
            </w:pPr>
            <w:r>
              <w:rPr>
                <w:rFonts w:ascii="Arial" w:cs="Arial" w:eastAsia="Arial" w:hAnsi="Arial"/>
                <w:sz w:val="16"/>
                <w:szCs w:val="16"/>
                <w:color w:val="auto"/>
              </w:rPr>
              <w:t>objectives for the year</w:t>
            </w:r>
          </w:p>
        </w:tc>
        <w:tc>
          <w:tcPr>
            <w:tcW w:w="2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2400" w:type="dxa"/>
            <w:vAlign w:val="bottom"/>
            <w:gridSpan w:val="2"/>
            <w:shd w:val="clear" w:color="auto" w:fill="FCE9E8"/>
          </w:tcPr>
          <w:p>
            <w:pPr>
              <w:ind w:left="80"/>
              <w:spacing w:after="0"/>
              <w:rPr>
                <w:sz w:val="20"/>
                <w:szCs w:val="20"/>
                <w:color w:val="auto"/>
              </w:rPr>
            </w:pPr>
            <w:r>
              <w:rPr>
                <w:rFonts w:ascii="Arial" w:cs="Arial" w:eastAsia="Arial" w:hAnsi="Arial"/>
                <w:sz w:val="16"/>
                <w:szCs w:val="16"/>
                <w:color w:val="auto"/>
              </w:rPr>
              <w:t>Performance  Shares under</w:t>
            </w:r>
          </w:p>
        </w:tc>
        <w:tc>
          <w:tcPr>
            <w:tcW w:w="2800" w:type="dxa"/>
            <w:vAlign w:val="bottom"/>
            <w:shd w:val="clear" w:color="auto" w:fill="FCE9E8"/>
          </w:tcPr>
          <w:p>
            <w:pPr>
              <w:spacing w:after="0"/>
              <w:rPr>
                <w:sz w:val="16"/>
                <w:szCs w:val="16"/>
                <w:color w:val="auto"/>
              </w:rPr>
            </w:pPr>
          </w:p>
        </w:tc>
        <w:tc>
          <w:tcPr>
            <w:tcW w:w="2820" w:type="dxa"/>
            <w:vAlign w:val="bottom"/>
            <w:shd w:val="clear" w:color="auto" w:fill="FCE9E8"/>
          </w:tcPr>
          <w:p>
            <w:pPr>
              <w:ind w:left="60"/>
              <w:spacing w:after="0"/>
              <w:rPr>
                <w:sz w:val="20"/>
                <w:szCs w:val="20"/>
                <w:color w:val="auto"/>
              </w:rPr>
            </w:pPr>
            <w:r>
              <w:rPr>
                <w:rFonts w:ascii="Arial" w:cs="Arial" w:eastAsia="Arial" w:hAnsi="Arial"/>
                <w:sz w:val="16"/>
                <w:szCs w:val="16"/>
                <w:color w:val="auto"/>
              </w:rPr>
              <w:t>Adjusted Return on Invested Capital</w:t>
            </w:r>
          </w:p>
        </w:tc>
        <w:tc>
          <w:tcPr>
            <w:tcW w:w="78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Variable</w:t>
            </w:r>
          </w:p>
        </w:tc>
        <w:tc>
          <w:tcPr>
            <w:tcW w:w="7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Equity</w:t>
            </w:r>
          </w:p>
        </w:tc>
        <w:tc>
          <w:tcPr>
            <w:tcW w:w="15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0-200% of target</w:t>
            </w:r>
          </w:p>
        </w:tc>
      </w:tr>
      <w:tr>
        <w:trPr>
          <w:trHeight w:val="189"/>
        </w:trPr>
        <w:tc>
          <w:tcPr>
            <w:tcW w:w="20" w:type="dxa"/>
            <w:vAlign w:val="bottom"/>
          </w:tcPr>
          <w:p>
            <w:pPr>
              <w:spacing w:after="0"/>
              <w:rPr>
                <w:sz w:val="16"/>
                <w:szCs w:val="16"/>
                <w:color w:val="auto"/>
              </w:rPr>
            </w:pPr>
          </w:p>
        </w:tc>
        <w:tc>
          <w:tcPr>
            <w:tcW w:w="1340" w:type="dxa"/>
            <w:vAlign w:val="bottom"/>
            <w:shd w:val="clear" w:color="auto" w:fill="FCE9E8"/>
          </w:tcPr>
          <w:p>
            <w:pPr>
              <w:ind w:left="80"/>
              <w:spacing w:after="0"/>
              <w:rPr>
                <w:sz w:val="20"/>
                <w:szCs w:val="20"/>
                <w:color w:val="auto"/>
              </w:rPr>
            </w:pPr>
            <w:r>
              <w:rPr>
                <w:rFonts w:ascii="Arial" w:cs="Arial" w:eastAsia="Arial" w:hAnsi="Arial"/>
                <w:sz w:val="16"/>
                <w:szCs w:val="16"/>
                <w:color w:val="auto"/>
              </w:rPr>
              <w:t>Long-Term Stock</w:t>
            </w:r>
          </w:p>
        </w:tc>
        <w:tc>
          <w:tcPr>
            <w:tcW w:w="10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Incentive</w:t>
            </w:r>
          </w:p>
        </w:tc>
        <w:tc>
          <w:tcPr>
            <w:tcW w:w="2800" w:type="dxa"/>
            <w:vAlign w:val="bottom"/>
            <w:shd w:val="clear" w:color="auto" w:fill="FCE9E8"/>
          </w:tcPr>
          <w:p>
            <w:pPr>
              <w:ind w:left="60"/>
              <w:spacing w:after="0"/>
              <w:rPr>
                <w:sz w:val="20"/>
                <w:szCs w:val="20"/>
                <w:color w:val="auto"/>
              </w:rPr>
            </w:pPr>
            <w:r>
              <w:rPr>
                <w:rFonts w:ascii="Arial" w:cs="Arial" w:eastAsia="Arial" w:hAnsi="Arial"/>
                <w:sz w:val="16"/>
                <w:szCs w:val="16"/>
                <w:color w:val="auto"/>
              </w:rPr>
              <w:t>Align executive pay with long-term</w:t>
            </w:r>
          </w:p>
        </w:tc>
        <w:tc>
          <w:tcPr>
            <w:tcW w:w="2820" w:type="dxa"/>
            <w:vAlign w:val="bottom"/>
            <w:shd w:val="clear" w:color="auto" w:fill="FCE9E8"/>
          </w:tcPr>
          <w:p>
            <w:pPr>
              <w:ind w:left="60"/>
              <w:spacing w:after="0"/>
              <w:rPr>
                <w:sz w:val="20"/>
                <w:szCs w:val="20"/>
                <w:color w:val="auto"/>
              </w:rPr>
            </w:pPr>
            <w:r>
              <w:rPr>
                <w:rFonts w:ascii="Arial" w:cs="Arial" w:eastAsia="Arial" w:hAnsi="Arial"/>
                <w:sz w:val="16"/>
                <w:szCs w:val="16"/>
                <w:color w:val="auto"/>
              </w:rPr>
              <w:t>(ROIC) (66 2/3%)</w:t>
            </w:r>
          </w:p>
        </w:tc>
        <w:tc>
          <w:tcPr>
            <w:tcW w:w="78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5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number of shares;</w:t>
            </w:r>
          </w:p>
        </w:tc>
      </w:tr>
      <w:tr>
        <w:trPr>
          <w:trHeight w:val="189"/>
        </w:trPr>
        <w:tc>
          <w:tcPr>
            <w:tcW w:w="20" w:type="dxa"/>
            <w:vAlign w:val="bottom"/>
          </w:tcPr>
          <w:p>
            <w:pPr>
              <w:spacing w:after="0"/>
              <w:rPr>
                <w:sz w:val="16"/>
                <w:szCs w:val="16"/>
                <w:color w:val="auto"/>
              </w:rPr>
            </w:pPr>
          </w:p>
        </w:tc>
        <w:tc>
          <w:tcPr>
            <w:tcW w:w="1340" w:type="dxa"/>
            <w:vAlign w:val="bottom"/>
            <w:shd w:val="clear" w:color="auto" w:fill="FCE9E8"/>
          </w:tcPr>
          <w:p>
            <w:pPr>
              <w:spacing w:after="0"/>
              <w:rPr>
                <w:sz w:val="20"/>
                <w:szCs w:val="20"/>
                <w:color w:val="auto"/>
              </w:rPr>
            </w:pPr>
            <w:r>
              <w:rPr>
                <w:rFonts w:ascii="Arial" w:cs="Arial" w:eastAsia="Arial" w:hAnsi="Arial"/>
                <w:sz w:val="16"/>
                <w:szCs w:val="16"/>
                <w:color w:val="auto"/>
              </w:rPr>
              <w:t>Plan  (LTSIP)</w:t>
            </w:r>
          </w:p>
        </w:tc>
        <w:tc>
          <w:tcPr>
            <w:tcW w:w="1060" w:type="dxa"/>
            <w:vAlign w:val="bottom"/>
            <w:shd w:val="clear" w:color="auto" w:fill="FCE9E8"/>
          </w:tcPr>
          <w:p>
            <w:pPr>
              <w:spacing w:after="0"/>
              <w:rPr>
                <w:sz w:val="16"/>
                <w:szCs w:val="16"/>
                <w:color w:val="auto"/>
              </w:rPr>
            </w:pPr>
          </w:p>
        </w:tc>
        <w:tc>
          <w:tcPr>
            <w:tcW w:w="2800" w:type="dxa"/>
            <w:vAlign w:val="bottom"/>
            <w:shd w:val="clear" w:color="auto" w:fill="FCE9E8"/>
          </w:tcPr>
          <w:p>
            <w:pPr>
              <w:ind w:left="60"/>
              <w:spacing w:after="0"/>
              <w:rPr>
                <w:sz w:val="20"/>
                <w:szCs w:val="20"/>
                <w:color w:val="auto"/>
              </w:rPr>
            </w:pPr>
            <w:r>
              <w:rPr>
                <w:rFonts w:ascii="Arial" w:cs="Arial" w:eastAsia="Arial" w:hAnsi="Arial"/>
                <w:sz w:val="16"/>
                <w:szCs w:val="16"/>
                <w:color w:val="auto"/>
              </w:rPr>
              <w:t>stockholder interests through equity-</w:t>
            </w:r>
          </w:p>
        </w:tc>
        <w:tc>
          <w:tcPr>
            <w:tcW w:w="28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Cumulative Adjusted Pre-Tax Income</w:t>
            </w:r>
          </w:p>
        </w:tc>
        <w:tc>
          <w:tcPr>
            <w:tcW w:w="78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5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Performance Share</w:t>
            </w:r>
          </w:p>
        </w:tc>
      </w:tr>
      <w:tr>
        <w:trPr>
          <w:trHeight w:val="189"/>
        </w:trPr>
        <w:tc>
          <w:tcPr>
            <w:tcW w:w="20" w:type="dxa"/>
            <w:vAlign w:val="bottom"/>
          </w:tcPr>
          <w:p>
            <w:pPr>
              <w:spacing w:after="0"/>
              <w:rPr>
                <w:sz w:val="16"/>
                <w:szCs w:val="16"/>
                <w:color w:val="auto"/>
              </w:rPr>
            </w:pPr>
          </w:p>
        </w:tc>
        <w:tc>
          <w:tcPr>
            <w:tcW w:w="134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800" w:type="dxa"/>
            <w:vAlign w:val="bottom"/>
            <w:shd w:val="clear" w:color="auto" w:fill="FCE9E8"/>
          </w:tcPr>
          <w:p>
            <w:pPr>
              <w:ind w:left="60"/>
              <w:spacing w:after="0"/>
              <w:rPr>
                <w:sz w:val="20"/>
                <w:szCs w:val="20"/>
                <w:color w:val="auto"/>
              </w:rPr>
            </w:pPr>
            <w:r>
              <w:rPr>
                <w:rFonts w:ascii="Arial" w:cs="Arial" w:eastAsia="Arial" w:hAnsi="Arial"/>
                <w:sz w:val="16"/>
                <w:szCs w:val="16"/>
                <w:color w:val="auto"/>
              </w:rPr>
              <w:t>based compensation tied to key</w:t>
            </w:r>
          </w:p>
        </w:tc>
        <w:tc>
          <w:tcPr>
            <w:tcW w:w="2820" w:type="dxa"/>
            <w:vAlign w:val="bottom"/>
            <w:shd w:val="clear" w:color="auto" w:fill="FCE9E8"/>
          </w:tcPr>
          <w:p>
            <w:pPr>
              <w:ind w:left="60"/>
              <w:spacing w:after="0"/>
              <w:rPr>
                <w:sz w:val="20"/>
                <w:szCs w:val="20"/>
                <w:color w:val="auto"/>
              </w:rPr>
            </w:pPr>
            <w:r>
              <w:rPr>
                <w:rFonts w:ascii="Arial" w:cs="Arial" w:eastAsia="Arial" w:hAnsi="Arial"/>
                <w:sz w:val="16"/>
                <w:szCs w:val="16"/>
                <w:color w:val="auto"/>
              </w:rPr>
              <w:t>(33 1/3%)</w:t>
            </w:r>
          </w:p>
        </w:tc>
        <w:tc>
          <w:tcPr>
            <w:tcW w:w="78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5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value fluctuates</w:t>
            </w:r>
          </w:p>
        </w:tc>
      </w:tr>
      <w:tr>
        <w:trPr>
          <w:trHeight w:val="189"/>
        </w:trPr>
        <w:tc>
          <w:tcPr>
            <w:tcW w:w="20" w:type="dxa"/>
            <w:vAlign w:val="bottom"/>
          </w:tcPr>
          <w:p>
            <w:pPr>
              <w:spacing w:after="0"/>
              <w:rPr>
                <w:sz w:val="16"/>
                <w:szCs w:val="16"/>
                <w:color w:val="auto"/>
              </w:rPr>
            </w:pPr>
          </w:p>
        </w:tc>
        <w:tc>
          <w:tcPr>
            <w:tcW w:w="134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800" w:type="dxa"/>
            <w:vAlign w:val="bottom"/>
            <w:shd w:val="clear" w:color="auto" w:fill="FCE9E8"/>
          </w:tcPr>
          <w:p>
            <w:pPr>
              <w:ind w:left="60"/>
              <w:spacing w:after="0"/>
              <w:rPr>
                <w:sz w:val="20"/>
                <w:szCs w:val="20"/>
                <w:color w:val="auto"/>
              </w:rPr>
            </w:pPr>
            <w:r>
              <w:rPr>
                <w:rFonts w:ascii="Arial" w:cs="Arial" w:eastAsia="Arial" w:hAnsi="Arial"/>
                <w:sz w:val="16"/>
                <w:szCs w:val="16"/>
                <w:color w:val="auto"/>
              </w:rPr>
              <w:t>performance metrics of the Company</w:t>
            </w:r>
          </w:p>
        </w:tc>
        <w:tc>
          <w:tcPr>
            <w:tcW w:w="282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5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with stock price</w:t>
            </w:r>
          </w:p>
        </w:tc>
      </w:tr>
      <w:tr>
        <w:trPr>
          <w:trHeight w:val="187"/>
        </w:trPr>
        <w:tc>
          <w:tcPr>
            <w:tcW w:w="20" w:type="dxa"/>
            <w:vAlign w:val="bottom"/>
          </w:tcPr>
          <w:p>
            <w:pPr>
              <w:spacing w:after="0"/>
              <w:rPr>
                <w:sz w:val="16"/>
                <w:szCs w:val="16"/>
                <w:color w:val="auto"/>
              </w:rPr>
            </w:pPr>
          </w:p>
        </w:tc>
        <w:tc>
          <w:tcPr>
            <w:tcW w:w="134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2800" w:type="dxa"/>
            <w:vAlign w:val="bottom"/>
            <w:shd w:val="clear" w:color="auto" w:fill="FCE9E8"/>
          </w:tcPr>
          <w:p>
            <w:pPr>
              <w:ind w:left="60"/>
              <w:spacing w:after="0"/>
              <w:rPr>
                <w:sz w:val="20"/>
                <w:szCs w:val="20"/>
                <w:color w:val="auto"/>
              </w:rPr>
            </w:pPr>
            <w:r>
              <w:rPr>
                <w:rFonts w:ascii="Arial" w:cs="Arial" w:eastAsia="Arial" w:hAnsi="Arial"/>
                <w:sz w:val="16"/>
                <w:szCs w:val="16"/>
                <w:color w:val="auto"/>
              </w:rPr>
              <w:t>over a three-year period</w:t>
            </w:r>
          </w:p>
        </w:tc>
        <w:tc>
          <w:tcPr>
            <w:tcW w:w="282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5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movement</w:t>
            </w:r>
          </w:p>
        </w:tc>
      </w:tr>
      <w:tr>
        <w:trPr>
          <w:trHeight w:val="191"/>
        </w:trPr>
        <w:tc>
          <w:tcPr>
            <w:tcW w:w="20" w:type="dxa"/>
            <w:vAlign w:val="bottom"/>
          </w:tcPr>
          <w:p>
            <w:pPr>
              <w:spacing w:after="0"/>
              <w:rPr>
                <w:sz w:val="16"/>
                <w:szCs w:val="16"/>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Restricted Stock</w:t>
            </w:r>
          </w:p>
        </w:tc>
        <w:tc>
          <w:tcPr>
            <w:tcW w:w="1060" w:type="dxa"/>
            <w:vAlign w:val="bottom"/>
          </w:tcPr>
          <w:p>
            <w:pPr>
              <w:ind w:left="40"/>
              <w:spacing w:after="0"/>
              <w:rPr>
                <w:sz w:val="20"/>
                <w:szCs w:val="20"/>
                <w:color w:val="auto"/>
              </w:rPr>
            </w:pPr>
            <w:r>
              <w:rPr>
                <w:rFonts w:ascii="Arial" w:cs="Arial" w:eastAsia="Arial" w:hAnsi="Arial"/>
                <w:sz w:val="16"/>
                <w:szCs w:val="16"/>
                <w:color w:val="auto"/>
              </w:rPr>
              <w:t>Units (RSUs)</w:t>
            </w:r>
          </w:p>
        </w:tc>
        <w:tc>
          <w:tcPr>
            <w:tcW w:w="2800" w:type="dxa"/>
            <w:vAlign w:val="bottom"/>
          </w:tcPr>
          <w:p>
            <w:pPr>
              <w:ind w:left="60"/>
              <w:spacing w:after="0"/>
              <w:rPr>
                <w:sz w:val="20"/>
                <w:szCs w:val="20"/>
                <w:color w:val="auto"/>
              </w:rPr>
            </w:pPr>
            <w:r>
              <w:rPr>
                <w:rFonts w:ascii="Arial" w:cs="Arial" w:eastAsia="Arial" w:hAnsi="Arial"/>
                <w:sz w:val="16"/>
                <w:szCs w:val="16"/>
                <w:color w:val="auto"/>
              </w:rPr>
              <w:t>Align executive pay with long-term</w:t>
            </w:r>
          </w:p>
        </w:tc>
        <w:tc>
          <w:tcPr>
            <w:tcW w:w="2820" w:type="dxa"/>
            <w:vAlign w:val="bottom"/>
          </w:tcPr>
          <w:p>
            <w:pPr>
              <w:ind w:left="60"/>
              <w:spacing w:after="0"/>
              <w:rPr>
                <w:sz w:val="20"/>
                <w:szCs w:val="20"/>
                <w:color w:val="auto"/>
              </w:rPr>
            </w:pPr>
            <w:r>
              <w:rPr>
                <w:rFonts w:ascii="Arial" w:cs="Arial" w:eastAsia="Arial" w:hAnsi="Arial"/>
                <w:sz w:val="16"/>
                <w:szCs w:val="16"/>
                <w:color w:val="auto"/>
              </w:rPr>
              <w:t>Stock price alignment</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720" w:type="dxa"/>
            <w:vAlign w:val="bottom"/>
          </w:tcPr>
          <w:p>
            <w:pPr>
              <w:jc w:val="center"/>
              <w:spacing w:after="0"/>
              <w:rPr>
                <w:sz w:val="20"/>
                <w:szCs w:val="20"/>
                <w:color w:val="auto"/>
              </w:rPr>
            </w:pPr>
            <w:r>
              <w:rPr>
                <w:rFonts w:ascii="Arial" w:cs="Arial" w:eastAsia="Arial" w:hAnsi="Arial"/>
                <w:sz w:val="16"/>
                <w:szCs w:val="16"/>
                <w:color w:val="auto"/>
              </w:rPr>
              <w:t>Equity</w:t>
            </w:r>
          </w:p>
        </w:tc>
        <w:tc>
          <w:tcPr>
            <w:tcW w:w="1500" w:type="dxa"/>
            <w:vAlign w:val="bottom"/>
          </w:tcPr>
          <w:p>
            <w:pPr>
              <w:jc w:val="center"/>
              <w:spacing w:after="0"/>
              <w:rPr>
                <w:sz w:val="20"/>
                <w:szCs w:val="20"/>
                <w:color w:val="auto"/>
              </w:rPr>
            </w:pPr>
            <w:r>
              <w:rPr>
                <w:rFonts w:ascii="Arial" w:cs="Arial" w:eastAsia="Arial" w:hAnsi="Arial"/>
                <w:sz w:val="16"/>
                <w:szCs w:val="16"/>
                <w:color w:val="auto"/>
              </w:rPr>
              <w:t>Fluctuates with</w:t>
            </w:r>
          </w:p>
        </w:tc>
      </w:tr>
      <w:tr>
        <w:trPr>
          <w:trHeight w:val="189"/>
        </w:trPr>
        <w:tc>
          <w:tcPr>
            <w:tcW w:w="20" w:type="dxa"/>
            <w:vAlign w:val="bottom"/>
          </w:tcPr>
          <w:p>
            <w:pPr>
              <w:spacing w:after="0"/>
              <w:rPr>
                <w:sz w:val="16"/>
                <w:szCs w:val="16"/>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under LTSIP</w:t>
            </w:r>
          </w:p>
        </w:tc>
        <w:tc>
          <w:tcPr>
            <w:tcW w:w="1060" w:type="dxa"/>
            <w:vAlign w:val="bottom"/>
          </w:tcPr>
          <w:p>
            <w:pPr>
              <w:spacing w:after="0"/>
              <w:rPr>
                <w:sz w:val="16"/>
                <w:szCs w:val="16"/>
                <w:color w:val="auto"/>
              </w:rPr>
            </w:pPr>
          </w:p>
        </w:tc>
        <w:tc>
          <w:tcPr>
            <w:tcW w:w="2800" w:type="dxa"/>
            <w:vAlign w:val="bottom"/>
          </w:tcPr>
          <w:p>
            <w:pPr>
              <w:ind w:left="60"/>
              <w:spacing w:after="0"/>
              <w:rPr>
                <w:sz w:val="20"/>
                <w:szCs w:val="20"/>
                <w:color w:val="auto"/>
              </w:rPr>
            </w:pPr>
            <w:r>
              <w:rPr>
                <w:rFonts w:ascii="Arial" w:cs="Arial" w:eastAsia="Arial" w:hAnsi="Arial"/>
                <w:sz w:val="16"/>
                <w:szCs w:val="16"/>
                <w:color w:val="auto"/>
              </w:rPr>
              <w:t>stockholder interests through equity-</w:t>
            </w:r>
          </w:p>
        </w:tc>
        <w:tc>
          <w:tcPr>
            <w:tcW w:w="2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stock price</w:t>
            </w:r>
          </w:p>
        </w:tc>
      </w:tr>
      <w:tr>
        <w:trPr>
          <w:trHeight w:val="187"/>
        </w:trPr>
        <w:tc>
          <w:tcPr>
            <w:tcW w:w="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based compensation</w:t>
            </w:r>
          </w:p>
        </w:tc>
        <w:tc>
          <w:tcPr>
            <w:tcW w:w="28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movement</w:t>
            </w:r>
          </w:p>
        </w:tc>
      </w:tr>
    </w:tbl>
    <w:p>
      <w:pPr>
        <w:spacing w:after="0" w:line="1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Narrative descriptions of the individual elements of compensation are set forth below.</w:t>
      </w:r>
    </w:p>
    <w:p>
      <w:pPr>
        <w:sectPr>
          <w:pgSz w:w="11900" w:h="16838" w:orient="portrait"/>
          <w:cols w:equalWidth="0" w:num="1">
            <w:col w:w="11240"/>
          </w:cols>
          <w:pgMar w:left="240" w:top="459" w:right="419" w:bottom="1440" w:gutter="0" w:footer="0" w:header="0"/>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96"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Base salary is used as an input for other elements of our compensation program. For example, annual incentive targets in 2017 were set as a percentage of base salary. Because the amount of base salary can establish the range of potential compensation for other elements, we take special care in establishing base salary levels.</w:t>
      </w:r>
    </w:p>
    <w:p>
      <w:pPr>
        <w:spacing w:after="0" w:line="95"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Base salaries for our Named Executive Officers are targeted, on average, around the median level for comparable positions within the Comparator Group and broader industrial survey, as appropriate. On an annual basis, we review respective responsibilities, individual performance, the Company’s business performance and base salary levels for senior executives at companies within the Comparator Group and broader industrial survey. Base salaries for our executive officers are established at levels considered appropriate in light of the duties and scope of responsibilities of each officer’s position and considering internal pay equity and their experience relative to industry peers. In this regard, the Compensation Committee also considers the compensation practices and financial performance of companies within the Comparator Group. Merit increases in base salary for our senior executives are also determined by the results of the Board’s annual leadership review. At this review, our CEO</w:t>
      </w:r>
    </w:p>
    <w:p>
      <w:pPr>
        <w:spacing w:after="0" w:line="255" w:lineRule="exact"/>
        <w:rPr>
          <w:sz w:val="20"/>
          <w:szCs w:val="20"/>
          <w:color w:val="auto"/>
        </w:rPr>
      </w:pPr>
    </w:p>
    <w:p>
      <w:pPr>
        <w:ind w:left="660" w:hanging="354"/>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assesses the performance of our top executives and presents his perspectives to our Board. Our CEO’s base salary and total compensation are reviewed by the Compensation Committee following the annual CEO performance review. Generally in February of each year, the CEO and Compensation Committee reach agreement on his goals and objectives for the upcoming year, and the Compensation Committee evaluates his performance for the prior year against the prior year’s agreed goals and objectives. The base salaries of the Named Executive Officers did not change for 2017.</w:t>
      </w:r>
    </w:p>
    <w:p>
      <w:pPr>
        <w:spacing w:after="0" w:line="99"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Mr. Simoncini’s base salary is currently $1,354,500. Our CEO has traditionally received a lower percentage of his total compensation in the form of fixed amounts like base salary relative to our other executives in order to link more closely his compensation to the performance of the Company. As described under the heading, “CEO Transition” following the Summary Compensation Table below, in connection with Mr. Simoncini’s transition out of the role of CEO, effective February 28, 2018,</w:t>
      </w:r>
    </w:p>
    <w:p>
      <w:pPr>
        <w:spacing w:after="0" w:line="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Mr. Simoncini’s base salary has been reduced to $15,000 per month. In addition, effective March 1, 2018 and in connection with the commencement of his service as CEO, Mr. Scott’s annual base salary has been increased to $1,160,000.</w:t>
      </w:r>
    </w:p>
    <w:p>
      <w:pPr>
        <w:sectPr>
          <w:pgSz w:w="11900" w:h="16838" w:orient="portrait"/>
          <w:cols w:equalWidth="0" w:num="2">
            <w:col w:w="5500" w:space="320"/>
            <w:col w:w="5420"/>
          </w:cols>
          <w:pgMar w:left="240" w:top="459" w:right="4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78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Incentive Programs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 for Performance</w:t>
      </w:r>
    </w:p>
    <w:p>
      <w:pPr>
        <w:spacing w:after="0" w:line="124"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auto"/>
        </w:rPr>
        <w:t>All of the annual incentive opportunity and the majority (75%) of the long-term incentive opportunity are determined based on specific performance measures that drive achievement of our business strategy while ensuring sharp focus on critical results. Time-based RSUs make up the remaining portion (25%) of our 2017 long-term incentive awards and derive their value from our stock price and dividends. In order to drive profitable growth with efficient capital management, we selected four complementary performance measures (which assess earnings, cash flow and capital management over annual or three-year periods) to use in our incentive plans for 2017:</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Measure</w:t>
            </w:r>
          </w:p>
        </w:tc>
        <w:tc>
          <w:tcPr>
            <w:tcW w:w="92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E2231A"/>
              </w:rPr>
              <w:t>Plan</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E2231A"/>
              </w:rPr>
              <w:t>Weighting</w:t>
            </w:r>
          </w:p>
        </w:tc>
        <w:tc>
          <w:tcPr>
            <w:tcW w:w="22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E2231A"/>
              </w:rPr>
              <w:t>Background</w:t>
            </w:r>
          </w:p>
        </w:tc>
      </w:tr>
      <w:tr>
        <w:trPr>
          <w:trHeight w:val="184"/>
        </w:trPr>
        <w:tc>
          <w:tcPr>
            <w:tcW w:w="2400" w:type="dxa"/>
            <w:vAlign w:val="bottom"/>
            <w:shd w:val="clear" w:color="auto" w:fill="FCE9E8"/>
          </w:tcPr>
          <w:p>
            <w:pPr>
              <w:ind w:left="60"/>
              <w:spacing w:after="0"/>
              <w:rPr>
                <w:sz w:val="20"/>
                <w:szCs w:val="20"/>
                <w:color w:val="auto"/>
              </w:rPr>
            </w:pPr>
            <w:r>
              <w:rPr>
                <w:rFonts w:ascii="Arial" w:cs="Arial" w:eastAsia="Arial" w:hAnsi="Arial"/>
                <w:sz w:val="16"/>
                <w:szCs w:val="16"/>
                <w:color w:val="auto"/>
              </w:rPr>
              <w:t>Adjusted Operating Income</w:t>
            </w:r>
          </w:p>
        </w:tc>
        <w:tc>
          <w:tcPr>
            <w:tcW w:w="920" w:type="dxa"/>
            <w:vAlign w:val="bottom"/>
            <w:shd w:val="clear" w:color="auto" w:fill="FCE9E8"/>
          </w:tcPr>
          <w:p>
            <w:pPr>
              <w:jc w:val="center"/>
              <w:ind w:left="221"/>
              <w:spacing w:after="0"/>
              <w:rPr>
                <w:sz w:val="20"/>
                <w:szCs w:val="20"/>
                <w:color w:val="auto"/>
              </w:rPr>
            </w:pPr>
            <w:r>
              <w:rPr>
                <w:rFonts w:ascii="Arial" w:cs="Arial" w:eastAsia="Arial" w:hAnsi="Arial"/>
                <w:sz w:val="16"/>
                <w:szCs w:val="16"/>
                <w:color w:val="auto"/>
              </w:rPr>
              <w:t>AIP</w:t>
            </w:r>
          </w:p>
        </w:tc>
        <w:tc>
          <w:tcPr>
            <w:tcW w:w="9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50%</w:t>
            </w:r>
          </w:p>
        </w:tc>
        <w:tc>
          <w:tcPr>
            <w:tcW w:w="220" w:type="dxa"/>
            <w:vAlign w:val="bottom"/>
            <w:shd w:val="clear" w:color="auto" w:fill="FCE9E8"/>
          </w:tcPr>
          <w:p>
            <w:pPr>
              <w:ind w:left="120"/>
              <w:spacing w:after="0"/>
              <w:rPr>
                <w:sz w:val="20"/>
                <w:szCs w:val="20"/>
                <w:color w:val="auto"/>
              </w:rPr>
            </w:pPr>
            <w:r>
              <w:rPr>
                <w:rFonts w:ascii="Arial" w:cs="Arial" w:eastAsia="Arial" w:hAnsi="Arial"/>
                <w:sz w:val="16"/>
                <w:szCs w:val="16"/>
                <w:color w:val="auto"/>
              </w:rPr>
              <w:t>•</w:t>
            </w:r>
          </w:p>
        </w:tc>
        <w:tc>
          <w:tcPr>
            <w:tcW w:w="658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Pre-tax income before equity income, interest, other expense, restructuring costs and other</w:t>
            </w:r>
          </w:p>
        </w:tc>
      </w:tr>
      <w:tr>
        <w:trPr>
          <w:trHeight w:val="195"/>
        </w:trPr>
        <w:tc>
          <w:tcPr>
            <w:tcW w:w="240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900" w:type="dxa"/>
            <w:vAlign w:val="bottom"/>
            <w:shd w:val="clear" w:color="auto" w:fill="FCE9E8"/>
          </w:tcPr>
          <w:p>
            <w:pPr>
              <w:spacing w:after="0"/>
              <w:rPr>
                <w:sz w:val="16"/>
                <w:szCs w:val="16"/>
                <w:color w:val="auto"/>
              </w:rPr>
            </w:pPr>
          </w:p>
        </w:tc>
        <w:tc>
          <w:tcPr>
            <w:tcW w:w="220" w:type="dxa"/>
            <w:vAlign w:val="bottom"/>
            <w:shd w:val="clear" w:color="auto" w:fill="FCE9E8"/>
          </w:tcPr>
          <w:p>
            <w:pPr>
              <w:spacing w:after="0"/>
              <w:rPr>
                <w:sz w:val="16"/>
                <w:szCs w:val="16"/>
                <w:color w:val="auto"/>
              </w:rPr>
            </w:pPr>
          </w:p>
        </w:tc>
        <w:tc>
          <w:tcPr>
            <w:tcW w:w="6580" w:type="dxa"/>
            <w:vAlign w:val="bottom"/>
            <w:shd w:val="clear" w:color="auto" w:fill="FCE9E8"/>
          </w:tcPr>
          <w:p>
            <w:pPr>
              <w:ind w:left="60"/>
              <w:spacing w:after="0"/>
              <w:rPr>
                <w:sz w:val="20"/>
                <w:szCs w:val="20"/>
                <w:color w:val="auto"/>
              </w:rPr>
            </w:pPr>
            <w:r>
              <w:rPr>
                <w:rFonts w:ascii="Arial" w:cs="Arial" w:eastAsia="Arial" w:hAnsi="Arial"/>
                <w:sz w:val="16"/>
                <w:szCs w:val="16"/>
                <w:color w:val="auto"/>
              </w:rPr>
              <w:t>special items.</w:t>
            </w:r>
          </w:p>
        </w:tc>
      </w:tr>
      <w:tr>
        <w:trPr>
          <w:trHeight w:val="305"/>
        </w:trPr>
        <w:tc>
          <w:tcPr>
            <w:tcW w:w="240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900" w:type="dxa"/>
            <w:vAlign w:val="bottom"/>
            <w:shd w:val="clear" w:color="auto" w:fill="FCE9E8"/>
          </w:tcPr>
          <w:p>
            <w:pPr>
              <w:spacing w:after="0"/>
              <w:rPr>
                <w:sz w:val="24"/>
                <w:szCs w:val="24"/>
                <w:color w:val="auto"/>
              </w:rPr>
            </w:pPr>
          </w:p>
        </w:tc>
        <w:tc>
          <w:tcPr>
            <w:tcW w:w="6800" w:type="dxa"/>
            <w:vAlign w:val="bottom"/>
            <w:gridSpan w:val="2"/>
            <w:shd w:val="clear" w:color="auto" w:fill="FCE9E8"/>
          </w:tcPr>
          <w:p>
            <w:pPr>
              <w:ind w:left="120"/>
              <w:spacing w:after="0"/>
              <w:rPr>
                <w:sz w:val="20"/>
                <w:szCs w:val="20"/>
                <w:color w:val="auto"/>
              </w:rPr>
            </w:pPr>
            <w:r>
              <w:rPr>
                <w:rFonts w:ascii="Arial" w:cs="Arial" w:eastAsia="Arial" w:hAnsi="Arial"/>
                <w:sz w:val="16"/>
                <w:szCs w:val="16"/>
                <w:color w:val="auto"/>
              </w:rPr>
              <w:t>• Adjusted Operating Income is a well understood operating metric that can be influenced by</w:t>
            </w:r>
          </w:p>
        </w:tc>
      </w:tr>
      <w:tr>
        <w:trPr>
          <w:trHeight w:val="195"/>
        </w:trPr>
        <w:tc>
          <w:tcPr>
            <w:tcW w:w="240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900" w:type="dxa"/>
            <w:vAlign w:val="bottom"/>
            <w:shd w:val="clear" w:color="auto" w:fill="FCE9E8"/>
          </w:tcPr>
          <w:p>
            <w:pPr>
              <w:spacing w:after="0"/>
              <w:rPr>
                <w:sz w:val="16"/>
                <w:szCs w:val="16"/>
                <w:color w:val="auto"/>
              </w:rPr>
            </w:pPr>
          </w:p>
        </w:tc>
        <w:tc>
          <w:tcPr>
            <w:tcW w:w="220" w:type="dxa"/>
            <w:vAlign w:val="bottom"/>
            <w:shd w:val="clear" w:color="auto" w:fill="FCE9E8"/>
          </w:tcPr>
          <w:p>
            <w:pPr>
              <w:spacing w:after="0"/>
              <w:rPr>
                <w:sz w:val="16"/>
                <w:szCs w:val="16"/>
                <w:color w:val="auto"/>
              </w:rPr>
            </w:pPr>
          </w:p>
        </w:tc>
        <w:tc>
          <w:tcPr>
            <w:tcW w:w="6580" w:type="dxa"/>
            <w:vAlign w:val="bottom"/>
            <w:shd w:val="clear" w:color="auto" w:fill="FCE9E8"/>
          </w:tcPr>
          <w:p>
            <w:pPr>
              <w:ind w:left="60"/>
              <w:spacing w:after="0"/>
              <w:rPr>
                <w:sz w:val="20"/>
                <w:szCs w:val="20"/>
                <w:color w:val="auto"/>
              </w:rPr>
            </w:pPr>
            <w:r>
              <w:rPr>
                <w:rFonts w:ascii="Arial" w:cs="Arial" w:eastAsia="Arial" w:hAnsi="Arial"/>
                <w:sz w:val="16"/>
                <w:szCs w:val="16"/>
                <w:color w:val="auto"/>
              </w:rPr>
              <w:t>all levels of employees of the Company.</w:t>
            </w:r>
          </w:p>
        </w:tc>
      </w:tr>
      <w:tr>
        <w:trPr>
          <w:trHeight w:val="311"/>
        </w:trPr>
        <w:tc>
          <w:tcPr>
            <w:tcW w:w="240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900" w:type="dxa"/>
            <w:vAlign w:val="bottom"/>
            <w:shd w:val="clear" w:color="auto" w:fill="FCE9E8"/>
          </w:tcPr>
          <w:p>
            <w:pPr>
              <w:spacing w:after="0"/>
              <w:rPr>
                <w:sz w:val="24"/>
                <w:szCs w:val="24"/>
                <w:color w:val="auto"/>
              </w:rPr>
            </w:pPr>
          </w:p>
        </w:tc>
        <w:tc>
          <w:tcPr>
            <w:tcW w:w="220" w:type="dxa"/>
            <w:vAlign w:val="bottom"/>
            <w:shd w:val="clear" w:color="auto" w:fill="FCE9E8"/>
          </w:tcPr>
          <w:p>
            <w:pPr>
              <w:ind w:left="120"/>
              <w:spacing w:after="0"/>
              <w:rPr>
                <w:sz w:val="20"/>
                <w:szCs w:val="20"/>
                <w:color w:val="auto"/>
              </w:rPr>
            </w:pPr>
            <w:r>
              <w:rPr>
                <w:rFonts w:ascii="Arial" w:cs="Arial" w:eastAsia="Arial" w:hAnsi="Arial"/>
                <w:sz w:val="16"/>
                <w:szCs w:val="16"/>
                <w:color w:val="auto"/>
              </w:rPr>
              <w:t>•</w:t>
            </w:r>
          </w:p>
        </w:tc>
        <w:tc>
          <w:tcPr>
            <w:tcW w:w="658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Provides motivation to maximize earnings from current operations.</w:t>
            </w:r>
          </w:p>
        </w:tc>
      </w:tr>
      <w:tr>
        <w:trPr>
          <w:trHeight w:val="128"/>
        </w:trPr>
        <w:tc>
          <w:tcPr>
            <w:tcW w:w="2400" w:type="dxa"/>
            <w:vAlign w:val="bottom"/>
            <w:shd w:val="clear" w:color="auto" w:fill="FCE9E8"/>
          </w:tcPr>
          <w:p>
            <w:pPr>
              <w:spacing w:after="0"/>
              <w:rPr>
                <w:sz w:val="11"/>
                <w:szCs w:val="11"/>
                <w:color w:val="auto"/>
              </w:rPr>
            </w:pPr>
          </w:p>
        </w:tc>
        <w:tc>
          <w:tcPr>
            <w:tcW w:w="920" w:type="dxa"/>
            <w:vAlign w:val="bottom"/>
            <w:shd w:val="clear" w:color="auto" w:fill="FCE9E8"/>
          </w:tcPr>
          <w:p>
            <w:pPr>
              <w:spacing w:after="0"/>
              <w:rPr>
                <w:sz w:val="11"/>
                <w:szCs w:val="11"/>
                <w:color w:val="auto"/>
              </w:rPr>
            </w:pPr>
          </w:p>
        </w:tc>
        <w:tc>
          <w:tcPr>
            <w:tcW w:w="900" w:type="dxa"/>
            <w:vAlign w:val="bottom"/>
            <w:shd w:val="clear" w:color="auto" w:fill="FCE9E8"/>
          </w:tcPr>
          <w:p>
            <w:pPr>
              <w:spacing w:after="0"/>
              <w:rPr>
                <w:sz w:val="11"/>
                <w:szCs w:val="11"/>
                <w:color w:val="auto"/>
              </w:rPr>
            </w:pPr>
          </w:p>
        </w:tc>
        <w:tc>
          <w:tcPr>
            <w:tcW w:w="220" w:type="dxa"/>
            <w:vAlign w:val="bottom"/>
            <w:shd w:val="clear" w:color="auto" w:fill="FCE9E8"/>
          </w:tcPr>
          <w:p>
            <w:pPr>
              <w:spacing w:after="0"/>
              <w:rPr>
                <w:sz w:val="11"/>
                <w:szCs w:val="11"/>
                <w:color w:val="auto"/>
              </w:rPr>
            </w:pPr>
          </w:p>
        </w:tc>
        <w:tc>
          <w:tcPr>
            <w:tcW w:w="6580" w:type="dxa"/>
            <w:vAlign w:val="bottom"/>
            <w:shd w:val="clear" w:color="auto" w:fill="FCE9E8"/>
          </w:tcPr>
          <w:p>
            <w:pPr>
              <w:spacing w:after="0"/>
              <w:rPr>
                <w:sz w:val="11"/>
                <w:szCs w:val="11"/>
                <w:color w:val="auto"/>
              </w:rPr>
            </w:pPr>
          </w:p>
        </w:tc>
      </w:tr>
      <w:tr>
        <w:trPr>
          <w:trHeight w:val="191"/>
        </w:trPr>
        <w:tc>
          <w:tcPr>
            <w:tcW w:w="240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920" w:type="dxa"/>
            <w:vAlign w:val="bottom"/>
          </w:tcPr>
          <w:p>
            <w:pPr>
              <w:jc w:val="center"/>
              <w:ind w:left="221"/>
              <w:spacing w:after="0"/>
              <w:rPr>
                <w:sz w:val="20"/>
                <w:szCs w:val="20"/>
                <w:color w:val="auto"/>
              </w:rPr>
            </w:pPr>
            <w:r>
              <w:rPr>
                <w:rFonts w:ascii="Arial" w:cs="Arial" w:eastAsia="Arial" w:hAnsi="Arial"/>
                <w:sz w:val="16"/>
                <w:szCs w:val="16"/>
                <w:color w:val="auto"/>
              </w:rPr>
              <w:t>AIP</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65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 less capital expenditures, excluding certain</w:t>
            </w:r>
          </w:p>
        </w:tc>
      </w:tr>
      <w:tr>
        <w:trPr>
          <w:trHeight w:val="195"/>
        </w:trPr>
        <w:tc>
          <w:tcPr>
            <w:tcW w:w="2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rPr>
              <w:t>transactions.</w:t>
            </w:r>
          </w:p>
        </w:tc>
      </w:tr>
      <w:tr>
        <w:trPr>
          <w:trHeight w:val="305"/>
        </w:trPr>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6580" w:type="dxa"/>
            <w:vAlign w:val="bottom"/>
          </w:tcPr>
          <w:p>
            <w:pPr>
              <w:ind w:left="40"/>
              <w:spacing w:after="0"/>
              <w:rPr>
                <w:sz w:val="20"/>
                <w:szCs w:val="20"/>
                <w:color w:val="auto"/>
              </w:rPr>
            </w:pPr>
            <w:r>
              <w:rPr>
                <w:rFonts w:ascii="Arial" w:cs="Arial" w:eastAsia="Arial" w:hAnsi="Arial"/>
                <w:sz w:val="16"/>
                <w:szCs w:val="16"/>
                <w:color w:val="auto"/>
              </w:rPr>
              <w:t>Free Cash Flow is a well understood operating metric that can be influenced by all levels of</w:t>
            </w:r>
          </w:p>
        </w:tc>
      </w:tr>
      <w:tr>
        <w:trPr>
          <w:trHeight w:val="195"/>
        </w:trPr>
        <w:tc>
          <w:tcPr>
            <w:tcW w:w="2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rPr>
              <w:t>employees of the Company.</w:t>
            </w:r>
          </w:p>
        </w:tc>
      </w:tr>
      <w:tr>
        <w:trPr>
          <w:trHeight w:val="305"/>
        </w:trPr>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6580" w:type="dxa"/>
            <w:vAlign w:val="bottom"/>
          </w:tcPr>
          <w:p>
            <w:pPr>
              <w:ind w:left="40"/>
              <w:spacing w:after="0"/>
              <w:rPr>
                <w:sz w:val="20"/>
                <w:szCs w:val="20"/>
                <w:color w:val="auto"/>
              </w:rPr>
            </w:pPr>
            <w:r>
              <w:rPr>
                <w:rFonts w:ascii="Arial" w:cs="Arial" w:eastAsia="Arial" w:hAnsi="Arial"/>
                <w:sz w:val="16"/>
                <w:szCs w:val="16"/>
                <w:color w:val="auto"/>
              </w:rPr>
              <w:t>Provides motivation to maximize cash flow through earnings and appropriate management</w:t>
            </w:r>
          </w:p>
        </w:tc>
      </w:tr>
      <w:tr>
        <w:trPr>
          <w:trHeight w:val="195"/>
        </w:trPr>
        <w:tc>
          <w:tcPr>
            <w:tcW w:w="2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rPr>
              <w:t>of working capital and investments.</w:t>
            </w:r>
          </w:p>
        </w:tc>
      </w:tr>
      <w:tr>
        <w:trPr>
          <w:trHeight w:val="128"/>
        </w:trPr>
        <w:tc>
          <w:tcPr>
            <w:tcW w:w="2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580" w:type="dxa"/>
            <w:vAlign w:val="bottom"/>
          </w:tcPr>
          <w:p>
            <w:pPr>
              <w:spacing w:after="0"/>
              <w:rPr>
                <w:sz w:val="11"/>
                <w:szCs w:val="11"/>
                <w:color w:val="auto"/>
              </w:rPr>
            </w:pPr>
          </w:p>
        </w:tc>
      </w:tr>
      <w:tr>
        <w:trPr>
          <w:trHeight w:val="191"/>
        </w:trPr>
        <w:tc>
          <w:tcPr>
            <w:tcW w:w="2400" w:type="dxa"/>
            <w:vAlign w:val="bottom"/>
            <w:shd w:val="clear" w:color="auto" w:fill="FCE9E8"/>
          </w:tcPr>
          <w:p>
            <w:pPr>
              <w:ind w:left="60"/>
              <w:spacing w:after="0"/>
              <w:rPr>
                <w:sz w:val="20"/>
                <w:szCs w:val="20"/>
                <w:color w:val="auto"/>
              </w:rPr>
            </w:pPr>
            <w:r>
              <w:rPr>
                <w:rFonts w:ascii="Arial" w:cs="Arial" w:eastAsia="Arial" w:hAnsi="Arial"/>
                <w:sz w:val="16"/>
                <w:szCs w:val="16"/>
                <w:color w:val="auto"/>
              </w:rPr>
              <w:t>Adjusted Return on</w:t>
            </w:r>
          </w:p>
        </w:tc>
        <w:tc>
          <w:tcPr>
            <w:tcW w:w="920" w:type="dxa"/>
            <w:vAlign w:val="bottom"/>
            <w:shd w:val="clear" w:color="auto" w:fill="FCE9E8"/>
          </w:tcPr>
          <w:p>
            <w:pPr>
              <w:jc w:val="center"/>
              <w:ind w:left="201"/>
              <w:spacing w:after="0"/>
              <w:rPr>
                <w:sz w:val="20"/>
                <w:szCs w:val="20"/>
                <w:color w:val="auto"/>
              </w:rPr>
            </w:pPr>
            <w:r>
              <w:rPr>
                <w:rFonts w:ascii="Arial" w:cs="Arial" w:eastAsia="Arial" w:hAnsi="Arial"/>
                <w:sz w:val="16"/>
                <w:szCs w:val="16"/>
                <w:color w:val="auto"/>
                <w:w w:val="98"/>
              </w:rPr>
              <w:t>LTSIP</w:t>
            </w:r>
          </w:p>
        </w:tc>
        <w:tc>
          <w:tcPr>
            <w:tcW w:w="9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66 2/3%</w:t>
            </w:r>
          </w:p>
        </w:tc>
        <w:tc>
          <w:tcPr>
            <w:tcW w:w="220" w:type="dxa"/>
            <w:vAlign w:val="bottom"/>
            <w:shd w:val="clear" w:color="auto" w:fill="FCE9E8"/>
          </w:tcPr>
          <w:p>
            <w:pPr>
              <w:ind w:left="120"/>
              <w:spacing w:after="0"/>
              <w:rPr>
                <w:sz w:val="20"/>
                <w:szCs w:val="20"/>
                <w:color w:val="auto"/>
              </w:rPr>
            </w:pPr>
            <w:r>
              <w:rPr>
                <w:rFonts w:ascii="Arial" w:cs="Arial" w:eastAsia="Arial" w:hAnsi="Arial"/>
                <w:sz w:val="16"/>
                <w:szCs w:val="16"/>
                <w:color w:val="auto"/>
              </w:rPr>
              <w:t>•</w:t>
            </w:r>
          </w:p>
        </w:tc>
        <w:tc>
          <w:tcPr>
            <w:tcW w:w="6580" w:type="dxa"/>
            <w:vAlign w:val="bottom"/>
            <w:shd w:val="clear" w:color="auto" w:fill="FCE9E8"/>
          </w:tcPr>
          <w:p>
            <w:pPr>
              <w:ind w:left="40"/>
              <w:spacing w:after="0"/>
              <w:rPr>
                <w:sz w:val="20"/>
                <w:szCs w:val="20"/>
                <w:color w:val="auto"/>
              </w:rPr>
            </w:pPr>
            <w:r>
              <w:rPr>
                <w:rFonts w:ascii="Arial" w:cs="Arial" w:eastAsia="Arial" w:hAnsi="Arial"/>
                <w:sz w:val="16"/>
                <w:szCs w:val="16"/>
                <w:color w:val="auto"/>
              </w:rPr>
              <w:t>Based on Adjusted Operating Income and average invested capital for performance</w:t>
            </w:r>
          </w:p>
        </w:tc>
      </w:tr>
      <w:tr>
        <w:trPr>
          <w:trHeight w:val="195"/>
        </w:trPr>
        <w:tc>
          <w:tcPr>
            <w:tcW w:w="2400" w:type="dxa"/>
            <w:vAlign w:val="bottom"/>
            <w:shd w:val="clear" w:color="auto" w:fill="FCE9E8"/>
          </w:tcPr>
          <w:p>
            <w:pPr>
              <w:ind w:left="80"/>
              <w:spacing w:after="0"/>
              <w:rPr>
                <w:sz w:val="20"/>
                <w:szCs w:val="20"/>
                <w:color w:val="auto"/>
              </w:rPr>
            </w:pPr>
            <w:r>
              <w:rPr>
                <w:rFonts w:ascii="Arial" w:cs="Arial" w:eastAsia="Arial" w:hAnsi="Arial"/>
                <w:sz w:val="16"/>
                <w:szCs w:val="16"/>
                <w:color w:val="auto"/>
              </w:rPr>
              <w:t>Invested Capital (ROIC)</w:t>
            </w:r>
          </w:p>
        </w:tc>
        <w:tc>
          <w:tcPr>
            <w:tcW w:w="920" w:type="dxa"/>
            <w:vAlign w:val="bottom"/>
            <w:shd w:val="clear" w:color="auto" w:fill="FCE9E8"/>
          </w:tcPr>
          <w:p>
            <w:pPr>
              <w:spacing w:after="0"/>
              <w:rPr>
                <w:sz w:val="16"/>
                <w:szCs w:val="16"/>
                <w:color w:val="auto"/>
              </w:rPr>
            </w:pPr>
          </w:p>
        </w:tc>
        <w:tc>
          <w:tcPr>
            <w:tcW w:w="900" w:type="dxa"/>
            <w:vAlign w:val="bottom"/>
            <w:shd w:val="clear" w:color="auto" w:fill="FCE9E8"/>
          </w:tcPr>
          <w:p>
            <w:pPr>
              <w:spacing w:after="0"/>
              <w:rPr>
                <w:sz w:val="16"/>
                <w:szCs w:val="16"/>
                <w:color w:val="auto"/>
              </w:rPr>
            </w:pPr>
          </w:p>
        </w:tc>
        <w:tc>
          <w:tcPr>
            <w:tcW w:w="220" w:type="dxa"/>
            <w:vAlign w:val="bottom"/>
            <w:shd w:val="clear" w:color="auto" w:fill="FCE9E8"/>
          </w:tcPr>
          <w:p>
            <w:pPr>
              <w:spacing w:after="0"/>
              <w:rPr>
                <w:sz w:val="16"/>
                <w:szCs w:val="16"/>
                <w:color w:val="auto"/>
              </w:rPr>
            </w:pPr>
          </w:p>
        </w:tc>
        <w:tc>
          <w:tcPr>
            <w:tcW w:w="6580" w:type="dxa"/>
            <w:vAlign w:val="bottom"/>
            <w:shd w:val="clear" w:color="auto" w:fill="FCE9E8"/>
          </w:tcPr>
          <w:p>
            <w:pPr>
              <w:ind w:left="60"/>
              <w:spacing w:after="0"/>
              <w:rPr>
                <w:sz w:val="20"/>
                <w:szCs w:val="20"/>
                <w:color w:val="auto"/>
              </w:rPr>
            </w:pPr>
            <w:r>
              <w:rPr>
                <w:rFonts w:ascii="Arial" w:cs="Arial" w:eastAsia="Arial" w:hAnsi="Arial"/>
                <w:sz w:val="16"/>
                <w:szCs w:val="16"/>
                <w:color w:val="auto"/>
              </w:rPr>
              <w:t>increments over the three-year performance period (2017-2019).</w:t>
            </w:r>
          </w:p>
        </w:tc>
      </w:tr>
      <w:tr>
        <w:trPr>
          <w:trHeight w:val="305"/>
        </w:trPr>
        <w:tc>
          <w:tcPr>
            <w:tcW w:w="240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900" w:type="dxa"/>
            <w:vAlign w:val="bottom"/>
            <w:shd w:val="clear" w:color="auto" w:fill="FCE9E8"/>
          </w:tcPr>
          <w:p>
            <w:pPr>
              <w:spacing w:after="0"/>
              <w:rPr>
                <w:sz w:val="24"/>
                <w:szCs w:val="24"/>
                <w:color w:val="auto"/>
              </w:rPr>
            </w:pPr>
          </w:p>
        </w:tc>
        <w:tc>
          <w:tcPr>
            <w:tcW w:w="6800" w:type="dxa"/>
            <w:vAlign w:val="bottom"/>
            <w:gridSpan w:val="2"/>
            <w:shd w:val="clear" w:color="auto" w:fill="FCE9E8"/>
          </w:tcPr>
          <w:p>
            <w:pPr>
              <w:ind w:left="120"/>
              <w:spacing w:after="0"/>
              <w:rPr>
                <w:sz w:val="20"/>
                <w:szCs w:val="20"/>
                <w:color w:val="auto"/>
              </w:rPr>
            </w:pPr>
            <w:r>
              <w:rPr>
                <w:rFonts w:ascii="Arial" w:cs="Arial" w:eastAsia="Arial" w:hAnsi="Arial"/>
                <w:sz w:val="16"/>
                <w:szCs w:val="16"/>
                <w:color w:val="auto"/>
              </w:rPr>
              <w:t>• Adjusted ROIC is a well understood operating metric that focuses on the quality of</w:t>
            </w:r>
          </w:p>
        </w:tc>
      </w:tr>
      <w:tr>
        <w:trPr>
          <w:trHeight w:val="195"/>
        </w:trPr>
        <w:tc>
          <w:tcPr>
            <w:tcW w:w="240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900" w:type="dxa"/>
            <w:vAlign w:val="bottom"/>
            <w:shd w:val="clear" w:color="auto" w:fill="FCE9E8"/>
          </w:tcPr>
          <w:p>
            <w:pPr>
              <w:spacing w:after="0"/>
              <w:rPr>
                <w:sz w:val="16"/>
                <w:szCs w:val="16"/>
                <w:color w:val="auto"/>
              </w:rPr>
            </w:pPr>
          </w:p>
        </w:tc>
        <w:tc>
          <w:tcPr>
            <w:tcW w:w="220" w:type="dxa"/>
            <w:vAlign w:val="bottom"/>
            <w:shd w:val="clear" w:color="auto" w:fill="FCE9E8"/>
          </w:tcPr>
          <w:p>
            <w:pPr>
              <w:spacing w:after="0"/>
              <w:rPr>
                <w:sz w:val="16"/>
                <w:szCs w:val="16"/>
                <w:color w:val="auto"/>
              </w:rPr>
            </w:pPr>
          </w:p>
        </w:tc>
        <w:tc>
          <w:tcPr>
            <w:tcW w:w="6580" w:type="dxa"/>
            <w:vAlign w:val="bottom"/>
            <w:shd w:val="clear" w:color="auto" w:fill="FCE9E8"/>
          </w:tcPr>
          <w:p>
            <w:pPr>
              <w:ind w:left="60"/>
              <w:spacing w:after="0"/>
              <w:rPr>
                <w:sz w:val="20"/>
                <w:szCs w:val="20"/>
                <w:color w:val="auto"/>
              </w:rPr>
            </w:pPr>
            <w:r>
              <w:rPr>
                <w:rFonts w:ascii="Arial" w:cs="Arial" w:eastAsia="Arial" w:hAnsi="Arial"/>
                <w:sz w:val="16"/>
                <w:szCs w:val="16"/>
                <w:color w:val="auto"/>
              </w:rPr>
              <w:t>earnings as measured by return on total capital invested in the business.</w:t>
            </w:r>
          </w:p>
        </w:tc>
      </w:tr>
      <w:tr>
        <w:trPr>
          <w:trHeight w:val="305"/>
        </w:trPr>
        <w:tc>
          <w:tcPr>
            <w:tcW w:w="240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900" w:type="dxa"/>
            <w:vAlign w:val="bottom"/>
            <w:shd w:val="clear" w:color="auto" w:fill="FCE9E8"/>
          </w:tcPr>
          <w:p>
            <w:pPr>
              <w:spacing w:after="0"/>
              <w:rPr>
                <w:sz w:val="24"/>
                <w:szCs w:val="24"/>
                <w:color w:val="auto"/>
              </w:rPr>
            </w:pPr>
          </w:p>
        </w:tc>
        <w:tc>
          <w:tcPr>
            <w:tcW w:w="220" w:type="dxa"/>
            <w:vAlign w:val="bottom"/>
            <w:shd w:val="clear" w:color="auto" w:fill="FCE9E8"/>
          </w:tcPr>
          <w:p>
            <w:pPr>
              <w:ind w:left="120"/>
              <w:spacing w:after="0"/>
              <w:rPr>
                <w:sz w:val="20"/>
                <w:szCs w:val="20"/>
                <w:color w:val="auto"/>
              </w:rPr>
            </w:pPr>
            <w:r>
              <w:rPr>
                <w:rFonts w:ascii="Arial" w:cs="Arial" w:eastAsia="Arial" w:hAnsi="Arial"/>
                <w:sz w:val="16"/>
                <w:szCs w:val="16"/>
                <w:color w:val="auto"/>
              </w:rPr>
              <w:t>•</w:t>
            </w:r>
          </w:p>
        </w:tc>
        <w:tc>
          <w:tcPr>
            <w:tcW w:w="658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Provides long-term focus on generating adequate returns on capital balanced by the goal</w:t>
            </w:r>
          </w:p>
        </w:tc>
      </w:tr>
      <w:tr>
        <w:trPr>
          <w:trHeight w:val="195"/>
        </w:trPr>
        <w:tc>
          <w:tcPr>
            <w:tcW w:w="240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900" w:type="dxa"/>
            <w:vAlign w:val="bottom"/>
            <w:shd w:val="clear" w:color="auto" w:fill="FCE9E8"/>
          </w:tcPr>
          <w:p>
            <w:pPr>
              <w:spacing w:after="0"/>
              <w:rPr>
                <w:sz w:val="16"/>
                <w:szCs w:val="16"/>
                <w:color w:val="auto"/>
              </w:rPr>
            </w:pPr>
          </w:p>
        </w:tc>
        <w:tc>
          <w:tcPr>
            <w:tcW w:w="220" w:type="dxa"/>
            <w:vAlign w:val="bottom"/>
            <w:shd w:val="clear" w:color="auto" w:fill="FCE9E8"/>
          </w:tcPr>
          <w:p>
            <w:pPr>
              <w:spacing w:after="0"/>
              <w:rPr>
                <w:sz w:val="16"/>
                <w:szCs w:val="16"/>
                <w:color w:val="auto"/>
              </w:rPr>
            </w:pPr>
          </w:p>
        </w:tc>
        <w:tc>
          <w:tcPr>
            <w:tcW w:w="6580" w:type="dxa"/>
            <w:vAlign w:val="bottom"/>
            <w:shd w:val="clear" w:color="auto" w:fill="FCE9E8"/>
          </w:tcPr>
          <w:p>
            <w:pPr>
              <w:ind w:left="60"/>
              <w:spacing w:after="0"/>
              <w:rPr>
                <w:sz w:val="20"/>
                <w:szCs w:val="20"/>
                <w:color w:val="auto"/>
              </w:rPr>
            </w:pPr>
            <w:r>
              <w:rPr>
                <w:rFonts w:ascii="Arial" w:cs="Arial" w:eastAsia="Arial" w:hAnsi="Arial"/>
                <w:sz w:val="16"/>
                <w:szCs w:val="16"/>
                <w:color w:val="auto"/>
              </w:rPr>
              <w:t>of profitable growth embedded in the annual incentive performance measures.</w:t>
            </w:r>
          </w:p>
        </w:tc>
      </w:tr>
      <w:tr>
        <w:trPr>
          <w:trHeight w:val="311"/>
        </w:trPr>
        <w:tc>
          <w:tcPr>
            <w:tcW w:w="240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900" w:type="dxa"/>
            <w:vAlign w:val="bottom"/>
            <w:shd w:val="clear" w:color="auto" w:fill="FCE9E8"/>
          </w:tcPr>
          <w:p>
            <w:pPr>
              <w:spacing w:after="0"/>
              <w:rPr>
                <w:sz w:val="24"/>
                <w:szCs w:val="24"/>
                <w:color w:val="auto"/>
              </w:rPr>
            </w:pPr>
          </w:p>
        </w:tc>
        <w:tc>
          <w:tcPr>
            <w:tcW w:w="220" w:type="dxa"/>
            <w:vAlign w:val="bottom"/>
            <w:shd w:val="clear" w:color="auto" w:fill="FCE9E8"/>
          </w:tcPr>
          <w:p>
            <w:pPr>
              <w:ind w:left="120"/>
              <w:spacing w:after="0"/>
              <w:rPr>
                <w:sz w:val="20"/>
                <w:szCs w:val="20"/>
                <w:color w:val="auto"/>
              </w:rPr>
            </w:pPr>
            <w:r>
              <w:rPr>
                <w:rFonts w:ascii="Arial" w:cs="Arial" w:eastAsia="Arial" w:hAnsi="Arial"/>
                <w:sz w:val="16"/>
                <w:szCs w:val="16"/>
                <w:color w:val="auto"/>
              </w:rPr>
              <w:t>•</w:t>
            </w:r>
          </w:p>
        </w:tc>
        <w:tc>
          <w:tcPr>
            <w:tcW w:w="6580" w:type="dxa"/>
            <w:vAlign w:val="bottom"/>
            <w:shd w:val="clear" w:color="auto" w:fill="FCE9E8"/>
          </w:tcPr>
          <w:p>
            <w:pPr>
              <w:ind w:left="40"/>
              <w:spacing w:after="0"/>
              <w:rPr>
                <w:sz w:val="20"/>
                <w:szCs w:val="20"/>
                <w:color w:val="auto"/>
              </w:rPr>
            </w:pPr>
            <w:r>
              <w:rPr>
                <w:rFonts w:ascii="Arial" w:cs="Arial" w:eastAsia="Arial" w:hAnsi="Arial"/>
                <w:sz w:val="16"/>
                <w:szCs w:val="16"/>
                <w:color w:val="auto"/>
              </w:rPr>
              <w:t>Desired goal is to generate returns in excess of the Company’s cost of capital.</w:t>
            </w:r>
          </w:p>
        </w:tc>
      </w:tr>
      <w:tr>
        <w:trPr>
          <w:trHeight w:val="128"/>
        </w:trPr>
        <w:tc>
          <w:tcPr>
            <w:tcW w:w="2400" w:type="dxa"/>
            <w:vAlign w:val="bottom"/>
            <w:shd w:val="clear" w:color="auto" w:fill="FCE9E8"/>
          </w:tcPr>
          <w:p>
            <w:pPr>
              <w:spacing w:after="0"/>
              <w:rPr>
                <w:sz w:val="11"/>
                <w:szCs w:val="11"/>
                <w:color w:val="auto"/>
              </w:rPr>
            </w:pPr>
          </w:p>
        </w:tc>
        <w:tc>
          <w:tcPr>
            <w:tcW w:w="920" w:type="dxa"/>
            <w:vAlign w:val="bottom"/>
            <w:shd w:val="clear" w:color="auto" w:fill="FCE9E8"/>
          </w:tcPr>
          <w:p>
            <w:pPr>
              <w:spacing w:after="0"/>
              <w:rPr>
                <w:sz w:val="11"/>
                <w:szCs w:val="11"/>
                <w:color w:val="auto"/>
              </w:rPr>
            </w:pPr>
          </w:p>
        </w:tc>
        <w:tc>
          <w:tcPr>
            <w:tcW w:w="900" w:type="dxa"/>
            <w:vAlign w:val="bottom"/>
            <w:shd w:val="clear" w:color="auto" w:fill="FCE9E8"/>
          </w:tcPr>
          <w:p>
            <w:pPr>
              <w:spacing w:after="0"/>
              <w:rPr>
                <w:sz w:val="11"/>
                <w:szCs w:val="11"/>
                <w:color w:val="auto"/>
              </w:rPr>
            </w:pPr>
          </w:p>
        </w:tc>
        <w:tc>
          <w:tcPr>
            <w:tcW w:w="220" w:type="dxa"/>
            <w:vAlign w:val="bottom"/>
            <w:shd w:val="clear" w:color="auto" w:fill="FCE9E8"/>
          </w:tcPr>
          <w:p>
            <w:pPr>
              <w:spacing w:after="0"/>
              <w:rPr>
                <w:sz w:val="11"/>
                <w:szCs w:val="11"/>
                <w:color w:val="auto"/>
              </w:rPr>
            </w:pPr>
          </w:p>
        </w:tc>
        <w:tc>
          <w:tcPr>
            <w:tcW w:w="6580" w:type="dxa"/>
            <w:vAlign w:val="bottom"/>
            <w:shd w:val="clear" w:color="auto" w:fill="FCE9E8"/>
          </w:tcPr>
          <w:p>
            <w:pPr>
              <w:spacing w:after="0"/>
              <w:rPr>
                <w:sz w:val="11"/>
                <w:szCs w:val="11"/>
                <w:color w:val="auto"/>
              </w:rPr>
            </w:pPr>
          </w:p>
        </w:tc>
      </w:tr>
      <w:tr>
        <w:trPr>
          <w:trHeight w:val="191"/>
        </w:trPr>
        <w:tc>
          <w:tcPr>
            <w:tcW w:w="2400" w:type="dxa"/>
            <w:vAlign w:val="bottom"/>
          </w:tcPr>
          <w:p>
            <w:pPr>
              <w:ind w:left="80"/>
              <w:spacing w:after="0"/>
              <w:rPr>
                <w:sz w:val="20"/>
                <w:szCs w:val="20"/>
                <w:color w:val="auto"/>
              </w:rPr>
            </w:pPr>
            <w:r>
              <w:rPr>
                <w:rFonts w:ascii="Arial" w:cs="Arial" w:eastAsia="Arial" w:hAnsi="Arial"/>
                <w:sz w:val="16"/>
                <w:szCs w:val="16"/>
                <w:color w:val="auto"/>
              </w:rPr>
              <w:t>Cumulative Adjusted</w:t>
            </w:r>
          </w:p>
        </w:tc>
        <w:tc>
          <w:tcPr>
            <w:tcW w:w="920" w:type="dxa"/>
            <w:vAlign w:val="bottom"/>
          </w:tcPr>
          <w:p>
            <w:pPr>
              <w:jc w:val="center"/>
              <w:ind w:left="201"/>
              <w:spacing w:after="0"/>
              <w:rPr>
                <w:sz w:val="20"/>
                <w:szCs w:val="20"/>
                <w:color w:val="auto"/>
              </w:rPr>
            </w:pPr>
            <w:r>
              <w:rPr>
                <w:rFonts w:ascii="Arial" w:cs="Arial" w:eastAsia="Arial" w:hAnsi="Arial"/>
                <w:sz w:val="16"/>
                <w:szCs w:val="16"/>
                <w:color w:val="auto"/>
                <w:w w:val="98"/>
              </w:rPr>
              <w:t>LTSIP</w:t>
            </w:r>
          </w:p>
        </w:tc>
        <w:tc>
          <w:tcPr>
            <w:tcW w:w="900" w:type="dxa"/>
            <w:vAlign w:val="bottom"/>
          </w:tcPr>
          <w:p>
            <w:pPr>
              <w:jc w:val="center"/>
              <w:spacing w:after="0"/>
              <w:rPr>
                <w:sz w:val="20"/>
                <w:szCs w:val="20"/>
                <w:color w:val="auto"/>
              </w:rPr>
            </w:pPr>
            <w:r>
              <w:rPr>
                <w:rFonts w:ascii="Arial" w:cs="Arial" w:eastAsia="Arial" w:hAnsi="Arial"/>
                <w:sz w:val="16"/>
                <w:szCs w:val="16"/>
                <w:color w:val="auto"/>
              </w:rPr>
              <w:t>33 1/3%</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6580" w:type="dxa"/>
            <w:vAlign w:val="bottom"/>
          </w:tcPr>
          <w:p>
            <w:pPr>
              <w:ind w:left="40"/>
              <w:spacing w:after="0"/>
              <w:rPr>
                <w:sz w:val="20"/>
                <w:szCs w:val="20"/>
                <w:color w:val="auto"/>
              </w:rPr>
            </w:pPr>
            <w:r>
              <w:rPr>
                <w:rFonts w:ascii="Arial" w:cs="Arial" w:eastAsia="Arial" w:hAnsi="Arial"/>
                <w:sz w:val="16"/>
                <w:szCs w:val="16"/>
                <w:color w:val="auto"/>
              </w:rPr>
              <w:t>Cumulative consolidated adjusted net income for the three-year performance period (2017-</w:t>
            </w:r>
          </w:p>
        </w:tc>
      </w:tr>
      <w:tr>
        <w:trPr>
          <w:trHeight w:val="195"/>
        </w:trPr>
        <w:tc>
          <w:tcPr>
            <w:tcW w:w="2400" w:type="dxa"/>
            <w:vAlign w:val="bottom"/>
          </w:tcPr>
          <w:p>
            <w:pPr>
              <w:ind w:left="80"/>
              <w:spacing w:after="0"/>
              <w:rPr>
                <w:sz w:val="20"/>
                <w:szCs w:val="20"/>
                <w:color w:val="auto"/>
              </w:rPr>
            </w:pPr>
            <w:r>
              <w:rPr>
                <w:rFonts w:ascii="Arial" w:cs="Arial" w:eastAsia="Arial" w:hAnsi="Arial"/>
                <w:sz w:val="16"/>
                <w:szCs w:val="16"/>
                <w:color w:val="auto"/>
              </w:rPr>
              <w:t>Pre-Tax Income</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rPr>
              <w:t>2019) before a provision for income taxes, excluding certain transactions.</w:t>
            </w:r>
          </w:p>
        </w:tc>
      </w:tr>
      <w:tr>
        <w:trPr>
          <w:trHeight w:val="305"/>
        </w:trPr>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6580" w:type="dxa"/>
            <w:vAlign w:val="bottom"/>
          </w:tcPr>
          <w:p>
            <w:pPr>
              <w:ind w:left="40"/>
              <w:spacing w:after="0"/>
              <w:rPr>
                <w:sz w:val="20"/>
                <w:szCs w:val="20"/>
                <w:color w:val="auto"/>
              </w:rPr>
            </w:pPr>
            <w:r>
              <w:rPr>
                <w:rFonts w:ascii="Arial" w:cs="Arial" w:eastAsia="Arial" w:hAnsi="Arial"/>
                <w:sz w:val="16"/>
                <w:szCs w:val="16"/>
                <w:color w:val="auto"/>
              </w:rPr>
              <w:t>Focuses on earnings generated from products sold, encouraging profitable revenue growth</w:t>
            </w:r>
          </w:p>
        </w:tc>
      </w:tr>
      <w:tr>
        <w:trPr>
          <w:trHeight w:val="195"/>
        </w:trPr>
        <w:tc>
          <w:tcPr>
            <w:tcW w:w="2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rPr>
              <w:t>and efficient management of costs over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33</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Incentives</w:t>
      </w:r>
    </w:p>
    <w:p>
      <w:pPr>
        <w:spacing w:after="0" w:line="192" w:lineRule="exact"/>
        <w:rPr>
          <w:sz w:val="20"/>
          <w:szCs w:val="20"/>
          <w:color w:val="auto"/>
        </w:rPr>
      </w:pPr>
    </w:p>
    <w:p>
      <w:pPr>
        <w:ind w:left="220" w:right="180"/>
        <w:spacing w:after="0" w:line="249" w:lineRule="auto"/>
        <w:rPr>
          <w:sz w:val="20"/>
          <w:szCs w:val="20"/>
          <w:color w:val="auto"/>
        </w:rPr>
      </w:pPr>
      <w:r>
        <w:rPr>
          <w:rFonts w:ascii="Arial" w:cs="Arial" w:eastAsia="Arial" w:hAnsi="Arial"/>
          <w:sz w:val="16"/>
          <w:szCs w:val="16"/>
          <w:color w:val="auto"/>
        </w:rPr>
        <w:t>Our executive officers participate in the Annual Incentive Plan (“AIP”). Under the AIP, the Compensation Committee provides annual cash incentive award opportunities for the achievement of financial performance goals considered important to the Company’s future success. Awards, if earned, are typically paid early in the following year based on our performance achieved in the prior fiscal year.</w:t>
      </w:r>
    </w:p>
    <w:p>
      <w:pPr>
        <w:spacing w:after="0" w:line="81"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Named Executive Officer is assigned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target opportunity under the AIP expressed as a percentage of such 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 The target opportunity for Mr. Simoncini in 2017 was 160% of his base salary, based on his strong leadership of the Company and market median compensation levels. For Mr. Larkin, the target opportunity was 80% of his base salary. In 2017, the target opportunities for Messrs. Scott and Orsini were increased, respectively, from 80% to 100% and 90% of their base salaries. In addition, Mr. Vanneste’s target opportunity for 2017 was increased from 80% to 90% of his base salary in September 2017, effective for the entirety of 2017.</w:t>
      </w:r>
    </w:p>
    <w:p>
      <w:pPr>
        <w:spacing w:after="0" w:line="107" w:lineRule="exact"/>
        <w:rPr>
          <w:sz w:val="20"/>
          <w:szCs w:val="20"/>
          <w:color w:val="auto"/>
        </w:rPr>
      </w:pPr>
    </w:p>
    <w:p>
      <w:pPr>
        <w:ind w:left="220" w:right="120"/>
        <w:spacing w:after="0" w:line="251" w:lineRule="auto"/>
        <w:rPr>
          <w:sz w:val="20"/>
          <w:szCs w:val="20"/>
          <w:color w:val="auto"/>
        </w:rPr>
      </w:pPr>
      <w:r>
        <w:rPr>
          <w:rFonts w:ascii="Arial" w:cs="Arial" w:eastAsia="Arial" w:hAnsi="Arial"/>
          <w:sz w:val="16"/>
          <w:szCs w:val="16"/>
          <w:color w:val="auto"/>
        </w:rPr>
        <w:t>For 2018, the target annual incentive opportunity for each of Messrs. Vanneste and Larkin is unchanged from 2017. Mr. Simoncini will be eligible to receive a prorated payout under the AIP for 2018 with respect to his two months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service in that year as President and CEO at a target of 160% of his pre-transition annual base salary. Mr. Scott’s target annual incentive opportunity for 2018 will be 100% of his base salary with respect to his two months of service in that year as Executive Vice President and President, Seating and was increased to 150% of his base salary effective March 1, 2018, upon his assumption of the role of President and CEO. Mr. Orsini’s AIP target for 2018 was increased from 90% to 100% of his base salary in conjunction with his promotion to Executive Vice President and President, Seating as of March 1, 2018, and his AIP target with respect to his two months of service in 2018 prior to his promotion remains unchanged (at 90% of base salary).</w:t>
      </w:r>
    </w:p>
    <w:p>
      <w:pPr>
        <w:spacing w:after="0" w:line="8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Adjusted Operating Income and Free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were used because they are highly visible and important measures of operating performance that are relied upon by investors. The target goals of Adjusted Operating Income and Free Cash Flow were set based on the budget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 200% target award was warranted. If threshold, target or maximum Adjusted Operating Income and Free Cash Flow goals (described above in “— Executive Summary — 2017 Annual Incentive Program”) were attained in 2017, 50%, 100% or 200% of the target incentive amount for each executive, respectively, would be earned.</w:t>
      </w:r>
    </w:p>
    <w:p>
      <w:pPr>
        <w:spacing w:after="0" w:line="310"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41" w:lineRule="exact"/>
        <w:rPr>
          <w:sz w:val="20"/>
          <w:szCs w:val="20"/>
          <w:color w:val="auto"/>
        </w:rPr>
      </w:pPr>
    </w:p>
    <w:p>
      <w:pPr>
        <w:ind w:left="200" w:right="160"/>
        <w:spacing w:after="0" w:line="258" w:lineRule="auto"/>
        <w:rPr>
          <w:sz w:val="20"/>
          <w:szCs w:val="20"/>
          <w:color w:val="auto"/>
        </w:rPr>
      </w:pPr>
      <w:r>
        <w:rPr>
          <w:rFonts w:ascii="Arial" w:cs="Arial" w:eastAsia="Arial" w:hAnsi="Arial"/>
          <w:sz w:val="16"/>
          <w:szCs w:val="16"/>
          <w:i w:val="1"/>
          <w:iCs w:val="1"/>
          <w:color w:val="auto"/>
        </w:rPr>
        <w:t xml:space="preserve">Results. </w:t>
      </w:r>
      <w:r>
        <w:rPr>
          <w:rFonts w:ascii="Arial" w:cs="Arial" w:eastAsia="Arial" w:hAnsi="Arial"/>
          <w:sz w:val="16"/>
          <w:szCs w:val="16"/>
          <w:color w:val="auto"/>
        </w:rPr>
        <w:t>Our 2017 Adjusted Operating Income ($1,711 million) and our 2017 Free Cash Flow ($1,197 million) exceeded the target performance levels,</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resulted in annual incentive awards being earned at 175% of target. Adjusted Operating Income and Free Cash Flow are described above in “— 2017 Incentive Programs — Pay for Performance,” excluding the Grupo Antolin and Accumed acquisitions. The resulting annual incentive amounts earned by our Named Executive Officers were as follows:</w:t>
      </w:r>
    </w:p>
    <w:p>
      <w:pPr>
        <w:spacing w:after="0" w:line="196"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FFFFFF"/>
        </w:rPr>
        <w:t>2017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6997700"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540" w:type="dxa"/>
            <w:vAlign w:val="bottom"/>
          </w:tcPr>
          <w:p>
            <w:pPr>
              <w:jc w:val="right"/>
              <w:ind w:right="462"/>
              <w:spacing w:after="0"/>
              <w:rPr>
                <w:sz w:val="20"/>
                <w:szCs w:val="20"/>
                <w:color w:val="auto"/>
              </w:rPr>
            </w:pPr>
            <w:r>
              <w:rPr>
                <w:rFonts w:ascii="Arial" w:cs="Arial" w:eastAsia="Arial" w:hAnsi="Arial"/>
                <w:sz w:val="14"/>
                <w:szCs w:val="14"/>
                <w:b w:val="1"/>
                <w:bCs w:val="1"/>
                <w:color w:val="E2231A"/>
              </w:rPr>
              <w:t>Target Opportunity</w:t>
            </w: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00" w:type="dxa"/>
            <w:vAlign w:val="bottom"/>
            <w:gridSpan w:val="2"/>
          </w:tcPr>
          <w:p>
            <w:pPr>
              <w:ind w:left="460"/>
              <w:spacing w:after="0"/>
              <w:rPr>
                <w:sz w:val="20"/>
                <w:szCs w:val="20"/>
                <w:color w:val="auto"/>
              </w:rPr>
            </w:pPr>
            <w:r>
              <w:rPr>
                <w:rFonts w:ascii="Arial" w:cs="Arial" w:eastAsia="Arial" w:hAnsi="Arial"/>
                <w:sz w:val="14"/>
                <w:szCs w:val="14"/>
                <w:b w:val="1"/>
                <w:bCs w:val="1"/>
                <w:color w:val="E2231A"/>
              </w:rPr>
              <w:t>2017 Incentive</w:t>
            </w:r>
          </w:p>
        </w:tc>
      </w:tr>
      <w:tr>
        <w:trPr>
          <w:trHeight w:val="192"/>
        </w:trPr>
        <w:tc>
          <w:tcPr>
            <w:tcW w:w="2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E2231A"/>
              </w:rPr>
              <w:t>(as % of Base)</w:t>
            </w:r>
          </w:p>
        </w:tc>
        <w:tc>
          <w:tcPr>
            <w:tcW w:w="1980" w:type="dxa"/>
            <w:vAlign w:val="bottom"/>
            <w:tcBorders>
              <w:bottom w:val="single" w:sz="8" w:color="auto"/>
            </w:tcBorders>
            <w:gridSpan w:val="2"/>
          </w:tcPr>
          <w:p>
            <w:pPr>
              <w:ind w:left="400"/>
              <w:spacing w:after="0" w:line="192" w:lineRule="exact"/>
              <w:rPr>
                <w:sz w:val="20"/>
                <w:szCs w:val="20"/>
                <w:color w:val="auto"/>
              </w:rPr>
            </w:pPr>
            <w:r>
              <w:rPr>
                <w:rFonts w:ascii="Arial" w:cs="Arial" w:eastAsia="Arial" w:hAnsi="Arial"/>
                <w:sz w:val="13"/>
                <w:szCs w:val="13"/>
                <w:b w:val="1"/>
                <w:bCs w:val="1"/>
                <w:color w:val="E2231A"/>
              </w:rPr>
              <w:t>Target Amount</w:t>
            </w:r>
            <w:r>
              <w:rPr>
                <w:rFonts w:ascii="Arial" w:cs="Arial" w:eastAsia="Arial" w:hAnsi="Arial"/>
                <w:sz w:val="22"/>
                <w:szCs w:val="22"/>
                <w:b w:val="1"/>
                <w:bCs w:val="1"/>
                <w:color w:val="E2231A"/>
                <w:vertAlign w:val="superscript"/>
              </w:rPr>
              <w:t>(1)</w:t>
            </w:r>
          </w:p>
        </w:tc>
        <w:tc>
          <w:tcPr>
            <w:tcW w:w="23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E2231A"/>
              </w:rPr>
              <w:t>Actual Performance</w:t>
            </w: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1"/>
              <w:spacing w:after="0" w:line="192" w:lineRule="exact"/>
              <w:rPr>
                <w:sz w:val="20"/>
                <w:szCs w:val="20"/>
                <w:color w:val="auto"/>
              </w:rPr>
            </w:pPr>
            <w:r>
              <w:rPr>
                <w:rFonts w:ascii="Arial" w:cs="Arial" w:eastAsia="Arial" w:hAnsi="Arial"/>
                <w:sz w:val="13"/>
                <w:szCs w:val="13"/>
                <w:b w:val="1"/>
                <w:bCs w:val="1"/>
                <w:color w:val="E2231A"/>
              </w:rPr>
              <w:t xml:space="preserve">Amount </w:t>
            </w:r>
            <w:r>
              <w:rPr>
                <w:rFonts w:ascii="Arial" w:cs="Arial" w:eastAsia="Arial" w:hAnsi="Arial"/>
                <w:sz w:val="22"/>
                <w:szCs w:val="22"/>
                <w:b w:val="1"/>
                <w:bCs w:val="1"/>
                <w:color w:val="E2231A"/>
                <w:vertAlign w:val="superscript"/>
              </w:rPr>
              <w:t>(1)</w:t>
            </w:r>
          </w:p>
        </w:tc>
      </w:tr>
      <w:tr>
        <w:trPr>
          <w:trHeight w:val="183"/>
        </w:trPr>
        <w:tc>
          <w:tcPr>
            <w:tcW w:w="20" w:type="dxa"/>
            <w:vAlign w:val="bottom"/>
          </w:tcPr>
          <w:p>
            <w:pPr>
              <w:spacing w:after="0"/>
              <w:rPr>
                <w:sz w:val="15"/>
                <w:szCs w:val="15"/>
                <w:color w:val="auto"/>
              </w:rPr>
            </w:pPr>
          </w:p>
        </w:tc>
        <w:tc>
          <w:tcPr>
            <w:tcW w:w="224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Matthew J. Simoncini</w:t>
            </w:r>
          </w:p>
        </w:tc>
        <w:tc>
          <w:tcPr>
            <w:tcW w:w="2540" w:type="dxa"/>
            <w:vAlign w:val="bottom"/>
            <w:shd w:val="clear" w:color="auto" w:fill="FCE9E8"/>
          </w:tcPr>
          <w:p>
            <w:pPr>
              <w:jc w:val="right"/>
              <w:ind w:right="302"/>
              <w:spacing w:after="0" w:line="183" w:lineRule="exact"/>
              <w:rPr>
                <w:sz w:val="20"/>
                <w:szCs w:val="20"/>
                <w:color w:val="auto"/>
              </w:rPr>
            </w:pPr>
            <w:r>
              <w:rPr>
                <w:rFonts w:ascii="Arial" w:cs="Arial" w:eastAsia="Arial" w:hAnsi="Arial"/>
                <w:sz w:val="16"/>
                <w:szCs w:val="16"/>
                <w:color w:val="auto"/>
              </w:rPr>
              <w:t>160%</w:t>
            </w:r>
          </w:p>
        </w:tc>
        <w:tc>
          <w:tcPr>
            <w:tcW w:w="660" w:type="dxa"/>
            <w:vAlign w:val="bottom"/>
            <w:shd w:val="clear" w:color="auto" w:fill="FCE9E8"/>
          </w:tcPr>
          <w:p>
            <w:pPr>
              <w:ind w:left="40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39"/>
              <w:spacing w:after="0" w:line="183" w:lineRule="exact"/>
              <w:rPr>
                <w:sz w:val="20"/>
                <w:szCs w:val="20"/>
                <w:color w:val="auto"/>
              </w:rPr>
            </w:pPr>
            <w:r>
              <w:rPr>
                <w:rFonts w:ascii="Arial" w:cs="Arial" w:eastAsia="Arial" w:hAnsi="Arial"/>
                <w:sz w:val="16"/>
                <w:szCs w:val="16"/>
                <w:color w:val="auto"/>
              </w:rPr>
              <w:t>2,167,200</w:t>
            </w:r>
          </w:p>
        </w:tc>
        <w:tc>
          <w:tcPr>
            <w:tcW w:w="2360" w:type="dxa"/>
            <w:vAlign w:val="bottom"/>
            <w:shd w:val="clear" w:color="auto" w:fill="FCE9E8"/>
          </w:tcPr>
          <w:p>
            <w:pPr>
              <w:jc w:val="right"/>
              <w:ind w:right="380"/>
              <w:spacing w:after="0" w:line="183" w:lineRule="exact"/>
              <w:rPr>
                <w:sz w:val="20"/>
                <w:szCs w:val="20"/>
                <w:color w:val="auto"/>
              </w:rPr>
            </w:pPr>
            <w:r>
              <w:rPr>
                <w:rFonts w:ascii="Arial" w:cs="Arial" w:eastAsia="Arial" w:hAnsi="Arial"/>
                <w:sz w:val="16"/>
                <w:szCs w:val="16"/>
                <w:color w:val="auto"/>
              </w:rPr>
              <w:t>175%</w:t>
            </w:r>
          </w:p>
        </w:tc>
        <w:tc>
          <w:tcPr>
            <w:tcW w:w="580" w:type="dxa"/>
            <w:vAlign w:val="bottom"/>
            <w:shd w:val="clear" w:color="auto" w:fill="FCE9E8"/>
          </w:tcPr>
          <w:p>
            <w:pPr>
              <w:ind w:left="4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61"/>
              <w:spacing w:after="0" w:line="183" w:lineRule="exact"/>
              <w:rPr>
                <w:sz w:val="20"/>
                <w:szCs w:val="20"/>
                <w:color w:val="auto"/>
              </w:rPr>
            </w:pPr>
            <w:r>
              <w:rPr>
                <w:rFonts w:ascii="Arial" w:cs="Arial" w:eastAsia="Arial" w:hAnsi="Arial"/>
                <w:sz w:val="16"/>
                <w:szCs w:val="16"/>
                <w:color w:val="auto"/>
              </w:rPr>
              <w:t>3,792,600</w:t>
            </w:r>
          </w:p>
        </w:tc>
      </w:tr>
      <w:tr>
        <w:trPr>
          <w:trHeight w:val="189"/>
        </w:trPr>
        <w:tc>
          <w:tcPr>
            <w:tcW w:w="2260" w:type="dxa"/>
            <w:vAlign w:val="bottom"/>
            <w:gridSpan w:val="2"/>
          </w:tcPr>
          <w:p>
            <w:pPr>
              <w:spacing w:after="0"/>
              <w:rPr>
                <w:sz w:val="20"/>
                <w:szCs w:val="20"/>
                <w:color w:val="auto"/>
              </w:rPr>
            </w:pPr>
            <w:r>
              <w:rPr>
                <w:rFonts w:ascii="Arial" w:cs="Arial" w:eastAsia="Arial" w:hAnsi="Arial"/>
                <w:sz w:val="16"/>
                <w:szCs w:val="16"/>
                <w:color w:val="auto"/>
              </w:rPr>
              <w:t>Jeffrey H. Vanneste</w:t>
            </w:r>
          </w:p>
        </w:tc>
        <w:tc>
          <w:tcPr>
            <w:tcW w:w="2540" w:type="dxa"/>
            <w:vAlign w:val="bottom"/>
          </w:tcPr>
          <w:p>
            <w:pPr>
              <w:jc w:val="right"/>
              <w:ind w:right="302"/>
              <w:spacing w:after="0"/>
              <w:rPr>
                <w:sz w:val="20"/>
                <w:szCs w:val="20"/>
                <w:color w:val="auto"/>
              </w:rPr>
            </w:pPr>
            <w:r>
              <w:rPr>
                <w:rFonts w:ascii="Arial" w:cs="Arial" w:eastAsia="Arial" w:hAnsi="Arial"/>
                <w:sz w:val="16"/>
                <w:szCs w:val="16"/>
                <w:color w:val="auto"/>
              </w:rPr>
              <w:t>90%</w:t>
            </w: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744,975</w:t>
            </w:r>
          </w:p>
        </w:tc>
        <w:tc>
          <w:tcPr>
            <w:tcW w:w="2360" w:type="dxa"/>
            <w:vAlign w:val="bottom"/>
          </w:tcPr>
          <w:p>
            <w:pPr>
              <w:jc w:val="right"/>
              <w:ind w:right="380"/>
              <w:spacing w:after="0"/>
              <w:rPr>
                <w:sz w:val="20"/>
                <w:szCs w:val="20"/>
                <w:color w:val="auto"/>
              </w:rPr>
            </w:pPr>
            <w:r>
              <w:rPr>
                <w:rFonts w:ascii="Arial" w:cs="Arial" w:eastAsia="Arial" w:hAnsi="Arial"/>
                <w:sz w:val="16"/>
                <w:szCs w:val="16"/>
                <w:color w:val="auto"/>
              </w:rPr>
              <w:t>175%</w:t>
            </w:r>
          </w:p>
        </w:tc>
        <w:tc>
          <w:tcPr>
            <w:tcW w:w="580" w:type="dxa"/>
            <w:vAlign w:val="bottom"/>
          </w:tcPr>
          <w:p>
            <w:pPr>
              <w:ind w:left="4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61"/>
              <w:spacing w:after="0"/>
              <w:rPr>
                <w:sz w:val="20"/>
                <w:szCs w:val="20"/>
                <w:color w:val="auto"/>
              </w:rPr>
            </w:pPr>
            <w:r>
              <w:rPr>
                <w:rFonts w:ascii="Arial" w:cs="Arial" w:eastAsia="Arial" w:hAnsi="Arial"/>
                <w:sz w:val="16"/>
                <w:szCs w:val="16"/>
                <w:color w:val="auto"/>
              </w:rPr>
              <w:t>1,303,706</w:t>
            </w:r>
          </w:p>
        </w:tc>
      </w:tr>
      <w:tr>
        <w:trPr>
          <w:trHeight w:val="189"/>
        </w:trPr>
        <w:tc>
          <w:tcPr>
            <w:tcW w:w="20" w:type="dxa"/>
            <w:vAlign w:val="bottom"/>
          </w:tcPr>
          <w:p>
            <w:pPr>
              <w:spacing w:after="0"/>
              <w:rPr>
                <w:sz w:val="16"/>
                <w:szCs w:val="16"/>
                <w:color w:val="auto"/>
              </w:rPr>
            </w:pPr>
          </w:p>
        </w:tc>
        <w:tc>
          <w:tcPr>
            <w:tcW w:w="2240" w:type="dxa"/>
            <w:vAlign w:val="bottom"/>
            <w:shd w:val="clear" w:color="auto" w:fill="FCE9E8"/>
          </w:tcPr>
          <w:p>
            <w:pPr>
              <w:spacing w:after="0"/>
              <w:rPr>
                <w:sz w:val="20"/>
                <w:szCs w:val="20"/>
                <w:color w:val="auto"/>
              </w:rPr>
            </w:pPr>
            <w:r>
              <w:rPr>
                <w:rFonts w:ascii="Arial" w:cs="Arial" w:eastAsia="Arial" w:hAnsi="Arial"/>
                <w:sz w:val="16"/>
                <w:szCs w:val="16"/>
                <w:color w:val="auto"/>
              </w:rPr>
              <w:t>Raymond E. Scott</w:t>
            </w:r>
          </w:p>
        </w:tc>
        <w:tc>
          <w:tcPr>
            <w:tcW w:w="2540" w:type="dxa"/>
            <w:vAlign w:val="bottom"/>
            <w:shd w:val="clear" w:color="auto" w:fill="FCE9E8"/>
          </w:tcPr>
          <w:p>
            <w:pPr>
              <w:jc w:val="right"/>
              <w:ind w:right="302"/>
              <w:spacing w:after="0"/>
              <w:rPr>
                <w:sz w:val="20"/>
                <w:szCs w:val="20"/>
                <w:color w:val="auto"/>
              </w:rPr>
            </w:pPr>
            <w:r>
              <w:rPr>
                <w:rFonts w:ascii="Arial" w:cs="Arial" w:eastAsia="Arial" w:hAnsi="Arial"/>
                <w:sz w:val="16"/>
                <w:szCs w:val="16"/>
                <w:color w:val="auto"/>
              </w:rPr>
              <w:t>100%</w:t>
            </w:r>
          </w:p>
        </w:tc>
        <w:tc>
          <w:tcPr>
            <w:tcW w:w="6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39"/>
              <w:spacing w:after="0"/>
              <w:rPr>
                <w:sz w:val="20"/>
                <w:szCs w:val="20"/>
                <w:color w:val="auto"/>
              </w:rPr>
            </w:pPr>
            <w:r>
              <w:rPr>
                <w:rFonts w:ascii="Arial" w:cs="Arial" w:eastAsia="Arial" w:hAnsi="Arial"/>
                <w:sz w:val="16"/>
                <w:szCs w:val="16"/>
                <w:color w:val="auto"/>
              </w:rPr>
              <w:t>855,098</w:t>
            </w:r>
          </w:p>
        </w:tc>
        <w:tc>
          <w:tcPr>
            <w:tcW w:w="236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175%</w:t>
            </w:r>
          </w:p>
        </w:tc>
        <w:tc>
          <w:tcPr>
            <w:tcW w:w="58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1,496,422</w:t>
            </w:r>
          </w:p>
        </w:tc>
      </w:tr>
      <w:tr>
        <w:trPr>
          <w:trHeight w:val="189"/>
        </w:trPr>
        <w:tc>
          <w:tcPr>
            <w:tcW w:w="2260" w:type="dxa"/>
            <w:vAlign w:val="bottom"/>
            <w:gridSpan w:val="2"/>
          </w:tcPr>
          <w:p>
            <w:pPr>
              <w:spacing w:after="0"/>
              <w:rPr>
                <w:sz w:val="20"/>
                <w:szCs w:val="20"/>
                <w:color w:val="auto"/>
              </w:rPr>
            </w:pPr>
            <w:r>
              <w:rPr>
                <w:rFonts w:ascii="Arial" w:cs="Arial" w:eastAsia="Arial" w:hAnsi="Arial"/>
                <w:sz w:val="16"/>
                <w:szCs w:val="16"/>
                <w:color w:val="auto"/>
              </w:rPr>
              <w:t>Terrence B. Larkin</w:t>
            </w:r>
          </w:p>
        </w:tc>
        <w:tc>
          <w:tcPr>
            <w:tcW w:w="2540" w:type="dxa"/>
            <w:vAlign w:val="bottom"/>
          </w:tcPr>
          <w:p>
            <w:pPr>
              <w:jc w:val="right"/>
              <w:ind w:right="302"/>
              <w:spacing w:after="0"/>
              <w:rPr>
                <w:sz w:val="20"/>
                <w:szCs w:val="20"/>
                <w:color w:val="auto"/>
              </w:rPr>
            </w:pPr>
            <w:r>
              <w:rPr>
                <w:rFonts w:ascii="Arial" w:cs="Arial" w:eastAsia="Arial" w:hAnsi="Arial"/>
                <w:sz w:val="16"/>
                <w:szCs w:val="16"/>
                <w:color w:val="auto"/>
              </w:rPr>
              <w:t>80%</w:t>
            </w: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684,078</w:t>
            </w:r>
          </w:p>
        </w:tc>
        <w:tc>
          <w:tcPr>
            <w:tcW w:w="2360" w:type="dxa"/>
            <w:vAlign w:val="bottom"/>
          </w:tcPr>
          <w:p>
            <w:pPr>
              <w:jc w:val="right"/>
              <w:ind w:right="380"/>
              <w:spacing w:after="0"/>
              <w:rPr>
                <w:sz w:val="20"/>
                <w:szCs w:val="20"/>
                <w:color w:val="auto"/>
              </w:rPr>
            </w:pPr>
            <w:r>
              <w:rPr>
                <w:rFonts w:ascii="Arial" w:cs="Arial" w:eastAsia="Arial" w:hAnsi="Arial"/>
                <w:sz w:val="16"/>
                <w:szCs w:val="16"/>
                <w:color w:val="auto"/>
              </w:rPr>
              <w:t>175%</w:t>
            </w:r>
          </w:p>
        </w:tc>
        <w:tc>
          <w:tcPr>
            <w:tcW w:w="580" w:type="dxa"/>
            <w:vAlign w:val="bottom"/>
          </w:tcPr>
          <w:p>
            <w:pPr>
              <w:ind w:left="4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61"/>
              <w:spacing w:after="0"/>
              <w:rPr>
                <w:sz w:val="20"/>
                <w:szCs w:val="20"/>
                <w:color w:val="auto"/>
              </w:rPr>
            </w:pPr>
            <w:r>
              <w:rPr>
                <w:rFonts w:ascii="Arial" w:cs="Arial" w:eastAsia="Arial" w:hAnsi="Arial"/>
                <w:sz w:val="16"/>
                <w:szCs w:val="16"/>
                <w:color w:val="auto"/>
              </w:rPr>
              <w:t>1,197,137</w:t>
            </w:r>
          </w:p>
        </w:tc>
      </w:tr>
      <w:tr>
        <w:trPr>
          <w:trHeight w:val="189"/>
        </w:trPr>
        <w:tc>
          <w:tcPr>
            <w:tcW w:w="20" w:type="dxa"/>
            <w:vAlign w:val="bottom"/>
          </w:tcPr>
          <w:p>
            <w:pPr>
              <w:spacing w:after="0"/>
              <w:rPr>
                <w:sz w:val="16"/>
                <w:szCs w:val="16"/>
                <w:color w:val="auto"/>
              </w:rPr>
            </w:pPr>
          </w:p>
        </w:tc>
        <w:tc>
          <w:tcPr>
            <w:tcW w:w="2240" w:type="dxa"/>
            <w:vAlign w:val="bottom"/>
            <w:shd w:val="clear" w:color="auto" w:fill="FCE9E8"/>
          </w:tcPr>
          <w:p>
            <w:pPr>
              <w:spacing w:after="0"/>
              <w:rPr>
                <w:sz w:val="20"/>
                <w:szCs w:val="20"/>
                <w:color w:val="auto"/>
              </w:rPr>
            </w:pPr>
            <w:r>
              <w:rPr>
                <w:rFonts w:ascii="Arial" w:cs="Arial" w:eastAsia="Arial" w:hAnsi="Arial"/>
                <w:sz w:val="16"/>
                <w:szCs w:val="16"/>
                <w:color w:val="auto"/>
              </w:rPr>
              <w:t>Frank C. Orsini</w:t>
            </w:r>
          </w:p>
        </w:tc>
        <w:tc>
          <w:tcPr>
            <w:tcW w:w="2540" w:type="dxa"/>
            <w:vAlign w:val="bottom"/>
            <w:shd w:val="clear" w:color="auto" w:fill="FCE9E8"/>
          </w:tcPr>
          <w:p>
            <w:pPr>
              <w:jc w:val="right"/>
              <w:ind w:right="302"/>
              <w:spacing w:after="0"/>
              <w:rPr>
                <w:sz w:val="20"/>
                <w:szCs w:val="20"/>
                <w:color w:val="auto"/>
              </w:rPr>
            </w:pPr>
            <w:r>
              <w:rPr>
                <w:rFonts w:ascii="Arial" w:cs="Arial" w:eastAsia="Arial" w:hAnsi="Arial"/>
                <w:sz w:val="16"/>
                <w:szCs w:val="16"/>
                <w:color w:val="auto"/>
              </w:rPr>
              <w:t>90%</w:t>
            </w:r>
          </w:p>
        </w:tc>
        <w:tc>
          <w:tcPr>
            <w:tcW w:w="6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39"/>
              <w:spacing w:after="0"/>
              <w:rPr>
                <w:sz w:val="20"/>
                <w:szCs w:val="20"/>
                <w:color w:val="auto"/>
              </w:rPr>
            </w:pPr>
            <w:r>
              <w:rPr>
                <w:rFonts w:ascii="Arial" w:cs="Arial" w:eastAsia="Arial" w:hAnsi="Arial"/>
                <w:sz w:val="16"/>
                <w:szCs w:val="16"/>
                <w:color w:val="auto"/>
              </w:rPr>
              <w:t>662,738</w:t>
            </w:r>
          </w:p>
        </w:tc>
        <w:tc>
          <w:tcPr>
            <w:tcW w:w="236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175%</w:t>
            </w:r>
          </w:p>
        </w:tc>
        <w:tc>
          <w:tcPr>
            <w:tcW w:w="58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1,159,791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80" w:hanging="316"/>
        <w:spacing w:after="0" w:line="183" w:lineRule="auto"/>
        <w:tabs>
          <w:tab w:leader="none" w:pos="52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The Target Amount for each Named Executive Officer is the respective base salary multiplied by the respective Target Opportunity. The Target Amount multiplied by the Actual Performance (175%) represents the amount actually earned, as shown in the 2017 Incentive Amount column for each Named Executive Officer.</w:t>
      </w:r>
    </w:p>
    <w:p>
      <w:pPr>
        <w:spacing w:after="0" w:line="112" w:lineRule="exact"/>
        <w:rPr>
          <w:sz w:val="20"/>
          <w:szCs w:val="20"/>
          <w:color w:val="auto"/>
        </w:rPr>
      </w:pPr>
    </w:p>
    <w:p>
      <w:pPr>
        <w:ind w:left="660" w:hanging="354"/>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40"/>
          </w:cols>
          <w:pgMar w:left="240" w:top="459" w:right="41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Incentives</w:t>
      </w:r>
    </w:p>
    <w:p>
      <w:pPr>
        <w:spacing w:after="0" w:line="192" w:lineRule="exact"/>
        <w:rPr>
          <w:sz w:val="20"/>
          <w:szCs w:val="20"/>
          <w:color w:val="auto"/>
        </w:rPr>
      </w:pPr>
    </w:p>
    <w:p>
      <w:pPr>
        <w:ind w:left="220" w:right="180"/>
        <w:spacing w:after="0" w:line="248"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85"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i w:val="1"/>
          <w:iCs w:val="1"/>
          <w:color w:val="auto"/>
        </w:rPr>
        <w:t xml:space="preserve">2017 Awards. </w:t>
      </w:r>
      <w:r>
        <w:rPr>
          <w:rFonts w:ascii="Arial" w:cs="Arial" w:eastAsia="Arial" w:hAnsi="Arial"/>
          <w:sz w:val="16"/>
          <w:szCs w:val="16"/>
          <w:color w:val="auto"/>
        </w:rPr>
        <w:t>The Compensation Committee approved the 2017 long-term incentive program, which consisted of RSUs and equity-based Performance Shares granted under the 2009 Long-Term Stock Incentive Plan (“LTSIP”) to certain officers and key employees, including to the Named Executive Officers. These awards generally were structured, consistent with market practices and the 2016 grants, such that recipients received 75% of the total target award value in the form of Performance Shares and the remaining 25% in service-based RSUs. Expressed as a percentage of their respective base salaries, the target values of the 2017 long-term incentive opportunities for each of our Named Executive Officers were as follows: Mr. Simoncini — 700%; Mr. Scott — 300%; Messrs. Larkin and Orsini — 285%; and Mr. Vanneste — 270%. For 2018, the target values of the long-term incentive opportunities for Messrs. Vanneste and Larkin were unchanged from 2017. In connection with the CEO transition, Mr. Simoncini will not receive any additional awards under the LTSIP. In addition, effective as of March 1, 2018, the target value of the long-term incentive opportunities for Messrs. Scott and Orsini have been increased, respectively, from 300% to 625% of his annual base salary and from 285% to 300% of his annual 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-635635</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specific amounts and terms of these awards are shown in and following the “2017 Grants of Plan-Based Awards” table below. The target levels of Adjusted ROIC and Cumulative Adjusted Pre-Tax Income performance for the Performance Shares were set based on the 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w:t>
      </w:r>
    </w:p>
    <w:p>
      <w:pPr>
        <w:spacing w:after="0" w:line="81"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Vesting of 2015 Performance Share Awards</w:t>
      </w:r>
      <w:r>
        <w:rPr>
          <w:rFonts w:ascii="Arial" w:cs="Arial" w:eastAsia="Arial" w:hAnsi="Arial"/>
          <w:sz w:val="16"/>
          <w:szCs w:val="16"/>
          <w:color w:val="auto"/>
        </w:rPr>
        <w:t>. In 2015, each of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received grants of Performance Shares for the 2015-2017 performance period, with terms similar to those of the 2017 awards described above. The RSUs that were granted at the same time as the 2015 Performance Shares (and represented 25% of the total equity award value at target) vested in January 2018.</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threshold, target, maximum and actual Adjusted ROIC and Cumulative Pre-Tax Income levels for the 2015-2017 performance period are set forth above under the heading “Compensation Discussion and Analysis — Executive Summary — 2015-2017 Performance Shares.” If threshold, target or maximum were attained on these measures during the performance period, 50%, 100% or 200% of the target performance shares for each executive, respectively, would be earned.</w:t>
      </w:r>
    </w:p>
    <w:p>
      <w:pPr>
        <w:spacing w:after="0" w:line="200" w:lineRule="exact"/>
        <w:rPr>
          <w:sz w:val="20"/>
          <w:szCs w:val="20"/>
          <w:color w:val="auto"/>
        </w:rPr>
      </w:pPr>
    </w:p>
    <w:p>
      <w:pPr>
        <w:spacing w:after="0" w:line="227" w:lineRule="exact"/>
        <w:rPr>
          <w:sz w:val="20"/>
          <w:szCs w:val="20"/>
          <w:color w:val="auto"/>
        </w:rPr>
      </w:pPr>
    </w:p>
    <w:p>
      <w:pPr>
        <w:ind w:left="3160"/>
        <w:spacing w:after="0"/>
        <w:tabs>
          <w:tab w:leader="none" w:pos="4880" w:val="left"/>
          <w:tab w:leader="none" w:pos="50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35</w:t>
      </w:r>
    </w:p>
    <w:p>
      <w:pPr>
        <w:sectPr>
          <w:pgSz w:w="11900" w:h="16838" w:orient="portrait"/>
          <w:cols w:equalWidth="0" w:num="2">
            <w:col w:w="5480" w:space="340"/>
            <w:col w:w="540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61"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auto"/>
        </w:rPr>
        <w:t>Adjusted ROIC (16.4%) and Cumulative Pre-Tax Income ($4,086 million) were both achieved at the maximum level, with the total award earned at 200% of target. Adjusted ROIC and Cumulative Pre-Tax Income are non-GAAP measures. Adjusted ROIC consists of Adjusted Operating Income (as defined in “— 2017 Incentive Programs — Annual Incentives” above) after taxes (assuming the highest U.S. Federal corporate income tax rate of 35%) divided by average invested capital for each fiscal year, excluding acquisitions not contemplated at the time that the targets were set. Average invested capital consists of total assets plus the present value of operating leases, less accounts payable and drafts and accrued liabilities, and investments in unconsolidated entities, and certain other adjustments. Cumulative Pre-Tax Income is Lear’s cumulative net income for the performance period before a provision for income taxes, excluding acquisitions not contemplated at the time that the targets were set. The resulting share amounts earned by our Named Executive Officers are shown below:</w:t>
      </w:r>
    </w:p>
    <w:p>
      <w:pPr>
        <w:spacing w:after="0" w:line="207"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FFFFFF"/>
        </w:rPr>
        <w:t>2015-2017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699770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jc w:val="center"/>
              <w:ind w:right="2"/>
              <w:spacing w:after="0"/>
              <w:rPr>
                <w:sz w:val="20"/>
                <w:szCs w:val="20"/>
                <w:color w:val="auto"/>
              </w:rPr>
            </w:pPr>
            <w:r>
              <w:rPr>
                <w:rFonts w:ascii="Arial" w:cs="Arial" w:eastAsia="Arial" w:hAnsi="Arial"/>
                <w:sz w:val="14"/>
                <w:szCs w:val="14"/>
                <w:b w:val="1"/>
                <w:bCs w:val="1"/>
                <w:color w:val="E2231A"/>
              </w:rPr>
              <w:t>Actual</w:t>
            </w: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80" w:type="dxa"/>
            <w:vAlign w:val="bottom"/>
          </w:tcPr>
          <w:p>
            <w:pPr>
              <w:jc w:val="right"/>
              <w:ind w:right="462"/>
              <w:spacing w:after="0"/>
              <w:rPr>
                <w:sz w:val="20"/>
                <w:szCs w:val="20"/>
                <w:color w:val="auto"/>
              </w:rPr>
            </w:pPr>
            <w:r>
              <w:rPr>
                <w:rFonts w:ascii="Arial" w:cs="Arial" w:eastAsia="Arial" w:hAnsi="Arial"/>
                <w:sz w:val="14"/>
                <w:szCs w:val="14"/>
                <w:b w:val="1"/>
                <w:bCs w:val="1"/>
                <w:color w:val="E2231A"/>
              </w:rPr>
              <w:t>Target</w:t>
            </w:r>
          </w:p>
        </w:tc>
        <w:tc>
          <w:tcPr>
            <w:tcW w:w="1760" w:type="dxa"/>
            <w:vAlign w:val="bottom"/>
          </w:tcPr>
          <w:p>
            <w:pPr>
              <w:jc w:val="right"/>
              <w:ind w:right="622"/>
              <w:spacing w:after="0"/>
              <w:rPr>
                <w:sz w:val="20"/>
                <w:szCs w:val="20"/>
                <w:color w:val="auto"/>
              </w:rPr>
            </w:pPr>
            <w:r>
              <w:rPr>
                <w:rFonts w:ascii="Arial" w:cs="Arial" w:eastAsia="Arial" w:hAnsi="Arial"/>
                <w:sz w:val="14"/>
                <w:szCs w:val="14"/>
                <w:b w:val="1"/>
                <w:bCs w:val="1"/>
                <w:color w:val="E2231A"/>
              </w:rPr>
              <w:t>Actual</w:t>
            </w:r>
          </w:p>
        </w:tc>
        <w:tc>
          <w:tcPr>
            <w:tcW w:w="1480" w:type="dxa"/>
            <w:vAlign w:val="bottom"/>
          </w:tcPr>
          <w:p>
            <w:pPr>
              <w:jc w:val="center"/>
              <w:ind w:right="2"/>
              <w:spacing w:after="0"/>
              <w:rPr>
                <w:sz w:val="20"/>
                <w:szCs w:val="20"/>
                <w:color w:val="auto"/>
              </w:rPr>
            </w:pPr>
            <w:r>
              <w:rPr>
                <w:rFonts w:ascii="Arial" w:cs="Arial" w:eastAsia="Arial" w:hAnsi="Arial"/>
                <w:sz w:val="14"/>
                <w:szCs w:val="14"/>
                <w:b w:val="1"/>
                <w:bCs w:val="1"/>
                <w:color w:val="E2231A"/>
              </w:rPr>
              <w:t>Shares</w:t>
            </w: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E2231A"/>
              </w:rPr>
              <w:t>Shares (#)</w:t>
            </w:r>
          </w:p>
        </w:tc>
        <w:tc>
          <w:tcPr>
            <w:tcW w:w="1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E2231A"/>
              </w:rPr>
              <w:t>Performance</w:t>
            </w:r>
          </w:p>
        </w:tc>
        <w:tc>
          <w:tcPr>
            <w:tcW w:w="14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E2231A"/>
              </w:rPr>
              <w:t>Earned (#)</w:t>
            </w:r>
          </w:p>
        </w:tc>
      </w:tr>
      <w:tr>
        <w:trPr>
          <w:trHeight w:val="183"/>
        </w:trPr>
        <w:tc>
          <w:tcPr>
            <w:tcW w:w="20" w:type="dxa"/>
            <w:vAlign w:val="bottom"/>
          </w:tcPr>
          <w:p>
            <w:pPr>
              <w:spacing w:after="0"/>
              <w:rPr>
                <w:sz w:val="15"/>
                <w:szCs w:val="15"/>
                <w:color w:val="auto"/>
              </w:rPr>
            </w:pPr>
          </w:p>
        </w:tc>
        <w:tc>
          <w:tcPr>
            <w:tcW w:w="410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Matthew J. Simoncini</w:t>
            </w:r>
          </w:p>
        </w:tc>
        <w:tc>
          <w:tcPr>
            <w:tcW w:w="3680" w:type="dxa"/>
            <w:vAlign w:val="bottom"/>
            <w:shd w:val="clear" w:color="auto" w:fill="FCE9E8"/>
          </w:tcPr>
          <w:p>
            <w:pPr>
              <w:jc w:val="right"/>
              <w:ind w:right="322"/>
              <w:spacing w:after="0" w:line="183" w:lineRule="exact"/>
              <w:rPr>
                <w:sz w:val="20"/>
                <w:szCs w:val="20"/>
                <w:color w:val="auto"/>
              </w:rPr>
            </w:pPr>
            <w:r>
              <w:rPr>
                <w:rFonts w:ascii="Arial" w:cs="Arial" w:eastAsia="Arial" w:hAnsi="Arial"/>
                <w:sz w:val="16"/>
                <w:szCs w:val="16"/>
                <w:color w:val="auto"/>
              </w:rPr>
              <w:t>57,456</w:t>
            </w:r>
          </w:p>
        </w:tc>
        <w:tc>
          <w:tcPr>
            <w:tcW w:w="1760" w:type="dxa"/>
            <w:vAlign w:val="bottom"/>
            <w:shd w:val="clear" w:color="auto" w:fill="FCE9E8"/>
          </w:tcPr>
          <w:p>
            <w:pPr>
              <w:jc w:val="right"/>
              <w:ind w:right="262"/>
              <w:spacing w:after="0" w:line="183" w:lineRule="exact"/>
              <w:rPr>
                <w:sz w:val="20"/>
                <w:szCs w:val="20"/>
                <w:color w:val="auto"/>
              </w:rPr>
            </w:pPr>
            <w:r>
              <w:rPr>
                <w:rFonts w:ascii="Arial" w:cs="Arial" w:eastAsia="Arial" w:hAnsi="Arial"/>
                <w:sz w:val="16"/>
                <w:szCs w:val="16"/>
                <w:color w:val="auto"/>
              </w:rPr>
              <w:t>200%</w:t>
            </w:r>
          </w:p>
        </w:tc>
        <w:tc>
          <w:tcPr>
            <w:tcW w:w="1480" w:type="dxa"/>
            <w:vAlign w:val="bottom"/>
            <w:shd w:val="clear" w:color="auto" w:fill="FCE9E8"/>
          </w:tcPr>
          <w:p>
            <w:pPr>
              <w:jc w:val="right"/>
              <w:ind w:right="342"/>
              <w:spacing w:after="0" w:line="183" w:lineRule="exact"/>
              <w:rPr>
                <w:sz w:val="20"/>
                <w:szCs w:val="20"/>
                <w:color w:val="auto"/>
              </w:rPr>
            </w:pPr>
            <w:r>
              <w:rPr>
                <w:rFonts w:ascii="Arial" w:cs="Arial" w:eastAsia="Arial" w:hAnsi="Arial"/>
                <w:sz w:val="16"/>
                <w:szCs w:val="16"/>
                <w:color w:val="auto"/>
              </w:rPr>
              <w:t>114,912</w:t>
            </w:r>
          </w:p>
        </w:tc>
      </w:tr>
      <w:tr>
        <w:trPr>
          <w:trHeight w:val="189"/>
        </w:trPr>
        <w:tc>
          <w:tcPr>
            <w:tcW w:w="4120" w:type="dxa"/>
            <w:vAlign w:val="bottom"/>
            <w:gridSpan w:val="2"/>
          </w:tcPr>
          <w:p>
            <w:pPr>
              <w:spacing w:after="0"/>
              <w:rPr>
                <w:sz w:val="20"/>
                <w:szCs w:val="20"/>
                <w:color w:val="auto"/>
              </w:rPr>
            </w:pPr>
            <w:r>
              <w:rPr>
                <w:rFonts w:ascii="Arial" w:cs="Arial" w:eastAsia="Arial" w:hAnsi="Arial"/>
                <w:sz w:val="16"/>
                <w:szCs w:val="16"/>
                <w:color w:val="auto"/>
              </w:rPr>
              <w:t>Jeffrey H. Vanneste</w:t>
            </w:r>
          </w:p>
        </w:tc>
        <w:tc>
          <w:tcPr>
            <w:tcW w:w="3680" w:type="dxa"/>
            <w:vAlign w:val="bottom"/>
          </w:tcPr>
          <w:p>
            <w:pPr>
              <w:jc w:val="right"/>
              <w:ind w:right="322"/>
              <w:spacing w:after="0"/>
              <w:rPr>
                <w:sz w:val="20"/>
                <w:szCs w:val="20"/>
                <w:color w:val="auto"/>
              </w:rPr>
            </w:pPr>
            <w:r>
              <w:rPr>
                <w:rFonts w:ascii="Arial" w:cs="Arial" w:eastAsia="Arial" w:hAnsi="Arial"/>
                <w:sz w:val="16"/>
                <w:szCs w:val="16"/>
                <w:color w:val="auto"/>
              </w:rPr>
              <w:t>14,064</w:t>
            </w:r>
          </w:p>
        </w:tc>
        <w:tc>
          <w:tcPr>
            <w:tcW w:w="1760" w:type="dxa"/>
            <w:vAlign w:val="bottom"/>
          </w:tcPr>
          <w:p>
            <w:pPr>
              <w:jc w:val="right"/>
              <w:ind w:right="262"/>
              <w:spacing w:after="0"/>
              <w:rPr>
                <w:sz w:val="20"/>
                <w:szCs w:val="20"/>
                <w:color w:val="auto"/>
              </w:rPr>
            </w:pPr>
            <w:r>
              <w:rPr>
                <w:rFonts w:ascii="Arial" w:cs="Arial" w:eastAsia="Arial" w:hAnsi="Arial"/>
                <w:sz w:val="16"/>
                <w:szCs w:val="16"/>
                <w:color w:val="auto"/>
              </w:rPr>
              <w:t>200%</w:t>
            </w:r>
          </w:p>
        </w:tc>
        <w:tc>
          <w:tcPr>
            <w:tcW w:w="1480" w:type="dxa"/>
            <w:vAlign w:val="bottom"/>
          </w:tcPr>
          <w:p>
            <w:pPr>
              <w:jc w:val="right"/>
              <w:ind w:right="342"/>
              <w:spacing w:after="0"/>
              <w:rPr>
                <w:sz w:val="20"/>
                <w:szCs w:val="20"/>
                <w:color w:val="auto"/>
              </w:rPr>
            </w:pPr>
            <w:r>
              <w:rPr>
                <w:rFonts w:ascii="Arial" w:cs="Arial" w:eastAsia="Arial" w:hAnsi="Arial"/>
                <w:sz w:val="16"/>
                <w:szCs w:val="16"/>
                <w:color w:val="auto"/>
              </w:rPr>
              <w:t>28,128</w:t>
            </w:r>
          </w:p>
        </w:tc>
      </w:tr>
      <w:tr>
        <w:trPr>
          <w:trHeight w:val="189"/>
        </w:trPr>
        <w:tc>
          <w:tcPr>
            <w:tcW w:w="20" w:type="dxa"/>
            <w:vAlign w:val="bottom"/>
          </w:tcPr>
          <w:p>
            <w:pPr>
              <w:spacing w:after="0"/>
              <w:rPr>
                <w:sz w:val="16"/>
                <w:szCs w:val="16"/>
                <w:color w:val="auto"/>
              </w:rPr>
            </w:pPr>
          </w:p>
        </w:tc>
        <w:tc>
          <w:tcPr>
            <w:tcW w:w="4100" w:type="dxa"/>
            <w:vAlign w:val="bottom"/>
            <w:shd w:val="clear" w:color="auto" w:fill="FCE9E8"/>
          </w:tcPr>
          <w:p>
            <w:pPr>
              <w:spacing w:after="0"/>
              <w:rPr>
                <w:sz w:val="20"/>
                <w:szCs w:val="20"/>
                <w:color w:val="auto"/>
              </w:rPr>
            </w:pPr>
            <w:r>
              <w:rPr>
                <w:rFonts w:ascii="Arial" w:cs="Arial" w:eastAsia="Arial" w:hAnsi="Arial"/>
                <w:sz w:val="16"/>
                <w:szCs w:val="16"/>
                <w:color w:val="auto"/>
              </w:rPr>
              <w:t>Raymond E. Scott</w:t>
            </w:r>
          </w:p>
        </w:tc>
        <w:tc>
          <w:tcPr>
            <w:tcW w:w="3680" w:type="dxa"/>
            <w:vAlign w:val="bottom"/>
            <w:shd w:val="clear" w:color="auto" w:fill="FCE9E8"/>
          </w:tcPr>
          <w:p>
            <w:pPr>
              <w:jc w:val="right"/>
              <w:ind w:right="322"/>
              <w:spacing w:after="0"/>
              <w:rPr>
                <w:sz w:val="20"/>
                <w:szCs w:val="20"/>
                <w:color w:val="auto"/>
              </w:rPr>
            </w:pPr>
            <w:r>
              <w:rPr>
                <w:rFonts w:ascii="Arial" w:cs="Arial" w:eastAsia="Arial" w:hAnsi="Arial"/>
                <w:sz w:val="16"/>
                <w:szCs w:val="16"/>
                <w:color w:val="auto"/>
              </w:rPr>
              <w:t>15,936</w:t>
            </w:r>
          </w:p>
        </w:tc>
        <w:tc>
          <w:tcPr>
            <w:tcW w:w="176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200%</w:t>
            </w:r>
          </w:p>
        </w:tc>
        <w:tc>
          <w:tcPr>
            <w:tcW w:w="1480" w:type="dxa"/>
            <w:vAlign w:val="bottom"/>
            <w:shd w:val="clear" w:color="auto" w:fill="FCE9E8"/>
          </w:tcPr>
          <w:p>
            <w:pPr>
              <w:jc w:val="right"/>
              <w:ind w:right="342"/>
              <w:spacing w:after="0"/>
              <w:rPr>
                <w:sz w:val="20"/>
                <w:szCs w:val="20"/>
                <w:color w:val="auto"/>
              </w:rPr>
            </w:pPr>
            <w:r>
              <w:rPr>
                <w:rFonts w:ascii="Arial" w:cs="Arial" w:eastAsia="Arial" w:hAnsi="Arial"/>
                <w:sz w:val="16"/>
                <w:szCs w:val="16"/>
                <w:color w:val="auto"/>
              </w:rPr>
              <w:t>31,872</w:t>
            </w:r>
          </w:p>
        </w:tc>
      </w:tr>
      <w:tr>
        <w:trPr>
          <w:trHeight w:val="189"/>
        </w:trPr>
        <w:tc>
          <w:tcPr>
            <w:tcW w:w="4120" w:type="dxa"/>
            <w:vAlign w:val="bottom"/>
            <w:gridSpan w:val="2"/>
          </w:tcPr>
          <w:p>
            <w:pPr>
              <w:spacing w:after="0"/>
              <w:rPr>
                <w:sz w:val="20"/>
                <w:szCs w:val="20"/>
                <w:color w:val="auto"/>
              </w:rPr>
            </w:pPr>
            <w:r>
              <w:rPr>
                <w:rFonts w:ascii="Arial" w:cs="Arial" w:eastAsia="Arial" w:hAnsi="Arial"/>
                <w:sz w:val="16"/>
                <w:szCs w:val="16"/>
                <w:color w:val="auto"/>
              </w:rPr>
              <w:t>Terrence B. Larkin</w:t>
            </w:r>
          </w:p>
        </w:tc>
        <w:tc>
          <w:tcPr>
            <w:tcW w:w="3680" w:type="dxa"/>
            <w:vAlign w:val="bottom"/>
          </w:tcPr>
          <w:p>
            <w:pPr>
              <w:jc w:val="right"/>
              <w:ind w:right="322"/>
              <w:spacing w:after="0"/>
              <w:rPr>
                <w:sz w:val="20"/>
                <w:szCs w:val="20"/>
                <w:color w:val="auto"/>
              </w:rPr>
            </w:pPr>
            <w:r>
              <w:rPr>
                <w:rFonts w:ascii="Arial" w:cs="Arial" w:eastAsia="Arial" w:hAnsi="Arial"/>
                <w:sz w:val="16"/>
                <w:szCs w:val="16"/>
                <w:color w:val="auto"/>
              </w:rPr>
              <w:t>15,936</w:t>
            </w:r>
          </w:p>
        </w:tc>
        <w:tc>
          <w:tcPr>
            <w:tcW w:w="1760" w:type="dxa"/>
            <w:vAlign w:val="bottom"/>
          </w:tcPr>
          <w:p>
            <w:pPr>
              <w:jc w:val="right"/>
              <w:ind w:right="262"/>
              <w:spacing w:after="0"/>
              <w:rPr>
                <w:sz w:val="20"/>
                <w:szCs w:val="20"/>
                <w:color w:val="auto"/>
              </w:rPr>
            </w:pPr>
            <w:r>
              <w:rPr>
                <w:rFonts w:ascii="Arial" w:cs="Arial" w:eastAsia="Arial" w:hAnsi="Arial"/>
                <w:sz w:val="16"/>
                <w:szCs w:val="16"/>
                <w:color w:val="auto"/>
              </w:rPr>
              <w:t>200%</w:t>
            </w:r>
          </w:p>
        </w:tc>
        <w:tc>
          <w:tcPr>
            <w:tcW w:w="1480" w:type="dxa"/>
            <w:vAlign w:val="bottom"/>
          </w:tcPr>
          <w:p>
            <w:pPr>
              <w:jc w:val="right"/>
              <w:ind w:right="342"/>
              <w:spacing w:after="0"/>
              <w:rPr>
                <w:sz w:val="20"/>
                <w:szCs w:val="20"/>
                <w:color w:val="auto"/>
              </w:rPr>
            </w:pPr>
            <w:r>
              <w:rPr>
                <w:rFonts w:ascii="Arial" w:cs="Arial" w:eastAsia="Arial" w:hAnsi="Arial"/>
                <w:sz w:val="16"/>
                <w:szCs w:val="16"/>
                <w:color w:val="auto"/>
              </w:rPr>
              <w:t>31,872</w:t>
            </w: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Frank C. Orsini</w:t>
            </w:r>
          </w:p>
        </w:tc>
        <w:tc>
          <w:tcPr>
            <w:tcW w:w="3680" w:type="dxa"/>
            <w:vAlign w:val="bottom"/>
            <w:tcBorders>
              <w:bottom w:val="single" w:sz="8" w:color="auto"/>
            </w:tcBorders>
            <w:shd w:val="clear" w:color="auto" w:fill="FCE9E8"/>
          </w:tcPr>
          <w:p>
            <w:pPr>
              <w:jc w:val="right"/>
              <w:ind w:right="322"/>
              <w:spacing w:after="0"/>
              <w:rPr>
                <w:sz w:val="20"/>
                <w:szCs w:val="20"/>
                <w:color w:val="auto"/>
              </w:rPr>
            </w:pPr>
            <w:r>
              <w:rPr>
                <w:rFonts w:ascii="Arial" w:cs="Arial" w:eastAsia="Arial" w:hAnsi="Arial"/>
                <w:sz w:val="16"/>
                <w:szCs w:val="16"/>
                <w:color w:val="auto"/>
              </w:rPr>
              <w:t>13,444</w:t>
            </w:r>
          </w:p>
        </w:tc>
        <w:tc>
          <w:tcPr>
            <w:tcW w:w="1760" w:type="dxa"/>
            <w:vAlign w:val="bottom"/>
            <w:tcBorders>
              <w:bottom w:val="single" w:sz="8" w:color="auto"/>
            </w:tcBorders>
            <w:shd w:val="clear" w:color="auto" w:fill="FCE9E8"/>
          </w:tcPr>
          <w:p>
            <w:pPr>
              <w:jc w:val="right"/>
              <w:ind w:right="262"/>
              <w:spacing w:after="0"/>
              <w:rPr>
                <w:sz w:val="20"/>
                <w:szCs w:val="20"/>
                <w:color w:val="auto"/>
              </w:rPr>
            </w:pPr>
            <w:r>
              <w:rPr>
                <w:rFonts w:ascii="Arial" w:cs="Arial" w:eastAsia="Arial" w:hAnsi="Arial"/>
                <w:sz w:val="16"/>
                <w:szCs w:val="16"/>
                <w:color w:val="auto"/>
              </w:rPr>
              <w:t>200%</w:t>
            </w:r>
          </w:p>
        </w:tc>
        <w:tc>
          <w:tcPr>
            <w:tcW w:w="1480" w:type="dxa"/>
            <w:vAlign w:val="bottom"/>
            <w:tcBorders>
              <w:bottom w:val="single" w:sz="8" w:color="auto"/>
            </w:tcBorders>
            <w:shd w:val="clear" w:color="auto" w:fill="FCE9E8"/>
          </w:tcPr>
          <w:p>
            <w:pPr>
              <w:jc w:val="right"/>
              <w:ind w:right="342"/>
              <w:spacing w:after="0"/>
              <w:rPr>
                <w:sz w:val="20"/>
                <w:szCs w:val="20"/>
                <w:color w:val="auto"/>
              </w:rPr>
            </w:pPr>
            <w:r>
              <w:rPr>
                <w:rFonts w:ascii="Arial" w:cs="Arial" w:eastAsia="Arial" w:hAnsi="Arial"/>
                <w:sz w:val="16"/>
                <w:szCs w:val="16"/>
                <w:color w:val="auto"/>
              </w:rPr>
              <w:t>26,888</w:t>
            </w:r>
          </w:p>
        </w:tc>
      </w:tr>
    </w:tbl>
    <w:p>
      <w:pPr>
        <w:spacing w:after="0" w:line="192"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Management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auto"/>
        </w:rPr>
        <w:t>The management stock ownership guidelines provide that our executive officers achieve specified stock ownership levels based on a multiple of each executive officer’s base salary. The stock ownership guidelines were intended to create a strong link between our long-term success and the ultimate compensation of our executive officers. Under the guidelines, unvested awards generally do not count towards the goal; however, once they are within 24 months of vesting, (i) for all executive officers, 60% of RSUs awarded count towards the goal, and (ii) for retirement-eligible executive officers only, 60% of Career Shares awarded count towards the goal. Until an executive meets the goal, he or she must hold 50% of the net shares acquired upon the vesting of equity awards. Share ownership targets for executives reaching age 60 are reduced by 10% annually up to a maximum reduction of 50%. The stock ownership levels which must be achieved by our executive officers are as follows: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340" w:type="dxa"/>
            <w:vAlign w:val="bottom"/>
          </w:tcPr>
          <w:p>
            <w:pPr>
              <w:jc w:val="center"/>
              <w:ind w:left="1463"/>
              <w:spacing w:after="0"/>
              <w:rPr>
                <w:sz w:val="20"/>
                <w:szCs w:val="20"/>
                <w:color w:val="auto"/>
              </w:rPr>
            </w:pPr>
            <w:r>
              <w:rPr>
                <w:rFonts w:ascii="Arial" w:cs="Arial" w:eastAsia="Arial" w:hAnsi="Arial"/>
                <w:sz w:val="14"/>
                <w:szCs w:val="14"/>
                <w:b w:val="1"/>
                <w:bCs w:val="1"/>
                <w:color w:val="E2231A"/>
              </w:rPr>
              <w:t>Required Share Ownership Level</w:t>
            </w: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340" w:type="dxa"/>
            <w:vAlign w:val="bottom"/>
          </w:tcPr>
          <w:p>
            <w:pPr>
              <w:jc w:val="center"/>
              <w:ind w:left="1463"/>
              <w:spacing w:after="0"/>
              <w:rPr>
                <w:sz w:val="20"/>
                <w:szCs w:val="20"/>
                <w:color w:val="auto"/>
              </w:rPr>
            </w:pPr>
            <w:r>
              <w:rPr>
                <w:rFonts w:ascii="Arial" w:cs="Arial" w:eastAsia="Arial" w:hAnsi="Arial"/>
                <w:sz w:val="14"/>
                <w:szCs w:val="14"/>
                <w:b w:val="1"/>
                <w:bCs w:val="1"/>
                <w:color w:val="E2231A"/>
              </w:rPr>
              <w:t>(multiple of incentive eligible</w:t>
            </w:r>
          </w:p>
        </w:tc>
      </w:tr>
      <w:tr>
        <w:trPr>
          <w:trHeight w:val="189"/>
        </w:trPr>
        <w:tc>
          <w:tcPr>
            <w:tcW w:w="4700" w:type="dxa"/>
            <w:vAlign w:val="bottom"/>
            <w:gridSpan w:val="2"/>
          </w:tcPr>
          <w:p>
            <w:pPr>
              <w:spacing w:after="0"/>
              <w:rPr>
                <w:sz w:val="20"/>
                <w:szCs w:val="20"/>
                <w:color w:val="auto"/>
              </w:rPr>
            </w:pPr>
            <w:r>
              <w:rPr>
                <w:rFonts w:ascii="Arial" w:cs="Arial" w:eastAsia="Arial" w:hAnsi="Arial"/>
                <w:sz w:val="14"/>
                <w:szCs w:val="14"/>
                <w:b w:val="1"/>
                <w:bCs w:val="1"/>
                <w:color w:val="E2231A"/>
              </w:rPr>
              <w:t>Position</w:t>
            </w:r>
          </w:p>
        </w:tc>
        <w:tc>
          <w:tcPr>
            <w:tcW w:w="6340" w:type="dxa"/>
            <w:vAlign w:val="bottom"/>
          </w:tcPr>
          <w:p>
            <w:pPr>
              <w:jc w:val="center"/>
              <w:ind w:left="1463"/>
              <w:spacing w:after="0"/>
              <w:rPr>
                <w:sz w:val="20"/>
                <w:szCs w:val="20"/>
                <w:color w:val="auto"/>
              </w:rPr>
            </w:pPr>
            <w:r>
              <w:rPr>
                <w:rFonts w:ascii="Arial" w:cs="Arial" w:eastAsia="Arial" w:hAnsi="Arial"/>
                <w:sz w:val="14"/>
                <w:szCs w:val="14"/>
                <w:b w:val="1"/>
                <w:bCs w:val="1"/>
                <w:color w:val="E2231A"/>
              </w:rPr>
              <w:t>base salary)</w:t>
            </w:r>
          </w:p>
        </w:tc>
      </w:tr>
      <w:tr>
        <w:trPr>
          <w:trHeight w:val="183"/>
        </w:trPr>
        <w:tc>
          <w:tcPr>
            <w:tcW w:w="20" w:type="dxa"/>
            <w:vAlign w:val="bottom"/>
          </w:tcPr>
          <w:p>
            <w:pPr>
              <w:spacing w:after="0"/>
              <w:rPr>
                <w:sz w:val="15"/>
                <w:szCs w:val="15"/>
                <w:color w:val="auto"/>
              </w:rPr>
            </w:pPr>
          </w:p>
        </w:tc>
        <w:tc>
          <w:tcPr>
            <w:tcW w:w="4680" w:type="dxa"/>
            <w:vAlign w:val="bottom"/>
            <w:tcBorders>
              <w:top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CEO</w:t>
            </w:r>
          </w:p>
        </w:tc>
        <w:tc>
          <w:tcPr>
            <w:tcW w:w="6340" w:type="dxa"/>
            <w:vAlign w:val="bottom"/>
            <w:tcBorders>
              <w:top w:val="single" w:sz="8" w:color="auto"/>
            </w:tcBorders>
            <w:shd w:val="clear" w:color="auto" w:fill="FCE9E8"/>
          </w:tcPr>
          <w:p>
            <w:pPr>
              <w:jc w:val="right"/>
              <w:ind w:right="1203"/>
              <w:spacing w:after="0" w:line="183" w:lineRule="exact"/>
              <w:rPr>
                <w:sz w:val="20"/>
                <w:szCs w:val="20"/>
                <w:color w:val="auto"/>
              </w:rPr>
            </w:pPr>
            <w:r>
              <w:rPr>
                <w:rFonts w:ascii="Arial" w:cs="Arial" w:eastAsia="Arial" w:hAnsi="Arial"/>
                <w:sz w:val="16"/>
                <w:szCs w:val="16"/>
                <w:color w:val="auto"/>
              </w:rPr>
              <w:t>6X</w:t>
            </w:r>
          </w:p>
        </w:tc>
      </w:tr>
      <w:tr>
        <w:trPr>
          <w:trHeight w:val="189"/>
        </w:trPr>
        <w:tc>
          <w:tcPr>
            <w:tcW w:w="4700" w:type="dxa"/>
            <w:vAlign w:val="bottom"/>
            <w:gridSpan w:val="2"/>
          </w:tcPr>
          <w:p>
            <w:pPr>
              <w:spacing w:after="0"/>
              <w:rPr>
                <w:sz w:val="20"/>
                <w:szCs w:val="20"/>
                <w:color w:val="auto"/>
              </w:rPr>
            </w:pPr>
            <w:r>
              <w:rPr>
                <w:rFonts w:ascii="Arial" w:cs="Arial" w:eastAsia="Arial" w:hAnsi="Arial"/>
                <w:sz w:val="16"/>
                <w:szCs w:val="16"/>
                <w:color w:val="auto"/>
              </w:rPr>
              <w:t>Executive Vice Presidents</w:t>
            </w:r>
          </w:p>
        </w:tc>
        <w:tc>
          <w:tcPr>
            <w:tcW w:w="6340" w:type="dxa"/>
            <w:vAlign w:val="bottom"/>
          </w:tcPr>
          <w:p>
            <w:pPr>
              <w:jc w:val="right"/>
              <w:ind w:right="1203"/>
              <w:spacing w:after="0"/>
              <w:rPr>
                <w:sz w:val="20"/>
                <w:szCs w:val="20"/>
                <w:color w:val="auto"/>
              </w:rPr>
            </w:pPr>
            <w:r>
              <w:rPr>
                <w:rFonts w:ascii="Arial" w:cs="Arial" w:eastAsia="Arial" w:hAnsi="Arial"/>
                <w:sz w:val="16"/>
                <w:szCs w:val="16"/>
                <w:color w:val="auto"/>
              </w:rPr>
              <w:t>3X</w:t>
            </w:r>
          </w:p>
        </w:tc>
      </w:tr>
      <w:tr>
        <w:trPr>
          <w:trHeight w:val="189"/>
        </w:trPr>
        <w:tc>
          <w:tcPr>
            <w:tcW w:w="20" w:type="dxa"/>
            <w:vAlign w:val="bottom"/>
          </w:tcPr>
          <w:p>
            <w:pPr>
              <w:spacing w:after="0"/>
              <w:rPr>
                <w:sz w:val="16"/>
                <w:szCs w:val="16"/>
                <w:color w:val="auto"/>
              </w:rPr>
            </w:pPr>
          </w:p>
        </w:tc>
        <w:tc>
          <w:tcPr>
            <w:tcW w:w="4680" w:type="dxa"/>
            <w:vAlign w:val="bottom"/>
            <w:shd w:val="clear" w:color="auto" w:fill="FCE9E8"/>
          </w:tcPr>
          <w:p>
            <w:pPr>
              <w:spacing w:after="0"/>
              <w:rPr>
                <w:sz w:val="20"/>
                <w:szCs w:val="20"/>
                <w:color w:val="auto"/>
              </w:rPr>
            </w:pPr>
            <w:r>
              <w:rPr>
                <w:rFonts w:ascii="Arial" w:cs="Arial" w:eastAsia="Arial" w:hAnsi="Arial"/>
                <w:sz w:val="16"/>
                <w:szCs w:val="16"/>
                <w:color w:val="auto"/>
              </w:rPr>
              <w:t>Senior Vice Presidents</w:t>
            </w:r>
          </w:p>
        </w:tc>
        <w:tc>
          <w:tcPr>
            <w:tcW w:w="6340" w:type="dxa"/>
            <w:vAlign w:val="bottom"/>
            <w:shd w:val="clear" w:color="auto" w:fill="FCE9E8"/>
          </w:tcPr>
          <w:p>
            <w:pPr>
              <w:jc w:val="right"/>
              <w:ind w:right="1203"/>
              <w:spacing w:after="0"/>
              <w:rPr>
                <w:sz w:val="20"/>
                <w:szCs w:val="20"/>
                <w:color w:val="auto"/>
              </w:rPr>
            </w:pPr>
            <w:r>
              <w:rPr>
                <w:rFonts w:ascii="Arial" w:cs="Arial" w:eastAsia="Arial" w:hAnsi="Arial"/>
                <w:sz w:val="16"/>
                <w:szCs w:val="16"/>
                <w:color w:val="auto"/>
              </w:rPr>
              <w:t>3X</w:t>
            </w:r>
          </w:p>
        </w:tc>
      </w:tr>
      <w:tr>
        <w:trPr>
          <w:trHeight w:val="189"/>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Executive Officers</w:t>
            </w:r>
          </w:p>
        </w:tc>
        <w:tc>
          <w:tcPr>
            <w:tcW w:w="6340" w:type="dxa"/>
            <w:vAlign w:val="bottom"/>
            <w:tcBorders>
              <w:bottom w:val="single" w:sz="8" w:color="auto"/>
            </w:tcBorders>
          </w:tcPr>
          <w:p>
            <w:pPr>
              <w:jc w:val="right"/>
              <w:ind w:right="1203"/>
              <w:spacing w:after="0"/>
              <w:rPr>
                <w:sz w:val="20"/>
                <w:szCs w:val="20"/>
                <w:color w:val="auto"/>
              </w:rPr>
            </w:pPr>
            <w:r>
              <w:rPr>
                <w:rFonts w:ascii="Arial" w:cs="Arial" w:eastAsia="Arial" w:hAnsi="Arial"/>
                <w:sz w:val="16"/>
                <w:szCs w:val="16"/>
                <w:color w:val="auto"/>
              </w:rPr>
              <w:t>1.5X</w:t>
            </w: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99"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Our stock ownership guidelines are reviewed periodically to ensure ongoing market competitiveness and reasonableness. As of our latest measurement date (December 31, 2017), all of</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our Named Executive Officers have met their respective ownership guideline levels.</w:t>
      </w:r>
    </w:p>
    <w:p>
      <w:pPr>
        <w:spacing w:after="0" w:line="383" w:lineRule="exact"/>
        <w:rPr>
          <w:sz w:val="20"/>
          <w:szCs w:val="20"/>
          <w:color w:val="auto"/>
        </w:rPr>
      </w:pPr>
    </w:p>
    <w:p>
      <w:pPr>
        <w:sectPr>
          <w:pgSz w:w="11900" w:h="16838" w:orient="portrait"/>
          <w:cols w:equalWidth="0" w:num="2">
            <w:col w:w="5200" w:space="620"/>
            <w:col w:w="5420"/>
          </w:cols>
          <w:pgMar w:left="240" w:top="459" w:right="419" w:bottom="1440" w:gutter="0" w:footer="0" w:header="0"/>
          <w:type w:val="continuous"/>
        </w:sectPr>
      </w:pPr>
    </w:p>
    <w:p>
      <w:pPr>
        <w:spacing w:after="0" w:line="138"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Equity Award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42"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on the dates of our regularly scheduled Compensation Committee meetings and are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effective as of such dates or specified prospective dates. The Compensation Committee has approved and formalized our equity award policy. It provides that the effective grant date of equity awards must be either the date of Compensation</w:t>
      </w:r>
    </w:p>
    <w:p>
      <w:pPr>
        <w:spacing w:after="0" w:line="200"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59" w:lineRule="exact"/>
        <w:rPr>
          <w:sz w:val="20"/>
          <w:szCs w:val="20"/>
          <w:color w:val="auto"/>
        </w:rPr>
      </w:pPr>
    </w:p>
    <w:p>
      <w:pPr>
        <w:ind w:left="660" w:hanging="354"/>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40"/>
          </w:cols>
          <w:pgMar w:left="240" w:top="459" w:right="41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Committee or other committee approval or some future date specifically identified in such approval. If such awards are granted, the exercise price of stock options and grant price of Stock Appreciation Rights shall be the closing market price of our common stock on the grant date. The Compensation Committee must approve all awards to our executive officers. The policy also allows the Compensation Committee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200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-635635</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delegate to the CEO the ability to grant equity awards to non-executive officer employees who are newly hired or promoted or deemed to be deserving of special retention or recognition awards. In addition, the aggregate award pool to non-executive officers must be approved by the Compensation Committee but may be allocated to individual employees by the CEO.</w:t>
      </w:r>
    </w:p>
    <w:p>
      <w:pPr>
        <w:spacing w:after="0" w:line="200" w:lineRule="exact"/>
        <w:rPr>
          <w:sz w:val="20"/>
          <w:szCs w:val="20"/>
          <w:color w:val="auto"/>
        </w:rPr>
      </w:pPr>
    </w:p>
    <w:p>
      <w:pPr>
        <w:sectPr>
          <w:pgSz w:w="11900" w:h="16838" w:orient="portrait"/>
          <w:cols w:equalWidth="0" w:num="2">
            <w:col w:w="5440" w:space="380"/>
            <w:col w:w="5420"/>
          </w:cols>
          <w:pgMar w:left="240" w:top="459" w:right="419" w:bottom="1440" w:gutter="0" w:footer="0" w:header="0"/>
        </w:sectPr>
      </w:pPr>
    </w:p>
    <w:p>
      <w:pPr>
        <w:spacing w:after="0" w:line="15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Retirement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4" w:lineRule="exact"/>
        <w:rPr>
          <w:sz w:val="20"/>
          <w:szCs w:val="20"/>
          <w:color w:val="auto"/>
        </w:rPr>
      </w:pPr>
    </w:p>
    <w:p>
      <w:pPr>
        <w:ind w:left="200" w:right="240"/>
        <w:spacing w:after="0" w:line="250" w:lineRule="auto"/>
        <w:rPr>
          <w:sz w:val="20"/>
          <w:szCs w:val="20"/>
          <w:color w:val="auto"/>
        </w:rPr>
      </w:pPr>
      <w:r>
        <w:rPr>
          <w:rFonts w:ascii="Arial" w:cs="Arial" w:eastAsia="Arial" w:hAnsi="Arial"/>
          <w:sz w:val="16"/>
          <w:szCs w:val="16"/>
          <w:color w:val="auto"/>
        </w:rPr>
        <w:t>Our Named Executive Officers participate in our retirement savings plan, qualified pension plan, pension equalization plan and supplemental savings plan, as eligible. The general terms of these plans and formulas for calculating benefits are summarized following the 2017 Summary Compensation Table, 2017 Pension Benefits table and 2017 Nonqualified Deferred Compensation table, respectively, in “Executive Compensation.” These benefits provide rewards for long-term service to the Company and an income source in an executive’s post-employment years. The various components of our retirement benefit program (including our frozen defined benefit pension plans) disclosed in this proxy statement are summarized in the table below.</w:t>
      </w: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FFFFFF"/>
        </w:rPr>
        <w:t>Summary of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7006590" cy="2693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06590" cy="269303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1"/>
        </w:trPr>
        <w:tc>
          <w:tcPr>
            <w:tcW w:w="16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E2231A"/>
              </w:rPr>
              <w:t>Pages for</w:t>
            </w:r>
          </w:p>
        </w:tc>
        <w:tc>
          <w:tcPr>
            <w:tcW w:w="0" w:type="dxa"/>
            <w:vAlign w:val="bottom"/>
          </w:tcPr>
          <w:p>
            <w:pPr>
              <w:spacing w:after="0"/>
              <w:rPr>
                <w:sz w:val="1"/>
                <w:szCs w:val="1"/>
                <w:color w:val="auto"/>
              </w:rPr>
            </w:pPr>
          </w:p>
        </w:tc>
      </w:tr>
      <w:tr>
        <w:trPr>
          <w:trHeight w:val="162"/>
        </w:trPr>
        <w:tc>
          <w:tcPr>
            <w:tcW w:w="16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E2231A"/>
              </w:rPr>
              <w:t>Further</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E2231A"/>
              </w:rPr>
              <w:t>Type</w:t>
            </w:r>
          </w:p>
        </w:tc>
        <w:tc>
          <w:tcPr>
            <w:tcW w:w="80" w:type="dxa"/>
            <w:vAlign w:val="bottom"/>
            <w:tcBorders>
              <w:bottom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E2231A"/>
              </w:rPr>
              <w:t>Plan/Program</w:t>
            </w:r>
          </w:p>
        </w:tc>
        <w:tc>
          <w:tcPr>
            <w:tcW w:w="22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E2231A"/>
              </w:rPr>
              <w:t>Component/Feature</w:t>
            </w: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E2231A"/>
              </w:rPr>
              <w:t>Purpose</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Details</w:t>
            </w:r>
          </w:p>
        </w:tc>
        <w:tc>
          <w:tcPr>
            <w:tcW w:w="0" w:type="dxa"/>
            <w:vAlign w:val="bottom"/>
          </w:tcPr>
          <w:p>
            <w:pPr>
              <w:spacing w:after="0"/>
              <w:rPr>
                <w:sz w:val="1"/>
                <w:szCs w:val="1"/>
                <w:color w:val="auto"/>
              </w:rPr>
            </w:pPr>
          </w:p>
        </w:tc>
      </w:tr>
      <w:tr>
        <w:trPr>
          <w:trHeight w:val="183"/>
        </w:trPr>
        <w:tc>
          <w:tcPr>
            <w:tcW w:w="1660" w:type="dxa"/>
            <w:vAlign w:val="bottom"/>
            <w:tcBorders>
              <w:bottom w:val="single" w:sz="8" w:color="FCE9E8"/>
              <w:right w:val="single" w:sz="8" w:color="auto"/>
            </w:tcBorders>
            <w:shd w:val="clear" w:color="auto" w:fill="FCE9E8"/>
          </w:tcPr>
          <w:p>
            <w:pPr>
              <w:ind w:left="240"/>
              <w:spacing w:after="0" w:line="183" w:lineRule="exact"/>
              <w:rPr>
                <w:sz w:val="20"/>
                <w:szCs w:val="20"/>
                <w:color w:val="auto"/>
              </w:rPr>
            </w:pPr>
            <w:r>
              <w:rPr>
                <w:rFonts w:ascii="Arial" w:cs="Arial" w:eastAsia="Arial" w:hAnsi="Arial"/>
                <w:sz w:val="16"/>
                <w:szCs w:val="16"/>
                <w:b w:val="1"/>
                <w:bCs w:val="1"/>
                <w:color w:val="auto"/>
              </w:rPr>
              <w:t>Defined</w:t>
            </w:r>
          </w:p>
        </w:tc>
        <w:tc>
          <w:tcPr>
            <w:tcW w:w="80" w:type="dxa"/>
            <w:vAlign w:val="bottom"/>
            <w:tcBorders>
              <w:bottom w:val="single" w:sz="8" w:color="FCE9E8"/>
            </w:tcBorders>
            <w:shd w:val="clear" w:color="auto" w:fill="FCE9E8"/>
          </w:tcPr>
          <w:p>
            <w:pPr>
              <w:spacing w:after="0"/>
              <w:rPr>
                <w:sz w:val="15"/>
                <w:szCs w:val="15"/>
                <w:color w:val="auto"/>
              </w:rPr>
            </w:pPr>
          </w:p>
        </w:tc>
        <w:tc>
          <w:tcPr>
            <w:tcW w:w="3420" w:type="dxa"/>
            <w:vAlign w:val="bottom"/>
            <w:tcBorders>
              <w:bottom w:val="single" w:sz="8" w:color="FCE9E8"/>
              <w:right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Salaried Retirement</w:t>
            </w:r>
          </w:p>
        </w:tc>
        <w:tc>
          <w:tcPr>
            <w:tcW w:w="2220" w:type="dxa"/>
            <w:vAlign w:val="bottom"/>
            <w:tcBorders>
              <w:bottom w:val="single" w:sz="8" w:color="auto"/>
              <w:right w:val="single" w:sz="8" w:color="auto"/>
            </w:tcBorders>
            <w:shd w:val="clear" w:color="auto" w:fill="FCE9E8"/>
          </w:tcPr>
          <w:p>
            <w:pPr>
              <w:ind w:left="120"/>
              <w:spacing w:after="0" w:line="183" w:lineRule="exact"/>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Standard 401(k) plan and</w:t>
            </w:r>
          </w:p>
        </w:tc>
        <w:tc>
          <w:tcPr>
            <w:tcW w:w="100" w:type="dxa"/>
            <w:vAlign w:val="bottom"/>
            <w:tcBorders>
              <w:bottom w:val="single" w:sz="8" w:color="FCE9E8"/>
            </w:tcBorders>
            <w:shd w:val="clear" w:color="auto" w:fill="FCE9E8"/>
          </w:tcPr>
          <w:p>
            <w:pPr>
              <w:spacing w:after="0"/>
              <w:rPr>
                <w:sz w:val="15"/>
                <w:szCs w:val="15"/>
                <w:color w:val="auto"/>
              </w:rPr>
            </w:pPr>
          </w:p>
        </w:tc>
        <w:tc>
          <w:tcPr>
            <w:tcW w:w="780" w:type="dxa"/>
            <w:vAlign w:val="bottom"/>
            <w:tcBorders>
              <w:bottom w:val="single" w:sz="8" w:color="FCE9E8"/>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FCE9E8"/>
              <w:right w:val="single" w:sz="8" w:color="auto"/>
            </w:tcBorders>
            <w:shd w:val="clear" w:color="auto" w:fill="FCE9E8"/>
          </w:tcPr>
          <w:p>
            <w:pPr>
              <w:ind w:left="240"/>
              <w:spacing w:after="0" w:line="183" w:lineRule="exact"/>
              <w:rPr>
                <w:sz w:val="20"/>
                <w:szCs w:val="20"/>
                <w:color w:val="auto"/>
              </w:rPr>
            </w:pPr>
            <w:r>
              <w:rPr>
                <w:rFonts w:ascii="Arial" w:cs="Arial" w:eastAsia="Arial" w:hAnsi="Arial"/>
                <w:sz w:val="16"/>
                <w:szCs w:val="16"/>
                <w:b w:val="1"/>
                <w:bCs w:val="1"/>
                <w:color w:val="auto"/>
              </w:rPr>
              <w:t>Contribution</w:t>
            </w:r>
          </w:p>
        </w:tc>
        <w:tc>
          <w:tcPr>
            <w:tcW w:w="80" w:type="dxa"/>
            <w:vAlign w:val="bottom"/>
            <w:tcBorders>
              <w:bottom w:val="single" w:sz="8" w:color="FCE9E8"/>
            </w:tcBorders>
            <w:shd w:val="clear" w:color="auto" w:fill="FCE9E8"/>
          </w:tcPr>
          <w:p>
            <w:pPr>
              <w:spacing w:after="0"/>
              <w:rPr>
                <w:sz w:val="15"/>
                <w:szCs w:val="15"/>
                <w:color w:val="auto"/>
              </w:rPr>
            </w:pPr>
          </w:p>
        </w:tc>
        <w:tc>
          <w:tcPr>
            <w:tcW w:w="3420" w:type="dxa"/>
            <w:vAlign w:val="bottom"/>
            <w:tcBorders>
              <w:bottom w:val="single" w:sz="8" w:color="FCE9E8"/>
              <w:right w:val="single" w:sz="8" w:color="auto"/>
            </w:tcBorders>
            <w:shd w:val="clear" w:color="auto" w:fill="FCE9E8"/>
          </w:tcPr>
          <w:p>
            <w:pPr>
              <w:spacing w:after="0" w:line="177" w:lineRule="exact"/>
              <w:rPr>
                <w:sz w:val="20"/>
                <w:szCs w:val="20"/>
                <w:color w:val="auto"/>
              </w:rPr>
            </w:pPr>
            <w:r>
              <w:rPr>
                <w:rFonts w:ascii="Arial" w:cs="Arial" w:eastAsia="Arial" w:hAnsi="Arial"/>
                <w:sz w:val="16"/>
                <w:szCs w:val="16"/>
                <w:color w:val="auto"/>
              </w:rPr>
              <w:t>Program (Qualified)</w:t>
            </w:r>
          </w:p>
        </w:tc>
        <w:tc>
          <w:tcPr>
            <w:tcW w:w="2220" w:type="dxa"/>
            <w:vAlign w:val="bottom"/>
            <w:tcBorders>
              <w:bottom w:val="single" w:sz="8" w:color="auto"/>
              <w:right w:val="single" w:sz="8" w:color="auto"/>
            </w:tcBorders>
            <w:shd w:val="clear" w:color="auto" w:fill="FCE9E8"/>
          </w:tcPr>
          <w:p>
            <w:pPr>
              <w:ind w:left="120"/>
              <w:spacing w:after="0" w:line="183" w:lineRule="exact"/>
              <w:rPr>
                <w:sz w:val="20"/>
                <w:szCs w:val="20"/>
                <w:color w:val="auto"/>
              </w:rPr>
            </w:pPr>
            <w:r>
              <w:rPr>
                <w:rFonts w:ascii="Arial" w:cs="Arial" w:eastAsia="Arial" w:hAnsi="Arial"/>
                <w:sz w:val="16"/>
                <w:szCs w:val="16"/>
                <w:color w:val="auto"/>
              </w:rPr>
              <w:t>Company Match</w:t>
            </w:r>
          </w:p>
        </w:tc>
        <w:tc>
          <w:tcPr>
            <w:tcW w:w="100" w:type="dxa"/>
            <w:vAlign w:val="bottom"/>
            <w:tcBorders>
              <w:bottom w:val="single" w:sz="8" w:color="auto"/>
            </w:tcBorders>
            <w:shd w:val="clear" w:color="auto" w:fill="FCE9E8"/>
          </w:tcPr>
          <w:p>
            <w:pPr>
              <w:spacing w:after="0"/>
              <w:rPr>
                <w:sz w:val="15"/>
                <w:szCs w:val="15"/>
                <w:color w:val="auto"/>
              </w:rPr>
            </w:pPr>
          </w:p>
        </w:tc>
        <w:tc>
          <w:tcPr>
            <w:tcW w:w="2660" w:type="dxa"/>
            <w:vAlign w:val="bottom"/>
            <w:tcBorders>
              <w:bottom w:val="single" w:sz="8" w:color="auto"/>
              <w:right w:val="single" w:sz="8" w:color="auto"/>
            </w:tcBorders>
            <w:shd w:val="clear" w:color="auto" w:fill="FCE9E8"/>
          </w:tcPr>
          <w:p>
            <w:pPr>
              <w:jc w:val="center"/>
              <w:spacing w:after="0" w:line="177" w:lineRule="exact"/>
              <w:rPr>
                <w:sz w:val="20"/>
                <w:szCs w:val="20"/>
                <w:color w:val="auto"/>
              </w:rPr>
            </w:pPr>
            <w:r>
              <w:rPr>
                <w:rFonts w:ascii="Arial" w:cs="Arial" w:eastAsia="Arial" w:hAnsi="Arial"/>
                <w:sz w:val="16"/>
                <w:szCs w:val="16"/>
                <w:color w:val="auto"/>
              </w:rPr>
              <w:t>matching contribution</w:t>
            </w:r>
          </w:p>
        </w:tc>
        <w:tc>
          <w:tcPr>
            <w:tcW w:w="100" w:type="dxa"/>
            <w:vAlign w:val="bottom"/>
            <w:tcBorders>
              <w:bottom w:val="single" w:sz="8" w:color="FCE9E8"/>
            </w:tcBorders>
            <w:shd w:val="clear" w:color="auto" w:fill="FCE9E8"/>
          </w:tcPr>
          <w:p>
            <w:pPr>
              <w:spacing w:after="0"/>
              <w:rPr>
                <w:sz w:val="15"/>
                <w:szCs w:val="15"/>
                <w:color w:val="auto"/>
              </w:rPr>
            </w:pPr>
          </w:p>
        </w:tc>
        <w:tc>
          <w:tcPr>
            <w:tcW w:w="780" w:type="dxa"/>
            <w:vAlign w:val="bottom"/>
            <w:tcBorders>
              <w:bottom w:val="single" w:sz="8" w:color="FCE9E8"/>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3"/>
        </w:trPr>
        <w:tc>
          <w:tcPr>
            <w:tcW w:w="1660" w:type="dxa"/>
            <w:vAlign w:val="bottom"/>
            <w:tcBorders>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auto"/>
            </w:tcBorders>
            <w:shd w:val="clear" w:color="auto" w:fill="FCE9E8"/>
          </w:tcPr>
          <w:p>
            <w:pPr>
              <w:spacing w:after="0"/>
              <w:rPr>
                <w:sz w:val="15"/>
                <w:szCs w:val="15"/>
                <w:color w:val="auto"/>
              </w:rPr>
            </w:pPr>
          </w:p>
        </w:tc>
        <w:tc>
          <w:tcPr>
            <w:tcW w:w="3420" w:type="dxa"/>
            <w:vAlign w:val="bottom"/>
            <w:tcBorders>
              <w:bottom w:val="single" w:sz="8" w:color="auto"/>
              <w:right w:val="single" w:sz="8" w:color="auto"/>
            </w:tcBorders>
            <w:shd w:val="clear" w:color="auto" w:fill="FCE9E8"/>
          </w:tcPr>
          <w:p>
            <w:pPr>
              <w:spacing w:after="0"/>
              <w:rPr>
                <w:sz w:val="15"/>
                <w:szCs w:val="15"/>
                <w:color w:val="auto"/>
              </w:rPr>
            </w:pPr>
          </w:p>
        </w:tc>
        <w:tc>
          <w:tcPr>
            <w:tcW w:w="2220" w:type="dxa"/>
            <w:vAlign w:val="bottom"/>
            <w:tcBorders>
              <w:bottom w:val="single" w:sz="8" w:color="auto"/>
              <w:right w:val="single" w:sz="8" w:color="auto"/>
            </w:tcBorders>
            <w:shd w:val="clear" w:color="auto" w:fill="FCE9E8"/>
          </w:tcPr>
          <w:p>
            <w:pPr>
              <w:ind w:left="120"/>
              <w:spacing w:after="0" w:line="183" w:lineRule="exact"/>
              <w:rPr>
                <w:sz w:val="20"/>
                <w:szCs w:val="20"/>
                <w:color w:val="auto"/>
              </w:rPr>
            </w:pPr>
            <w:r>
              <w:rPr>
                <w:rFonts w:ascii="Arial" w:cs="Arial" w:eastAsia="Arial" w:hAnsi="Arial"/>
                <w:sz w:val="16"/>
                <w:szCs w:val="16"/>
                <w:color w:val="auto"/>
              </w:rPr>
              <w:t>Pension Savings Plan</w:t>
            </w:r>
          </w:p>
        </w:tc>
        <w:tc>
          <w:tcPr>
            <w:tcW w:w="100" w:type="dxa"/>
            <w:vAlign w:val="bottom"/>
            <w:tcBorders>
              <w:bottom w:val="single" w:sz="8" w:color="auto"/>
            </w:tcBorders>
            <w:shd w:val="clear" w:color="auto" w:fill="FCE9E8"/>
          </w:tcPr>
          <w:p>
            <w:pPr>
              <w:spacing w:after="0"/>
              <w:rPr>
                <w:sz w:val="15"/>
                <w:szCs w:val="15"/>
                <w:color w:val="auto"/>
              </w:rPr>
            </w:pPr>
          </w:p>
        </w:tc>
        <w:tc>
          <w:tcPr>
            <w:tcW w:w="2660" w:type="dxa"/>
            <w:vAlign w:val="bottom"/>
            <w:tcBorders>
              <w:bottom w:val="single" w:sz="8" w:color="auto"/>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Main Company contributions</w:t>
            </w:r>
          </w:p>
        </w:tc>
        <w:tc>
          <w:tcPr>
            <w:tcW w:w="100" w:type="dxa"/>
            <w:vAlign w:val="bottom"/>
            <w:tcBorders>
              <w:bottom w:val="single" w:sz="8" w:color="auto"/>
            </w:tcBorders>
            <w:shd w:val="clear" w:color="auto" w:fill="FCE9E8"/>
          </w:tcPr>
          <w:p>
            <w:pPr>
              <w:spacing w:after="0"/>
              <w:rPr>
                <w:sz w:val="15"/>
                <w:szCs w:val="15"/>
                <w:color w:val="auto"/>
              </w:rPr>
            </w:pPr>
          </w:p>
        </w:tc>
        <w:tc>
          <w:tcPr>
            <w:tcW w:w="780" w:type="dxa"/>
            <w:vAlign w:val="bottom"/>
            <w:tcBorders>
              <w:bottom w:val="single" w:sz="8" w:color="auto"/>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FCE9E8"/>
            </w:tcBorders>
            <w:shd w:val="clear" w:color="auto" w:fill="FCE9E8"/>
          </w:tcPr>
          <w:p>
            <w:pPr>
              <w:spacing w:after="0"/>
              <w:rPr>
                <w:sz w:val="15"/>
                <w:szCs w:val="15"/>
                <w:color w:val="auto"/>
              </w:rPr>
            </w:pPr>
          </w:p>
        </w:tc>
        <w:tc>
          <w:tcPr>
            <w:tcW w:w="3420" w:type="dxa"/>
            <w:vAlign w:val="bottom"/>
            <w:tcBorders>
              <w:bottom w:val="single" w:sz="8" w:color="FCE9E8"/>
              <w:right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Salaried Retirement Restoration Program</w:t>
            </w:r>
          </w:p>
        </w:tc>
        <w:tc>
          <w:tcPr>
            <w:tcW w:w="2220" w:type="dxa"/>
            <w:vAlign w:val="bottom"/>
            <w:tcBorders>
              <w:bottom w:val="single" w:sz="8" w:color="auto"/>
              <w:right w:val="single" w:sz="8" w:color="auto"/>
            </w:tcBorders>
            <w:shd w:val="clear" w:color="auto" w:fill="FCE9E8"/>
          </w:tcPr>
          <w:p>
            <w:pPr>
              <w:ind w:left="120"/>
              <w:spacing w:after="0" w:line="183" w:lineRule="exact"/>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Excess programs for</w:t>
            </w:r>
          </w:p>
        </w:tc>
        <w:tc>
          <w:tcPr>
            <w:tcW w:w="100" w:type="dxa"/>
            <w:vAlign w:val="bottom"/>
            <w:tcBorders>
              <w:bottom w:val="single" w:sz="8" w:color="FCE9E8"/>
            </w:tcBorders>
            <w:shd w:val="clear" w:color="auto" w:fill="FCE9E8"/>
          </w:tcPr>
          <w:p>
            <w:pPr>
              <w:spacing w:after="0"/>
              <w:rPr>
                <w:sz w:val="15"/>
                <w:szCs w:val="15"/>
                <w:color w:val="auto"/>
              </w:rPr>
            </w:pPr>
          </w:p>
        </w:tc>
        <w:tc>
          <w:tcPr>
            <w:tcW w:w="780" w:type="dxa"/>
            <w:vAlign w:val="bottom"/>
            <w:tcBorders>
              <w:bottom w:val="single" w:sz="8" w:color="FCE9E8"/>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FCE9E8"/>
            </w:tcBorders>
            <w:shd w:val="clear" w:color="auto" w:fill="FCE9E8"/>
          </w:tcPr>
          <w:p>
            <w:pPr>
              <w:spacing w:after="0"/>
              <w:rPr>
                <w:sz w:val="15"/>
                <w:szCs w:val="15"/>
                <w:color w:val="auto"/>
              </w:rPr>
            </w:pPr>
          </w:p>
        </w:tc>
        <w:tc>
          <w:tcPr>
            <w:tcW w:w="3420" w:type="dxa"/>
            <w:vAlign w:val="bottom"/>
            <w:tcBorders>
              <w:bottom w:val="single" w:sz="8" w:color="FCE9E8"/>
              <w:right w:val="single" w:sz="8" w:color="auto"/>
            </w:tcBorders>
            <w:shd w:val="clear" w:color="auto" w:fill="FCE9E8"/>
          </w:tcPr>
          <w:p>
            <w:pPr>
              <w:spacing w:after="0" w:line="171" w:lineRule="exact"/>
              <w:rPr>
                <w:sz w:val="20"/>
                <w:szCs w:val="20"/>
                <w:color w:val="auto"/>
              </w:rPr>
            </w:pPr>
            <w:r>
              <w:rPr>
                <w:rFonts w:ascii="Arial" w:cs="Arial" w:eastAsia="Arial" w:hAnsi="Arial"/>
                <w:sz w:val="16"/>
                <w:szCs w:val="16"/>
                <w:color w:val="auto"/>
              </w:rPr>
              <w:t>(Non-Qualified)</w:t>
            </w:r>
          </w:p>
        </w:tc>
        <w:tc>
          <w:tcPr>
            <w:tcW w:w="2220" w:type="dxa"/>
            <w:vAlign w:val="bottom"/>
            <w:tcBorders>
              <w:bottom w:val="single" w:sz="8" w:color="auto"/>
              <w:right w:val="single" w:sz="8" w:color="auto"/>
            </w:tcBorders>
            <w:shd w:val="clear" w:color="auto" w:fill="FCE9E8"/>
          </w:tcPr>
          <w:p>
            <w:pPr>
              <w:ind w:left="120"/>
              <w:spacing w:after="0" w:line="171" w:lineRule="exact"/>
              <w:rPr>
                <w:sz w:val="20"/>
                <w:szCs w:val="20"/>
                <w:color w:val="auto"/>
              </w:rPr>
            </w:pPr>
            <w:r>
              <w:rPr>
                <w:rFonts w:ascii="Arial" w:cs="Arial" w:eastAsia="Arial" w:hAnsi="Arial"/>
                <w:sz w:val="16"/>
                <w:szCs w:val="16"/>
                <w:color w:val="auto"/>
              </w:rPr>
              <w:t>Company Match</w:t>
            </w:r>
          </w:p>
        </w:tc>
        <w:tc>
          <w:tcPr>
            <w:tcW w:w="10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jc w:val="center"/>
              <w:spacing w:after="0" w:line="171" w:lineRule="exact"/>
              <w:rPr>
                <w:sz w:val="20"/>
                <w:szCs w:val="20"/>
                <w:color w:val="auto"/>
              </w:rPr>
            </w:pPr>
            <w:r>
              <w:rPr>
                <w:rFonts w:ascii="Arial" w:cs="Arial" w:eastAsia="Arial" w:hAnsi="Arial"/>
                <w:sz w:val="16"/>
                <w:szCs w:val="16"/>
                <w:color w:val="auto"/>
              </w:rPr>
              <w:t>amounts above</w:t>
            </w:r>
          </w:p>
        </w:tc>
        <w:tc>
          <w:tcPr>
            <w:tcW w:w="100" w:type="dxa"/>
            <w:vAlign w:val="bottom"/>
            <w:tcBorders>
              <w:bottom w:val="single" w:sz="8" w:color="FCE9E8"/>
            </w:tcBorders>
            <w:shd w:val="clear" w:color="auto" w:fill="FCE9E8"/>
          </w:tcPr>
          <w:p>
            <w:pPr>
              <w:spacing w:after="0"/>
              <w:rPr>
                <w:sz w:val="15"/>
                <w:szCs w:val="15"/>
                <w:color w:val="auto"/>
              </w:rPr>
            </w:pPr>
          </w:p>
        </w:tc>
        <w:tc>
          <w:tcPr>
            <w:tcW w:w="780" w:type="dxa"/>
            <w:vAlign w:val="bottom"/>
            <w:tcBorders>
              <w:bottom w:val="single" w:sz="8" w:color="FCE9E8"/>
            </w:tcBorders>
            <w:shd w:val="clear" w:color="auto" w:fill="FCE9E8"/>
          </w:tcPr>
          <w:p>
            <w:pPr>
              <w:jc w:val="center"/>
              <w:spacing w:after="0" w:line="171" w:lineRule="exact"/>
              <w:rPr>
                <w:sz w:val="20"/>
                <w:szCs w:val="20"/>
                <w:color w:val="auto"/>
              </w:rPr>
            </w:pPr>
            <w:r>
              <w:rPr>
                <w:rFonts w:ascii="Arial" w:cs="Arial" w:eastAsia="Arial" w:hAnsi="Arial"/>
                <w:sz w:val="16"/>
                <w:szCs w:val="16"/>
                <w:color w:val="auto"/>
                <w:w w:val="98"/>
              </w:rPr>
              <w:t>47; 49</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auto"/>
              <w:right w:val="single" w:sz="8" w:color="auto"/>
            </w:tcBorders>
            <w:shd w:val="clear" w:color="auto" w:fill="FCE9E8"/>
          </w:tcPr>
          <w:p>
            <w:pPr>
              <w:spacing w:after="0"/>
              <w:rPr>
                <w:sz w:val="16"/>
                <w:szCs w:val="16"/>
                <w:color w:val="auto"/>
              </w:rPr>
            </w:pPr>
          </w:p>
        </w:tc>
        <w:tc>
          <w:tcPr>
            <w:tcW w:w="80" w:type="dxa"/>
            <w:vAlign w:val="bottom"/>
            <w:tcBorders>
              <w:bottom w:val="single" w:sz="8" w:color="auto"/>
            </w:tcBorders>
            <w:shd w:val="clear" w:color="auto" w:fill="FCE9E8"/>
          </w:tcPr>
          <w:p>
            <w:pPr>
              <w:spacing w:after="0"/>
              <w:rPr>
                <w:sz w:val="16"/>
                <w:szCs w:val="16"/>
                <w:color w:val="auto"/>
              </w:rPr>
            </w:pPr>
          </w:p>
        </w:tc>
        <w:tc>
          <w:tcPr>
            <w:tcW w:w="3420" w:type="dxa"/>
            <w:vAlign w:val="bottom"/>
            <w:tcBorders>
              <w:bottom w:val="single" w:sz="8" w:color="auto"/>
              <w:right w:val="single" w:sz="8" w:color="auto"/>
            </w:tcBorders>
            <w:shd w:val="clear" w:color="auto" w:fill="FCE9E8"/>
          </w:tcPr>
          <w:p>
            <w:pPr>
              <w:spacing w:after="0"/>
              <w:rPr>
                <w:sz w:val="16"/>
                <w:szCs w:val="16"/>
                <w:color w:val="auto"/>
              </w:rPr>
            </w:pPr>
          </w:p>
        </w:tc>
        <w:tc>
          <w:tcPr>
            <w:tcW w:w="2220" w:type="dxa"/>
            <w:vAlign w:val="bottom"/>
            <w:tcBorders>
              <w:bottom w:val="single" w:sz="8" w:color="auto"/>
              <w:right w:val="single" w:sz="8" w:color="auto"/>
            </w:tcBorders>
            <w:shd w:val="clear" w:color="auto" w:fill="FCE9E8"/>
          </w:tcPr>
          <w:p>
            <w:pPr>
              <w:ind w:left="120"/>
              <w:spacing w:after="0"/>
              <w:rPr>
                <w:sz w:val="20"/>
                <w:szCs w:val="20"/>
                <w:color w:val="auto"/>
              </w:rPr>
            </w:pPr>
            <w:r>
              <w:rPr>
                <w:rFonts w:ascii="Arial" w:cs="Arial" w:eastAsia="Arial" w:hAnsi="Arial"/>
                <w:sz w:val="16"/>
                <w:szCs w:val="16"/>
                <w:color w:val="auto"/>
              </w:rPr>
              <w:t>Pension Savings Plan</w:t>
            </w:r>
          </w:p>
        </w:tc>
        <w:tc>
          <w:tcPr>
            <w:tcW w:w="100" w:type="dxa"/>
            <w:vAlign w:val="bottom"/>
            <w:tcBorders>
              <w:bottom w:val="single" w:sz="8" w:color="auto"/>
            </w:tcBorders>
            <w:shd w:val="clear" w:color="auto" w:fill="FCE9E8"/>
          </w:tcPr>
          <w:p>
            <w:pPr>
              <w:spacing w:after="0"/>
              <w:rPr>
                <w:sz w:val="16"/>
                <w:szCs w:val="16"/>
                <w:color w:val="auto"/>
              </w:rPr>
            </w:pPr>
          </w:p>
        </w:tc>
        <w:tc>
          <w:tcPr>
            <w:tcW w:w="2660" w:type="dxa"/>
            <w:vAlign w:val="bottom"/>
            <w:tcBorders>
              <w:bottom w:val="single" w:sz="8" w:color="auto"/>
              <w:right w:val="single" w:sz="8" w:color="auto"/>
            </w:tcBorders>
            <w:shd w:val="clear" w:color="auto" w:fill="FCE9E8"/>
          </w:tcPr>
          <w:p>
            <w:pPr>
              <w:jc w:val="center"/>
              <w:spacing w:after="0" w:line="170" w:lineRule="exact"/>
              <w:rPr>
                <w:sz w:val="20"/>
                <w:szCs w:val="20"/>
                <w:color w:val="auto"/>
              </w:rPr>
            </w:pPr>
            <w:r>
              <w:rPr>
                <w:rFonts w:ascii="Arial" w:cs="Arial" w:eastAsia="Arial" w:hAnsi="Arial"/>
                <w:sz w:val="16"/>
                <w:szCs w:val="16"/>
                <w:color w:val="auto"/>
              </w:rPr>
              <w:t>qualified plan limits</w:t>
            </w:r>
          </w:p>
        </w:tc>
        <w:tc>
          <w:tcPr>
            <w:tcW w:w="100" w:type="dxa"/>
            <w:vAlign w:val="bottom"/>
            <w:tcBorders>
              <w:bottom w:val="single" w:sz="8" w:color="auto"/>
            </w:tcBorders>
            <w:shd w:val="clear" w:color="auto" w:fill="FCE9E8"/>
          </w:tcPr>
          <w:p>
            <w:pPr>
              <w:spacing w:after="0"/>
              <w:rPr>
                <w:sz w:val="16"/>
                <w:szCs w:val="16"/>
                <w:color w:val="auto"/>
              </w:rPr>
            </w:pPr>
          </w:p>
        </w:tc>
        <w:tc>
          <w:tcPr>
            <w:tcW w:w="780" w:type="dxa"/>
            <w:vAlign w:val="bottom"/>
            <w:tcBorders>
              <w:bottom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660" w:type="dxa"/>
            <w:vAlign w:val="bottom"/>
            <w:tcBorders>
              <w:right w:val="single" w:sz="8" w:color="auto"/>
            </w:tcBorders>
          </w:tcPr>
          <w:p>
            <w:pPr>
              <w:ind w:left="240"/>
              <w:spacing w:after="0" w:line="165" w:lineRule="exact"/>
              <w:rPr>
                <w:sz w:val="20"/>
                <w:szCs w:val="20"/>
                <w:color w:val="auto"/>
              </w:rPr>
            </w:pPr>
            <w:r>
              <w:rPr>
                <w:rFonts w:ascii="Arial" w:cs="Arial" w:eastAsia="Arial" w:hAnsi="Arial"/>
                <w:sz w:val="16"/>
                <w:szCs w:val="16"/>
                <w:b w:val="1"/>
                <w:bCs w:val="1"/>
                <w:color w:val="auto"/>
              </w:rPr>
              <w:t>Defined Benefit</w:t>
            </w:r>
          </w:p>
        </w:tc>
        <w:tc>
          <w:tcPr>
            <w:tcW w:w="3500" w:type="dxa"/>
            <w:vAlign w:val="bottom"/>
            <w:tcBorders>
              <w:right w:val="single" w:sz="8" w:color="auto"/>
            </w:tcBorders>
            <w:gridSpan w:val="2"/>
          </w:tcPr>
          <w:p>
            <w:pPr>
              <w:ind w:left="80"/>
              <w:spacing w:after="0" w:line="165" w:lineRule="exact"/>
              <w:rPr>
                <w:sz w:val="20"/>
                <w:szCs w:val="20"/>
                <w:color w:val="auto"/>
              </w:rPr>
            </w:pPr>
            <w:r>
              <w:rPr>
                <w:rFonts w:ascii="Arial" w:cs="Arial" w:eastAsia="Arial" w:hAnsi="Arial"/>
                <w:sz w:val="16"/>
                <w:szCs w:val="16"/>
                <w:color w:val="auto"/>
              </w:rPr>
              <w:t>Lear Corporation Pension Plan</w:t>
            </w:r>
          </w:p>
        </w:tc>
        <w:tc>
          <w:tcPr>
            <w:tcW w:w="2220" w:type="dxa"/>
            <w:vAlign w:val="bottom"/>
            <w:tcBorders>
              <w:right w:val="single" w:sz="8" w:color="auto"/>
            </w:tcBorders>
          </w:tcPr>
          <w:p>
            <w:pPr>
              <w:ind w:left="100"/>
              <w:spacing w:after="0" w:line="165" w:lineRule="exact"/>
              <w:rPr>
                <w:sz w:val="20"/>
                <w:szCs w:val="20"/>
                <w:color w:val="auto"/>
              </w:rPr>
            </w:pPr>
            <w:r>
              <w:rPr>
                <w:rFonts w:ascii="Arial" w:cs="Arial" w:eastAsia="Arial" w:hAnsi="Arial"/>
                <w:sz w:val="16"/>
                <w:szCs w:val="16"/>
                <w:color w:val="auto"/>
              </w:rPr>
              <w:t>Qualified Pension Plan</w:t>
            </w:r>
          </w:p>
        </w:tc>
        <w:tc>
          <w:tcPr>
            <w:tcW w:w="10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20"/>
        </w:trPr>
        <w:tc>
          <w:tcPr>
            <w:tcW w:w="16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b w:val="1"/>
                <w:bCs w:val="1"/>
                <w:i w:val="1"/>
                <w:iCs w:val="1"/>
                <w:color w:val="auto"/>
              </w:rPr>
              <w:t>(frozen as</w:t>
            </w:r>
          </w:p>
        </w:tc>
        <w:tc>
          <w:tcPr>
            <w:tcW w:w="80" w:type="dxa"/>
            <w:vAlign w:val="bottom"/>
          </w:tcPr>
          <w:p>
            <w:pPr>
              <w:spacing w:after="0"/>
              <w:rPr>
                <w:sz w:val="10"/>
                <w:szCs w:val="10"/>
                <w:color w:val="auto"/>
              </w:rPr>
            </w:pPr>
          </w:p>
        </w:tc>
        <w:tc>
          <w:tcPr>
            <w:tcW w:w="342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i w:val="1"/>
                <w:iCs w:val="1"/>
                <w:color w:val="auto"/>
              </w:rPr>
              <w:t>(frozen)</w:t>
            </w:r>
          </w:p>
        </w:tc>
        <w:tc>
          <w:tcPr>
            <w:tcW w:w="100" w:type="dxa"/>
            <w:vAlign w:val="bottom"/>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660" w:type="dxa"/>
            <w:vAlign w:val="bottom"/>
            <w:tcBorders>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2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660" w:type="dxa"/>
            <w:vAlign w:val="bottom"/>
            <w:tcBorders>
              <w:right w:val="single" w:sz="8" w:color="auto"/>
            </w:tcBorders>
          </w:tcPr>
          <w:p>
            <w:pPr>
              <w:ind w:left="240"/>
              <w:spacing w:after="0" w:line="183" w:lineRule="exact"/>
              <w:rPr>
                <w:sz w:val="20"/>
                <w:szCs w:val="20"/>
                <w:color w:val="auto"/>
              </w:rPr>
            </w:pPr>
            <w:r>
              <w:rPr>
                <w:rFonts w:ascii="Arial" w:cs="Arial" w:eastAsia="Arial" w:hAnsi="Arial"/>
                <w:sz w:val="16"/>
                <w:szCs w:val="16"/>
                <w:b w:val="1"/>
                <w:bCs w:val="1"/>
                <w:i w:val="1"/>
                <w:iCs w:val="1"/>
                <w:color w:val="auto"/>
              </w:rPr>
              <w:t>of 12/31/06)</w:t>
            </w:r>
          </w:p>
        </w:tc>
        <w:tc>
          <w:tcPr>
            <w:tcW w:w="3500" w:type="dxa"/>
            <w:vAlign w:val="bottom"/>
            <w:tcBorders>
              <w:bottom w:val="single" w:sz="8" w:color="auto"/>
              <w:right w:val="single" w:sz="8" w:color="auto"/>
            </w:tcBorders>
            <w:gridSpan w:val="2"/>
          </w:tcPr>
          <w:p>
            <w:pPr>
              <w:ind w:left="80"/>
              <w:spacing w:after="0" w:line="183" w:lineRule="exact"/>
              <w:rPr>
                <w:sz w:val="20"/>
                <w:szCs w:val="20"/>
                <w:color w:val="auto"/>
              </w:rPr>
            </w:pPr>
            <w:r>
              <w:rPr>
                <w:rFonts w:ascii="Arial" w:cs="Arial" w:eastAsia="Arial" w:hAnsi="Arial"/>
                <w:sz w:val="16"/>
                <w:szCs w:val="16"/>
                <w:color w:val="auto"/>
              </w:rPr>
              <w:t>Pension Equalization Program</w:t>
            </w:r>
          </w:p>
        </w:tc>
        <w:tc>
          <w:tcPr>
            <w:tcW w:w="222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6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n/a</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4"/>
        </w:trPr>
        <w:tc>
          <w:tcPr>
            <w:tcW w:w="166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Salaried Retirement Restoration</w:t>
            </w:r>
          </w:p>
        </w:tc>
        <w:tc>
          <w:tcPr>
            <w:tcW w:w="22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00"/>
        </w:trPr>
        <w:tc>
          <w:tcPr>
            <w:tcW w:w="1660" w:type="dxa"/>
            <w:vAlign w:val="bottom"/>
            <w:tcBorders>
              <w:right w:val="single" w:sz="8" w:color="auto"/>
            </w:tcBorders>
          </w:tcPr>
          <w:p>
            <w:pPr>
              <w:spacing w:after="0"/>
              <w:rPr>
                <w:sz w:val="8"/>
                <w:szCs w:val="8"/>
                <w:color w:val="auto"/>
              </w:rPr>
            </w:pPr>
          </w:p>
        </w:tc>
        <w:tc>
          <w:tcPr>
            <w:tcW w:w="35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Program (Pension Makeup)</w:t>
            </w:r>
          </w:p>
        </w:tc>
        <w:tc>
          <w:tcPr>
            <w:tcW w:w="2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gridSpan w:val="2"/>
            <w:vMerge w:val="continue"/>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660" w:type="dxa"/>
            <w:vAlign w:val="bottom"/>
            <w:tcBorders>
              <w:right w:val="single" w:sz="8" w:color="auto"/>
            </w:tcBorders>
            <w:shd w:val="clear" w:color="auto" w:fill="FCE9E8"/>
          </w:tcPr>
          <w:p>
            <w:pPr>
              <w:ind w:left="220"/>
              <w:spacing w:after="0"/>
              <w:rPr>
                <w:sz w:val="20"/>
                <w:szCs w:val="20"/>
                <w:color w:val="auto"/>
              </w:rPr>
            </w:pPr>
            <w:r>
              <w:rPr>
                <w:rFonts w:ascii="Arial" w:cs="Arial" w:eastAsia="Arial" w:hAnsi="Arial"/>
                <w:sz w:val="16"/>
                <w:szCs w:val="16"/>
                <w:b w:val="1"/>
                <w:bCs w:val="1"/>
                <w:color w:val="auto"/>
              </w:rPr>
              <w:t>Additional</w:t>
            </w:r>
          </w:p>
        </w:tc>
        <w:tc>
          <w:tcPr>
            <w:tcW w:w="3500" w:type="dxa"/>
            <w:vAlign w:val="bottom"/>
            <w:tcBorders>
              <w:right w:val="single" w:sz="8" w:color="auto"/>
            </w:tcBorders>
            <w:gridSpan w:val="2"/>
            <w:shd w:val="clear" w:color="auto" w:fill="FCE9E8"/>
          </w:tcPr>
          <w:p>
            <w:pPr>
              <w:ind w:left="80"/>
              <w:spacing w:after="0"/>
              <w:rPr>
                <w:sz w:val="20"/>
                <w:szCs w:val="20"/>
                <w:color w:val="auto"/>
              </w:rPr>
            </w:pPr>
            <w:r>
              <w:rPr>
                <w:rFonts w:ascii="Arial" w:cs="Arial" w:eastAsia="Arial" w:hAnsi="Arial"/>
                <w:sz w:val="16"/>
                <w:szCs w:val="16"/>
                <w:color w:val="auto"/>
              </w:rPr>
              <w:t>Career Share (RSUs)</w:t>
            </w:r>
          </w:p>
        </w:tc>
        <w:tc>
          <w:tcPr>
            <w:tcW w:w="2220" w:type="dxa"/>
            <w:vAlign w:val="bottom"/>
            <w:tcBorders>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Shares not distributed until</w:t>
            </w:r>
          </w:p>
        </w:tc>
        <w:tc>
          <w:tcPr>
            <w:tcW w:w="10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Intended to facilitate attraction and</w:t>
            </w:r>
          </w:p>
        </w:tc>
        <w:tc>
          <w:tcPr>
            <w:tcW w:w="10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420" w:type="dxa"/>
            <w:vAlign w:val="bottom"/>
            <w:tcBorders>
              <w:right w:val="single" w:sz="8" w:color="auto"/>
            </w:tcBorders>
            <w:shd w:val="clear" w:color="auto" w:fill="FCE9E8"/>
          </w:tcPr>
          <w:p>
            <w:pPr>
              <w:spacing w:after="0"/>
              <w:rPr>
                <w:sz w:val="16"/>
                <w:szCs w:val="16"/>
                <w:color w:val="auto"/>
              </w:rPr>
            </w:pPr>
          </w:p>
        </w:tc>
        <w:tc>
          <w:tcPr>
            <w:tcW w:w="2220" w:type="dxa"/>
            <w:vAlign w:val="bottom"/>
            <w:tcBorders>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earlier of age 62 or 3 years</w:t>
            </w:r>
          </w:p>
        </w:tc>
        <w:tc>
          <w:tcPr>
            <w:tcW w:w="10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retention, and reward key/high</w:t>
            </w:r>
          </w:p>
        </w:tc>
        <w:tc>
          <w:tcPr>
            <w:tcW w:w="10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420" w:type="dxa"/>
            <w:vAlign w:val="bottom"/>
            <w:tcBorders>
              <w:right w:val="single" w:sz="8" w:color="auto"/>
            </w:tcBorders>
            <w:shd w:val="clear" w:color="auto" w:fill="FCE9E8"/>
          </w:tcPr>
          <w:p>
            <w:pPr>
              <w:spacing w:after="0"/>
              <w:rPr>
                <w:sz w:val="16"/>
                <w:szCs w:val="16"/>
                <w:color w:val="auto"/>
              </w:rPr>
            </w:pPr>
          </w:p>
        </w:tc>
        <w:tc>
          <w:tcPr>
            <w:tcW w:w="2220" w:type="dxa"/>
            <w:vAlign w:val="bottom"/>
            <w:tcBorders>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after retirement.</w:t>
            </w:r>
          </w:p>
        </w:tc>
        <w:tc>
          <w:tcPr>
            <w:tcW w:w="10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performers with grant levels set</w:t>
            </w:r>
          </w:p>
        </w:tc>
        <w:tc>
          <w:tcPr>
            <w:tcW w:w="100" w:type="dxa"/>
            <w:vAlign w:val="bottom"/>
            <w:shd w:val="clear" w:color="auto" w:fill="FCE9E8"/>
          </w:tcPr>
          <w:p>
            <w:pPr>
              <w:spacing w:after="0"/>
              <w:rPr>
                <w:sz w:val="16"/>
                <w:szCs w:val="16"/>
                <w:color w:val="auto"/>
              </w:rPr>
            </w:pPr>
          </w:p>
        </w:tc>
        <w:tc>
          <w:tcPr>
            <w:tcW w:w="780" w:type="dxa"/>
            <w:vAlign w:val="bottom"/>
            <w:vMerge w:val="restart"/>
            <w:shd w:val="clear" w:color="auto" w:fill="FCE9E8"/>
          </w:tcPr>
          <w:p>
            <w:pPr>
              <w:jc w:val="center"/>
              <w:spacing w:after="0"/>
              <w:rPr>
                <w:sz w:val="20"/>
                <w:szCs w:val="20"/>
                <w:color w:val="auto"/>
              </w:rPr>
            </w:pPr>
            <w:r>
              <w:rPr>
                <w:rFonts w:ascii="Arial" w:cs="Arial" w:eastAsia="Arial" w:hAnsi="Arial"/>
                <w:sz w:val="16"/>
                <w:szCs w:val="16"/>
                <w:color w:val="auto"/>
              </w:rPr>
              <w:t>43 to 44;</w:t>
            </w:r>
          </w:p>
        </w:tc>
        <w:tc>
          <w:tcPr>
            <w:tcW w:w="0" w:type="dxa"/>
            <w:vAlign w:val="bottom"/>
          </w:tcPr>
          <w:p>
            <w:pPr>
              <w:spacing w:after="0"/>
              <w:rPr>
                <w:sz w:val="1"/>
                <w:szCs w:val="1"/>
                <w:color w:val="auto"/>
              </w:rPr>
            </w:pPr>
          </w:p>
        </w:tc>
      </w:tr>
      <w:tr>
        <w:trPr>
          <w:trHeight w:val="95"/>
        </w:trPr>
        <w:tc>
          <w:tcPr>
            <w:tcW w:w="166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420" w:type="dxa"/>
            <w:vAlign w:val="bottom"/>
            <w:tcBorders>
              <w:right w:val="single" w:sz="8" w:color="auto"/>
            </w:tcBorders>
            <w:shd w:val="clear" w:color="auto" w:fill="FCE9E8"/>
          </w:tcPr>
          <w:p>
            <w:pPr>
              <w:spacing w:after="0"/>
              <w:rPr>
                <w:sz w:val="8"/>
                <w:szCs w:val="8"/>
                <w:color w:val="auto"/>
              </w:rPr>
            </w:pPr>
          </w:p>
        </w:tc>
        <w:tc>
          <w:tcPr>
            <w:tcW w:w="2220" w:type="dxa"/>
            <w:vAlign w:val="bottom"/>
            <w:tcBorders>
              <w:right w:val="single" w:sz="8" w:color="auto"/>
            </w:tcBorders>
            <w:shd w:val="clear" w:color="auto" w:fill="FCE9E8"/>
          </w:tcPr>
          <w:p>
            <w:pPr>
              <w:spacing w:after="0"/>
              <w:rPr>
                <w:sz w:val="8"/>
                <w:szCs w:val="8"/>
                <w:color w:val="auto"/>
              </w:rPr>
            </w:pPr>
          </w:p>
        </w:tc>
        <w:tc>
          <w:tcPr>
            <w:tcW w:w="100" w:type="dxa"/>
            <w:vAlign w:val="bottom"/>
            <w:shd w:val="clear" w:color="auto" w:fill="FCE9E8"/>
          </w:tcPr>
          <w:p>
            <w:pPr>
              <w:spacing w:after="0"/>
              <w:rPr>
                <w:sz w:val="8"/>
                <w:szCs w:val="8"/>
                <w:color w:val="auto"/>
              </w:rPr>
            </w:pPr>
          </w:p>
        </w:tc>
        <w:tc>
          <w:tcPr>
            <w:tcW w:w="2660" w:type="dxa"/>
            <w:vAlign w:val="bottom"/>
            <w:tcBorders>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considering various factors,</w:t>
            </w:r>
          </w:p>
        </w:tc>
        <w:tc>
          <w:tcPr>
            <w:tcW w:w="100" w:type="dxa"/>
            <w:vAlign w:val="bottom"/>
            <w:shd w:val="clear" w:color="auto" w:fill="FCE9E8"/>
          </w:tcPr>
          <w:p>
            <w:pPr>
              <w:spacing w:after="0"/>
              <w:rPr>
                <w:sz w:val="8"/>
                <w:szCs w:val="8"/>
                <w:color w:val="auto"/>
              </w:rPr>
            </w:pPr>
          </w:p>
        </w:tc>
        <w:tc>
          <w:tcPr>
            <w:tcW w:w="780" w:type="dxa"/>
            <w:vAlign w:val="bottom"/>
            <w:vMerge w:val="continue"/>
            <w:shd w:val="clear" w:color="auto" w:fill="FCE9E8"/>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6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420" w:type="dxa"/>
            <w:vAlign w:val="bottom"/>
            <w:tcBorders>
              <w:right w:val="single" w:sz="8" w:color="auto"/>
            </w:tcBorders>
            <w:shd w:val="clear" w:color="auto" w:fill="FCE9E8"/>
          </w:tcPr>
          <w:p>
            <w:pPr>
              <w:spacing w:after="0"/>
              <w:rPr>
                <w:sz w:val="8"/>
                <w:szCs w:val="8"/>
                <w:color w:val="auto"/>
              </w:rPr>
            </w:pPr>
          </w:p>
        </w:tc>
        <w:tc>
          <w:tcPr>
            <w:tcW w:w="2220" w:type="dxa"/>
            <w:vAlign w:val="bottom"/>
            <w:tcBorders>
              <w:right w:val="single" w:sz="8" w:color="auto"/>
            </w:tcBorders>
            <w:shd w:val="clear" w:color="auto" w:fill="FCE9E8"/>
          </w:tcPr>
          <w:p>
            <w:pPr>
              <w:spacing w:after="0"/>
              <w:rPr>
                <w:sz w:val="8"/>
                <w:szCs w:val="8"/>
                <w:color w:val="auto"/>
              </w:rPr>
            </w:pPr>
          </w:p>
        </w:tc>
        <w:tc>
          <w:tcPr>
            <w:tcW w:w="100" w:type="dxa"/>
            <w:vAlign w:val="bottom"/>
            <w:shd w:val="clear" w:color="auto" w:fill="FCE9E8"/>
          </w:tcPr>
          <w:p>
            <w:pPr>
              <w:spacing w:after="0"/>
              <w:rPr>
                <w:sz w:val="8"/>
                <w:szCs w:val="8"/>
                <w:color w:val="auto"/>
              </w:rPr>
            </w:pPr>
          </w:p>
        </w:tc>
        <w:tc>
          <w:tcPr>
            <w:tcW w:w="2660" w:type="dxa"/>
            <w:vAlign w:val="bottom"/>
            <w:tcBorders>
              <w:right w:val="single" w:sz="8" w:color="auto"/>
            </w:tcBorders>
            <w:vMerge w:val="continue"/>
            <w:shd w:val="clear" w:color="auto" w:fill="FCE9E8"/>
          </w:tcPr>
          <w:p>
            <w:pPr>
              <w:spacing w:after="0"/>
              <w:rPr>
                <w:sz w:val="8"/>
                <w:szCs w:val="8"/>
                <w:color w:val="auto"/>
              </w:rPr>
            </w:pPr>
          </w:p>
        </w:tc>
        <w:tc>
          <w:tcPr>
            <w:tcW w:w="100" w:type="dxa"/>
            <w:vAlign w:val="bottom"/>
            <w:shd w:val="clear" w:color="auto" w:fill="FCE9E8"/>
          </w:tcPr>
          <w:p>
            <w:pPr>
              <w:spacing w:after="0"/>
              <w:rPr>
                <w:sz w:val="8"/>
                <w:szCs w:val="8"/>
                <w:color w:val="auto"/>
              </w:rPr>
            </w:pPr>
          </w:p>
        </w:tc>
        <w:tc>
          <w:tcPr>
            <w:tcW w:w="780" w:type="dxa"/>
            <w:vAlign w:val="bottom"/>
            <w:vMerge w:val="restart"/>
            <w:shd w:val="clear" w:color="auto" w:fill="FCE9E8"/>
          </w:tcPr>
          <w:p>
            <w:pPr>
              <w:jc w:val="center"/>
              <w:spacing w:after="0"/>
              <w:rPr>
                <w:sz w:val="20"/>
                <w:szCs w:val="20"/>
                <w:color w:val="auto"/>
              </w:rPr>
            </w:pPr>
            <w:r>
              <w:rPr>
                <w:rFonts w:ascii="Arial" w:cs="Arial" w:eastAsia="Arial" w:hAnsi="Arial"/>
                <w:sz w:val="16"/>
                <w:szCs w:val="16"/>
                <w:color w:val="auto"/>
                <w:w w:val="98"/>
              </w:rPr>
              <w:t>50; 53</w:t>
            </w:r>
          </w:p>
        </w:tc>
        <w:tc>
          <w:tcPr>
            <w:tcW w:w="0" w:type="dxa"/>
            <w:vAlign w:val="bottom"/>
          </w:tcPr>
          <w:p>
            <w:pPr>
              <w:spacing w:after="0"/>
              <w:rPr>
                <w:sz w:val="1"/>
                <w:szCs w:val="1"/>
                <w:color w:val="auto"/>
              </w:rPr>
            </w:pPr>
          </w:p>
        </w:tc>
      </w:tr>
      <w:tr>
        <w:trPr>
          <w:trHeight w:val="100"/>
        </w:trPr>
        <w:tc>
          <w:tcPr>
            <w:tcW w:w="166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420" w:type="dxa"/>
            <w:vAlign w:val="bottom"/>
            <w:tcBorders>
              <w:right w:val="single" w:sz="8" w:color="auto"/>
            </w:tcBorders>
            <w:shd w:val="clear" w:color="auto" w:fill="FCE9E8"/>
          </w:tcPr>
          <w:p>
            <w:pPr>
              <w:spacing w:after="0"/>
              <w:rPr>
                <w:sz w:val="8"/>
                <w:szCs w:val="8"/>
                <w:color w:val="auto"/>
              </w:rPr>
            </w:pPr>
          </w:p>
        </w:tc>
        <w:tc>
          <w:tcPr>
            <w:tcW w:w="2220" w:type="dxa"/>
            <w:vAlign w:val="bottom"/>
            <w:tcBorders>
              <w:right w:val="single" w:sz="8" w:color="auto"/>
            </w:tcBorders>
            <w:shd w:val="clear" w:color="auto" w:fill="FCE9E8"/>
          </w:tcPr>
          <w:p>
            <w:pPr>
              <w:spacing w:after="0"/>
              <w:rPr>
                <w:sz w:val="8"/>
                <w:szCs w:val="8"/>
                <w:color w:val="auto"/>
              </w:rPr>
            </w:pPr>
          </w:p>
        </w:tc>
        <w:tc>
          <w:tcPr>
            <w:tcW w:w="100" w:type="dxa"/>
            <w:vAlign w:val="bottom"/>
            <w:shd w:val="clear" w:color="auto" w:fill="FCE9E8"/>
          </w:tcPr>
          <w:p>
            <w:pPr>
              <w:spacing w:after="0"/>
              <w:rPr>
                <w:sz w:val="8"/>
                <w:szCs w:val="8"/>
                <w:color w:val="auto"/>
              </w:rPr>
            </w:pPr>
          </w:p>
        </w:tc>
        <w:tc>
          <w:tcPr>
            <w:tcW w:w="2660" w:type="dxa"/>
            <w:vAlign w:val="bottom"/>
            <w:tcBorders>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including performance, future</w:t>
            </w:r>
          </w:p>
        </w:tc>
        <w:tc>
          <w:tcPr>
            <w:tcW w:w="100" w:type="dxa"/>
            <w:vAlign w:val="bottom"/>
            <w:shd w:val="clear" w:color="auto" w:fill="FCE9E8"/>
          </w:tcPr>
          <w:p>
            <w:pPr>
              <w:spacing w:after="0"/>
              <w:rPr>
                <w:sz w:val="8"/>
                <w:szCs w:val="8"/>
                <w:color w:val="auto"/>
              </w:rPr>
            </w:pPr>
          </w:p>
        </w:tc>
        <w:tc>
          <w:tcPr>
            <w:tcW w:w="780" w:type="dxa"/>
            <w:vAlign w:val="bottom"/>
            <w:vMerge w:val="continue"/>
            <w:shd w:val="clear" w:color="auto" w:fill="FCE9E8"/>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660" w:type="dxa"/>
            <w:vAlign w:val="bottom"/>
            <w:tcBorders>
              <w:right w:val="single" w:sz="8" w:color="auto"/>
            </w:tcBorders>
            <w:shd w:val="clear" w:color="auto" w:fill="FCE9E8"/>
          </w:tcPr>
          <w:p>
            <w:pPr>
              <w:spacing w:after="0"/>
              <w:rPr>
                <w:sz w:val="7"/>
                <w:szCs w:val="7"/>
                <w:color w:val="auto"/>
              </w:rPr>
            </w:pPr>
          </w:p>
        </w:tc>
        <w:tc>
          <w:tcPr>
            <w:tcW w:w="80" w:type="dxa"/>
            <w:vAlign w:val="bottom"/>
            <w:shd w:val="clear" w:color="auto" w:fill="FCE9E8"/>
          </w:tcPr>
          <w:p>
            <w:pPr>
              <w:spacing w:after="0"/>
              <w:rPr>
                <w:sz w:val="7"/>
                <w:szCs w:val="7"/>
                <w:color w:val="auto"/>
              </w:rPr>
            </w:pPr>
          </w:p>
        </w:tc>
        <w:tc>
          <w:tcPr>
            <w:tcW w:w="3420" w:type="dxa"/>
            <w:vAlign w:val="bottom"/>
            <w:tcBorders>
              <w:right w:val="single" w:sz="8" w:color="auto"/>
            </w:tcBorders>
            <w:shd w:val="clear" w:color="auto" w:fill="FCE9E8"/>
          </w:tcPr>
          <w:p>
            <w:pPr>
              <w:spacing w:after="0"/>
              <w:rPr>
                <w:sz w:val="7"/>
                <w:szCs w:val="7"/>
                <w:color w:val="auto"/>
              </w:rPr>
            </w:pPr>
          </w:p>
        </w:tc>
        <w:tc>
          <w:tcPr>
            <w:tcW w:w="2220" w:type="dxa"/>
            <w:vAlign w:val="bottom"/>
            <w:tcBorders>
              <w:right w:val="single" w:sz="8" w:color="auto"/>
            </w:tcBorders>
            <w:shd w:val="clear" w:color="auto" w:fill="FCE9E8"/>
          </w:tcPr>
          <w:p>
            <w:pPr>
              <w:spacing w:after="0"/>
              <w:rPr>
                <w:sz w:val="7"/>
                <w:szCs w:val="7"/>
                <w:color w:val="auto"/>
              </w:rPr>
            </w:pPr>
          </w:p>
        </w:tc>
        <w:tc>
          <w:tcPr>
            <w:tcW w:w="100" w:type="dxa"/>
            <w:vAlign w:val="bottom"/>
            <w:shd w:val="clear" w:color="auto" w:fill="FCE9E8"/>
          </w:tcPr>
          <w:p>
            <w:pPr>
              <w:spacing w:after="0"/>
              <w:rPr>
                <w:sz w:val="7"/>
                <w:szCs w:val="7"/>
                <w:color w:val="auto"/>
              </w:rPr>
            </w:pPr>
          </w:p>
        </w:tc>
        <w:tc>
          <w:tcPr>
            <w:tcW w:w="2660" w:type="dxa"/>
            <w:vAlign w:val="bottom"/>
            <w:tcBorders>
              <w:right w:val="single" w:sz="8" w:color="auto"/>
            </w:tcBorders>
            <w:vMerge w:val="continue"/>
            <w:shd w:val="clear" w:color="auto" w:fill="FCE9E8"/>
          </w:tcPr>
          <w:p>
            <w:pPr>
              <w:spacing w:after="0"/>
              <w:rPr>
                <w:sz w:val="7"/>
                <w:szCs w:val="7"/>
                <w:color w:val="auto"/>
              </w:rPr>
            </w:pPr>
          </w:p>
        </w:tc>
        <w:tc>
          <w:tcPr>
            <w:tcW w:w="100" w:type="dxa"/>
            <w:vAlign w:val="bottom"/>
            <w:shd w:val="clear" w:color="auto" w:fill="FCE9E8"/>
          </w:tcPr>
          <w:p>
            <w:pPr>
              <w:spacing w:after="0"/>
              <w:rPr>
                <w:sz w:val="7"/>
                <w:szCs w:val="7"/>
                <w:color w:val="auto"/>
              </w:rPr>
            </w:pPr>
          </w:p>
        </w:tc>
        <w:tc>
          <w:tcPr>
            <w:tcW w:w="780" w:type="dxa"/>
            <w:vAlign w:val="bottom"/>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66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420" w:type="dxa"/>
            <w:vAlign w:val="bottom"/>
            <w:tcBorders>
              <w:right w:val="single" w:sz="8" w:color="auto"/>
            </w:tcBorders>
            <w:shd w:val="clear" w:color="auto" w:fill="FCE9E8"/>
          </w:tcPr>
          <w:p>
            <w:pPr>
              <w:spacing w:after="0"/>
              <w:rPr>
                <w:sz w:val="16"/>
                <w:szCs w:val="16"/>
                <w:color w:val="auto"/>
              </w:rPr>
            </w:pPr>
          </w:p>
        </w:tc>
        <w:tc>
          <w:tcPr>
            <w:tcW w:w="222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potential and competitiveness of</w:t>
            </w:r>
          </w:p>
        </w:tc>
        <w:tc>
          <w:tcPr>
            <w:tcW w:w="10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60" w:type="dxa"/>
            <w:vAlign w:val="bottom"/>
            <w:tcBorders>
              <w:bottom w:val="single" w:sz="8" w:color="auto"/>
              <w:right w:val="single" w:sz="8" w:color="auto"/>
            </w:tcBorders>
            <w:shd w:val="clear" w:color="auto" w:fill="FCE9E8"/>
          </w:tcPr>
          <w:p>
            <w:pPr>
              <w:spacing w:after="0"/>
              <w:rPr>
                <w:sz w:val="16"/>
                <w:szCs w:val="16"/>
                <w:color w:val="auto"/>
              </w:rPr>
            </w:pPr>
          </w:p>
        </w:tc>
        <w:tc>
          <w:tcPr>
            <w:tcW w:w="80" w:type="dxa"/>
            <w:vAlign w:val="bottom"/>
            <w:tcBorders>
              <w:bottom w:val="single" w:sz="8" w:color="auto"/>
            </w:tcBorders>
            <w:shd w:val="clear" w:color="auto" w:fill="FCE9E8"/>
          </w:tcPr>
          <w:p>
            <w:pPr>
              <w:spacing w:after="0"/>
              <w:rPr>
                <w:sz w:val="16"/>
                <w:szCs w:val="16"/>
                <w:color w:val="auto"/>
              </w:rPr>
            </w:pPr>
          </w:p>
        </w:tc>
        <w:tc>
          <w:tcPr>
            <w:tcW w:w="3420" w:type="dxa"/>
            <w:vAlign w:val="bottom"/>
            <w:tcBorders>
              <w:bottom w:val="single" w:sz="8" w:color="auto"/>
              <w:right w:val="single" w:sz="8" w:color="auto"/>
            </w:tcBorders>
            <w:shd w:val="clear" w:color="auto" w:fill="FCE9E8"/>
          </w:tcPr>
          <w:p>
            <w:pPr>
              <w:spacing w:after="0"/>
              <w:rPr>
                <w:sz w:val="16"/>
                <w:szCs w:val="16"/>
                <w:color w:val="auto"/>
              </w:rPr>
            </w:pPr>
          </w:p>
        </w:tc>
        <w:tc>
          <w:tcPr>
            <w:tcW w:w="2220" w:type="dxa"/>
            <w:vAlign w:val="bottom"/>
            <w:tcBorders>
              <w:bottom w:val="single" w:sz="8" w:color="auto"/>
              <w:right w:val="single" w:sz="8" w:color="auto"/>
            </w:tcBorders>
            <w:shd w:val="clear" w:color="auto" w:fill="FCE9E8"/>
          </w:tcPr>
          <w:p>
            <w:pPr>
              <w:spacing w:after="0"/>
              <w:rPr>
                <w:sz w:val="16"/>
                <w:szCs w:val="16"/>
                <w:color w:val="auto"/>
              </w:rPr>
            </w:pPr>
          </w:p>
        </w:tc>
        <w:tc>
          <w:tcPr>
            <w:tcW w:w="100" w:type="dxa"/>
            <w:vAlign w:val="bottom"/>
            <w:tcBorders>
              <w:bottom w:val="single" w:sz="8" w:color="auto"/>
            </w:tcBorders>
            <w:shd w:val="clear" w:color="auto" w:fill="FCE9E8"/>
          </w:tcPr>
          <w:p>
            <w:pPr>
              <w:spacing w:after="0"/>
              <w:rPr>
                <w:sz w:val="16"/>
                <w:szCs w:val="16"/>
                <w:color w:val="auto"/>
              </w:rPr>
            </w:pPr>
          </w:p>
        </w:tc>
        <w:tc>
          <w:tcPr>
            <w:tcW w:w="2660" w:type="dxa"/>
            <w:vAlign w:val="bottom"/>
            <w:tcBorders>
              <w:bottom w:val="single" w:sz="8" w:color="auto"/>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retirement benefits and total pay.</w:t>
            </w:r>
          </w:p>
        </w:tc>
        <w:tc>
          <w:tcPr>
            <w:tcW w:w="100" w:type="dxa"/>
            <w:vAlign w:val="bottom"/>
            <w:tcBorders>
              <w:bottom w:val="single" w:sz="8" w:color="auto"/>
            </w:tcBorders>
            <w:shd w:val="clear" w:color="auto" w:fill="FCE9E8"/>
          </w:tcPr>
          <w:p>
            <w:pPr>
              <w:spacing w:after="0"/>
              <w:rPr>
                <w:sz w:val="16"/>
                <w:szCs w:val="16"/>
                <w:color w:val="auto"/>
              </w:rPr>
            </w:pPr>
          </w:p>
        </w:tc>
        <w:tc>
          <w:tcPr>
            <w:tcW w:w="780" w:type="dxa"/>
            <w:vAlign w:val="bottom"/>
            <w:tcBorders>
              <w:bottom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Employment Agreements/Termination/Change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42"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As described in detail and quantified in “Executive Compensation — Potential Payments Upon Termination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Change in Control,” our Named Executive Officers receive certain benefits under their employment agreements upon</w:t>
      </w:r>
    </w:p>
    <w:p>
      <w:pPr>
        <w:spacing w:after="0" w:line="200" w:lineRule="exact"/>
        <w:rPr>
          <w:sz w:val="20"/>
          <w:szCs w:val="20"/>
          <w:color w:val="auto"/>
        </w:rPr>
      </w:pPr>
    </w:p>
    <w:p>
      <w:pPr>
        <w:sectPr>
          <w:pgSz w:w="11900" w:h="16838" w:orient="portrait"/>
          <w:cols w:equalWidth="0" w:num="2">
            <w:col w:w="5100" w:space="720"/>
            <w:col w:w="5420"/>
          </w:cols>
          <w:pgMar w:left="240" w:top="459" w:right="419" w:bottom="1440" w:gutter="0" w:footer="0" w:header="0"/>
          <w:type w:val="continuous"/>
        </w:sectPr>
      </w:pPr>
    </w:p>
    <w:p>
      <w:pPr>
        <w:spacing w:after="0" w:line="52"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37</w:t>
      </w:r>
    </w:p>
    <w:p>
      <w:pPr>
        <w:sectPr>
          <w:pgSz w:w="11900" w:h="16838" w:orient="portrait"/>
          <w:cols w:equalWidth="0" w:num="1">
            <w:col w:w="11240"/>
          </w:cols>
          <w:pgMar w:left="240" w:top="459" w:right="4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15"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their termination by the Company without “cause” or upon their resignation for “good reason,” including such terminations following a change in control of the Company. The employment agreements also provide for restrictive covenants relating to non-competition, confidential information and non-solicitation of the Company’s employees and customers. Our Named Executive Officers also receive, as do all employees who hold equity awards under the amended LTSIP (described below), accelerated vesting of equity awards if their employment is terminated without cause or for good reason in connection with a change in control of the Company. These benefits are intended to ensure that members of senior management are not influenced by their personal situations and are able to be objective in evaluating a potential change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control transaction. In addition, the benefits associated with “double-trigger” vesting of equity awards protect employees in the event of a change in control and ensure an orderly transition of leadership. The Compensation Committee regularly reviews termination and change in control benefits and continues to believe that the severance benefits in connection with certain terminations of employment constitute reasonable levels of protection for our executives. The LTSIP provides for double-trigger vesting of equity awards (that are not assumed or replaced by the successor company) upon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-1858645</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None of the employment agreements with the Company’s executive officers contains an excise tax gross-up provision.</w:t>
      </w:r>
    </w:p>
    <w:p>
      <w:pPr>
        <w:spacing w:after="0" w:line="263" w:lineRule="exact"/>
        <w:rPr>
          <w:sz w:val="20"/>
          <w:szCs w:val="20"/>
          <w:color w:val="auto"/>
        </w:rPr>
      </w:pPr>
    </w:p>
    <w:p>
      <w:pPr>
        <w:sectPr>
          <w:pgSz w:w="11900" w:h="16838" w:orient="portrait"/>
          <w:cols w:equalWidth="0" w:num="2">
            <w:col w:w="5460" w:space="360"/>
            <w:col w:w="5400"/>
          </w:cols>
          <w:pgMar w:left="240" w:top="459" w:right="439" w:bottom="1440" w:gutter="0" w:footer="0" w:header="0"/>
        </w:sectPr>
      </w:pPr>
    </w:p>
    <w:p>
      <w:pPr>
        <w:spacing w:after="0" w:line="16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Health, Welfare and Certain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 with approval of the Chairman of the Board or Chairman of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Compensation Committee. The Company does not provide tax gross-up payments for the imputed income associated with personal use of corporate aircraft. There was personal use of corporate aircraft by our CEO in 2017 on a limited basis.</w:t>
      </w:r>
    </w:p>
    <w:p>
      <w:pPr>
        <w:spacing w:after="0" w:line="384"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The Company maintains a formal clawback policy (the “Clawback Policy”) that applies to all incentive-based cash and equity compensation awards granted on or after February 7, 2013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 during the three-year period preceding the date on which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Company is required to prepare an accounting restatement, based on the erroneous data, the amount, if any, in excess of what would have been paid to the Covered Recipient under the accounting restatement.</w:t>
      </w:r>
    </w:p>
    <w:p>
      <w:pPr>
        <w:spacing w:after="0" w:line="93"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Clawback Policy is administered by the Compensation Committee, which has the sole discretion in making all determinations under the Clawback Policy. The Clawback Policy will be interpreted and administered (and, as necessary, amended to be) consistent with the applicable requirements of Section 10D of the Exchange Act, as added by</w:t>
      </w:r>
    </w:p>
    <w:p>
      <w:pPr>
        <w:spacing w:after="0" w:line="2"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Section 954 of the Dodd-Frank Wall Street Reform and Consumer Protection Act, and any official guidance issued thereunder.</w:t>
      </w:r>
    </w:p>
    <w:p>
      <w:pPr>
        <w:spacing w:after="0" w:line="452"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Hedging/Pledging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Company maintains a formal policy prohibiting officers and directors from (i) entering into hedging or monetization transactions involving our Company stock and (ii) holding our Company stock in a margin account or pledging our Company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as collateral for a loan. The policy was most recently revised effective September 13, 2017 to eliminate the General Counsel’s discretion to grant exceptions to the pledging prohibition.</w:t>
      </w:r>
    </w:p>
    <w:p>
      <w:pPr>
        <w:spacing w:after="0" w:line="387" w:lineRule="exact"/>
        <w:rPr>
          <w:sz w:val="20"/>
          <w:szCs w:val="20"/>
          <w:color w:val="auto"/>
        </w:rPr>
      </w:pPr>
    </w:p>
    <w:p>
      <w:pPr>
        <w:sectPr>
          <w:pgSz w:w="11900" w:h="16838" w:orient="portrait"/>
          <w:cols w:equalWidth="0" w:num="2">
            <w:col w:w="5380" w:space="440"/>
            <w:col w:w="5400"/>
          </w:cols>
          <w:pgMar w:left="240" w:top="459" w:right="439" w:bottom="1440" w:gutter="0" w:footer="0" w:header="0"/>
          <w:type w:val="continuous"/>
        </w:sectPr>
      </w:pPr>
    </w:p>
    <w:p>
      <w:pPr>
        <w:spacing w:after="0" w:line="59" w:lineRule="exact"/>
        <w:rPr>
          <w:sz w:val="20"/>
          <w:szCs w:val="20"/>
          <w:color w:val="auto"/>
        </w:rPr>
      </w:pPr>
    </w:p>
    <w:p>
      <w:pPr>
        <w:ind w:left="660" w:hanging="354"/>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20"/>
          </w:cols>
          <w:pgMar w:left="24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Tax Treatment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2"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One of the factors the Compensation Committee considers when determining compensation is the anticipated tax treatment to the Company and to the executives of the various payments and benefits. Section 162(m) of the Internal Revenue Code (“Section 162(m)”) generally places a $1,000,000 limit on the amount of compensation payable to certain covered executive officers that a company may deduct in one year. While the Compensation Committee generally considers this limit when determining compensation, there are instances in which the Compensation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Furthermore, interpretations of and changes in the tax laws, and other factors beyond the Compensation Committee’s control, also affect the deductibility of compensation.</w:t>
      </w:r>
    </w:p>
    <w:p>
      <w:pPr>
        <w:spacing w:after="0" w:line="104"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Our compensation program, including the AIP and the LTSIP, was designed to allow us to grant certain awards that were intended to be fully deductible for federal income tax purposes pursuant to the performance-based compensation exception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to the limit on deductibility under Section 162(m). However, the Section 162(m) exception to the deduction limit for performance-based compensation has been repealed, effective for taxable years beginning after December 31, 2017, such that compensation paid to our covered executive officers in excess of $1,000,000 will not be deductible unless it qualifies for transition relief applicable to certain arrangements in place as of November 2, 2017.</w:t>
      </w:r>
    </w:p>
    <w:p>
      <w:pPr>
        <w:spacing w:after="0" w:line="1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Because of ambiguities and uncertainties as to the application and interpretation of Section 162(m) and the regulations issued thereunder, including the uncertain scope of the transition relief under the legislation repealing Section 162(m)’s exception to the deduction limit for performance-based compensation, no assurance can be given that compensation intended to satisfy the requirements for exception from the Section 162(m) deduction limit will in fact satisfy the exception. Further, the Compensation Committee reserves the right to modify compensation that was initially intended to be exempt from Section 162(m) if it determines that such modifications are consistent with the Company’s business needs.</w:t>
      </w:r>
    </w:p>
    <w:p>
      <w:pPr>
        <w:spacing w:after="0" w:line="581"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Impact of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fixed accounting treatment, as opposed to cash-settled equity awards, which receive variable accounting treatment. We intend to continue to evaluate these factors in the future.</w:t>
      </w:r>
    </w:p>
    <w:p>
      <w:pPr>
        <w:spacing w:after="0" w:line="387" w:lineRule="exact"/>
        <w:rPr>
          <w:sz w:val="20"/>
          <w:szCs w:val="20"/>
          <w:color w:val="auto"/>
        </w:rPr>
      </w:pPr>
    </w:p>
    <w:p>
      <w:pPr>
        <w:sectPr>
          <w:pgSz w:w="11900" w:h="16838" w:orient="portrait"/>
          <w:cols w:equalWidth="0" w:num="2">
            <w:col w:w="5400" w:space="420"/>
            <w:col w:w="5400"/>
          </w:cols>
          <w:pgMar w:left="240" w:top="459" w:right="439" w:bottom="1440" w:gutter="0" w:footer="0" w:header="0"/>
          <w:type w:val="continuous"/>
        </w:sectPr>
      </w:pPr>
    </w:p>
    <w:p>
      <w:pPr>
        <w:spacing w:after="0" w:line="59"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39</w:t>
      </w:r>
    </w:p>
    <w:p>
      <w:pPr>
        <w:sectPr>
          <w:pgSz w:w="11900" w:h="16838" w:orient="portrait"/>
          <w:cols w:equalWidth="0" w:num="1">
            <w:col w:w="11220"/>
          </w:cols>
          <w:pgMar w:left="24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EXECUTIVE COMPENSATION</w:t>
      </w:r>
    </w:p>
    <w:p>
      <w:pPr>
        <w:spacing w:after="0" w:line="261"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CEO, CFO and the other Named Executive Officers during the last completed fiscal year. The footnotes accompanying the 2017 Summary Compensation Table generally explain amounts reported for 2017, unless otherwise noted.</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FFFFFF"/>
        </w:rPr>
        <w:t>2017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699770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18"/>
              <w:spacing w:after="0"/>
              <w:rPr>
                <w:sz w:val="20"/>
                <w:szCs w:val="20"/>
                <w:color w:val="auto"/>
              </w:rPr>
            </w:pPr>
            <w:r>
              <w:rPr>
                <w:rFonts w:ascii="Arial" w:cs="Arial" w:eastAsia="Arial" w:hAnsi="Arial"/>
                <w:sz w:val="12"/>
                <w:szCs w:val="12"/>
                <w:b w:val="1"/>
                <w:bCs w:val="1"/>
                <w:color w:val="E2231A"/>
                <w:w w:val="96"/>
              </w:rPr>
              <w:t>Change in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4"/>
              </w:rPr>
              <w:t>Pension</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8"/>
              </w:rPr>
              <w:t>Value and</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E2231A"/>
                <w:w w:val="96"/>
              </w:rPr>
              <w:t>Non-Equity</w:t>
            </w:r>
          </w:p>
        </w:tc>
        <w:tc>
          <w:tcPr>
            <w:tcW w:w="10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9"/>
              </w:rPr>
              <w:t>Nonqualified</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ind w:left="40"/>
              <w:spacing w:after="0"/>
              <w:rPr>
                <w:sz w:val="20"/>
                <w:szCs w:val="20"/>
                <w:color w:val="auto"/>
              </w:rPr>
            </w:pPr>
            <w:r>
              <w:rPr>
                <w:rFonts w:ascii="Arial" w:cs="Arial" w:eastAsia="Arial" w:hAnsi="Arial"/>
                <w:sz w:val="12"/>
                <w:szCs w:val="12"/>
                <w:b w:val="1"/>
                <w:bCs w:val="1"/>
                <w:color w:val="E2231A"/>
              </w:rPr>
              <w:t>Name and</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E2231A"/>
                <w:w w:val="97"/>
              </w:rPr>
              <w:t>Stock</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E2231A"/>
                <w:w w:val="96"/>
              </w:rPr>
              <w:t>Incentive</w:t>
            </w:r>
          </w:p>
        </w:tc>
        <w:tc>
          <w:tcPr>
            <w:tcW w:w="180" w:type="dxa"/>
            <w:vAlign w:val="bottom"/>
          </w:tcPr>
          <w:p>
            <w:pPr>
              <w:spacing w:after="0"/>
              <w:rPr>
                <w:sz w:val="11"/>
                <w:szCs w:val="11"/>
                <w:color w:val="auto"/>
              </w:rPr>
            </w:pPr>
          </w:p>
        </w:tc>
        <w:tc>
          <w:tcPr>
            <w:tcW w:w="82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7"/>
              </w:rPr>
              <w:t>Deferred</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line="122" w:lineRule="exact"/>
              <w:rPr>
                <w:sz w:val="20"/>
                <w:szCs w:val="20"/>
                <w:color w:val="auto"/>
              </w:rPr>
            </w:pPr>
            <w:r>
              <w:rPr>
                <w:rFonts w:ascii="Arial" w:cs="Arial" w:eastAsia="Arial" w:hAnsi="Arial"/>
                <w:sz w:val="12"/>
                <w:szCs w:val="12"/>
                <w:b w:val="1"/>
                <w:bCs w:val="1"/>
                <w:color w:val="E2231A"/>
              </w:rPr>
              <w:t>Option</w:t>
            </w:r>
          </w:p>
        </w:tc>
        <w:tc>
          <w:tcPr>
            <w:tcW w:w="240" w:type="dxa"/>
            <w:vAlign w:val="bottom"/>
          </w:tcPr>
          <w:p>
            <w:pPr>
              <w:spacing w:after="0"/>
              <w:rPr>
                <w:sz w:val="10"/>
                <w:szCs w:val="10"/>
                <w:color w:val="auto"/>
              </w:rPr>
            </w:pPr>
          </w:p>
        </w:tc>
        <w:tc>
          <w:tcPr>
            <w:tcW w:w="1020" w:type="dxa"/>
            <w:vAlign w:val="bottom"/>
          </w:tcPr>
          <w:p>
            <w:pPr>
              <w:jc w:val="center"/>
              <w:ind w:right="178"/>
              <w:spacing w:after="0" w:line="122" w:lineRule="exact"/>
              <w:rPr>
                <w:sz w:val="20"/>
                <w:szCs w:val="20"/>
                <w:color w:val="auto"/>
              </w:rPr>
            </w:pPr>
            <w:r>
              <w:rPr>
                <w:rFonts w:ascii="Arial" w:cs="Arial" w:eastAsia="Arial" w:hAnsi="Arial"/>
                <w:sz w:val="12"/>
                <w:szCs w:val="12"/>
                <w:b w:val="1"/>
                <w:bCs w:val="1"/>
                <w:color w:val="E2231A"/>
              </w:rPr>
              <w:t>Plan</w:t>
            </w:r>
          </w:p>
        </w:tc>
        <w:tc>
          <w:tcPr>
            <w:tcW w:w="100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E2231A"/>
              </w:rPr>
              <w:t>Compensation</w:t>
            </w:r>
          </w:p>
        </w:tc>
        <w:tc>
          <w:tcPr>
            <w:tcW w:w="280" w:type="dxa"/>
            <w:vAlign w:val="bottom"/>
          </w:tcPr>
          <w:p>
            <w:pPr>
              <w:spacing w:after="0"/>
              <w:rPr>
                <w:sz w:val="10"/>
                <w:szCs w:val="10"/>
                <w:color w:val="auto"/>
              </w:rPr>
            </w:pPr>
          </w:p>
        </w:tc>
        <w:tc>
          <w:tcPr>
            <w:tcW w:w="960" w:type="dxa"/>
            <w:vAlign w:val="bottom"/>
          </w:tcPr>
          <w:p>
            <w:pPr>
              <w:jc w:val="right"/>
              <w:ind w:right="317"/>
              <w:spacing w:after="0" w:line="122" w:lineRule="exact"/>
              <w:rPr>
                <w:sz w:val="20"/>
                <w:szCs w:val="20"/>
                <w:color w:val="auto"/>
              </w:rPr>
            </w:pPr>
            <w:r>
              <w:rPr>
                <w:rFonts w:ascii="Arial" w:cs="Arial" w:eastAsia="Arial" w:hAnsi="Arial"/>
                <w:sz w:val="12"/>
                <w:szCs w:val="12"/>
                <w:b w:val="1"/>
                <w:bCs w:val="1"/>
                <w:color w:val="E2231A"/>
              </w:rPr>
              <w:t>All Other</w:t>
            </w:r>
          </w:p>
        </w:tc>
        <w:tc>
          <w:tcPr>
            <w:tcW w:w="280" w:type="dxa"/>
            <w:vAlign w:val="bottom"/>
          </w:tcPr>
          <w:p>
            <w:pPr>
              <w:spacing w:after="0"/>
              <w:rPr>
                <w:sz w:val="10"/>
                <w:szCs w:val="10"/>
                <w:color w:val="auto"/>
              </w:rPr>
            </w:pPr>
          </w:p>
        </w:tc>
        <w:tc>
          <w:tcPr>
            <w:tcW w:w="840" w:type="dxa"/>
            <w:vAlign w:val="bottom"/>
          </w:tcPr>
          <w:p>
            <w:pPr>
              <w:jc w:val="right"/>
              <w:ind w:right="377"/>
              <w:spacing w:after="0" w:line="122" w:lineRule="exact"/>
              <w:rPr>
                <w:sz w:val="20"/>
                <w:szCs w:val="20"/>
                <w:color w:val="auto"/>
              </w:rPr>
            </w:pPr>
            <w:r>
              <w:rPr>
                <w:rFonts w:ascii="Arial" w:cs="Arial" w:eastAsia="Arial" w:hAnsi="Arial"/>
                <w:sz w:val="12"/>
                <w:szCs w:val="12"/>
                <w:b w:val="1"/>
                <w:bCs w:val="1"/>
                <w:color w:val="E2231A"/>
              </w:rPr>
              <w:t>Total</w:t>
            </w:r>
          </w:p>
        </w:tc>
        <w:tc>
          <w:tcPr>
            <w:tcW w:w="0" w:type="dxa"/>
            <w:vAlign w:val="bottom"/>
          </w:tcPr>
          <w:p>
            <w:pPr>
              <w:spacing w:after="0"/>
              <w:rPr>
                <w:sz w:val="1"/>
                <w:szCs w:val="1"/>
                <w:color w:val="auto"/>
              </w:rPr>
            </w:pPr>
          </w:p>
        </w:tc>
      </w:tr>
      <w:tr>
        <w:trPr>
          <w:trHeight w:val="160"/>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E2231A"/>
              </w:rPr>
              <w:t>Principal Position</w:t>
            </w:r>
            <w:r>
              <w:rPr>
                <w:rFonts w:ascii="Arial" w:cs="Arial" w:eastAsia="Arial" w:hAnsi="Arial"/>
                <w:sz w:val="9"/>
                <w:szCs w:val="9"/>
                <w:b w:val="1"/>
                <w:bCs w:val="1"/>
                <w:color w:val="E2231A"/>
              </w:rPr>
              <w:t>(a)</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E2231A"/>
              </w:rPr>
              <w:t>Year</w:t>
            </w:r>
            <w:r>
              <w:rPr>
                <w:rFonts w:ascii="Arial" w:cs="Arial" w:eastAsia="Arial" w:hAnsi="Arial"/>
                <w:sz w:val="9"/>
                <w:szCs w:val="9"/>
                <w:b w:val="1"/>
                <w:bCs w:val="1"/>
                <w:color w:val="E2231A"/>
              </w:rPr>
              <w:t>(b)</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2"/>
                <w:szCs w:val="12"/>
                <w:b w:val="1"/>
                <w:bCs w:val="1"/>
                <w:color w:val="E2231A"/>
                <w:w w:val="97"/>
              </w:rPr>
              <w:t>Salary</w:t>
            </w:r>
            <w:r>
              <w:rPr>
                <w:rFonts w:ascii="Arial" w:cs="Arial" w:eastAsia="Arial" w:hAnsi="Arial"/>
                <w:sz w:val="9"/>
                <w:szCs w:val="9"/>
                <w:b w:val="1"/>
                <w:bCs w:val="1"/>
                <w:color w:val="E2231A"/>
                <w:w w:val="97"/>
              </w:rPr>
              <w:t>(c)</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E2231A"/>
              </w:rPr>
              <w:t>Bonus</w:t>
            </w:r>
            <w:r>
              <w:rPr>
                <w:rFonts w:ascii="Arial" w:cs="Arial" w:eastAsia="Arial" w:hAnsi="Arial"/>
                <w:sz w:val="9"/>
                <w:szCs w:val="9"/>
                <w:b w:val="1"/>
                <w:bCs w:val="1"/>
                <w:color w:val="E2231A"/>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(1)(e)</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(f)</w:t>
            </w: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(2)(g)</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E2231A"/>
              </w:rPr>
              <w:t>Earnings</w:t>
            </w:r>
            <w:r>
              <w:rPr>
                <w:rFonts w:ascii="Arial" w:cs="Arial" w:eastAsia="Arial" w:hAnsi="Arial"/>
                <w:sz w:val="9"/>
                <w:szCs w:val="9"/>
                <w:b w:val="1"/>
                <w:bCs w:val="1"/>
                <w:color w:val="E2231A"/>
              </w:rPr>
              <w:t>(3)(h)</w:t>
            </w: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(4)(i)</w:t>
            </w: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(j)</w:t>
            </w:r>
          </w:p>
        </w:tc>
        <w:tc>
          <w:tcPr>
            <w:tcW w:w="0" w:type="dxa"/>
            <w:vAlign w:val="bottom"/>
          </w:tcPr>
          <w:p>
            <w:pPr>
              <w:spacing w:after="0"/>
              <w:rPr>
                <w:sz w:val="1"/>
                <w:szCs w:val="1"/>
                <w:color w:val="auto"/>
              </w:rPr>
            </w:pPr>
          </w:p>
        </w:tc>
      </w:tr>
      <w:tr>
        <w:trPr>
          <w:trHeight w:val="129"/>
        </w:trPr>
        <w:tc>
          <w:tcPr>
            <w:tcW w:w="2740" w:type="dxa"/>
            <w:vAlign w:val="bottom"/>
            <w:shd w:val="clear" w:color="auto" w:fill="FCE9E8"/>
          </w:tcPr>
          <w:p>
            <w:pPr>
              <w:ind w:left="60"/>
              <w:spacing w:after="0" w:line="129" w:lineRule="exact"/>
              <w:rPr>
                <w:sz w:val="20"/>
                <w:szCs w:val="20"/>
                <w:color w:val="auto"/>
              </w:rPr>
            </w:pPr>
            <w:r>
              <w:rPr>
                <w:rFonts w:ascii="Arial" w:cs="Arial" w:eastAsia="Arial" w:hAnsi="Arial"/>
                <w:sz w:val="13"/>
                <w:szCs w:val="13"/>
                <w:color w:val="auto"/>
              </w:rPr>
              <w:t>Matthew J. Simoncini,</w:t>
            </w:r>
          </w:p>
        </w:tc>
        <w:tc>
          <w:tcPr>
            <w:tcW w:w="460" w:type="dxa"/>
            <w:vAlign w:val="bottom"/>
            <w:shd w:val="clear" w:color="auto" w:fill="FCE9E8"/>
          </w:tcPr>
          <w:p>
            <w:pPr>
              <w:jc w:val="right"/>
              <w:spacing w:after="0" w:line="129" w:lineRule="exact"/>
              <w:rPr>
                <w:sz w:val="20"/>
                <w:szCs w:val="20"/>
                <w:color w:val="auto"/>
              </w:rPr>
            </w:pPr>
            <w:r>
              <w:rPr>
                <w:rFonts w:ascii="Arial" w:cs="Arial" w:eastAsia="Arial" w:hAnsi="Arial"/>
                <w:sz w:val="13"/>
                <w:szCs w:val="13"/>
                <w:color w:val="auto"/>
              </w:rPr>
              <w:t>2017</w:t>
            </w:r>
          </w:p>
        </w:tc>
        <w:tc>
          <w:tcPr>
            <w:tcW w:w="260" w:type="dxa"/>
            <w:vAlign w:val="bottom"/>
            <w:shd w:val="clear" w:color="auto" w:fill="FCE9E8"/>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29" w:lineRule="exact"/>
              <w:rPr>
                <w:sz w:val="20"/>
                <w:szCs w:val="20"/>
                <w:color w:val="auto"/>
              </w:rPr>
            </w:pPr>
            <w:r>
              <w:rPr>
                <w:rFonts w:ascii="Arial" w:cs="Arial" w:eastAsia="Arial" w:hAnsi="Arial"/>
                <w:sz w:val="13"/>
                <w:szCs w:val="13"/>
                <w:color w:val="auto"/>
                <w:w w:val="96"/>
              </w:rPr>
              <w:t>1,354,500</w:t>
            </w:r>
          </w:p>
        </w:tc>
        <w:tc>
          <w:tcPr>
            <w:tcW w:w="300" w:type="dxa"/>
            <w:vAlign w:val="bottom"/>
            <w:shd w:val="clear" w:color="auto" w:fill="FCE9E8"/>
          </w:tcPr>
          <w:p>
            <w:pPr>
              <w:ind w:left="80"/>
              <w:spacing w:after="0" w:line="129"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29"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29" w:lineRule="exact"/>
              <w:rPr>
                <w:sz w:val="20"/>
                <w:szCs w:val="20"/>
                <w:color w:val="auto"/>
              </w:rPr>
            </w:pPr>
            <w:r>
              <w:rPr>
                <w:rFonts w:ascii="Arial" w:cs="Arial" w:eastAsia="Arial" w:hAnsi="Arial"/>
                <w:sz w:val="13"/>
                <w:szCs w:val="13"/>
                <w:color w:val="auto"/>
                <w:w w:val="96"/>
              </w:rPr>
              <w:t>$ 8,819,774</w:t>
            </w:r>
          </w:p>
        </w:tc>
        <w:tc>
          <w:tcPr>
            <w:tcW w:w="180" w:type="dxa"/>
            <w:vAlign w:val="bottom"/>
            <w:shd w:val="clear" w:color="auto" w:fill="FCE9E8"/>
          </w:tcPr>
          <w:p>
            <w:pPr>
              <w:ind w:left="100"/>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29"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29" w:lineRule="exact"/>
              <w:rPr>
                <w:sz w:val="20"/>
                <w:szCs w:val="20"/>
                <w:color w:val="auto"/>
              </w:rPr>
            </w:pPr>
            <w:r>
              <w:rPr>
                <w:rFonts w:ascii="Arial" w:cs="Arial" w:eastAsia="Arial" w:hAnsi="Arial"/>
                <w:sz w:val="13"/>
                <w:szCs w:val="13"/>
                <w:color w:val="auto"/>
              </w:rPr>
              <w:t>3,792,600</w:t>
            </w:r>
          </w:p>
        </w:tc>
        <w:tc>
          <w:tcPr>
            <w:tcW w:w="180" w:type="dxa"/>
            <w:vAlign w:val="bottom"/>
            <w:shd w:val="clear" w:color="auto" w:fill="FCE9E8"/>
          </w:tcPr>
          <w:p>
            <w:pPr>
              <w:ind w:left="80"/>
              <w:spacing w:after="0" w:line="129"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8"/>
              <w:spacing w:after="0" w:line="129" w:lineRule="exact"/>
              <w:rPr>
                <w:sz w:val="20"/>
                <w:szCs w:val="20"/>
                <w:color w:val="auto"/>
              </w:rPr>
            </w:pPr>
            <w:r>
              <w:rPr>
                <w:rFonts w:ascii="Arial" w:cs="Arial" w:eastAsia="Arial" w:hAnsi="Arial"/>
                <w:sz w:val="13"/>
                <w:szCs w:val="13"/>
                <w:color w:val="auto"/>
              </w:rPr>
              <w:t>42,258</w:t>
            </w:r>
          </w:p>
        </w:tc>
        <w:tc>
          <w:tcPr>
            <w:tcW w:w="280" w:type="dxa"/>
            <w:vAlign w:val="bottom"/>
            <w:shd w:val="clear" w:color="auto" w:fill="FCE9E8"/>
          </w:tcPr>
          <w:p>
            <w:pPr>
              <w:ind w:left="100"/>
              <w:spacing w:after="0" w:line="129"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29" w:lineRule="exact"/>
              <w:rPr>
                <w:sz w:val="20"/>
                <w:szCs w:val="20"/>
                <w:color w:val="auto"/>
              </w:rPr>
            </w:pPr>
            <w:r>
              <w:rPr>
                <w:rFonts w:ascii="Arial" w:cs="Arial" w:eastAsia="Arial" w:hAnsi="Arial"/>
                <w:sz w:val="13"/>
                <w:szCs w:val="13"/>
                <w:color w:val="auto"/>
              </w:rPr>
              <w:t>824,334</w:t>
            </w:r>
          </w:p>
        </w:tc>
        <w:tc>
          <w:tcPr>
            <w:tcW w:w="280" w:type="dxa"/>
            <w:vAlign w:val="bottom"/>
            <w:shd w:val="clear" w:color="auto" w:fill="FCE9E8"/>
          </w:tcPr>
          <w:p>
            <w:pPr>
              <w:ind w:left="100"/>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57"/>
              <w:spacing w:after="0" w:line="129" w:lineRule="exact"/>
              <w:rPr>
                <w:sz w:val="20"/>
                <w:szCs w:val="20"/>
                <w:color w:val="auto"/>
              </w:rPr>
            </w:pPr>
            <w:r>
              <w:rPr>
                <w:rFonts w:ascii="Arial" w:cs="Arial" w:eastAsia="Arial" w:hAnsi="Arial"/>
                <w:sz w:val="13"/>
                <w:szCs w:val="13"/>
                <w:color w:val="auto"/>
              </w:rPr>
              <w:t>14,833,466</w:t>
            </w:r>
          </w:p>
        </w:tc>
        <w:tc>
          <w:tcPr>
            <w:tcW w:w="0" w:type="dxa"/>
            <w:vAlign w:val="bottom"/>
          </w:tcPr>
          <w:p>
            <w:pPr>
              <w:spacing w:after="0"/>
              <w:rPr>
                <w:sz w:val="1"/>
                <w:szCs w:val="1"/>
                <w:color w:val="auto"/>
              </w:rPr>
            </w:pPr>
          </w:p>
        </w:tc>
      </w:tr>
      <w:tr>
        <w:trPr>
          <w:trHeight w:val="237"/>
        </w:trPr>
        <w:tc>
          <w:tcPr>
            <w:tcW w:w="2740" w:type="dxa"/>
            <w:vAlign w:val="bottom"/>
            <w:shd w:val="clear" w:color="auto" w:fill="FCE9E8"/>
          </w:tcPr>
          <w:p>
            <w:pPr>
              <w:ind w:left="60"/>
              <w:spacing w:after="0"/>
              <w:rPr>
                <w:sz w:val="20"/>
                <w:szCs w:val="20"/>
                <w:color w:val="auto"/>
              </w:rPr>
            </w:pPr>
            <w:r>
              <w:rPr>
                <w:rFonts w:ascii="Arial" w:cs="Arial" w:eastAsia="Arial" w:hAnsi="Arial"/>
                <w:sz w:val="13"/>
                <w:szCs w:val="13"/>
                <w:color w:val="auto"/>
              </w:rPr>
              <w:t>Former President and Chief</w:t>
            </w:r>
          </w:p>
        </w:tc>
        <w:tc>
          <w:tcPr>
            <w:tcW w:w="4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2016</w:t>
            </w:r>
          </w:p>
        </w:tc>
        <w:tc>
          <w:tcPr>
            <w:tcW w:w="2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rPr>
                <w:sz w:val="20"/>
                <w:szCs w:val="20"/>
                <w:color w:val="auto"/>
              </w:rPr>
            </w:pPr>
            <w:r>
              <w:rPr>
                <w:rFonts w:ascii="Arial" w:cs="Arial" w:eastAsia="Arial" w:hAnsi="Arial"/>
                <w:sz w:val="13"/>
                <w:szCs w:val="13"/>
                <w:color w:val="auto"/>
                <w:w w:val="96"/>
              </w:rPr>
              <w:t>1,354,500</w:t>
            </w:r>
          </w:p>
        </w:tc>
        <w:tc>
          <w:tcPr>
            <w:tcW w:w="30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rPr>
                <w:sz w:val="20"/>
                <w:szCs w:val="20"/>
                <w:color w:val="auto"/>
              </w:rPr>
            </w:pPr>
            <w:r>
              <w:rPr>
                <w:rFonts w:ascii="Arial" w:cs="Arial" w:eastAsia="Arial" w:hAnsi="Arial"/>
                <w:sz w:val="13"/>
                <w:szCs w:val="13"/>
                <w:color w:val="auto"/>
                <w:w w:val="96"/>
              </w:rPr>
              <w:t>$ 8,524,711</w:t>
            </w:r>
          </w:p>
        </w:tc>
        <w:tc>
          <w:tcPr>
            <w:tcW w:w="180" w:type="dxa"/>
            <w:vAlign w:val="bottom"/>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rPr>
              <w:t>3,810,240</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27,427</w:t>
            </w:r>
          </w:p>
        </w:tc>
        <w:tc>
          <w:tcPr>
            <w:tcW w:w="28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rPr>
                <w:sz w:val="20"/>
                <w:szCs w:val="20"/>
                <w:color w:val="auto"/>
              </w:rPr>
            </w:pPr>
            <w:r>
              <w:rPr>
                <w:rFonts w:ascii="Arial" w:cs="Arial" w:eastAsia="Arial" w:hAnsi="Arial"/>
                <w:sz w:val="13"/>
                <w:szCs w:val="13"/>
                <w:color w:val="auto"/>
              </w:rPr>
              <w:t>726,657</w:t>
            </w:r>
          </w:p>
        </w:tc>
        <w:tc>
          <w:tcPr>
            <w:tcW w:w="28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57"/>
              <w:spacing w:after="0"/>
              <w:rPr>
                <w:sz w:val="20"/>
                <w:szCs w:val="20"/>
                <w:color w:val="auto"/>
              </w:rPr>
            </w:pPr>
            <w:r>
              <w:rPr>
                <w:rFonts w:ascii="Arial" w:cs="Arial" w:eastAsia="Arial" w:hAnsi="Arial"/>
                <w:sz w:val="13"/>
                <w:szCs w:val="13"/>
                <w:color w:val="auto"/>
              </w:rPr>
              <w:t>14,443,535</w:t>
            </w:r>
          </w:p>
        </w:tc>
        <w:tc>
          <w:tcPr>
            <w:tcW w:w="0" w:type="dxa"/>
            <w:vAlign w:val="bottom"/>
          </w:tcPr>
          <w:p>
            <w:pPr>
              <w:spacing w:after="0"/>
              <w:rPr>
                <w:sz w:val="1"/>
                <w:szCs w:val="1"/>
                <w:color w:val="auto"/>
              </w:rPr>
            </w:pPr>
          </w:p>
        </w:tc>
      </w:tr>
      <w:tr>
        <w:trPr>
          <w:trHeight w:val="141"/>
        </w:trPr>
        <w:tc>
          <w:tcPr>
            <w:tcW w:w="2740" w:type="dxa"/>
            <w:vAlign w:val="bottom"/>
            <w:tcBorders>
              <w:bottom w:val="single" w:sz="8" w:color="auto"/>
            </w:tcBorders>
            <w:shd w:val="clear" w:color="auto" w:fill="FCE9E8"/>
          </w:tcPr>
          <w:p>
            <w:pPr>
              <w:ind w:left="60"/>
              <w:spacing w:after="0" w:line="141" w:lineRule="exact"/>
              <w:rPr>
                <w:sz w:val="20"/>
                <w:szCs w:val="20"/>
                <w:color w:val="auto"/>
              </w:rPr>
            </w:pPr>
            <w:r>
              <w:rPr>
                <w:rFonts w:ascii="Arial" w:cs="Arial" w:eastAsia="Arial" w:hAnsi="Arial"/>
                <w:sz w:val="13"/>
                <w:szCs w:val="13"/>
                <w:color w:val="auto"/>
              </w:rPr>
              <w:t>Executive Officer</w:t>
            </w:r>
          </w:p>
        </w:tc>
        <w:tc>
          <w:tcPr>
            <w:tcW w:w="46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2015</w:t>
            </w:r>
          </w:p>
        </w:tc>
        <w:tc>
          <w:tcPr>
            <w:tcW w:w="26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w w:val="96"/>
              </w:rPr>
              <w:t>1,306,125</w:t>
            </w:r>
          </w:p>
        </w:tc>
        <w:tc>
          <w:tcPr>
            <w:tcW w:w="300" w:type="dxa"/>
            <w:vAlign w:val="bottom"/>
            <w:tcBorders>
              <w:bottom w:val="single" w:sz="8" w:color="auto"/>
            </w:tcBorders>
            <w:shd w:val="clear" w:color="auto" w:fill="FCE9E8"/>
          </w:tcPr>
          <w:p>
            <w:pPr>
              <w:ind w:left="80"/>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FCE9E8"/>
          </w:tcPr>
          <w:p>
            <w:pPr>
              <w:ind w:left="160"/>
              <w:spacing w:after="0" w:line="14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FCE9E8"/>
          </w:tcPr>
          <w:p>
            <w:pPr>
              <w:jc w:val="center"/>
              <w:spacing w:after="0" w:line="141" w:lineRule="exact"/>
              <w:rPr>
                <w:sz w:val="20"/>
                <w:szCs w:val="20"/>
                <w:color w:val="auto"/>
              </w:rPr>
            </w:pPr>
            <w:r>
              <w:rPr>
                <w:rFonts w:ascii="Arial" w:cs="Arial" w:eastAsia="Arial" w:hAnsi="Arial"/>
                <w:sz w:val="13"/>
                <w:szCs w:val="13"/>
                <w:color w:val="auto"/>
                <w:w w:val="96"/>
              </w:rPr>
              <w:t>$ 8,149,840</w:t>
            </w:r>
          </w:p>
        </w:tc>
        <w:tc>
          <w:tcPr>
            <w:tcW w:w="18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FCE9E8"/>
          </w:tcPr>
          <w:p>
            <w:pPr>
              <w:ind w:left="320"/>
              <w:spacing w:after="0" w:line="141"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3,487,680</w:t>
            </w:r>
          </w:p>
        </w:tc>
        <w:tc>
          <w:tcPr>
            <w:tcW w:w="180" w:type="dxa"/>
            <w:vAlign w:val="bottom"/>
            <w:tcBorders>
              <w:bottom w:val="single" w:sz="8" w:color="auto"/>
            </w:tcBorders>
            <w:shd w:val="clear" w:color="auto" w:fill="FCE9E8"/>
          </w:tcPr>
          <w:p>
            <w:pPr>
              <w:ind w:left="80"/>
              <w:spacing w:after="0" w:line="141"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CE9E8"/>
          </w:tcPr>
          <w:p>
            <w:pPr>
              <w:jc w:val="right"/>
              <w:ind w:right="18"/>
              <w:spacing w:after="0" w:line="141"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668,748</w:t>
            </w:r>
          </w:p>
        </w:tc>
        <w:tc>
          <w:tcPr>
            <w:tcW w:w="28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FCE9E8"/>
          </w:tcPr>
          <w:p>
            <w:pPr>
              <w:jc w:val="right"/>
              <w:ind w:right="57"/>
              <w:spacing w:after="0" w:line="141" w:lineRule="exact"/>
              <w:rPr>
                <w:sz w:val="20"/>
                <w:szCs w:val="20"/>
                <w:color w:val="auto"/>
              </w:rPr>
            </w:pPr>
            <w:r>
              <w:rPr>
                <w:rFonts w:ascii="Arial" w:cs="Arial" w:eastAsia="Arial" w:hAnsi="Arial"/>
                <w:sz w:val="13"/>
                <w:szCs w:val="13"/>
                <w:color w:val="auto"/>
              </w:rPr>
              <w:t>13,612,393</w:t>
            </w:r>
          </w:p>
        </w:tc>
        <w:tc>
          <w:tcPr>
            <w:tcW w:w="0" w:type="dxa"/>
            <w:vAlign w:val="bottom"/>
          </w:tcPr>
          <w:p>
            <w:pPr>
              <w:spacing w:after="0"/>
              <w:rPr>
                <w:sz w:val="1"/>
                <w:szCs w:val="1"/>
                <w:color w:val="auto"/>
              </w:rPr>
            </w:pPr>
          </w:p>
        </w:tc>
      </w:tr>
      <w:tr>
        <w:trPr>
          <w:trHeight w:val="146"/>
        </w:trPr>
        <w:tc>
          <w:tcPr>
            <w:tcW w:w="2740" w:type="dxa"/>
            <w:vAlign w:val="bottom"/>
          </w:tcPr>
          <w:p>
            <w:pPr>
              <w:ind w:left="60"/>
              <w:spacing w:after="0" w:line="146" w:lineRule="exact"/>
              <w:rPr>
                <w:sz w:val="20"/>
                <w:szCs w:val="20"/>
                <w:color w:val="auto"/>
              </w:rPr>
            </w:pPr>
            <w:r>
              <w:rPr>
                <w:rFonts w:ascii="Arial" w:cs="Arial" w:eastAsia="Arial" w:hAnsi="Arial"/>
                <w:sz w:val="13"/>
                <w:szCs w:val="13"/>
                <w:color w:val="auto"/>
              </w:rPr>
              <w:t>Jeffrey H. Vanneste,</w:t>
            </w: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2017</w:t>
            </w: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46" w:lineRule="exact"/>
              <w:rPr>
                <w:sz w:val="20"/>
                <w:szCs w:val="20"/>
                <w:color w:val="auto"/>
              </w:rPr>
            </w:pPr>
            <w:r>
              <w:rPr>
                <w:rFonts w:ascii="Arial" w:cs="Arial" w:eastAsia="Arial" w:hAnsi="Arial"/>
                <w:sz w:val="13"/>
                <w:szCs w:val="13"/>
                <w:color w:val="auto"/>
              </w:rPr>
              <w:t>827,750</w:t>
            </w:r>
          </w:p>
        </w:tc>
        <w:tc>
          <w:tcPr>
            <w:tcW w:w="300" w:type="dxa"/>
            <w:vAlign w:val="bottom"/>
          </w:tcPr>
          <w:p>
            <w:pPr>
              <w:ind w:left="80"/>
              <w:spacing w:after="0" w:line="146" w:lineRule="exact"/>
              <w:rPr>
                <w:sz w:val="20"/>
                <w:szCs w:val="20"/>
                <w:color w:val="auto"/>
              </w:rPr>
            </w:pPr>
            <w:r>
              <w:rPr>
                <w:rFonts w:ascii="Arial" w:cs="Arial" w:eastAsia="Arial" w:hAnsi="Arial"/>
                <w:sz w:val="13"/>
                <w:szCs w:val="13"/>
                <w:color w:val="auto"/>
              </w:rPr>
              <w:t>$</w:t>
            </w:r>
          </w:p>
        </w:tc>
        <w:tc>
          <w:tcPr>
            <w:tcW w:w="380" w:type="dxa"/>
            <w:vAlign w:val="bottom"/>
          </w:tcPr>
          <w:p>
            <w:pPr>
              <w:ind w:left="160"/>
              <w:spacing w:after="0" w:line="146" w:lineRule="exact"/>
              <w:rPr>
                <w:sz w:val="20"/>
                <w:szCs w:val="20"/>
                <w:color w:val="auto"/>
              </w:rPr>
            </w:pPr>
            <w:r>
              <w:rPr>
                <w:rFonts w:ascii="Arial" w:cs="Arial" w:eastAsia="Arial" w:hAnsi="Arial"/>
                <w:sz w:val="13"/>
                <w:szCs w:val="13"/>
                <w:color w:val="auto"/>
              </w:rPr>
              <w:t>—</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w w:val="96"/>
              </w:rPr>
              <w:t>$ 2,378,790</w:t>
            </w:r>
          </w:p>
        </w:tc>
        <w:tc>
          <w:tcPr>
            <w:tcW w:w="180" w:type="dxa"/>
            <w:vAlign w:val="bottom"/>
          </w:tcPr>
          <w:p>
            <w:pPr>
              <w:ind w:left="100"/>
              <w:spacing w:after="0" w:line="146" w:lineRule="exact"/>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46"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1,303,706</w:t>
            </w:r>
          </w:p>
        </w:tc>
        <w:tc>
          <w:tcPr>
            <w:tcW w:w="180" w:type="dxa"/>
            <w:vAlign w:val="bottom"/>
          </w:tcPr>
          <w:p>
            <w:pPr>
              <w:ind w:left="80"/>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8"/>
              <w:spacing w:after="0" w:line="146" w:lineRule="exact"/>
              <w:rPr>
                <w:sz w:val="20"/>
                <w:szCs w:val="20"/>
                <w:color w:val="auto"/>
              </w:rPr>
            </w:pPr>
            <w:r>
              <w:rPr>
                <w:rFonts w:ascii="Arial" w:cs="Arial" w:eastAsia="Arial" w:hAnsi="Arial"/>
                <w:sz w:val="13"/>
                <w:szCs w:val="13"/>
                <w:color w:val="auto"/>
              </w:rPr>
              <w:t>87,771</w:t>
            </w:r>
          </w:p>
        </w:tc>
        <w:tc>
          <w:tcPr>
            <w:tcW w:w="280" w:type="dxa"/>
            <w:vAlign w:val="bottom"/>
          </w:tcPr>
          <w:p>
            <w:pPr>
              <w:ind w:left="100"/>
              <w:spacing w:after="0" w:line="146"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46" w:lineRule="exact"/>
              <w:rPr>
                <w:sz w:val="20"/>
                <w:szCs w:val="20"/>
                <w:color w:val="auto"/>
              </w:rPr>
            </w:pPr>
            <w:r>
              <w:rPr>
                <w:rFonts w:ascii="Arial" w:cs="Arial" w:eastAsia="Arial" w:hAnsi="Arial"/>
                <w:sz w:val="13"/>
                <w:szCs w:val="13"/>
                <w:color w:val="auto"/>
              </w:rPr>
              <w:t>298,823</w:t>
            </w:r>
          </w:p>
        </w:tc>
        <w:tc>
          <w:tcPr>
            <w:tcW w:w="280" w:type="dxa"/>
            <w:vAlign w:val="bottom"/>
          </w:tcPr>
          <w:p>
            <w:pPr>
              <w:ind w:left="10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6" w:lineRule="exact"/>
              <w:rPr>
                <w:sz w:val="20"/>
                <w:szCs w:val="20"/>
                <w:color w:val="auto"/>
              </w:rPr>
            </w:pPr>
            <w:r>
              <w:rPr>
                <w:rFonts w:ascii="Arial" w:cs="Arial" w:eastAsia="Arial" w:hAnsi="Arial"/>
                <w:sz w:val="13"/>
                <w:szCs w:val="13"/>
                <w:color w:val="auto"/>
              </w:rPr>
              <w:t>4,896,840</w:t>
            </w:r>
          </w:p>
        </w:tc>
        <w:tc>
          <w:tcPr>
            <w:tcW w:w="0" w:type="dxa"/>
            <w:vAlign w:val="bottom"/>
          </w:tcPr>
          <w:p>
            <w:pPr>
              <w:spacing w:after="0"/>
              <w:rPr>
                <w:sz w:val="1"/>
                <w:szCs w:val="1"/>
                <w:color w:val="auto"/>
              </w:rPr>
            </w:pPr>
          </w:p>
        </w:tc>
      </w:tr>
      <w:tr>
        <w:trPr>
          <w:trHeight w:val="220"/>
        </w:trPr>
        <w:tc>
          <w:tcPr>
            <w:tcW w:w="2740" w:type="dxa"/>
            <w:vAlign w:val="bottom"/>
          </w:tcPr>
          <w:p>
            <w:pPr>
              <w:ind w:left="60"/>
              <w:spacing w:after="0"/>
              <w:rPr>
                <w:sz w:val="20"/>
                <w:szCs w:val="20"/>
                <w:color w:val="auto"/>
              </w:rPr>
            </w:pPr>
            <w:r>
              <w:rPr>
                <w:rFonts w:ascii="Arial" w:cs="Arial" w:eastAsia="Arial" w:hAnsi="Arial"/>
                <w:sz w:val="13"/>
                <w:szCs w:val="13"/>
                <w:color w:val="auto"/>
              </w:rPr>
              <w:t>Senior Vice President and</w:t>
            </w:r>
          </w:p>
        </w:tc>
        <w:tc>
          <w:tcPr>
            <w:tcW w:w="460" w:type="dxa"/>
            <w:vAlign w:val="bottom"/>
          </w:tcPr>
          <w:p>
            <w:pPr>
              <w:jc w:val="right"/>
              <w:spacing w:after="0"/>
              <w:rPr>
                <w:sz w:val="20"/>
                <w:szCs w:val="20"/>
                <w:color w:val="auto"/>
              </w:rPr>
            </w:pPr>
            <w:r>
              <w:rPr>
                <w:rFonts w:ascii="Arial" w:cs="Arial" w:eastAsia="Arial" w:hAnsi="Arial"/>
                <w:sz w:val="13"/>
                <w:szCs w:val="13"/>
                <w:color w:val="auto"/>
              </w:rPr>
              <w:t>2016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787,437</w:t>
            </w:r>
          </w:p>
        </w:tc>
        <w:tc>
          <w:tcPr>
            <w:tcW w:w="300" w:type="dxa"/>
            <w:vAlign w:val="bottom"/>
          </w:tcPr>
          <w:p>
            <w:pPr>
              <w:ind w:left="80"/>
              <w:spacing w:after="0"/>
              <w:rPr>
                <w:sz w:val="20"/>
                <w:szCs w:val="20"/>
                <w:color w:val="auto"/>
              </w:rPr>
            </w:pPr>
            <w:r>
              <w:rPr>
                <w:rFonts w:ascii="Arial" w:cs="Arial" w:eastAsia="Arial" w:hAnsi="Arial"/>
                <w:sz w:val="13"/>
                <w:szCs w:val="13"/>
                <w:color w:val="auto"/>
              </w:rPr>
              <w:t>$</w:t>
            </w:r>
          </w:p>
        </w:tc>
        <w:tc>
          <w:tcPr>
            <w:tcW w:w="380" w:type="dxa"/>
            <w:vAlign w:val="bottom"/>
          </w:tcPr>
          <w:p>
            <w:pPr>
              <w:ind w:left="160"/>
              <w:spacing w:after="0"/>
              <w:rPr>
                <w:sz w:val="20"/>
                <w:szCs w:val="20"/>
                <w:color w:val="auto"/>
              </w:rPr>
            </w:pPr>
            <w:r>
              <w:rPr>
                <w:rFonts w:ascii="Arial" w:cs="Arial" w:eastAsia="Arial" w:hAnsi="Arial"/>
                <w:sz w:val="13"/>
                <w:szCs w:val="13"/>
                <w:color w:val="auto"/>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$ 2,218,859</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rPr>
                <w:sz w:val="20"/>
                <w:szCs w:val="20"/>
                <w:color w:val="auto"/>
              </w:rPr>
            </w:pPr>
            <w:r>
              <w:rPr>
                <w:rFonts w:ascii="Arial" w:cs="Arial" w:eastAsia="Arial" w:hAnsi="Arial"/>
                <w:sz w:val="13"/>
                <w:szCs w:val="13"/>
                <w:color w:val="auto"/>
              </w:rPr>
              <w:t>1,164,240</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59,150</w:t>
            </w:r>
          </w:p>
        </w:tc>
        <w:tc>
          <w:tcPr>
            <w:tcW w:w="280" w:type="dxa"/>
            <w:vAlign w:val="bottom"/>
          </w:tcPr>
          <w:p>
            <w:pPr>
              <w:ind w:left="1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267,917</w:t>
            </w:r>
          </w:p>
        </w:tc>
        <w:tc>
          <w:tcPr>
            <w:tcW w:w="280" w:type="dxa"/>
            <w:vAlign w:val="bottom"/>
          </w:tcPr>
          <w:p>
            <w:pPr>
              <w:ind w:lef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4,497,603</w:t>
            </w:r>
          </w:p>
        </w:tc>
        <w:tc>
          <w:tcPr>
            <w:tcW w:w="0" w:type="dxa"/>
            <w:vAlign w:val="bottom"/>
          </w:tcPr>
          <w:p>
            <w:pPr>
              <w:spacing w:after="0"/>
              <w:rPr>
                <w:sz w:val="1"/>
                <w:szCs w:val="1"/>
                <w:color w:val="auto"/>
              </w:rPr>
            </w:pPr>
          </w:p>
        </w:tc>
      </w:tr>
      <w:tr>
        <w:trPr>
          <w:trHeight w:val="141"/>
        </w:trPr>
        <w:tc>
          <w:tcPr>
            <w:tcW w:w="2740" w:type="dxa"/>
            <w:vAlign w:val="bottom"/>
            <w:tcBorders>
              <w:bottom w:val="single" w:sz="8" w:color="auto"/>
            </w:tcBorders>
          </w:tcPr>
          <w:p>
            <w:pPr>
              <w:ind w:left="60"/>
              <w:spacing w:after="0" w:line="141" w:lineRule="exact"/>
              <w:rPr>
                <w:sz w:val="20"/>
                <w:szCs w:val="20"/>
                <w:color w:val="auto"/>
              </w:rPr>
            </w:pPr>
            <w:r>
              <w:rPr>
                <w:rFonts w:ascii="Arial" w:cs="Arial" w:eastAsia="Arial" w:hAnsi="Arial"/>
                <w:sz w:val="13"/>
                <w:szCs w:val="13"/>
                <w:color w:val="auto"/>
              </w:rPr>
              <w:t>Chief Financial Officer</w:t>
            </w:r>
          </w:p>
        </w:tc>
        <w:tc>
          <w:tcPr>
            <w:tcW w:w="4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2015</w:t>
            </w:r>
          </w:p>
        </w:tc>
        <w:tc>
          <w:tcPr>
            <w:tcW w:w="2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741,750</w:t>
            </w:r>
          </w:p>
        </w:tc>
        <w:tc>
          <w:tcPr>
            <w:tcW w:w="30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ind w:left="160"/>
              <w:spacing w:after="0" w:line="14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$ 2,110,796</w:t>
            </w:r>
          </w:p>
        </w:tc>
        <w:tc>
          <w:tcPr>
            <w:tcW w:w="18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ind w:left="320"/>
              <w:spacing w:after="0" w:line="141"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8"/>
              <w:spacing w:after="0" w:line="141" w:lineRule="exact"/>
              <w:rPr>
                <w:sz w:val="20"/>
                <w:szCs w:val="20"/>
                <w:color w:val="auto"/>
              </w:rPr>
            </w:pPr>
            <w:r>
              <w:rPr>
                <w:rFonts w:ascii="Arial" w:cs="Arial" w:eastAsia="Arial" w:hAnsi="Arial"/>
                <w:sz w:val="13"/>
                <w:szCs w:val="13"/>
                <w:color w:val="auto"/>
              </w:rPr>
              <w:t>996,480</w:t>
            </w:r>
          </w:p>
        </w:tc>
        <w:tc>
          <w:tcPr>
            <w:tcW w:w="18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8"/>
              <w:spacing w:after="0" w:line="141"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254,392</w:t>
            </w:r>
          </w:p>
        </w:tc>
        <w:tc>
          <w:tcPr>
            <w:tcW w:w="28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4,103,418</w:t>
            </w:r>
          </w:p>
        </w:tc>
        <w:tc>
          <w:tcPr>
            <w:tcW w:w="0" w:type="dxa"/>
            <w:vAlign w:val="bottom"/>
          </w:tcPr>
          <w:p>
            <w:pPr>
              <w:spacing w:after="0"/>
              <w:rPr>
                <w:sz w:val="1"/>
                <w:szCs w:val="1"/>
                <w:color w:val="auto"/>
              </w:rPr>
            </w:pPr>
          </w:p>
        </w:tc>
      </w:tr>
      <w:tr>
        <w:trPr>
          <w:trHeight w:val="129"/>
        </w:trPr>
        <w:tc>
          <w:tcPr>
            <w:tcW w:w="2740" w:type="dxa"/>
            <w:vAlign w:val="bottom"/>
            <w:shd w:val="clear" w:color="auto" w:fill="FCE9E8"/>
          </w:tcPr>
          <w:p>
            <w:pPr>
              <w:ind w:left="60"/>
              <w:spacing w:after="0" w:line="129" w:lineRule="exact"/>
              <w:rPr>
                <w:sz w:val="20"/>
                <w:szCs w:val="20"/>
                <w:color w:val="auto"/>
              </w:rPr>
            </w:pPr>
            <w:r>
              <w:rPr>
                <w:rFonts w:ascii="Arial" w:cs="Arial" w:eastAsia="Arial" w:hAnsi="Arial"/>
                <w:sz w:val="13"/>
                <w:szCs w:val="13"/>
                <w:color w:val="auto"/>
              </w:rPr>
              <w:t>Raymond E. Scott,</w:t>
            </w:r>
          </w:p>
        </w:tc>
        <w:tc>
          <w:tcPr>
            <w:tcW w:w="460" w:type="dxa"/>
            <w:vAlign w:val="bottom"/>
            <w:shd w:val="clear" w:color="auto" w:fill="FCE9E8"/>
          </w:tcPr>
          <w:p>
            <w:pPr>
              <w:jc w:val="right"/>
              <w:spacing w:after="0" w:line="129" w:lineRule="exact"/>
              <w:rPr>
                <w:sz w:val="20"/>
                <w:szCs w:val="20"/>
                <w:color w:val="auto"/>
              </w:rPr>
            </w:pPr>
            <w:r>
              <w:rPr>
                <w:rFonts w:ascii="Arial" w:cs="Arial" w:eastAsia="Arial" w:hAnsi="Arial"/>
                <w:sz w:val="13"/>
                <w:szCs w:val="13"/>
                <w:color w:val="auto"/>
              </w:rPr>
              <w:t>2017</w:t>
            </w:r>
          </w:p>
        </w:tc>
        <w:tc>
          <w:tcPr>
            <w:tcW w:w="260" w:type="dxa"/>
            <w:vAlign w:val="bottom"/>
            <w:shd w:val="clear" w:color="auto" w:fill="FCE9E8"/>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29" w:lineRule="exact"/>
              <w:rPr>
                <w:sz w:val="20"/>
                <w:szCs w:val="20"/>
                <w:color w:val="auto"/>
              </w:rPr>
            </w:pPr>
            <w:r>
              <w:rPr>
                <w:rFonts w:ascii="Arial" w:cs="Arial" w:eastAsia="Arial" w:hAnsi="Arial"/>
                <w:sz w:val="13"/>
                <w:szCs w:val="13"/>
                <w:color w:val="auto"/>
              </w:rPr>
              <w:t>855,098</w:t>
            </w:r>
          </w:p>
        </w:tc>
        <w:tc>
          <w:tcPr>
            <w:tcW w:w="300" w:type="dxa"/>
            <w:vAlign w:val="bottom"/>
            <w:shd w:val="clear" w:color="auto" w:fill="FCE9E8"/>
          </w:tcPr>
          <w:p>
            <w:pPr>
              <w:ind w:left="80"/>
              <w:spacing w:after="0" w:line="129"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29"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29" w:lineRule="exact"/>
              <w:rPr>
                <w:sz w:val="20"/>
                <w:szCs w:val="20"/>
                <w:color w:val="auto"/>
              </w:rPr>
            </w:pPr>
            <w:r>
              <w:rPr>
                <w:rFonts w:ascii="Arial" w:cs="Arial" w:eastAsia="Arial" w:hAnsi="Arial"/>
                <w:sz w:val="13"/>
                <w:szCs w:val="13"/>
                <w:color w:val="auto"/>
                <w:w w:val="96"/>
              </w:rPr>
              <w:t>$ 2,686,101</w:t>
            </w:r>
          </w:p>
        </w:tc>
        <w:tc>
          <w:tcPr>
            <w:tcW w:w="180" w:type="dxa"/>
            <w:vAlign w:val="bottom"/>
            <w:shd w:val="clear" w:color="auto" w:fill="FCE9E8"/>
          </w:tcPr>
          <w:p>
            <w:pPr>
              <w:ind w:left="100"/>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29"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29" w:lineRule="exact"/>
              <w:rPr>
                <w:sz w:val="20"/>
                <w:szCs w:val="20"/>
                <w:color w:val="auto"/>
              </w:rPr>
            </w:pPr>
            <w:r>
              <w:rPr>
                <w:rFonts w:ascii="Arial" w:cs="Arial" w:eastAsia="Arial" w:hAnsi="Arial"/>
                <w:sz w:val="13"/>
                <w:szCs w:val="13"/>
                <w:color w:val="auto"/>
              </w:rPr>
              <w:t>1,496,422</w:t>
            </w:r>
          </w:p>
        </w:tc>
        <w:tc>
          <w:tcPr>
            <w:tcW w:w="180" w:type="dxa"/>
            <w:vAlign w:val="bottom"/>
            <w:shd w:val="clear" w:color="auto" w:fill="FCE9E8"/>
          </w:tcPr>
          <w:p>
            <w:pPr>
              <w:ind w:left="80"/>
              <w:spacing w:after="0" w:line="129"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8"/>
              <w:spacing w:after="0" w:line="129" w:lineRule="exact"/>
              <w:rPr>
                <w:sz w:val="20"/>
                <w:szCs w:val="20"/>
                <w:color w:val="auto"/>
              </w:rPr>
            </w:pPr>
            <w:r>
              <w:rPr>
                <w:rFonts w:ascii="Arial" w:cs="Arial" w:eastAsia="Arial" w:hAnsi="Arial"/>
                <w:sz w:val="13"/>
                <w:szCs w:val="13"/>
                <w:color w:val="auto"/>
              </w:rPr>
              <w:t>130,687</w:t>
            </w:r>
          </w:p>
        </w:tc>
        <w:tc>
          <w:tcPr>
            <w:tcW w:w="280" w:type="dxa"/>
            <w:vAlign w:val="bottom"/>
            <w:shd w:val="clear" w:color="auto" w:fill="FCE9E8"/>
          </w:tcPr>
          <w:p>
            <w:pPr>
              <w:ind w:left="100"/>
              <w:spacing w:after="0" w:line="129"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29" w:lineRule="exact"/>
              <w:rPr>
                <w:sz w:val="20"/>
                <w:szCs w:val="20"/>
                <w:color w:val="auto"/>
              </w:rPr>
            </w:pPr>
            <w:r>
              <w:rPr>
                <w:rFonts w:ascii="Arial" w:cs="Arial" w:eastAsia="Arial" w:hAnsi="Arial"/>
                <w:sz w:val="13"/>
                <w:szCs w:val="13"/>
                <w:color w:val="auto"/>
              </w:rPr>
              <w:t>307,014</w:t>
            </w:r>
          </w:p>
        </w:tc>
        <w:tc>
          <w:tcPr>
            <w:tcW w:w="280" w:type="dxa"/>
            <w:vAlign w:val="bottom"/>
            <w:shd w:val="clear" w:color="auto" w:fill="FCE9E8"/>
          </w:tcPr>
          <w:p>
            <w:pPr>
              <w:ind w:left="100"/>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57"/>
              <w:spacing w:after="0" w:line="129" w:lineRule="exact"/>
              <w:rPr>
                <w:sz w:val="20"/>
                <w:szCs w:val="20"/>
                <w:color w:val="auto"/>
              </w:rPr>
            </w:pPr>
            <w:r>
              <w:rPr>
                <w:rFonts w:ascii="Arial" w:cs="Arial" w:eastAsia="Arial" w:hAnsi="Arial"/>
                <w:sz w:val="13"/>
                <w:szCs w:val="13"/>
                <w:color w:val="auto"/>
              </w:rPr>
              <w:t>5,475,322</w:t>
            </w:r>
          </w:p>
        </w:tc>
        <w:tc>
          <w:tcPr>
            <w:tcW w:w="0" w:type="dxa"/>
            <w:vAlign w:val="bottom"/>
          </w:tcPr>
          <w:p>
            <w:pPr>
              <w:spacing w:after="0"/>
              <w:rPr>
                <w:sz w:val="1"/>
                <w:szCs w:val="1"/>
                <w:color w:val="auto"/>
              </w:rPr>
            </w:pPr>
          </w:p>
        </w:tc>
      </w:tr>
      <w:tr>
        <w:trPr>
          <w:trHeight w:val="237"/>
        </w:trPr>
        <w:tc>
          <w:tcPr>
            <w:tcW w:w="2740" w:type="dxa"/>
            <w:vAlign w:val="bottom"/>
            <w:shd w:val="clear" w:color="auto" w:fill="FCE9E8"/>
          </w:tcPr>
          <w:p>
            <w:pPr>
              <w:ind w:left="60"/>
              <w:spacing w:after="0"/>
              <w:rPr>
                <w:sz w:val="20"/>
                <w:szCs w:val="20"/>
                <w:color w:val="auto"/>
              </w:rPr>
            </w:pPr>
            <w:r>
              <w:rPr>
                <w:rFonts w:ascii="Arial" w:cs="Arial" w:eastAsia="Arial" w:hAnsi="Arial"/>
                <w:sz w:val="13"/>
                <w:szCs w:val="13"/>
                <w:color w:val="auto"/>
              </w:rPr>
              <w:t>President and</w:t>
            </w:r>
          </w:p>
        </w:tc>
        <w:tc>
          <w:tcPr>
            <w:tcW w:w="4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2016</w:t>
            </w:r>
          </w:p>
        </w:tc>
        <w:tc>
          <w:tcPr>
            <w:tcW w:w="2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rPr>
                <w:sz w:val="20"/>
                <w:szCs w:val="20"/>
                <w:color w:val="auto"/>
              </w:rPr>
            </w:pPr>
            <w:r>
              <w:rPr>
                <w:rFonts w:ascii="Arial" w:cs="Arial" w:eastAsia="Arial" w:hAnsi="Arial"/>
                <w:sz w:val="13"/>
                <w:szCs w:val="13"/>
                <w:color w:val="auto"/>
              </w:rPr>
              <w:t>855,098</w:t>
            </w:r>
          </w:p>
        </w:tc>
        <w:tc>
          <w:tcPr>
            <w:tcW w:w="30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rPr>
                <w:sz w:val="20"/>
                <w:szCs w:val="20"/>
                <w:color w:val="auto"/>
              </w:rPr>
            </w:pPr>
            <w:r>
              <w:rPr>
                <w:rFonts w:ascii="Arial" w:cs="Arial" w:eastAsia="Arial" w:hAnsi="Arial"/>
                <w:sz w:val="13"/>
                <w:szCs w:val="13"/>
                <w:color w:val="auto"/>
                <w:w w:val="96"/>
              </w:rPr>
              <w:t>$ 2,422,618</w:t>
            </w:r>
          </w:p>
        </w:tc>
        <w:tc>
          <w:tcPr>
            <w:tcW w:w="180" w:type="dxa"/>
            <w:vAlign w:val="bottom"/>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rPr>
              <w:t>1,202,705</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91,341</w:t>
            </w:r>
          </w:p>
        </w:tc>
        <w:tc>
          <w:tcPr>
            <w:tcW w:w="28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rPr>
                <w:sz w:val="20"/>
                <w:szCs w:val="20"/>
                <w:color w:val="auto"/>
              </w:rPr>
            </w:pPr>
            <w:r>
              <w:rPr>
                <w:rFonts w:ascii="Arial" w:cs="Arial" w:eastAsia="Arial" w:hAnsi="Arial"/>
                <w:sz w:val="13"/>
                <w:szCs w:val="13"/>
                <w:color w:val="auto"/>
              </w:rPr>
              <w:t>292,048</w:t>
            </w:r>
          </w:p>
        </w:tc>
        <w:tc>
          <w:tcPr>
            <w:tcW w:w="28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57"/>
              <w:spacing w:after="0"/>
              <w:rPr>
                <w:sz w:val="20"/>
                <w:szCs w:val="20"/>
                <w:color w:val="auto"/>
              </w:rPr>
            </w:pPr>
            <w:r>
              <w:rPr>
                <w:rFonts w:ascii="Arial" w:cs="Arial" w:eastAsia="Arial" w:hAnsi="Arial"/>
                <w:sz w:val="13"/>
                <w:szCs w:val="13"/>
                <w:color w:val="auto"/>
              </w:rPr>
              <w:t>4,863,810</w:t>
            </w:r>
          </w:p>
        </w:tc>
        <w:tc>
          <w:tcPr>
            <w:tcW w:w="0" w:type="dxa"/>
            <w:vAlign w:val="bottom"/>
          </w:tcPr>
          <w:p>
            <w:pPr>
              <w:spacing w:after="0"/>
              <w:rPr>
                <w:sz w:val="1"/>
                <w:szCs w:val="1"/>
                <w:color w:val="auto"/>
              </w:rPr>
            </w:pPr>
          </w:p>
        </w:tc>
      </w:tr>
      <w:tr>
        <w:trPr>
          <w:trHeight w:val="135"/>
        </w:trPr>
        <w:tc>
          <w:tcPr>
            <w:tcW w:w="2740" w:type="dxa"/>
            <w:vAlign w:val="bottom"/>
            <w:shd w:val="clear" w:color="auto" w:fill="FCE9E8"/>
          </w:tcPr>
          <w:p>
            <w:pPr>
              <w:ind w:left="60"/>
              <w:spacing w:after="0" w:line="135" w:lineRule="exact"/>
              <w:rPr>
                <w:sz w:val="20"/>
                <w:szCs w:val="20"/>
                <w:color w:val="auto"/>
              </w:rPr>
            </w:pPr>
            <w:r>
              <w:rPr>
                <w:rFonts w:ascii="Arial" w:cs="Arial" w:eastAsia="Arial" w:hAnsi="Arial"/>
                <w:sz w:val="13"/>
                <w:szCs w:val="13"/>
                <w:color w:val="auto"/>
              </w:rPr>
              <w:t>Chief Executive Officer;</w:t>
            </w:r>
          </w:p>
        </w:tc>
        <w:tc>
          <w:tcPr>
            <w:tcW w:w="4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2015</w:t>
            </w:r>
          </w:p>
        </w:tc>
        <w:tc>
          <w:tcPr>
            <w:tcW w:w="2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834,942</w:t>
            </w:r>
          </w:p>
        </w:tc>
        <w:tc>
          <w:tcPr>
            <w:tcW w:w="3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35" w:lineRule="exact"/>
              <w:rPr>
                <w:sz w:val="20"/>
                <w:szCs w:val="20"/>
                <w:color w:val="auto"/>
              </w:rPr>
            </w:pPr>
            <w:r>
              <w:rPr>
                <w:rFonts w:ascii="Arial" w:cs="Arial" w:eastAsia="Arial" w:hAnsi="Arial"/>
                <w:sz w:val="13"/>
                <w:szCs w:val="13"/>
                <w:color w:val="auto"/>
                <w:w w:val="96"/>
              </w:rPr>
              <w:t>$ 2,355,154</w:t>
            </w:r>
          </w:p>
        </w:tc>
        <w:tc>
          <w:tcPr>
            <w:tcW w:w="1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1,100,889</w:t>
            </w:r>
          </w:p>
        </w:tc>
        <w:tc>
          <w:tcPr>
            <w:tcW w:w="18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285,684</w:t>
            </w:r>
          </w:p>
        </w:tc>
        <w:tc>
          <w:tcPr>
            <w:tcW w:w="2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57"/>
              <w:spacing w:after="0" w:line="135" w:lineRule="exact"/>
              <w:rPr>
                <w:sz w:val="20"/>
                <w:szCs w:val="20"/>
                <w:color w:val="auto"/>
              </w:rPr>
            </w:pPr>
            <w:r>
              <w:rPr>
                <w:rFonts w:ascii="Arial" w:cs="Arial" w:eastAsia="Arial" w:hAnsi="Arial"/>
                <w:sz w:val="13"/>
                <w:szCs w:val="13"/>
                <w:color w:val="auto"/>
              </w:rPr>
              <w:t>4,576,669</w:t>
            </w:r>
          </w:p>
        </w:tc>
        <w:tc>
          <w:tcPr>
            <w:tcW w:w="0" w:type="dxa"/>
            <w:vAlign w:val="bottom"/>
          </w:tcPr>
          <w:p>
            <w:pPr>
              <w:spacing w:after="0"/>
              <w:rPr>
                <w:sz w:val="1"/>
                <w:szCs w:val="1"/>
                <w:color w:val="auto"/>
              </w:rPr>
            </w:pPr>
          </w:p>
        </w:tc>
      </w:tr>
      <w:tr>
        <w:trPr>
          <w:trHeight w:val="135"/>
        </w:trPr>
        <w:tc>
          <w:tcPr>
            <w:tcW w:w="2740" w:type="dxa"/>
            <w:vAlign w:val="bottom"/>
            <w:shd w:val="clear" w:color="auto" w:fill="FCE9E8"/>
          </w:tcPr>
          <w:p>
            <w:pPr>
              <w:ind w:left="60"/>
              <w:spacing w:after="0" w:line="135" w:lineRule="exact"/>
              <w:rPr>
                <w:sz w:val="20"/>
                <w:szCs w:val="20"/>
                <w:color w:val="auto"/>
              </w:rPr>
            </w:pPr>
            <w:r>
              <w:rPr>
                <w:rFonts w:ascii="Arial" w:cs="Arial" w:eastAsia="Arial" w:hAnsi="Arial"/>
                <w:sz w:val="13"/>
                <w:szCs w:val="13"/>
                <w:color w:val="auto"/>
              </w:rPr>
              <w:t>Former Executive</w:t>
            </w:r>
          </w:p>
        </w:tc>
        <w:tc>
          <w:tcPr>
            <w:tcW w:w="4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680" w:type="dxa"/>
            <w:vAlign w:val="bottom"/>
            <w:shd w:val="clear" w:color="auto" w:fill="FCE9E8"/>
          </w:tcPr>
          <w:p>
            <w:pPr>
              <w:spacing w:after="0"/>
              <w:rPr>
                <w:sz w:val="11"/>
                <w:szCs w:val="11"/>
                <w:color w:val="auto"/>
              </w:rPr>
            </w:pPr>
          </w:p>
        </w:tc>
        <w:tc>
          <w:tcPr>
            <w:tcW w:w="300" w:type="dxa"/>
            <w:vAlign w:val="bottom"/>
            <w:shd w:val="clear" w:color="auto" w:fill="FCE9E8"/>
          </w:tcPr>
          <w:p>
            <w:pPr>
              <w:spacing w:after="0"/>
              <w:rPr>
                <w:sz w:val="11"/>
                <w:szCs w:val="11"/>
                <w:color w:val="auto"/>
              </w:rPr>
            </w:pPr>
          </w:p>
        </w:tc>
        <w:tc>
          <w:tcPr>
            <w:tcW w:w="380" w:type="dxa"/>
            <w:vAlign w:val="bottom"/>
            <w:shd w:val="clear" w:color="auto" w:fill="FCE9E8"/>
          </w:tcPr>
          <w:p>
            <w:pPr>
              <w:spacing w:after="0"/>
              <w:rPr>
                <w:sz w:val="11"/>
                <w:szCs w:val="11"/>
                <w:color w:val="auto"/>
              </w:rPr>
            </w:pPr>
          </w:p>
        </w:tc>
        <w:tc>
          <w:tcPr>
            <w:tcW w:w="86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2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820" w:type="dxa"/>
            <w:vAlign w:val="bottom"/>
            <w:shd w:val="clear" w:color="auto" w:fill="FCE9E8"/>
          </w:tcPr>
          <w:p>
            <w:pPr>
              <w:spacing w:after="0"/>
              <w:rPr>
                <w:sz w:val="11"/>
                <w:szCs w:val="11"/>
                <w:color w:val="auto"/>
              </w:rPr>
            </w:pPr>
          </w:p>
        </w:tc>
        <w:tc>
          <w:tcPr>
            <w:tcW w:w="28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8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FCE9E8"/>
          </w:tcPr>
          <w:p>
            <w:pPr>
              <w:ind w:left="60"/>
              <w:spacing w:after="0" w:line="135" w:lineRule="exact"/>
              <w:rPr>
                <w:sz w:val="20"/>
                <w:szCs w:val="20"/>
                <w:color w:val="auto"/>
              </w:rPr>
            </w:pPr>
            <w:r>
              <w:rPr>
                <w:rFonts w:ascii="Arial" w:cs="Arial" w:eastAsia="Arial" w:hAnsi="Arial"/>
                <w:sz w:val="13"/>
                <w:szCs w:val="13"/>
                <w:color w:val="auto"/>
              </w:rPr>
              <w:t>Vice President</w:t>
            </w:r>
          </w:p>
        </w:tc>
        <w:tc>
          <w:tcPr>
            <w:tcW w:w="4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680" w:type="dxa"/>
            <w:vAlign w:val="bottom"/>
            <w:shd w:val="clear" w:color="auto" w:fill="FCE9E8"/>
          </w:tcPr>
          <w:p>
            <w:pPr>
              <w:spacing w:after="0"/>
              <w:rPr>
                <w:sz w:val="11"/>
                <w:szCs w:val="11"/>
                <w:color w:val="auto"/>
              </w:rPr>
            </w:pPr>
          </w:p>
        </w:tc>
        <w:tc>
          <w:tcPr>
            <w:tcW w:w="300" w:type="dxa"/>
            <w:vAlign w:val="bottom"/>
            <w:shd w:val="clear" w:color="auto" w:fill="FCE9E8"/>
          </w:tcPr>
          <w:p>
            <w:pPr>
              <w:spacing w:after="0"/>
              <w:rPr>
                <w:sz w:val="11"/>
                <w:szCs w:val="11"/>
                <w:color w:val="auto"/>
              </w:rPr>
            </w:pPr>
          </w:p>
        </w:tc>
        <w:tc>
          <w:tcPr>
            <w:tcW w:w="380" w:type="dxa"/>
            <w:vAlign w:val="bottom"/>
            <w:shd w:val="clear" w:color="auto" w:fill="FCE9E8"/>
          </w:tcPr>
          <w:p>
            <w:pPr>
              <w:spacing w:after="0"/>
              <w:rPr>
                <w:sz w:val="11"/>
                <w:szCs w:val="11"/>
                <w:color w:val="auto"/>
              </w:rPr>
            </w:pPr>
          </w:p>
        </w:tc>
        <w:tc>
          <w:tcPr>
            <w:tcW w:w="86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2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820" w:type="dxa"/>
            <w:vAlign w:val="bottom"/>
            <w:shd w:val="clear" w:color="auto" w:fill="FCE9E8"/>
          </w:tcPr>
          <w:p>
            <w:pPr>
              <w:spacing w:after="0"/>
              <w:rPr>
                <w:sz w:val="11"/>
                <w:szCs w:val="11"/>
                <w:color w:val="auto"/>
              </w:rPr>
            </w:pPr>
          </w:p>
        </w:tc>
        <w:tc>
          <w:tcPr>
            <w:tcW w:w="28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8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4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3"/>
                <w:szCs w:val="13"/>
                <w:color w:val="auto"/>
              </w:rPr>
              <w:t>and President, Seating</w:t>
            </w:r>
          </w:p>
        </w:tc>
        <w:tc>
          <w:tcPr>
            <w:tcW w:w="46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680" w:type="dxa"/>
            <w:vAlign w:val="bottom"/>
            <w:tcBorders>
              <w:bottom w:val="single" w:sz="8" w:color="auto"/>
            </w:tcBorders>
            <w:shd w:val="clear" w:color="auto" w:fill="FCE9E8"/>
          </w:tcPr>
          <w:p>
            <w:pPr>
              <w:spacing w:after="0"/>
              <w:rPr>
                <w:sz w:val="13"/>
                <w:szCs w:val="13"/>
                <w:color w:val="auto"/>
              </w:rPr>
            </w:pPr>
          </w:p>
        </w:tc>
        <w:tc>
          <w:tcPr>
            <w:tcW w:w="300" w:type="dxa"/>
            <w:vAlign w:val="bottom"/>
            <w:tcBorders>
              <w:bottom w:val="single" w:sz="8" w:color="auto"/>
            </w:tcBorders>
            <w:shd w:val="clear" w:color="auto" w:fill="FCE9E8"/>
          </w:tcPr>
          <w:p>
            <w:pPr>
              <w:spacing w:after="0"/>
              <w:rPr>
                <w:sz w:val="13"/>
                <w:szCs w:val="13"/>
                <w:color w:val="auto"/>
              </w:rPr>
            </w:pPr>
          </w:p>
        </w:tc>
        <w:tc>
          <w:tcPr>
            <w:tcW w:w="380" w:type="dxa"/>
            <w:vAlign w:val="bottom"/>
            <w:tcBorders>
              <w:bottom w:val="single" w:sz="8" w:color="auto"/>
            </w:tcBorders>
            <w:shd w:val="clear" w:color="auto" w:fill="FCE9E8"/>
          </w:tcPr>
          <w:p>
            <w:pPr>
              <w:spacing w:after="0"/>
              <w:rPr>
                <w:sz w:val="13"/>
                <w:szCs w:val="13"/>
                <w:color w:val="auto"/>
              </w:rPr>
            </w:pPr>
          </w:p>
        </w:tc>
        <w:tc>
          <w:tcPr>
            <w:tcW w:w="860" w:type="dxa"/>
            <w:vAlign w:val="bottom"/>
            <w:tcBorders>
              <w:bottom w:val="single" w:sz="8" w:color="auto"/>
            </w:tcBorders>
            <w:shd w:val="clear" w:color="auto" w:fill="FCE9E8"/>
          </w:tcPr>
          <w:p>
            <w:pPr>
              <w:spacing w:after="0"/>
              <w:rPr>
                <w:sz w:val="13"/>
                <w:szCs w:val="13"/>
                <w:color w:val="auto"/>
              </w:rPr>
            </w:pPr>
          </w:p>
        </w:tc>
        <w:tc>
          <w:tcPr>
            <w:tcW w:w="180" w:type="dxa"/>
            <w:vAlign w:val="bottom"/>
            <w:tcBorders>
              <w:bottom w:val="single" w:sz="8" w:color="auto"/>
            </w:tcBorders>
            <w:shd w:val="clear" w:color="auto" w:fill="FCE9E8"/>
          </w:tcPr>
          <w:p>
            <w:pPr>
              <w:spacing w:after="0"/>
              <w:rPr>
                <w:sz w:val="13"/>
                <w:szCs w:val="13"/>
                <w:color w:val="auto"/>
              </w:rPr>
            </w:pPr>
          </w:p>
        </w:tc>
        <w:tc>
          <w:tcPr>
            <w:tcW w:w="540" w:type="dxa"/>
            <w:vAlign w:val="bottom"/>
            <w:tcBorders>
              <w:bottom w:val="single" w:sz="8" w:color="auto"/>
            </w:tcBorders>
            <w:shd w:val="clear" w:color="auto" w:fill="FCE9E8"/>
          </w:tcPr>
          <w:p>
            <w:pPr>
              <w:spacing w:after="0"/>
              <w:rPr>
                <w:sz w:val="13"/>
                <w:szCs w:val="13"/>
                <w:color w:val="auto"/>
              </w:rPr>
            </w:pPr>
          </w:p>
        </w:tc>
        <w:tc>
          <w:tcPr>
            <w:tcW w:w="24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180" w:type="dxa"/>
            <w:vAlign w:val="bottom"/>
            <w:tcBorders>
              <w:bottom w:val="single" w:sz="8" w:color="auto"/>
            </w:tcBorders>
            <w:shd w:val="clear" w:color="auto" w:fill="FCE9E8"/>
          </w:tcPr>
          <w:p>
            <w:pPr>
              <w:spacing w:after="0"/>
              <w:rPr>
                <w:sz w:val="13"/>
                <w:szCs w:val="13"/>
                <w:color w:val="auto"/>
              </w:rPr>
            </w:pPr>
          </w:p>
        </w:tc>
        <w:tc>
          <w:tcPr>
            <w:tcW w:w="820" w:type="dxa"/>
            <w:vAlign w:val="bottom"/>
            <w:tcBorders>
              <w:bottom w:val="single" w:sz="8" w:color="auto"/>
            </w:tcBorders>
            <w:shd w:val="clear" w:color="auto" w:fill="FCE9E8"/>
          </w:tcPr>
          <w:p>
            <w:pPr>
              <w:spacing w:after="0"/>
              <w:rPr>
                <w:sz w:val="13"/>
                <w:szCs w:val="13"/>
                <w:color w:val="auto"/>
              </w:rPr>
            </w:pPr>
          </w:p>
        </w:tc>
        <w:tc>
          <w:tcPr>
            <w:tcW w:w="280" w:type="dxa"/>
            <w:vAlign w:val="bottom"/>
            <w:tcBorders>
              <w:bottom w:val="single" w:sz="8" w:color="auto"/>
            </w:tcBorders>
            <w:shd w:val="clear" w:color="auto" w:fill="FCE9E8"/>
          </w:tcPr>
          <w:p>
            <w:pPr>
              <w:spacing w:after="0"/>
              <w:rPr>
                <w:sz w:val="13"/>
                <w:szCs w:val="13"/>
                <w:color w:val="auto"/>
              </w:rPr>
            </w:pPr>
          </w:p>
        </w:tc>
        <w:tc>
          <w:tcPr>
            <w:tcW w:w="960" w:type="dxa"/>
            <w:vAlign w:val="bottom"/>
            <w:tcBorders>
              <w:bottom w:val="single" w:sz="8" w:color="auto"/>
            </w:tcBorders>
            <w:shd w:val="clear" w:color="auto" w:fill="FCE9E8"/>
          </w:tcPr>
          <w:p>
            <w:pPr>
              <w:spacing w:after="0"/>
              <w:rPr>
                <w:sz w:val="13"/>
                <w:szCs w:val="13"/>
                <w:color w:val="auto"/>
              </w:rPr>
            </w:pPr>
          </w:p>
        </w:tc>
        <w:tc>
          <w:tcPr>
            <w:tcW w:w="280" w:type="dxa"/>
            <w:vAlign w:val="bottom"/>
            <w:tcBorders>
              <w:bottom w:val="single" w:sz="8" w:color="auto"/>
            </w:tcBorders>
            <w:shd w:val="clear" w:color="auto" w:fill="FCE9E8"/>
          </w:tcPr>
          <w:p>
            <w:pPr>
              <w:spacing w:after="0"/>
              <w:rPr>
                <w:sz w:val="13"/>
                <w:szCs w:val="13"/>
                <w:color w:val="auto"/>
              </w:rPr>
            </w:pPr>
          </w:p>
        </w:tc>
        <w:tc>
          <w:tcPr>
            <w:tcW w:w="84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740" w:type="dxa"/>
            <w:vAlign w:val="bottom"/>
          </w:tcPr>
          <w:p>
            <w:pPr>
              <w:ind w:left="60"/>
              <w:spacing w:after="0" w:line="147" w:lineRule="exact"/>
              <w:rPr>
                <w:sz w:val="20"/>
                <w:szCs w:val="20"/>
                <w:color w:val="auto"/>
              </w:rPr>
            </w:pPr>
            <w:r>
              <w:rPr>
                <w:rFonts w:ascii="Arial" w:cs="Arial" w:eastAsia="Arial" w:hAnsi="Arial"/>
                <w:sz w:val="13"/>
                <w:szCs w:val="13"/>
                <w:color w:val="auto"/>
              </w:rPr>
              <w:t>Terrence B. Larkin</w:t>
            </w: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2017</w:t>
            </w:r>
          </w:p>
        </w:tc>
        <w:tc>
          <w:tcPr>
            <w:tcW w:w="2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47" w:lineRule="exact"/>
              <w:rPr>
                <w:sz w:val="20"/>
                <w:szCs w:val="20"/>
                <w:color w:val="auto"/>
              </w:rPr>
            </w:pPr>
            <w:r>
              <w:rPr>
                <w:rFonts w:ascii="Arial" w:cs="Arial" w:eastAsia="Arial" w:hAnsi="Arial"/>
                <w:sz w:val="13"/>
                <w:szCs w:val="13"/>
                <w:color w:val="auto"/>
              </w:rPr>
              <w:t>855,098</w:t>
            </w:r>
          </w:p>
        </w:tc>
        <w:tc>
          <w:tcPr>
            <w:tcW w:w="300" w:type="dxa"/>
            <w:vAlign w:val="bottom"/>
          </w:tcPr>
          <w:p>
            <w:pPr>
              <w:ind w:left="80"/>
              <w:spacing w:after="0" w:line="147" w:lineRule="exact"/>
              <w:rPr>
                <w:sz w:val="20"/>
                <w:szCs w:val="20"/>
                <w:color w:val="auto"/>
              </w:rPr>
            </w:pPr>
            <w:r>
              <w:rPr>
                <w:rFonts w:ascii="Arial" w:cs="Arial" w:eastAsia="Arial" w:hAnsi="Arial"/>
                <w:sz w:val="13"/>
                <w:szCs w:val="13"/>
                <w:color w:val="auto"/>
              </w:rPr>
              <w:t>$</w:t>
            </w:r>
          </w:p>
        </w:tc>
        <w:tc>
          <w:tcPr>
            <w:tcW w:w="380" w:type="dxa"/>
            <w:vAlign w:val="bottom"/>
          </w:tcPr>
          <w:p>
            <w:pPr>
              <w:ind w:left="16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center"/>
              <w:spacing w:after="0" w:line="147" w:lineRule="exact"/>
              <w:rPr>
                <w:sz w:val="20"/>
                <w:szCs w:val="20"/>
                <w:color w:val="auto"/>
              </w:rPr>
            </w:pPr>
            <w:r>
              <w:rPr>
                <w:rFonts w:ascii="Arial" w:cs="Arial" w:eastAsia="Arial" w:hAnsi="Arial"/>
                <w:sz w:val="13"/>
                <w:szCs w:val="13"/>
                <w:color w:val="auto"/>
                <w:w w:val="96"/>
              </w:rPr>
              <w:t>$ 2,566,739</w:t>
            </w:r>
          </w:p>
        </w:tc>
        <w:tc>
          <w:tcPr>
            <w:tcW w:w="180" w:type="dxa"/>
            <w:vAlign w:val="bottom"/>
          </w:tcPr>
          <w:p>
            <w:pPr>
              <w:ind w:left="100"/>
              <w:spacing w:after="0" w:line="147" w:lineRule="exact"/>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47"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line="147" w:lineRule="exact"/>
              <w:rPr>
                <w:sz w:val="20"/>
                <w:szCs w:val="20"/>
                <w:color w:val="auto"/>
              </w:rPr>
            </w:pPr>
            <w:r>
              <w:rPr>
                <w:rFonts w:ascii="Arial" w:cs="Arial" w:eastAsia="Arial" w:hAnsi="Arial"/>
                <w:sz w:val="13"/>
                <w:szCs w:val="13"/>
                <w:color w:val="auto"/>
              </w:rPr>
              <w:t>1,197,137</w:t>
            </w:r>
          </w:p>
        </w:tc>
        <w:tc>
          <w:tcPr>
            <w:tcW w:w="180" w:type="dxa"/>
            <w:vAlign w:val="bottom"/>
          </w:tcPr>
          <w:p>
            <w:pPr>
              <w:ind w:left="80"/>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8"/>
              <w:spacing w:after="0" w:line="147" w:lineRule="exact"/>
              <w:rPr>
                <w:sz w:val="20"/>
                <w:szCs w:val="20"/>
                <w:color w:val="auto"/>
              </w:rPr>
            </w:pPr>
            <w:r>
              <w:rPr>
                <w:rFonts w:ascii="Arial" w:cs="Arial" w:eastAsia="Arial" w:hAnsi="Arial"/>
                <w:sz w:val="13"/>
                <w:szCs w:val="13"/>
                <w:color w:val="auto"/>
              </w:rPr>
              <w:t>—</w:t>
            </w:r>
          </w:p>
        </w:tc>
        <w:tc>
          <w:tcPr>
            <w:tcW w:w="280" w:type="dxa"/>
            <w:vAlign w:val="bottom"/>
          </w:tcPr>
          <w:p>
            <w:pPr>
              <w:ind w:left="100"/>
              <w:spacing w:after="0" w:line="147"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47" w:lineRule="exact"/>
              <w:rPr>
                <w:sz w:val="20"/>
                <w:szCs w:val="20"/>
                <w:color w:val="auto"/>
              </w:rPr>
            </w:pPr>
            <w:r>
              <w:rPr>
                <w:rFonts w:ascii="Arial" w:cs="Arial" w:eastAsia="Arial" w:hAnsi="Arial"/>
                <w:sz w:val="13"/>
                <w:szCs w:val="13"/>
                <w:color w:val="auto"/>
              </w:rPr>
              <w:t>310,626</w:t>
            </w:r>
          </w:p>
        </w:tc>
        <w:tc>
          <w:tcPr>
            <w:tcW w:w="280" w:type="dxa"/>
            <w:vAlign w:val="bottom"/>
          </w:tcPr>
          <w:p>
            <w:pPr>
              <w:ind w:left="100"/>
              <w:spacing w:after="0" w:line="147"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7" w:lineRule="exact"/>
              <w:rPr>
                <w:sz w:val="20"/>
                <w:szCs w:val="20"/>
                <w:color w:val="auto"/>
              </w:rPr>
            </w:pPr>
            <w:r>
              <w:rPr>
                <w:rFonts w:ascii="Arial" w:cs="Arial" w:eastAsia="Arial" w:hAnsi="Arial"/>
                <w:sz w:val="13"/>
                <w:szCs w:val="13"/>
                <w:color w:val="auto"/>
              </w:rPr>
              <w:t>4,929,600</w:t>
            </w:r>
          </w:p>
        </w:tc>
        <w:tc>
          <w:tcPr>
            <w:tcW w:w="0" w:type="dxa"/>
            <w:vAlign w:val="bottom"/>
          </w:tcPr>
          <w:p>
            <w:pPr>
              <w:spacing w:after="0"/>
              <w:rPr>
                <w:sz w:val="1"/>
                <w:szCs w:val="1"/>
                <w:color w:val="auto"/>
              </w:rPr>
            </w:pPr>
          </w:p>
        </w:tc>
      </w:tr>
      <w:tr>
        <w:trPr>
          <w:trHeight w:val="220"/>
        </w:trPr>
        <w:tc>
          <w:tcPr>
            <w:tcW w:w="2740" w:type="dxa"/>
            <w:vAlign w:val="bottom"/>
          </w:tcPr>
          <w:p>
            <w:pPr>
              <w:ind w:left="60"/>
              <w:spacing w:after="0"/>
              <w:rPr>
                <w:sz w:val="20"/>
                <w:szCs w:val="20"/>
                <w:color w:val="auto"/>
              </w:rPr>
            </w:pPr>
            <w:r>
              <w:rPr>
                <w:rFonts w:ascii="Arial" w:cs="Arial" w:eastAsia="Arial" w:hAnsi="Arial"/>
                <w:sz w:val="13"/>
                <w:szCs w:val="13"/>
                <w:color w:val="auto"/>
              </w:rPr>
              <w:t>Executive Vice President,</w:t>
            </w:r>
          </w:p>
        </w:tc>
        <w:tc>
          <w:tcPr>
            <w:tcW w:w="460" w:type="dxa"/>
            <w:vAlign w:val="bottom"/>
          </w:tcPr>
          <w:p>
            <w:pPr>
              <w:jc w:val="right"/>
              <w:spacing w:after="0"/>
              <w:rPr>
                <w:sz w:val="20"/>
                <w:szCs w:val="20"/>
                <w:color w:val="auto"/>
              </w:rPr>
            </w:pPr>
            <w:r>
              <w:rPr>
                <w:rFonts w:ascii="Arial" w:cs="Arial" w:eastAsia="Arial" w:hAnsi="Arial"/>
                <w:sz w:val="13"/>
                <w:szCs w:val="13"/>
                <w:color w:val="auto"/>
              </w:rPr>
              <w:t>2016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855,098</w:t>
            </w:r>
          </w:p>
        </w:tc>
        <w:tc>
          <w:tcPr>
            <w:tcW w:w="300" w:type="dxa"/>
            <w:vAlign w:val="bottom"/>
          </w:tcPr>
          <w:p>
            <w:pPr>
              <w:ind w:left="80"/>
              <w:spacing w:after="0"/>
              <w:rPr>
                <w:sz w:val="20"/>
                <w:szCs w:val="20"/>
                <w:color w:val="auto"/>
              </w:rPr>
            </w:pPr>
            <w:r>
              <w:rPr>
                <w:rFonts w:ascii="Arial" w:cs="Arial" w:eastAsia="Arial" w:hAnsi="Arial"/>
                <w:sz w:val="13"/>
                <w:szCs w:val="13"/>
                <w:color w:val="auto"/>
              </w:rPr>
              <w:t>$</w:t>
            </w:r>
          </w:p>
        </w:tc>
        <w:tc>
          <w:tcPr>
            <w:tcW w:w="380" w:type="dxa"/>
            <w:vAlign w:val="bottom"/>
          </w:tcPr>
          <w:p>
            <w:pPr>
              <w:ind w:left="160"/>
              <w:spacing w:after="0"/>
              <w:rPr>
                <w:sz w:val="20"/>
                <w:szCs w:val="20"/>
                <w:color w:val="auto"/>
              </w:rPr>
            </w:pPr>
            <w:r>
              <w:rPr>
                <w:rFonts w:ascii="Arial" w:cs="Arial" w:eastAsia="Arial" w:hAnsi="Arial"/>
                <w:sz w:val="13"/>
                <w:szCs w:val="13"/>
                <w:color w:val="auto"/>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$ 2,422,618</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rPr>
                <w:sz w:val="20"/>
                <w:szCs w:val="20"/>
                <w:color w:val="auto"/>
              </w:rPr>
            </w:pPr>
            <w:r>
              <w:rPr>
                <w:rFonts w:ascii="Arial" w:cs="Arial" w:eastAsia="Arial" w:hAnsi="Arial"/>
                <w:sz w:val="13"/>
                <w:szCs w:val="13"/>
                <w:color w:val="auto"/>
              </w:rPr>
              <w:t>1,202,705</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280" w:type="dxa"/>
            <w:vAlign w:val="bottom"/>
          </w:tcPr>
          <w:p>
            <w:pPr>
              <w:ind w:left="1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266,911</w:t>
            </w:r>
          </w:p>
        </w:tc>
        <w:tc>
          <w:tcPr>
            <w:tcW w:w="280" w:type="dxa"/>
            <w:vAlign w:val="bottom"/>
          </w:tcPr>
          <w:p>
            <w:pPr>
              <w:ind w:lef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4,747,332</w:t>
            </w:r>
          </w:p>
        </w:tc>
        <w:tc>
          <w:tcPr>
            <w:tcW w:w="0" w:type="dxa"/>
            <w:vAlign w:val="bottom"/>
          </w:tcPr>
          <w:p>
            <w:pPr>
              <w:spacing w:after="0"/>
              <w:rPr>
                <w:sz w:val="1"/>
                <w:szCs w:val="1"/>
                <w:color w:val="auto"/>
              </w:rPr>
            </w:pPr>
          </w:p>
        </w:tc>
      </w:tr>
      <w:tr>
        <w:trPr>
          <w:trHeight w:val="135"/>
        </w:trPr>
        <w:tc>
          <w:tcPr>
            <w:tcW w:w="2740" w:type="dxa"/>
            <w:vAlign w:val="bottom"/>
          </w:tcPr>
          <w:p>
            <w:pPr>
              <w:ind w:left="60"/>
              <w:spacing w:after="0" w:line="135" w:lineRule="exact"/>
              <w:rPr>
                <w:sz w:val="20"/>
                <w:szCs w:val="20"/>
                <w:color w:val="auto"/>
              </w:rPr>
            </w:pPr>
            <w:r>
              <w:rPr>
                <w:rFonts w:ascii="Arial" w:cs="Arial" w:eastAsia="Arial" w:hAnsi="Arial"/>
                <w:sz w:val="13"/>
                <w:szCs w:val="13"/>
                <w:color w:val="auto"/>
              </w:rPr>
              <w:t>Business Development,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2015</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834,942</w:t>
            </w:r>
          </w:p>
        </w:tc>
        <w:tc>
          <w:tcPr>
            <w:tcW w:w="3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6"/>
              </w:rPr>
              <w:t>$ 2,355,154</w:t>
            </w:r>
          </w:p>
        </w:tc>
        <w:tc>
          <w:tcPr>
            <w:tcW w:w="180" w:type="dxa"/>
            <w:vAlign w:val="bottom"/>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1,100,889</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261,183</w:t>
            </w: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4,552,168</w:t>
            </w:r>
          </w:p>
        </w:tc>
        <w:tc>
          <w:tcPr>
            <w:tcW w:w="0" w:type="dxa"/>
            <w:vAlign w:val="bottom"/>
          </w:tcPr>
          <w:p>
            <w:pPr>
              <w:spacing w:after="0"/>
              <w:rPr>
                <w:sz w:val="1"/>
                <w:szCs w:val="1"/>
                <w:color w:val="auto"/>
              </w:rPr>
            </w:pPr>
          </w:p>
        </w:tc>
      </w:tr>
      <w:tr>
        <w:trPr>
          <w:trHeight w:val="135"/>
        </w:trPr>
        <w:tc>
          <w:tcPr>
            <w:tcW w:w="2740" w:type="dxa"/>
            <w:vAlign w:val="bottom"/>
          </w:tcPr>
          <w:p>
            <w:pPr>
              <w:ind w:left="60"/>
              <w:spacing w:after="0" w:line="135" w:lineRule="exact"/>
              <w:rPr>
                <w:sz w:val="20"/>
                <w:szCs w:val="20"/>
                <w:color w:val="auto"/>
              </w:rPr>
            </w:pPr>
            <w:r>
              <w:rPr>
                <w:rFonts w:ascii="Arial" w:cs="Arial" w:eastAsia="Arial" w:hAnsi="Arial"/>
                <w:sz w:val="13"/>
                <w:szCs w:val="13"/>
                <w:color w:val="auto"/>
              </w:rPr>
              <w:t>General Counsel and</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Corporate Secretary</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FCE9E8"/>
          </w:tcPr>
          <w:p>
            <w:pPr>
              <w:ind w:left="60"/>
              <w:spacing w:after="0" w:line="130" w:lineRule="exact"/>
              <w:rPr>
                <w:sz w:val="20"/>
                <w:szCs w:val="20"/>
                <w:color w:val="auto"/>
              </w:rPr>
            </w:pPr>
            <w:r>
              <w:rPr>
                <w:rFonts w:ascii="Arial" w:cs="Arial" w:eastAsia="Arial" w:hAnsi="Arial"/>
                <w:sz w:val="13"/>
                <w:szCs w:val="13"/>
                <w:color w:val="auto"/>
              </w:rPr>
              <w:t>Frank C. Orsini,</w:t>
            </w:r>
          </w:p>
        </w:tc>
        <w:tc>
          <w:tcPr>
            <w:tcW w:w="460" w:type="dxa"/>
            <w:vAlign w:val="bottom"/>
            <w:shd w:val="clear" w:color="auto" w:fill="FCE9E8"/>
          </w:tcPr>
          <w:p>
            <w:pPr>
              <w:jc w:val="right"/>
              <w:spacing w:after="0" w:line="130" w:lineRule="exact"/>
              <w:rPr>
                <w:sz w:val="20"/>
                <w:szCs w:val="20"/>
                <w:color w:val="auto"/>
              </w:rPr>
            </w:pPr>
            <w:r>
              <w:rPr>
                <w:rFonts w:ascii="Arial" w:cs="Arial" w:eastAsia="Arial" w:hAnsi="Arial"/>
                <w:sz w:val="13"/>
                <w:szCs w:val="13"/>
                <w:color w:val="auto"/>
              </w:rPr>
              <w:t>2017</w:t>
            </w:r>
          </w:p>
        </w:tc>
        <w:tc>
          <w:tcPr>
            <w:tcW w:w="260" w:type="dxa"/>
            <w:vAlign w:val="bottom"/>
            <w:shd w:val="clear" w:color="auto" w:fill="FCE9E8"/>
          </w:tcPr>
          <w:p>
            <w:pPr>
              <w:jc w:val="right"/>
              <w:spacing w:after="0" w:line="130"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30" w:lineRule="exact"/>
              <w:rPr>
                <w:sz w:val="20"/>
                <w:szCs w:val="20"/>
                <w:color w:val="auto"/>
              </w:rPr>
            </w:pPr>
            <w:r>
              <w:rPr>
                <w:rFonts w:ascii="Arial" w:cs="Arial" w:eastAsia="Arial" w:hAnsi="Arial"/>
                <w:sz w:val="13"/>
                <w:szCs w:val="13"/>
                <w:color w:val="auto"/>
              </w:rPr>
              <w:t>736,375</w:t>
            </w:r>
          </w:p>
        </w:tc>
        <w:tc>
          <w:tcPr>
            <w:tcW w:w="300" w:type="dxa"/>
            <w:vAlign w:val="bottom"/>
            <w:shd w:val="clear" w:color="auto" w:fill="FCE9E8"/>
          </w:tcPr>
          <w:p>
            <w:pPr>
              <w:ind w:left="80"/>
              <w:spacing w:after="0" w:line="130"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30"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30" w:lineRule="exact"/>
              <w:rPr>
                <w:sz w:val="20"/>
                <w:szCs w:val="20"/>
                <w:color w:val="auto"/>
              </w:rPr>
            </w:pPr>
            <w:r>
              <w:rPr>
                <w:rFonts w:ascii="Arial" w:cs="Arial" w:eastAsia="Arial" w:hAnsi="Arial"/>
                <w:sz w:val="13"/>
                <w:szCs w:val="13"/>
                <w:color w:val="auto"/>
                <w:w w:val="96"/>
              </w:rPr>
              <w:t>$ 2,151,892</w:t>
            </w:r>
          </w:p>
        </w:tc>
        <w:tc>
          <w:tcPr>
            <w:tcW w:w="180" w:type="dxa"/>
            <w:vAlign w:val="bottom"/>
            <w:shd w:val="clear" w:color="auto" w:fill="FCE9E8"/>
          </w:tcPr>
          <w:p>
            <w:pPr>
              <w:ind w:left="100"/>
              <w:spacing w:after="0" w:line="130"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30"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30"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30" w:lineRule="exact"/>
              <w:rPr>
                <w:sz w:val="20"/>
                <w:szCs w:val="20"/>
                <w:color w:val="auto"/>
              </w:rPr>
            </w:pPr>
            <w:r>
              <w:rPr>
                <w:rFonts w:ascii="Arial" w:cs="Arial" w:eastAsia="Arial" w:hAnsi="Arial"/>
                <w:sz w:val="13"/>
                <w:szCs w:val="13"/>
                <w:color w:val="auto"/>
              </w:rPr>
              <w:t>1,159,791</w:t>
            </w:r>
          </w:p>
        </w:tc>
        <w:tc>
          <w:tcPr>
            <w:tcW w:w="180" w:type="dxa"/>
            <w:vAlign w:val="bottom"/>
            <w:shd w:val="clear" w:color="auto" w:fill="FCE9E8"/>
          </w:tcPr>
          <w:p>
            <w:pPr>
              <w:ind w:left="80"/>
              <w:spacing w:after="0" w:line="130"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8"/>
              <w:spacing w:after="0" w:line="130" w:lineRule="exact"/>
              <w:rPr>
                <w:sz w:val="20"/>
                <w:szCs w:val="20"/>
                <w:color w:val="auto"/>
              </w:rPr>
            </w:pPr>
            <w:r>
              <w:rPr>
                <w:rFonts w:ascii="Arial" w:cs="Arial" w:eastAsia="Arial" w:hAnsi="Arial"/>
                <w:sz w:val="13"/>
                <w:szCs w:val="13"/>
                <w:color w:val="auto"/>
              </w:rPr>
              <w:t>61,174</w:t>
            </w:r>
          </w:p>
        </w:tc>
        <w:tc>
          <w:tcPr>
            <w:tcW w:w="280" w:type="dxa"/>
            <w:vAlign w:val="bottom"/>
            <w:shd w:val="clear" w:color="auto" w:fill="FCE9E8"/>
          </w:tcPr>
          <w:p>
            <w:pPr>
              <w:ind w:left="100"/>
              <w:spacing w:after="0" w:line="130"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30" w:lineRule="exact"/>
              <w:rPr>
                <w:sz w:val="20"/>
                <w:szCs w:val="20"/>
                <w:color w:val="auto"/>
              </w:rPr>
            </w:pPr>
            <w:r>
              <w:rPr>
                <w:rFonts w:ascii="Arial" w:cs="Arial" w:eastAsia="Arial" w:hAnsi="Arial"/>
                <w:sz w:val="13"/>
                <w:szCs w:val="13"/>
                <w:color w:val="auto"/>
              </w:rPr>
              <w:t>237,541</w:t>
            </w:r>
          </w:p>
        </w:tc>
        <w:tc>
          <w:tcPr>
            <w:tcW w:w="280" w:type="dxa"/>
            <w:vAlign w:val="bottom"/>
            <w:shd w:val="clear" w:color="auto" w:fill="FCE9E8"/>
          </w:tcPr>
          <w:p>
            <w:pPr>
              <w:ind w:left="100"/>
              <w:spacing w:after="0" w:line="130"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57"/>
              <w:spacing w:after="0" w:line="130" w:lineRule="exact"/>
              <w:rPr>
                <w:sz w:val="20"/>
                <w:szCs w:val="20"/>
                <w:color w:val="auto"/>
              </w:rPr>
            </w:pPr>
            <w:r>
              <w:rPr>
                <w:rFonts w:ascii="Arial" w:cs="Arial" w:eastAsia="Arial" w:hAnsi="Arial"/>
                <w:sz w:val="13"/>
                <w:szCs w:val="13"/>
                <w:color w:val="auto"/>
              </w:rPr>
              <w:t>4,346,773</w:t>
            </w:r>
          </w:p>
        </w:tc>
        <w:tc>
          <w:tcPr>
            <w:tcW w:w="0" w:type="dxa"/>
            <w:vAlign w:val="bottom"/>
          </w:tcPr>
          <w:p>
            <w:pPr>
              <w:spacing w:after="0"/>
              <w:rPr>
                <w:sz w:val="1"/>
                <w:szCs w:val="1"/>
                <w:color w:val="auto"/>
              </w:rPr>
            </w:pPr>
          </w:p>
        </w:tc>
      </w:tr>
      <w:tr>
        <w:trPr>
          <w:trHeight w:val="237"/>
        </w:trPr>
        <w:tc>
          <w:tcPr>
            <w:tcW w:w="2740" w:type="dxa"/>
            <w:vAlign w:val="bottom"/>
            <w:shd w:val="clear" w:color="auto" w:fill="FCE9E8"/>
          </w:tcPr>
          <w:p>
            <w:pPr>
              <w:ind w:left="60"/>
              <w:spacing w:after="0"/>
              <w:rPr>
                <w:sz w:val="20"/>
                <w:szCs w:val="20"/>
                <w:color w:val="auto"/>
              </w:rPr>
            </w:pPr>
            <w:r>
              <w:rPr>
                <w:rFonts w:ascii="Arial" w:cs="Arial" w:eastAsia="Arial" w:hAnsi="Arial"/>
                <w:sz w:val="13"/>
                <w:szCs w:val="13"/>
                <w:color w:val="auto"/>
              </w:rPr>
              <w:t>Executive Vice President and</w:t>
            </w:r>
          </w:p>
        </w:tc>
        <w:tc>
          <w:tcPr>
            <w:tcW w:w="4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2016</w:t>
            </w:r>
          </w:p>
        </w:tc>
        <w:tc>
          <w:tcPr>
            <w:tcW w:w="2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rPr>
                <w:sz w:val="20"/>
                <w:szCs w:val="20"/>
                <w:color w:val="auto"/>
              </w:rPr>
            </w:pPr>
            <w:r>
              <w:rPr>
                <w:rFonts w:ascii="Arial" w:cs="Arial" w:eastAsia="Arial" w:hAnsi="Arial"/>
                <w:sz w:val="13"/>
                <w:szCs w:val="13"/>
                <w:color w:val="auto"/>
              </w:rPr>
              <w:t>736,375</w:t>
            </w:r>
          </w:p>
        </w:tc>
        <w:tc>
          <w:tcPr>
            <w:tcW w:w="30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rPr>
                <w:sz w:val="20"/>
                <w:szCs w:val="20"/>
                <w:color w:val="auto"/>
              </w:rPr>
            </w:pPr>
            <w:r>
              <w:rPr>
                <w:rFonts w:ascii="Arial" w:cs="Arial" w:eastAsia="Arial" w:hAnsi="Arial"/>
                <w:sz w:val="13"/>
                <w:szCs w:val="13"/>
                <w:color w:val="auto"/>
                <w:w w:val="96"/>
              </w:rPr>
              <w:t>$ 2,024,162</w:t>
            </w:r>
          </w:p>
        </w:tc>
        <w:tc>
          <w:tcPr>
            <w:tcW w:w="180" w:type="dxa"/>
            <w:vAlign w:val="bottom"/>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rPr>
              <w:t>1,035,720</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42,188</w:t>
            </w:r>
          </w:p>
        </w:tc>
        <w:tc>
          <w:tcPr>
            <w:tcW w:w="28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rPr>
                <w:sz w:val="20"/>
                <w:szCs w:val="20"/>
                <w:color w:val="auto"/>
              </w:rPr>
            </w:pPr>
            <w:r>
              <w:rPr>
                <w:rFonts w:ascii="Arial" w:cs="Arial" w:eastAsia="Arial" w:hAnsi="Arial"/>
                <w:sz w:val="13"/>
                <w:szCs w:val="13"/>
                <w:color w:val="auto"/>
              </w:rPr>
              <w:t>225,545</w:t>
            </w:r>
          </w:p>
        </w:tc>
        <w:tc>
          <w:tcPr>
            <w:tcW w:w="28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57"/>
              <w:spacing w:after="0"/>
              <w:rPr>
                <w:sz w:val="20"/>
                <w:szCs w:val="20"/>
                <w:color w:val="auto"/>
              </w:rPr>
            </w:pPr>
            <w:r>
              <w:rPr>
                <w:rFonts w:ascii="Arial" w:cs="Arial" w:eastAsia="Arial" w:hAnsi="Arial"/>
                <w:sz w:val="13"/>
                <w:szCs w:val="13"/>
                <w:color w:val="auto"/>
              </w:rPr>
              <w:t>4,063,990</w:t>
            </w:r>
          </w:p>
        </w:tc>
        <w:tc>
          <w:tcPr>
            <w:tcW w:w="0" w:type="dxa"/>
            <w:vAlign w:val="bottom"/>
          </w:tcPr>
          <w:p>
            <w:pPr>
              <w:spacing w:after="0"/>
              <w:rPr>
                <w:sz w:val="1"/>
                <w:szCs w:val="1"/>
                <w:color w:val="auto"/>
              </w:rPr>
            </w:pPr>
          </w:p>
        </w:tc>
      </w:tr>
      <w:tr>
        <w:trPr>
          <w:trHeight w:val="135"/>
        </w:trPr>
        <w:tc>
          <w:tcPr>
            <w:tcW w:w="2740" w:type="dxa"/>
            <w:vAlign w:val="bottom"/>
            <w:shd w:val="clear" w:color="auto" w:fill="FCE9E8"/>
          </w:tcPr>
          <w:p>
            <w:pPr>
              <w:ind w:left="60"/>
              <w:spacing w:after="0" w:line="135" w:lineRule="exact"/>
              <w:rPr>
                <w:sz w:val="20"/>
                <w:szCs w:val="20"/>
                <w:color w:val="auto"/>
              </w:rPr>
            </w:pPr>
            <w:r>
              <w:rPr>
                <w:rFonts w:ascii="Arial" w:cs="Arial" w:eastAsia="Arial" w:hAnsi="Arial"/>
                <w:sz w:val="13"/>
                <w:szCs w:val="13"/>
                <w:color w:val="auto"/>
              </w:rPr>
              <w:t>President, Seating;</w:t>
            </w:r>
          </w:p>
        </w:tc>
        <w:tc>
          <w:tcPr>
            <w:tcW w:w="4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2015</w:t>
            </w:r>
          </w:p>
        </w:tc>
        <w:tc>
          <w:tcPr>
            <w:tcW w:w="2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708,156</w:t>
            </w:r>
          </w:p>
        </w:tc>
        <w:tc>
          <w:tcPr>
            <w:tcW w:w="3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35" w:lineRule="exact"/>
              <w:rPr>
                <w:sz w:val="20"/>
                <w:szCs w:val="20"/>
                <w:color w:val="auto"/>
              </w:rPr>
            </w:pPr>
            <w:r>
              <w:rPr>
                <w:rFonts w:ascii="Arial" w:cs="Arial" w:eastAsia="Arial" w:hAnsi="Arial"/>
                <w:sz w:val="13"/>
                <w:szCs w:val="13"/>
                <w:color w:val="auto"/>
                <w:w w:val="96"/>
              </w:rPr>
              <w:t>$ 1,929,740</w:t>
            </w:r>
          </w:p>
        </w:tc>
        <w:tc>
          <w:tcPr>
            <w:tcW w:w="1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948,040</w:t>
            </w:r>
          </w:p>
        </w:tc>
        <w:tc>
          <w:tcPr>
            <w:tcW w:w="18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216,600</w:t>
            </w:r>
          </w:p>
        </w:tc>
        <w:tc>
          <w:tcPr>
            <w:tcW w:w="2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57"/>
              <w:spacing w:after="0" w:line="135" w:lineRule="exact"/>
              <w:rPr>
                <w:sz w:val="20"/>
                <w:szCs w:val="20"/>
                <w:color w:val="auto"/>
              </w:rPr>
            </w:pPr>
            <w:r>
              <w:rPr>
                <w:rFonts w:ascii="Arial" w:cs="Arial" w:eastAsia="Arial" w:hAnsi="Arial"/>
                <w:sz w:val="13"/>
                <w:szCs w:val="13"/>
                <w:color w:val="auto"/>
              </w:rPr>
              <w:t>3,802,536</w:t>
            </w:r>
          </w:p>
        </w:tc>
        <w:tc>
          <w:tcPr>
            <w:tcW w:w="0" w:type="dxa"/>
            <w:vAlign w:val="bottom"/>
          </w:tcPr>
          <w:p>
            <w:pPr>
              <w:spacing w:after="0"/>
              <w:rPr>
                <w:sz w:val="1"/>
                <w:szCs w:val="1"/>
                <w:color w:val="auto"/>
              </w:rPr>
            </w:pPr>
          </w:p>
        </w:tc>
      </w:tr>
      <w:tr>
        <w:trPr>
          <w:trHeight w:val="135"/>
        </w:trPr>
        <w:tc>
          <w:tcPr>
            <w:tcW w:w="2740" w:type="dxa"/>
            <w:vAlign w:val="bottom"/>
            <w:shd w:val="clear" w:color="auto" w:fill="FCE9E8"/>
          </w:tcPr>
          <w:p>
            <w:pPr>
              <w:ind w:left="60"/>
              <w:spacing w:after="0" w:line="135" w:lineRule="exact"/>
              <w:rPr>
                <w:sz w:val="20"/>
                <w:szCs w:val="20"/>
                <w:color w:val="auto"/>
              </w:rPr>
            </w:pPr>
            <w:r>
              <w:rPr>
                <w:rFonts w:ascii="Arial" w:cs="Arial" w:eastAsia="Arial" w:hAnsi="Arial"/>
                <w:sz w:val="13"/>
                <w:szCs w:val="13"/>
                <w:color w:val="auto"/>
              </w:rPr>
              <w:t>Former Senior Vice President and</w:t>
            </w:r>
          </w:p>
        </w:tc>
        <w:tc>
          <w:tcPr>
            <w:tcW w:w="4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680" w:type="dxa"/>
            <w:vAlign w:val="bottom"/>
            <w:shd w:val="clear" w:color="auto" w:fill="FCE9E8"/>
          </w:tcPr>
          <w:p>
            <w:pPr>
              <w:spacing w:after="0"/>
              <w:rPr>
                <w:sz w:val="11"/>
                <w:szCs w:val="11"/>
                <w:color w:val="auto"/>
              </w:rPr>
            </w:pPr>
          </w:p>
        </w:tc>
        <w:tc>
          <w:tcPr>
            <w:tcW w:w="300" w:type="dxa"/>
            <w:vAlign w:val="bottom"/>
            <w:shd w:val="clear" w:color="auto" w:fill="FCE9E8"/>
          </w:tcPr>
          <w:p>
            <w:pPr>
              <w:spacing w:after="0"/>
              <w:rPr>
                <w:sz w:val="11"/>
                <w:szCs w:val="11"/>
                <w:color w:val="auto"/>
              </w:rPr>
            </w:pPr>
          </w:p>
        </w:tc>
        <w:tc>
          <w:tcPr>
            <w:tcW w:w="380" w:type="dxa"/>
            <w:vAlign w:val="bottom"/>
            <w:shd w:val="clear" w:color="auto" w:fill="FCE9E8"/>
          </w:tcPr>
          <w:p>
            <w:pPr>
              <w:spacing w:after="0"/>
              <w:rPr>
                <w:sz w:val="11"/>
                <w:szCs w:val="11"/>
                <w:color w:val="auto"/>
              </w:rPr>
            </w:pPr>
          </w:p>
        </w:tc>
        <w:tc>
          <w:tcPr>
            <w:tcW w:w="86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2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820" w:type="dxa"/>
            <w:vAlign w:val="bottom"/>
            <w:shd w:val="clear" w:color="auto" w:fill="FCE9E8"/>
          </w:tcPr>
          <w:p>
            <w:pPr>
              <w:spacing w:after="0"/>
              <w:rPr>
                <w:sz w:val="11"/>
                <w:szCs w:val="11"/>
                <w:color w:val="auto"/>
              </w:rPr>
            </w:pPr>
          </w:p>
        </w:tc>
        <w:tc>
          <w:tcPr>
            <w:tcW w:w="28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8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40" w:type="dxa"/>
            <w:vAlign w:val="bottom"/>
            <w:shd w:val="clear" w:color="auto" w:fill="FCE9E8"/>
          </w:tcPr>
          <w:p>
            <w:pPr>
              <w:ind w:left="60"/>
              <w:spacing w:after="0"/>
              <w:rPr>
                <w:sz w:val="20"/>
                <w:szCs w:val="20"/>
                <w:color w:val="auto"/>
              </w:rPr>
            </w:pPr>
            <w:r>
              <w:rPr>
                <w:rFonts w:ascii="Arial" w:cs="Arial" w:eastAsia="Arial" w:hAnsi="Arial"/>
                <w:sz w:val="13"/>
                <w:szCs w:val="13"/>
                <w:color w:val="auto"/>
              </w:rPr>
              <w:t>President, E-Systems</w:t>
            </w:r>
          </w:p>
        </w:tc>
        <w:tc>
          <w:tcPr>
            <w:tcW w:w="460" w:type="dxa"/>
            <w:vAlign w:val="bottom"/>
            <w:shd w:val="clear" w:color="auto" w:fill="FCE9E8"/>
          </w:tcPr>
          <w:p>
            <w:pPr>
              <w:spacing w:after="0"/>
              <w:rPr>
                <w:sz w:val="13"/>
                <w:szCs w:val="13"/>
                <w:color w:val="auto"/>
              </w:rPr>
            </w:pPr>
          </w:p>
        </w:tc>
        <w:tc>
          <w:tcPr>
            <w:tcW w:w="260" w:type="dxa"/>
            <w:vAlign w:val="bottom"/>
            <w:shd w:val="clear" w:color="auto" w:fill="FCE9E8"/>
          </w:tcPr>
          <w:p>
            <w:pPr>
              <w:spacing w:after="0"/>
              <w:rPr>
                <w:sz w:val="13"/>
                <w:szCs w:val="13"/>
                <w:color w:val="auto"/>
              </w:rPr>
            </w:pPr>
          </w:p>
        </w:tc>
        <w:tc>
          <w:tcPr>
            <w:tcW w:w="680" w:type="dxa"/>
            <w:vAlign w:val="bottom"/>
            <w:shd w:val="clear" w:color="auto" w:fill="FCE9E8"/>
          </w:tcPr>
          <w:p>
            <w:pPr>
              <w:spacing w:after="0"/>
              <w:rPr>
                <w:sz w:val="13"/>
                <w:szCs w:val="13"/>
                <w:color w:val="auto"/>
              </w:rPr>
            </w:pPr>
          </w:p>
        </w:tc>
        <w:tc>
          <w:tcPr>
            <w:tcW w:w="300" w:type="dxa"/>
            <w:vAlign w:val="bottom"/>
            <w:shd w:val="clear" w:color="auto" w:fill="FCE9E8"/>
          </w:tcPr>
          <w:p>
            <w:pPr>
              <w:spacing w:after="0"/>
              <w:rPr>
                <w:sz w:val="13"/>
                <w:szCs w:val="13"/>
                <w:color w:val="auto"/>
              </w:rPr>
            </w:pPr>
          </w:p>
        </w:tc>
        <w:tc>
          <w:tcPr>
            <w:tcW w:w="380" w:type="dxa"/>
            <w:vAlign w:val="bottom"/>
            <w:shd w:val="clear" w:color="auto" w:fill="FCE9E8"/>
          </w:tcPr>
          <w:p>
            <w:pPr>
              <w:spacing w:after="0"/>
              <w:rPr>
                <w:sz w:val="13"/>
                <w:szCs w:val="13"/>
                <w:color w:val="auto"/>
              </w:rPr>
            </w:pPr>
          </w:p>
        </w:tc>
        <w:tc>
          <w:tcPr>
            <w:tcW w:w="860" w:type="dxa"/>
            <w:vAlign w:val="bottom"/>
            <w:shd w:val="clear" w:color="auto" w:fill="FCE9E8"/>
          </w:tcPr>
          <w:p>
            <w:pPr>
              <w:spacing w:after="0"/>
              <w:rPr>
                <w:sz w:val="13"/>
                <w:szCs w:val="13"/>
                <w:color w:val="auto"/>
              </w:rPr>
            </w:pPr>
          </w:p>
        </w:tc>
        <w:tc>
          <w:tcPr>
            <w:tcW w:w="180" w:type="dxa"/>
            <w:vAlign w:val="bottom"/>
            <w:shd w:val="clear" w:color="auto" w:fill="FCE9E8"/>
          </w:tcPr>
          <w:p>
            <w:pPr>
              <w:spacing w:after="0"/>
              <w:rPr>
                <w:sz w:val="13"/>
                <w:szCs w:val="13"/>
                <w:color w:val="auto"/>
              </w:rPr>
            </w:pPr>
          </w:p>
        </w:tc>
        <w:tc>
          <w:tcPr>
            <w:tcW w:w="540" w:type="dxa"/>
            <w:vAlign w:val="bottom"/>
            <w:shd w:val="clear" w:color="auto" w:fill="FCE9E8"/>
          </w:tcPr>
          <w:p>
            <w:pPr>
              <w:spacing w:after="0"/>
              <w:rPr>
                <w:sz w:val="13"/>
                <w:szCs w:val="13"/>
                <w:color w:val="auto"/>
              </w:rPr>
            </w:pPr>
          </w:p>
        </w:tc>
        <w:tc>
          <w:tcPr>
            <w:tcW w:w="240" w:type="dxa"/>
            <w:vAlign w:val="bottom"/>
            <w:shd w:val="clear" w:color="auto" w:fill="FCE9E8"/>
          </w:tcPr>
          <w:p>
            <w:pPr>
              <w:spacing w:after="0"/>
              <w:rPr>
                <w:sz w:val="13"/>
                <w:szCs w:val="13"/>
                <w:color w:val="auto"/>
              </w:rPr>
            </w:pPr>
          </w:p>
        </w:tc>
        <w:tc>
          <w:tcPr>
            <w:tcW w:w="1020" w:type="dxa"/>
            <w:vAlign w:val="bottom"/>
            <w:shd w:val="clear" w:color="auto" w:fill="FCE9E8"/>
          </w:tcPr>
          <w:p>
            <w:pPr>
              <w:spacing w:after="0"/>
              <w:rPr>
                <w:sz w:val="13"/>
                <w:szCs w:val="13"/>
                <w:color w:val="auto"/>
              </w:rPr>
            </w:pPr>
          </w:p>
        </w:tc>
        <w:tc>
          <w:tcPr>
            <w:tcW w:w="180" w:type="dxa"/>
            <w:vAlign w:val="bottom"/>
            <w:shd w:val="clear" w:color="auto" w:fill="FCE9E8"/>
          </w:tcPr>
          <w:p>
            <w:pPr>
              <w:spacing w:after="0"/>
              <w:rPr>
                <w:sz w:val="13"/>
                <w:szCs w:val="13"/>
                <w:color w:val="auto"/>
              </w:rPr>
            </w:pPr>
          </w:p>
        </w:tc>
        <w:tc>
          <w:tcPr>
            <w:tcW w:w="82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96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840" w:type="dxa"/>
            <w:vAlign w:val="bottom"/>
            <w:shd w:val="clear" w:color="auto" w:fill="FCE9E8"/>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60" w:hanging="316"/>
        <w:spacing w:after="0" w:line="214" w:lineRule="auto"/>
        <w:tabs>
          <w:tab w:leader="none" w:pos="52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each officer reflect the aggregate grant date fair value of Career Share RSUs, RSUs and Performance Shares under the LTSIP granted in the year determined in accordance with ASC 718, which grant date fair values are shown by award type below. There can be no assurance that these values will ever be realized. See Note 10, “Stock-Based Compensation,” to the consolidated financial statements included in our 2017 Annual Report on Form 10-K for the assumptions made in determining these values. The maximum potential value of the 2017 Performance Share awards as of the grant date is also shown below, based on the grant date value of our common stock.</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E2231A"/>
              </w:rPr>
              <w:t>Performance</w:t>
            </w:r>
          </w:p>
        </w:tc>
      </w:tr>
      <w:tr>
        <w:trPr>
          <w:trHeight w:val="162"/>
        </w:trPr>
        <w:tc>
          <w:tcPr>
            <w:tcW w:w="306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E2231A"/>
              </w:rPr>
              <w:t>RSU Career</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E2231A"/>
              </w:rPr>
              <w:t>2017-2019</w:t>
            </w: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E2231A"/>
              </w:rPr>
              <w:t>Performance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E2231A"/>
              </w:rPr>
              <w:t>Total Grant</w:t>
            </w:r>
          </w:p>
        </w:tc>
        <w:tc>
          <w:tcPr>
            <w:tcW w:w="400" w:type="dxa"/>
            <w:vAlign w:val="bottom"/>
          </w:tcPr>
          <w:p>
            <w:pPr>
              <w:spacing w:after="0"/>
              <w:rPr>
                <w:sz w:val="14"/>
                <w:szCs w:val="14"/>
                <w:color w:val="auto"/>
              </w:rPr>
            </w:pPr>
          </w:p>
        </w:tc>
        <w:tc>
          <w:tcPr>
            <w:tcW w:w="1100" w:type="dxa"/>
            <w:vAlign w:val="bottom"/>
          </w:tcPr>
          <w:p>
            <w:pPr>
              <w:jc w:val="center"/>
              <w:ind w:right="302"/>
              <w:spacing w:after="0"/>
              <w:rPr>
                <w:sz w:val="20"/>
                <w:szCs w:val="20"/>
                <w:color w:val="auto"/>
              </w:rPr>
            </w:pPr>
            <w:r>
              <w:rPr>
                <w:rFonts w:ascii="Arial" w:cs="Arial" w:eastAsia="Arial" w:hAnsi="Arial"/>
                <w:sz w:val="14"/>
                <w:szCs w:val="14"/>
                <w:b w:val="1"/>
                <w:bCs w:val="1"/>
                <w:color w:val="E2231A"/>
              </w:rPr>
              <w:t>Shares at</w:t>
            </w:r>
          </w:p>
        </w:tc>
      </w:tr>
      <w:tr>
        <w:trPr>
          <w:trHeight w:val="162"/>
        </w:trPr>
        <w:tc>
          <w:tcPr>
            <w:tcW w:w="306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E2231A"/>
              </w:rPr>
              <w:t>Share Grant</w:t>
            </w: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E2231A"/>
              </w:rPr>
              <w:t>RSU Grant</w:t>
            </w: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E2231A"/>
              </w:rPr>
              <w:t>Shares Grant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E2231A"/>
              </w:rPr>
              <w:t>Date</w:t>
            </w:r>
          </w:p>
        </w:tc>
        <w:tc>
          <w:tcPr>
            <w:tcW w:w="400" w:type="dxa"/>
            <w:vAlign w:val="bottom"/>
          </w:tcPr>
          <w:p>
            <w:pPr>
              <w:spacing w:after="0"/>
              <w:rPr>
                <w:sz w:val="14"/>
                <w:szCs w:val="14"/>
                <w:color w:val="auto"/>
              </w:rPr>
            </w:pPr>
          </w:p>
        </w:tc>
        <w:tc>
          <w:tcPr>
            <w:tcW w:w="1100" w:type="dxa"/>
            <w:vAlign w:val="bottom"/>
          </w:tcPr>
          <w:p>
            <w:pPr>
              <w:jc w:val="center"/>
              <w:ind w:right="322"/>
              <w:spacing w:after="0"/>
              <w:rPr>
                <w:sz w:val="20"/>
                <w:szCs w:val="20"/>
                <w:color w:val="auto"/>
              </w:rPr>
            </w:pPr>
            <w:r>
              <w:rPr>
                <w:rFonts w:ascii="Arial" w:cs="Arial" w:eastAsia="Arial" w:hAnsi="Arial"/>
                <w:sz w:val="14"/>
                <w:szCs w:val="14"/>
                <w:b w:val="1"/>
                <w:bCs w:val="1"/>
                <w:color w:val="E2231A"/>
              </w:rPr>
              <w:t>Maximum</w:t>
            </w:r>
          </w:p>
        </w:tc>
      </w:tr>
      <w:tr>
        <w:trPr>
          <w:trHeight w:val="190"/>
        </w:trPr>
        <w:tc>
          <w:tcPr>
            <w:tcW w:w="3060" w:type="dxa"/>
            <w:vAlign w:val="bottom"/>
          </w:tcPr>
          <w:p>
            <w:pPr>
              <w:ind w:left="60"/>
              <w:spacing w:after="0"/>
              <w:rPr>
                <w:sz w:val="20"/>
                <w:szCs w:val="20"/>
                <w:color w:val="auto"/>
              </w:rPr>
            </w:pPr>
            <w:r>
              <w:rPr>
                <w:rFonts w:ascii="Arial" w:cs="Arial" w:eastAsia="Arial" w:hAnsi="Arial"/>
                <w:sz w:val="14"/>
                <w:szCs w:val="14"/>
                <w:b w:val="1"/>
                <w:bCs w:val="1"/>
                <w:color w:val="E2231A"/>
              </w:rPr>
              <w:t>Name</w:t>
            </w: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E2231A"/>
              </w:rPr>
              <w:t>Date Value</w:t>
            </w: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E2231A"/>
              </w:rPr>
              <w:t>Date Value</w:t>
            </w:r>
          </w:p>
        </w:tc>
        <w:tc>
          <w:tcPr>
            <w:tcW w:w="36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Arial" w:cs="Arial" w:eastAsia="Arial" w:hAnsi="Arial"/>
                <w:sz w:val="14"/>
                <w:szCs w:val="14"/>
                <w:b w:val="1"/>
                <w:bCs w:val="1"/>
                <w:color w:val="E2231A"/>
              </w:rPr>
              <w:t>Date Value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E2231A"/>
              </w:rPr>
              <w:t>Value</w:t>
            </w:r>
          </w:p>
        </w:tc>
        <w:tc>
          <w:tcPr>
            <w:tcW w:w="400" w:type="dxa"/>
            <w:vAlign w:val="bottom"/>
          </w:tcPr>
          <w:p>
            <w:pPr>
              <w:spacing w:after="0"/>
              <w:rPr>
                <w:sz w:val="16"/>
                <w:szCs w:val="16"/>
                <w:color w:val="auto"/>
              </w:rPr>
            </w:pPr>
          </w:p>
        </w:tc>
        <w:tc>
          <w:tcPr>
            <w:tcW w:w="1100" w:type="dxa"/>
            <w:vAlign w:val="bottom"/>
          </w:tcPr>
          <w:p>
            <w:pPr>
              <w:jc w:val="center"/>
              <w:ind w:right="322"/>
              <w:spacing w:after="0"/>
              <w:rPr>
                <w:sz w:val="20"/>
                <w:szCs w:val="20"/>
                <w:color w:val="auto"/>
              </w:rPr>
            </w:pPr>
            <w:r>
              <w:rPr>
                <w:rFonts w:ascii="Arial" w:cs="Arial" w:eastAsia="Arial" w:hAnsi="Arial"/>
                <w:sz w:val="14"/>
                <w:szCs w:val="14"/>
                <w:b w:val="1"/>
                <w:bCs w:val="1"/>
                <w:color w:val="E2231A"/>
              </w:rPr>
              <w:t>Value</w:t>
            </w:r>
          </w:p>
        </w:tc>
      </w:tr>
      <w:tr>
        <w:trPr>
          <w:trHeight w:val="39"/>
        </w:trPr>
        <w:tc>
          <w:tcPr>
            <w:tcW w:w="3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71"/>
        </w:trPr>
        <w:tc>
          <w:tcPr>
            <w:tcW w:w="30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Matthew J. Simoncini</w:t>
            </w:r>
          </w:p>
        </w:tc>
        <w:tc>
          <w:tcPr>
            <w:tcW w:w="360" w:type="dxa"/>
            <w:vAlign w:val="bottom"/>
            <w:tcBorders>
              <w:bottom w:val="single" w:sz="8" w:color="FCE9E8"/>
            </w:tcBorders>
            <w:shd w:val="clear" w:color="auto" w:fill="FCE9E8"/>
          </w:tcPr>
          <w:p>
            <w:pPr>
              <w:spacing w:after="0"/>
              <w:rPr>
                <w:sz w:val="23"/>
                <w:szCs w:val="23"/>
                <w:color w:val="auto"/>
              </w:rPr>
            </w:pPr>
          </w:p>
        </w:tc>
        <w:tc>
          <w:tcPr>
            <w:tcW w:w="940" w:type="dxa"/>
            <w:vAlign w:val="bottom"/>
            <w:tcBorders>
              <w:bottom w:val="single" w:sz="8" w:color="FCE9E8"/>
            </w:tcBorders>
            <w:shd w:val="clear" w:color="auto" w:fill="FCE9E8"/>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CE9E8"/>
            </w:tcBorders>
            <w:shd w:val="clear" w:color="auto" w:fill="FCE9E8"/>
          </w:tcPr>
          <w:p>
            <w:pPr>
              <w:jc w:val="right"/>
              <w:ind w:right="199"/>
              <w:spacing w:after="0"/>
              <w:rPr>
                <w:sz w:val="20"/>
                <w:szCs w:val="20"/>
                <w:color w:val="auto"/>
              </w:rPr>
            </w:pPr>
            <w:r>
              <w:rPr>
                <w:rFonts w:ascii="Arial" w:cs="Arial" w:eastAsia="Arial" w:hAnsi="Arial"/>
                <w:sz w:val="16"/>
                <w:szCs w:val="16"/>
                <w:color w:val="auto"/>
              </w:rPr>
              <w:t>2,204,877</w:t>
            </w:r>
          </w:p>
        </w:tc>
        <w:tc>
          <w:tcPr>
            <w:tcW w:w="360" w:type="dxa"/>
            <w:vAlign w:val="bottom"/>
            <w:tcBorders>
              <w:bottom w:val="single" w:sz="8" w:color="FCE9E8"/>
            </w:tcBorders>
            <w:shd w:val="clear" w:color="auto" w:fill="FCE9E8"/>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FCE9E8"/>
            </w:tcBorders>
            <w:shd w:val="clear" w:color="auto" w:fill="FCE9E8"/>
          </w:tcPr>
          <w:p>
            <w:pPr>
              <w:jc w:val="right"/>
              <w:ind w:right="200"/>
              <w:spacing w:after="0"/>
              <w:rPr>
                <w:sz w:val="20"/>
                <w:szCs w:val="20"/>
                <w:color w:val="auto"/>
              </w:rPr>
            </w:pPr>
            <w:r>
              <w:rPr>
                <w:rFonts w:ascii="Arial" w:cs="Arial" w:eastAsia="Arial" w:hAnsi="Arial"/>
                <w:sz w:val="16"/>
                <w:szCs w:val="16"/>
                <w:color w:val="auto"/>
              </w:rPr>
              <w:t>6,614,897</w:t>
            </w:r>
          </w:p>
        </w:tc>
        <w:tc>
          <w:tcPr>
            <w:tcW w:w="140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6"/>
              </w:rPr>
              <w:t>$ 8,819,774</w:t>
            </w:r>
          </w:p>
        </w:tc>
        <w:tc>
          <w:tcPr>
            <w:tcW w:w="400" w:type="dxa"/>
            <w:vAlign w:val="bottom"/>
            <w:tcBorders>
              <w:bottom w:val="single" w:sz="8" w:color="FCE9E8"/>
            </w:tcBorders>
            <w:shd w:val="clear" w:color="auto" w:fill="FCE9E8"/>
          </w:tcPr>
          <w:p>
            <w:pPr>
              <w:ind w:left="30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FCE9E8"/>
            </w:tcBorders>
            <w:shd w:val="clear" w:color="auto" w:fill="FCE9E8"/>
          </w:tcPr>
          <w:p>
            <w:pPr>
              <w:jc w:val="right"/>
              <w:ind w:right="202"/>
              <w:spacing w:after="0"/>
              <w:rPr>
                <w:sz w:val="20"/>
                <w:szCs w:val="20"/>
                <w:color w:val="auto"/>
              </w:rPr>
            </w:pPr>
            <w:r>
              <w:rPr>
                <w:rFonts w:ascii="Arial" w:cs="Arial" w:eastAsia="Arial" w:hAnsi="Arial"/>
                <w:sz w:val="16"/>
                <w:szCs w:val="16"/>
                <w:color w:val="auto"/>
                <w:w w:val="99"/>
              </w:rPr>
              <w:t>13,229,793</w:t>
            </w:r>
          </w:p>
        </w:tc>
      </w:tr>
      <w:tr>
        <w:trPr>
          <w:trHeight w:val="264"/>
        </w:trPr>
        <w:tc>
          <w:tcPr>
            <w:tcW w:w="306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299,921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519,717</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1,559,152</w:t>
            </w:r>
          </w:p>
        </w:tc>
        <w:tc>
          <w:tcPr>
            <w:tcW w:w="1400" w:type="dxa"/>
            <w:vAlign w:val="bottom"/>
          </w:tcPr>
          <w:p>
            <w:pPr>
              <w:jc w:val="center"/>
              <w:spacing w:after="0"/>
              <w:rPr>
                <w:sz w:val="20"/>
                <w:szCs w:val="20"/>
                <w:color w:val="auto"/>
              </w:rPr>
            </w:pPr>
            <w:r>
              <w:rPr>
                <w:rFonts w:ascii="Arial" w:cs="Arial" w:eastAsia="Arial" w:hAnsi="Arial"/>
                <w:sz w:val="16"/>
                <w:szCs w:val="16"/>
                <w:color w:val="auto"/>
                <w:w w:val="96"/>
              </w:rPr>
              <w:t>$ 2,378,790</w:t>
            </w:r>
          </w:p>
        </w:tc>
        <w:tc>
          <w:tcPr>
            <w:tcW w:w="400" w:type="dxa"/>
            <w:vAlign w:val="bottom"/>
          </w:tcPr>
          <w:p>
            <w:pPr>
              <w:ind w:left="30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2"/>
              <w:spacing w:after="0"/>
              <w:rPr>
                <w:sz w:val="20"/>
                <w:szCs w:val="20"/>
                <w:color w:val="auto"/>
              </w:rPr>
            </w:pPr>
            <w:r>
              <w:rPr>
                <w:rFonts w:ascii="Arial" w:cs="Arial" w:eastAsia="Arial" w:hAnsi="Arial"/>
                <w:sz w:val="16"/>
                <w:szCs w:val="16"/>
                <w:color w:val="auto"/>
              </w:rPr>
              <w:t>3,118,303</w:t>
            </w:r>
          </w:p>
        </w:tc>
      </w:tr>
      <w:tr>
        <w:trPr>
          <w:trHeight w:val="47"/>
        </w:trPr>
        <w:tc>
          <w:tcPr>
            <w:tcW w:w="3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91"/>
        </w:trPr>
        <w:tc>
          <w:tcPr>
            <w:tcW w:w="30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360" w:type="dxa"/>
            <w:vAlign w:val="bottom"/>
            <w:tcBorders>
              <w:bottom w:val="single" w:sz="8" w:color="FCE9E8"/>
            </w:tcBorders>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199"/>
              <w:spacing w:after="0"/>
              <w:rPr>
                <w:sz w:val="20"/>
                <w:szCs w:val="20"/>
                <w:color w:val="auto"/>
              </w:rPr>
            </w:pPr>
            <w:r>
              <w:rPr>
                <w:rFonts w:ascii="Arial" w:cs="Arial" w:eastAsia="Arial" w:hAnsi="Arial"/>
                <w:sz w:val="16"/>
                <w:szCs w:val="16"/>
                <w:color w:val="auto"/>
              </w:rPr>
              <w:t>299,921</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CE9E8"/>
            </w:tcBorders>
            <w:shd w:val="clear" w:color="auto" w:fill="FCE9E8"/>
          </w:tcPr>
          <w:p>
            <w:pPr>
              <w:jc w:val="right"/>
              <w:ind w:right="199"/>
              <w:spacing w:after="0"/>
              <w:rPr>
                <w:sz w:val="20"/>
                <w:szCs w:val="20"/>
                <w:color w:val="auto"/>
              </w:rPr>
            </w:pPr>
            <w:r>
              <w:rPr>
                <w:rFonts w:ascii="Arial" w:cs="Arial" w:eastAsia="Arial" w:hAnsi="Arial"/>
                <w:sz w:val="16"/>
                <w:szCs w:val="16"/>
                <w:color w:val="auto"/>
              </w:rPr>
              <w:t>596,545</w:t>
            </w:r>
          </w:p>
        </w:tc>
        <w:tc>
          <w:tcPr>
            <w:tcW w:w="360" w:type="dxa"/>
            <w:vAlign w:val="bottom"/>
            <w:tcBorders>
              <w:bottom w:val="single" w:sz="8" w:color="FCE9E8"/>
            </w:tcBorders>
            <w:shd w:val="clear" w:color="auto" w:fill="FCE9E8"/>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FCE9E8"/>
            </w:tcBorders>
            <w:shd w:val="clear" w:color="auto" w:fill="FCE9E8"/>
          </w:tcPr>
          <w:p>
            <w:pPr>
              <w:jc w:val="right"/>
              <w:ind w:right="200"/>
              <w:spacing w:after="0"/>
              <w:rPr>
                <w:sz w:val="20"/>
                <w:szCs w:val="20"/>
                <w:color w:val="auto"/>
              </w:rPr>
            </w:pPr>
            <w:r>
              <w:rPr>
                <w:rFonts w:ascii="Arial" w:cs="Arial" w:eastAsia="Arial" w:hAnsi="Arial"/>
                <w:sz w:val="16"/>
                <w:szCs w:val="16"/>
                <w:color w:val="auto"/>
              </w:rPr>
              <w:t>1,789,635</w:t>
            </w:r>
          </w:p>
        </w:tc>
        <w:tc>
          <w:tcPr>
            <w:tcW w:w="140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6"/>
              </w:rPr>
              <w:t>$ 2,686,101</w:t>
            </w:r>
          </w:p>
        </w:tc>
        <w:tc>
          <w:tcPr>
            <w:tcW w:w="400" w:type="dxa"/>
            <w:vAlign w:val="bottom"/>
            <w:tcBorders>
              <w:bottom w:val="single" w:sz="8" w:color="FCE9E8"/>
            </w:tcBorders>
            <w:shd w:val="clear" w:color="auto" w:fill="FCE9E8"/>
          </w:tcPr>
          <w:p>
            <w:pPr>
              <w:ind w:left="30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FCE9E8"/>
            </w:tcBorders>
            <w:shd w:val="clear" w:color="auto" w:fill="FCE9E8"/>
          </w:tcPr>
          <w:p>
            <w:pPr>
              <w:jc w:val="right"/>
              <w:ind w:right="202"/>
              <w:spacing w:after="0"/>
              <w:rPr>
                <w:sz w:val="20"/>
                <w:szCs w:val="20"/>
                <w:color w:val="auto"/>
              </w:rPr>
            </w:pPr>
            <w:r>
              <w:rPr>
                <w:rFonts w:ascii="Arial" w:cs="Arial" w:eastAsia="Arial" w:hAnsi="Arial"/>
                <w:sz w:val="16"/>
                <w:szCs w:val="16"/>
                <w:color w:val="auto"/>
              </w:rPr>
              <w:t>3,579,270</w:t>
            </w:r>
          </w:p>
        </w:tc>
      </w:tr>
      <w:tr>
        <w:trPr>
          <w:trHeight w:val="264"/>
        </w:trPr>
        <w:tc>
          <w:tcPr>
            <w:tcW w:w="3060" w:type="dxa"/>
            <w:vAlign w:val="bottom"/>
          </w:tcPr>
          <w:p>
            <w:pPr>
              <w:ind w:left="80"/>
              <w:spacing w:after="0"/>
              <w:rPr>
                <w:sz w:val="20"/>
                <w:szCs w:val="20"/>
                <w:color w:val="auto"/>
              </w:rPr>
            </w:pPr>
            <w:r>
              <w:rPr>
                <w:rFonts w:ascii="Arial" w:cs="Arial" w:eastAsia="Arial" w:hAnsi="Arial"/>
                <w:sz w:val="16"/>
                <w:szCs w:val="16"/>
                <w:color w:val="auto"/>
              </w:rPr>
              <w:t>Terrence B. Larkin</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299,921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566,638</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1,700,180</w:t>
            </w:r>
          </w:p>
        </w:tc>
        <w:tc>
          <w:tcPr>
            <w:tcW w:w="1400" w:type="dxa"/>
            <w:vAlign w:val="bottom"/>
          </w:tcPr>
          <w:p>
            <w:pPr>
              <w:jc w:val="center"/>
              <w:spacing w:after="0"/>
              <w:rPr>
                <w:sz w:val="20"/>
                <w:szCs w:val="20"/>
                <w:color w:val="auto"/>
              </w:rPr>
            </w:pPr>
            <w:r>
              <w:rPr>
                <w:rFonts w:ascii="Arial" w:cs="Arial" w:eastAsia="Arial" w:hAnsi="Arial"/>
                <w:sz w:val="16"/>
                <w:szCs w:val="16"/>
                <w:color w:val="auto"/>
                <w:w w:val="96"/>
              </w:rPr>
              <w:t>$ 2,566,739</w:t>
            </w:r>
          </w:p>
        </w:tc>
        <w:tc>
          <w:tcPr>
            <w:tcW w:w="400" w:type="dxa"/>
            <w:vAlign w:val="bottom"/>
          </w:tcPr>
          <w:p>
            <w:pPr>
              <w:ind w:left="30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2"/>
              <w:spacing w:after="0"/>
              <w:rPr>
                <w:sz w:val="20"/>
                <w:szCs w:val="20"/>
                <w:color w:val="auto"/>
              </w:rPr>
            </w:pPr>
            <w:r>
              <w:rPr>
                <w:rFonts w:ascii="Arial" w:cs="Arial" w:eastAsia="Arial" w:hAnsi="Arial"/>
                <w:sz w:val="16"/>
                <w:szCs w:val="16"/>
                <w:color w:val="auto"/>
              </w:rPr>
              <w:t>3,400,359</w:t>
            </w:r>
          </w:p>
        </w:tc>
      </w:tr>
      <w:tr>
        <w:trPr>
          <w:trHeight w:val="47"/>
        </w:trPr>
        <w:tc>
          <w:tcPr>
            <w:tcW w:w="3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4"/>
        </w:trPr>
        <w:tc>
          <w:tcPr>
            <w:tcW w:w="306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36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FCE9E8"/>
          </w:tcPr>
          <w:p>
            <w:pPr>
              <w:jc w:val="right"/>
              <w:ind w:right="199"/>
              <w:spacing w:after="0"/>
              <w:rPr>
                <w:sz w:val="20"/>
                <w:szCs w:val="20"/>
                <w:color w:val="auto"/>
              </w:rPr>
            </w:pPr>
            <w:r>
              <w:rPr>
                <w:rFonts w:ascii="Arial" w:cs="Arial" w:eastAsia="Arial" w:hAnsi="Arial"/>
                <w:sz w:val="16"/>
                <w:szCs w:val="16"/>
                <w:color w:val="auto"/>
              </w:rPr>
              <w:t>199,829</w:t>
            </w:r>
          </w:p>
        </w:tc>
        <w:tc>
          <w:tcPr>
            <w:tcW w:w="3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99"/>
              <w:spacing w:after="0"/>
              <w:rPr>
                <w:sz w:val="20"/>
                <w:szCs w:val="20"/>
                <w:color w:val="auto"/>
              </w:rPr>
            </w:pPr>
            <w:r>
              <w:rPr>
                <w:rFonts w:ascii="Arial" w:cs="Arial" w:eastAsia="Arial" w:hAnsi="Arial"/>
                <w:sz w:val="16"/>
                <w:szCs w:val="16"/>
                <w:color w:val="auto"/>
              </w:rPr>
              <w:t>487,949</w:t>
            </w:r>
          </w:p>
        </w:tc>
        <w:tc>
          <w:tcPr>
            <w:tcW w:w="360" w:type="dxa"/>
            <w:vAlign w:val="bottom"/>
            <w:shd w:val="clear" w:color="auto" w:fill="FCE9E8"/>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CE9E8"/>
          </w:tcPr>
          <w:p>
            <w:pPr>
              <w:jc w:val="right"/>
              <w:ind w:right="200"/>
              <w:spacing w:after="0"/>
              <w:rPr>
                <w:sz w:val="20"/>
                <w:szCs w:val="20"/>
                <w:color w:val="auto"/>
              </w:rPr>
            </w:pPr>
            <w:r>
              <w:rPr>
                <w:rFonts w:ascii="Arial" w:cs="Arial" w:eastAsia="Arial" w:hAnsi="Arial"/>
                <w:sz w:val="16"/>
                <w:szCs w:val="16"/>
                <w:color w:val="auto"/>
              </w:rPr>
              <w:t>1,464,114</w:t>
            </w:r>
          </w:p>
        </w:tc>
        <w:tc>
          <w:tcPr>
            <w:tcW w:w="14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6"/>
              </w:rPr>
              <w:t>$ 2,151,892</w:t>
            </w:r>
          </w:p>
        </w:tc>
        <w:tc>
          <w:tcPr>
            <w:tcW w:w="400" w:type="dxa"/>
            <w:vAlign w:val="bottom"/>
            <w:shd w:val="clear" w:color="auto" w:fill="FCE9E8"/>
          </w:tcPr>
          <w:p>
            <w:pPr>
              <w:ind w:left="30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CE9E8"/>
          </w:tcPr>
          <w:p>
            <w:pPr>
              <w:jc w:val="right"/>
              <w:ind w:right="202"/>
              <w:spacing w:after="0"/>
              <w:rPr>
                <w:sz w:val="20"/>
                <w:szCs w:val="20"/>
                <w:color w:val="auto"/>
              </w:rPr>
            </w:pPr>
            <w:r>
              <w:rPr>
                <w:rFonts w:ascii="Arial" w:cs="Arial" w:eastAsia="Arial" w:hAnsi="Arial"/>
                <w:sz w:val="16"/>
                <w:szCs w:val="16"/>
                <w:color w:val="auto"/>
              </w:rPr>
              <w:t>2,928,228</w:t>
            </w:r>
          </w:p>
        </w:tc>
      </w:tr>
      <w:tr>
        <w:trPr>
          <w:trHeight w:val="74"/>
        </w:trPr>
        <w:tc>
          <w:tcPr>
            <w:tcW w:w="3060" w:type="dxa"/>
            <w:vAlign w:val="bottom"/>
            <w:tcBorders>
              <w:bottom w:val="single" w:sz="8" w:color="auto"/>
            </w:tcBorders>
            <w:shd w:val="clear" w:color="auto" w:fill="FCE9E8"/>
          </w:tcPr>
          <w:p>
            <w:pPr>
              <w:spacing w:after="0"/>
              <w:rPr>
                <w:sz w:val="6"/>
                <w:szCs w:val="6"/>
                <w:color w:val="auto"/>
              </w:rPr>
            </w:pPr>
          </w:p>
        </w:tc>
        <w:tc>
          <w:tcPr>
            <w:tcW w:w="360" w:type="dxa"/>
            <w:vAlign w:val="bottom"/>
            <w:tcBorders>
              <w:bottom w:val="single" w:sz="8" w:color="auto"/>
            </w:tcBorders>
            <w:shd w:val="clear" w:color="auto" w:fill="FCE9E8"/>
          </w:tcPr>
          <w:p>
            <w:pPr>
              <w:spacing w:after="0"/>
              <w:rPr>
                <w:sz w:val="6"/>
                <w:szCs w:val="6"/>
                <w:color w:val="auto"/>
              </w:rPr>
            </w:pPr>
          </w:p>
        </w:tc>
        <w:tc>
          <w:tcPr>
            <w:tcW w:w="940" w:type="dxa"/>
            <w:vAlign w:val="bottom"/>
            <w:tcBorders>
              <w:bottom w:val="single" w:sz="8" w:color="auto"/>
            </w:tcBorders>
            <w:shd w:val="clear" w:color="auto" w:fill="FCE9E8"/>
          </w:tcPr>
          <w:p>
            <w:pPr>
              <w:spacing w:after="0"/>
              <w:rPr>
                <w:sz w:val="6"/>
                <w:szCs w:val="6"/>
                <w:color w:val="auto"/>
              </w:rPr>
            </w:pPr>
          </w:p>
        </w:tc>
        <w:tc>
          <w:tcPr>
            <w:tcW w:w="380" w:type="dxa"/>
            <w:vAlign w:val="bottom"/>
            <w:tcBorders>
              <w:bottom w:val="single" w:sz="8" w:color="auto"/>
            </w:tcBorders>
            <w:shd w:val="clear" w:color="auto" w:fill="FCE9E8"/>
          </w:tcPr>
          <w:p>
            <w:pPr>
              <w:spacing w:after="0"/>
              <w:rPr>
                <w:sz w:val="6"/>
                <w:szCs w:val="6"/>
                <w:color w:val="auto"/>
              </w:rPr>
            </w:pPr>
          </w:p>
        </w:tc>
        <w:tc>
          <w:tcPr>
            <w:tcW w:w="1020" w:type="dxa"/>
            <w:vAlign w:val="bottom"/>
            <w:tcBorders>
              <w:bottom w:val="single" w:sz="8" w:color="auto"/>
            </w:tcBorders>
            <w:shd w:val="clear" w:color="auto" w:fill="FCE9E8"/>
          </w:tcPr>
          <w:p>
            <w:pPr>
              <w:spacing w:after="0"/>
              <w:rPr>
                <w:sz w:val="6"/>
                <w:szCs w:val="6"/>
                <w:color w:val="auto"/>
              </w:rPr>
            </w:pPr>
          </w:p>
        </w:tc>
        <w:tc>
          <w:tcPr>
            <w:tcW w:w="360" w:type="dxa"/>
            <w:vAlign w:val="bottom"/>
            <w:tcBorders>
              <w:bottom w:val="single" w:sz="8" w:color="auto"/>
            </w:tcBorders>
            <w:shd w:val="clear" w:color="auto" w:fill="FCE9E8"/>
          </w:tcPr>
          <w:p>
            <w:pPr>
              <w:spacing w:after="0"/>
              <w:rPr>
                <w:sz w:val="6"/>
                <w:szCs w:val="6"/>
                <w:color w:val="auto"/>
              </w:rPr>
            </w:pPr>
          </w:p>
        </w:tc>
        <w:tc>
          <w:tcPr>
            <w:tcW w:w="1100" w:type="dxa"/>
            <w:vAlign w:val="bottom"/>
            <w:tcBorders>
              <w:bottom w:val="single" w:sz="8" w:color="auto"/>
            </w:tcBorders>
            <w:shd w:val="clear" w:color="auto" w:fill="FCE9E8"/>
          </w:tcPr>
          <w:p>
            <w:pPr>
              <w:spacing w:after="0"/>
              <w:rPr>
                <w:sz w:val="6"/>
                <w:szCs w:val="6"/>
                <w:color w:val="auto"/>
              </w:rPr>
            </w:pPr>
          </w:p>
        </w:tc>
        <w:tc>
          <w:tcPr>
            <w:tcW w:w="1400" w:type="dxa"/>
            <w:vAlign w:val="bottom"/>
            <w:tcBorders>
              <w:bottom w:val="single" w:sz="8" w:color="auto"/>
            </w:tcBorders>
            <w:shd w:val="clear" w:color="auto" w:fill="FCE9E8"/>
          </w:tcPr>
          <w:p>
            <w:pPr>
              <w:spacing w:after="0"/>
              <w:rPr>
                <w:sz w:val="6"/>
                <w:szCs w:val="6"/>
                <w:color w:val="auto"/>
              </w:rPr>
            </w:pPr>
          </w:p>
        </w:tc>
        <w:tc>
          <w:tcPr>
            <w:tcW w:w="400" w:type="dxa"/>
            <w:vAlign w:val="bottom"/>
            <w:tcBorders>
              <w:bottom w:val="single" w:sz="8" w:color="auto"/>
            </w:tcBorders>
            <w:shd w:val="clear" w:color="auto" w:fill="FCE9E8"/>
          </w:tcPr>
          <w:p>
            <w:pPr>
              <w:spacing w:after="0"/>
              <w:rPr>
                <w:sz w:val="6"/>
                <w:szCs w:val="6"/>
                <w:color w:val="auto"/>
              </w:rPr>
            </w:pPr>
          </w:p>
        </w:tc>
        <w:tc>
          <w:tcPr>
            <w:tcW w:w="1100" w:type="dxa"/>
            <w:vAlign w:val="bottom"/>
            <w:tcBorders>
              <w:bottom w:val="single" w:sz="8" w:color="auto"/>
            </w:tcBorders>
            <w:shd w:val="clear" w:color="auto" w:fill="FCE9E8"/>
          </w:tcPr>
          <w:p>
            <w:pPr>
              <w:spacing w:after="0"/>
              <w:rPr>
                <w:sz w:val="6"/>
                <w:szCs w:val="6"/>
                <w:color w:val="auto"/>
              </w:rPr>
            </w:pPr>
          </w:p>
        </w:tc>
      </w:tr>
    </w:tbl>
    <w:p>
      <w:pPr>
        <w:spacing w:after="0" w:line="23" w:lineRule="exact"/>
        <w:rPr>
          <w:sz w:val="20"/>
          <w:szCs w:val="20"/>
          <w:color w:val="auto"/>
        </w:rPr>
      </w:pPr>
    </w:p>
    <w:p>
      <w:pPr>
        <w:ind w:left="520" w:hanging="316"/>
        <w:spacing w:after="0"/>
        <w:tabs>
          <w:tab w:leader="none" w:pos="52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Amounts in column (g) for 2017 represent the amounts earned under the AIP.</w:t>
      </w:r>
    </w:p>
    <w:p>
      <w:pPr>
        <w:spacing w:after="0" w:line="111" w:lineRule="exact"/>
        <w:rPr>
          <w:rFonts w:ascii="Arial" w:cs="Arial" w:eastAsia="Arial" w:hAnsi="Arial"/>
          <w:sz w:val="24"/>
          <w:szCs w:val="24"/>
          <w:color w:val="auto"/>
          <w:vertAlign w:val="superscript"/>
        </w:rPr>
      </w:pPr>
    </w:p>
    <w:p>
      <w:pPr>
        <w:ind w:left="520" w:right="60" w:hanging="316"/>
        <w:spacing w:after="0" w:line="183" w:lineRule="auto"/>
        <w:tabs>
          <w:tab w:leader="none" w:pos="52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change in actuarial present value of the Named Executive Officer’s accumulated benefit under all defined benefit and actuarial pension plans (including supplemental plans), all of which have been frozen since December 31, 2006.</w:t>
      </w:r>
    </w:p>
    <w:p>
      <w:pPr>
        <w:spacing w:after="0" w:line="112" w:lineRule="exact"/>
        <w:rPr>
          <w:sz w:val="20"/>
          <w:szCs w:val="20"/>
          <w:color w:val="auto"/>
        </w:rPr>
      </w:pPr>
    </w:p>
    <w:p>
      <w:pPr>
        <w:ind w:left="660" w:hanging="354"/>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90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82"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The amount shown in column (i) includes for each Named Executive Officer:</w:t>
      </w:r>
    </w:p>
    <w:p>
      <w:pPr>
        <w:spacing w:after="0" w:line="111" w:lineRule="exact"/>
        <w:rPr>
          <w:rFonts w:ascii="Arial" w:cs="Arial" w:eastAsia="Arial" w:hAnsi="Arial"/>
          <w:sz w:val="24"/>
          <w:szCs w:val="24"/>
          <w:color w:val="auto"/>
          <w:vertAlign w:val="superscript"/>
        </w:rPr>
      </w:pPr>
    </w:p>
    <w:p>
      <w:pPr>
        <w:ind w:left="740" w:right="160" w:hanging="212"/>
        <w:spacing w:after="0" w:line="258" w:lineRule="auto"/>
        <w:tabs>
          <w:tab w:leader="none" w:pos="740" w:val="left"/>
        </w:tabs>
        <w:numPr>
          <w:ilvl w:val="1"/>
          <w:numId w:val="71"/>
        </w:numPr>
        <w:rPr>
          <w:rFonts w:ascii="Arial" w:cs="Arial" w:eastAsia="Arial" w:hAnsi="Arial"/>
          <w:sz w:val="14"/>
          <w:szCs w:val="14"/>
          <w:color w:val="auto"/>
        </w:rPr>
      </w:pPr>
      <w:r>
        <w:rPr>
          <w:rFonts w:ascii="Arial" w:cs="Arial" w:eastAsia="Arial" w:hAnsi="Arial"/>
          <w:sz w:val="14"/>
          <w:szCs w:val="14"/>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3"/>
                <w:szCs w:val="13"/>
                <w:b w:val="1"/>
                <w:bCs w:val="1"/>
                <w:color w:val="E2231A"/>
              </w:rPr>
              <w:t>Pension Savings</w:t>
            </w:r>
          </w:p>
        </w:tc>
        <w:tc>
          <w:tcPr>
            <w:tcW w:w="180" w:type="dxa"/>
            <w:vAlign w:val="bottom"/>
          </w:tcPr>
          <w:p>
            <w:pPr>
              <w:spacing w:after="0"/>
              <w:rPr>
                <w:sz w:val="13"/>
                <w:szCs w:val="13"/>
                <w:color w:val="auto"/>
              </w:rPr>
            </w:pPr>
          </w:p>
        </w:tc>
        <w:tc>
          <w:tcPr>
            <w:tcW w:w="1540" w:type="dxa"/>
            <w:vAlign w:val="bottom"/>
          </w:tcPr>
          <w:p>
            <w:pPr>
              <w:jc w:val="right"/>
              <w:ind w:right="211"/>
              <w:spacing w:after="0"/>
              <w:rPr>
                <w:sz w:val="20"/>
                <w:szCs w:val="20"/>
                <w:color w:val="auto"/>
              </w:rPr>
            </w:pPr>
            <w:r>
              <w:rPr>
                <w:rFonts w:ascii="Arial" w:cs="Arial" w:eastAsia="Arial" w:hAnsi="Arial"/>
                <w:sz w:val="13"/>
                <w:szCs w:val="13"/>
                <w:b w:val="1"/>
                <w:bCs w:val="1"/>
                <w:color w:val="E2231A"/>
              </w:rPr>
              <w:t>Salaried Retirement</w:t>
            </w:r>
          </w:p>
        </w:tc>
        <w:tc>
          <w:tcPr>
            <w:tcW w:w="160" w:type="dxa"/>
            <w:vAlign w:val="bottom"/>
          </w:tcPr>
          <w:p>
            <w:pPr>
              <w:spacing w:after="0"/>
              <w:rPr>
                <w:sz w:val="13"/>
                <w:szCs w:val="13"/>
                <w:color w:val="auto"/>
              </w:rPr>
            </w:pPr>
          </w:p>
        </w:tc>
        <w:tc>
          <w:tcPr>
            <w:tcW w:w="1360" w:type="dxa"/>
            <w:vAlign w:val="bottom"/>
          </w:tcPr>
          <w:p>
            <w:pPr>
              <w:jc w:val="right"/>
              <w:ind w:right="111"/>
              <w:spacing w:after="0"/>
              <w:rPr>
                <w:sz w:val="20"/>
                <w:szCs w:val="20"/>
                <w:color w:val="auto"/>
              </w:rPr>
            </w:pPr>
            <w:r>
              <w:rPr>
                <w:rFonts w:ascii="Arial" w:cs="Arial" w:eastAsia="Arial" w:hAnsi="Arial"/>
                <w:sz w:val="13"/>
                <w:szCs w:val="13"/>
                <w:b w:val="1"/>
                <w:bCs w:val="1"/>
                <w:color w:val="E2231A"/>
                <w:w w:val="95"/>
              </w:rPr>
              <w:t>Retirement Savings</w:t>
            </w:r>
          </w:p>
        </w:tc>
        <w:tc>
          <w:tcPr>
            <w:tcW w:w="160" w:type="dxa"/>
            <w:vAlign w:val="bottom"/>
          </w:tcPr>
          <w:p>
            <w:pPr>
              <w:spacing w:after="0"/>
              <w:rPr>
                <w:sz w:val="13"/>
                <w:szCs w:val="13"/>
                <w:color w:val="auto"/>
              </w:rPr>
            </w:pPr>
          </w:p>
        </w:tc>
        <w:tc>
          <w:tcPr>
            <w:tcW w:w="1360" w:type="dxa"/>
            <w:vAlign w:val="bottom"/>
          </w:tcPr>
          <w:p>
            <w:pPr>
              <w:jc w:val="right"/>
              <w:ind w:right="111"/>
              <w:spacing w:after="0"/>
              <w:rPr>
                <w:sz w:val="20"/>
                <w:szCs w:val="20"/>
                <w:color w:val="auto"/>
              </w:rPr>
            </w:pPr>
            <w:r>
              <w:rPr>
                <w:rFonts w:ascii="Arial" w:cs="Arial" w:eastAsia="Arial" w:hAnsi="Arial"/>
                <w:sz w:val="13"/>
                <w:szCs w:val="13"/>
                <w:b w:val="1"/>
                <w:bCs w:val="1"/>
                <w:color w:val="E2231A"/>
                <w:w w:val="95"/>
              </w:rPr>
              <w:t>Retirement Savings</w:t>
            </w:r>
          </w:p>
        </w:tc>
      </w:tr>
      <w:tr>
        <w:trPr>
          <w:trHeight w:val="135"/>
        </w:trPr>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111"/>
              <w:spacing w:after="0" w:line="135" w:lineRule="exact"/>
              <w:rPr>
                <w:sz w:val="20"/>
                <w:szCs w:val="20"/>
                <w:color w:val="auto"/>
              </w:rPr>
            </w:pPr>
            <w:r>
              <w:rPr>
                <w:rFonts w:ascii="Arial" w:cs="Arial" w:eastAsia="Arial" w:hAnsi="Arial"/>
                <w:sz w:val="13"/>
                <w:szCs w:val="13"/>
                <w:b w:val="1"/>
                <w:bCs w:val="1"/>
                <w:color w:val="E2231A"/>
                <w:w w:val="94"/>
              </w:rPr>
              <w:t>Plan Qualified</w:t>
            </w:r>
          </w:p>
        </w:tc>
        <w:tc>
          <w:tcPr>
            <w:tcW w:w="180" w:type="dxa"/>
            <w:vAlign w:val="bottom"/>
          </w:tcPr>
          <w:p>
            <w:pPr>
              <w:spacing w:after="0"/>
              <w:rPr>
                <w:sz w:val="11"/>
                <w:szCs w:val="11"/>
                <w:color w:val="auto"/>
              </w:rPr>
            </w:pPr>
          </w:p>
        </w:tc>
        <w:tc>
          <w:tcPr>
            <w:tcW w:w="1540" w:type="dxa"/>
            <w:vAlign w:val="bottom"/>
          </w:tcPr>
          <w:p>
            <w:pPr>
              <w:jc w:val="right"/>
              <w:ind w:right="171"/>
              <w:spacing w:after="0" w:line="135" w:lineRule="exact"/>
              <w:rPr>
                <w:sz w:val="20"/>
                <w:szCs w:val="20"/>
                <w:color w:val="auto"/>
              </w:rPr>
            </w:pPr>
            <w:r>
              <w:rPr>
                <w:rFonts w:ascii="Arial" w:cs="Arial" w:eastAsia="Arial" w:hAnsi="Arial"/>
                <w:sz w:val="13"/>
                <w:szCs w:val="13"/>
                <w:b w:val="1"/>
                <w:bCs w:val="1"/>
                <w:color w:val="E2231A"/>
                <w:w w:val="98"/>
              </w:rPr>
              <w:t>Restoration Program</w:t>
            </w:r>
          </w:p>
        </w:tc>
        <w:tc>
          <w:tcPr>
            <w:tcW w:w="160" w:type="dxa"/>
            <w:vAlign w:val="bottom"/>
          </w:tcPr>
          <w:p>
            <w:pPr>
              <w:spacing w:after="0"/>
              <w:rPr>
                <w:sz w:val="11"/>
                <w:szCs w:val="11"/>
                <w:color w:val="auto"/>
              </w:rPr>
            </w:pPr>
          </w:p>
        </w:tc>
        <w:tc>
          <w:tcPr>
            <w:tcW w:w="1360" w:type="dxa"/>
            <w:vAlign w:val="bottom"/>
          </w:tcPr>
          <w:p>
            <w:pPr>
              <w:jc w:val="right"/>
              <w:ind w:right="271"/>
              <w:spacing w:after="0" w:line="135" w:lineRule="exact"/>
              <w:rPr>
                <w:sz w:val="20"/>
                <w:szCs w:val="20"/>
                <w:color w:val="auto"/>
              </w:rPr>
            </w:pPr>
            <w:r>
              <w:rPr>
                <w:rFonts w:ascii="Arial" w:cs="Arial" w:eastAsia="Arial" w:hAnsi="Arial"/>
                <w:sz w:val="13"/>
                <w:szCs w:val="13"/>
                <w:b w:val="1"/>
                <w:bCs w:val="1"/>
                <w:color w:val="E2231A"/>
              </w:rPr>
              <w:t>Plan Qualified</w:t>
            </w:r>
          </w:p>
        </w:tc>
        <w:tc>
          <w:tcPr>
            <w:tcW w:w="160" w:type="dxa"/>
            <w:vAlign w:val="bottom"/>
          </w:tcPr>
          <w:p>
            <w:pPr>
              <w:spacing w:after="0"/>
              <w:rPr>
                <w:sz w:val="11"/>
                <w:szCs w:val="11"/>
                <w:color w:val="auto"/>
              </w:rPr>
            </w:pPr>
          </w:p>
        </w:tc>
        <w:tc>
          <w:tcPr>
            <w:tcW w:w="1360" w:type="dxa"/>
            <w:vAlign w:val="bottom"/>
          </w:tcPr>
          <w:p>
            <w:pPr>
              <w:jc w:val="right"/>
              <w:ind w:right="171"/>
              <w:spacing w:after="0" w:line="135" w:lineRule="exact"/>
              <w:rPr>
                <w:sz w:val="20"/>
                <w:szCs w:val="20"/>
                <w:color w:val="auto"/>
              </w:rPr>
            </w:pPr>
            <w:r>
              <w:rPr>
                <w:rFonts w:ascii="Arial" w:cs="Arial" w:eastAsia="Arial" w:hAnsi="Arial"/>
                <w:sz w:val="13"/>
                <w:szCs w:val="13"/>
                <w:b w:val="1"/>
                <w:bCs w:val="1"/>
                <w:color w:val="E2231A"/>
              </w:rPr>
              <w:t>Plan Nonqualified</w:t>
            </w:r>
          </w:p>
        </w:tc>
      </w:tr>
      <w:tr>
        <w:trPr>
          <w:trHeight w:val="168"/>
        </w:trPr>
        <w:tc>
          <w:tcPr>
            <w:tcW w:w="5080" w:type="dxa"/>
            <w:vAlign w:val="bottom"/>
          </w:tcPr>
          <w:p>
            <w:pPr>
              <w:ind w:left="60"/>
              <w:spacing w:after="0"/>
              <w:rPr>
                <w:sz w:val="20"/>
                <w:szCs w:val="20"/>
                <w:color w:val="auto"/>
              </w:rPr>
            </w:pPr>
            <w:r>
              <w:rPr>
                <w:rFonts w:ascii="Arial" w:cs="Arial" w:eastAsia="Arial" w:hAnsi="Arial"/>
                <w:sz w:val="13"/>
                <w:szCs w:val="13"/>
                <w:b w:val="1"/>
                <w:bCs w:val="1"/>
                <w:color w:val="E2231A"/>
              </w:rPr>
              <w:t>Name</w:t>
            </w:r>
          </w:p>
        </w:tc>
        <w:tc>
          <w:tcPr>
            <w:tcW w:w="160" w:type="dxa"/>
            <w:vAlign w:val="bottom"/>
          </w:tcPr>
          <w:p>
            <w:pPr>
              <w:spacing w:after="0"/>
              <w:rPr>
                <w:sz w:val="14"/>
                <w:szCs w:val="14"/>
                <w:color w:val="auto"/>
              </w:rPr>
            </w:pPr>
          </w:p>
        </w:tc>
        <w:tc>
          <w:tcPr>
            <w:tcW w:w="1020" w:type="dxa"/>
            <w:vAlign w:val="bottom"/>
          </w:tcPr>
          <w:p>
            <w:pPr>
              <w:jc w:val="right"/>
              <w:ind w:right="151"/>
              <w:spacing w:after="0"/>
              <w:rPr>
                <w:sz w:val="20"/>
                <w:szCs w:val="20"/>
                <w:color w:val="auto"/>
              </w:rPr>
            </w:pPr>
            <w:r>
              <w:rPr>
                <w:rFonts w:ascii="Arial" w:cs="Arial" w:eastAsia="Arial" w:hAnsi="Arial"/>
                <w:sz w:val="13"/>
                <w:szCs w:val="13"/>
                <w:b w:val="1"/>
                <w:bCs w:val="1"/>
                <w:color w:val="E2231A"/>
                <w:w w:val="99"/>
              </w:rPr>
              <w:t>Contribution</w:t>
            </w:r>
          </w:p>
        </w:tc>
        <w:tc>
          <w:tcPr>
            <w:tcW w:w="1720" w:type="dxa"/>
            <w:vAlign w:val="bottom"/>
            <w:gridSpan w:val="2"/>
          </w:tcPr>
          <w:p>
            <w:pPr>
              <w:ind w:left="80"/>
              <w:spacing w:after="0"/>
              <w:rPr>
                <w:sz w:val="20"/>
                <w:szCs w:val="20"/>
                <w:color w:val="auto"/>
              </w:rPr>
            </w:pPr>
            <w:r>
              <w:rPr>
                <w:rFonts w:ascii="Arial" w:cs="Arial" w:eastAsia="Arial" w:hAnsi="Arial"/>
                <w:sz w:val="13"/>
                <w:szCs w:val="13"/>
                <w:b w:val="1"/>
                <w:bCs w:val="1"/>
                <w:color w:val="E2231A"/>
              </w:rPr>
              <w:t>Nonqualified Contribution</w:t>
            </w:r>
          </w:p>
        </w:tc>
        <w:tc>
          <w:tcPr>
            <w:tcW w:w="1520" w:type="dxa"/>
            <w:vAlign w:val="bottom"/>
            <w:gridSpan w:val="2"/>
          </w:tcPr>
          <w:p>
            <w:pPr>
              <w:ind w:left="80"/>
              <w:spacing w:after="0"/>
              <w:rPr>
                <w:sz w:val="20"/>
                <w:szCs w:val="20"/>
                <w:color w:val="auto"/>
              </w:rPr>
            </w:pPr>
            <w:r>
              <w:rPr>
                <w:rFonts w:ascii="Arial" w:cs="Arial" w:eastAsia="Arial" w:hAnsi="Arial"/>
                <w:sz w:val="13"/>
                <w:szCs w:val="13"/>
                <w:b w:val="1"/>
                <w:bCs w:val="1"/>
                <w:color w:val="E2231A"/>
              </w:rPr>
              <w:t>Matching Contribution</w:t>
            </w:r>
          </w:p>
        </w:tc>
        <w:tc>
          <w:tcPr>
            <w:tcW w:w="1520" w:type="dxa"/>
            <w:vAlign w:val="bottom"/>
            <w:gridSpan w:val="2"/>
          </w:tcPr>
          <w:p>
            <w:pPr>
              <w:ind w:left="80"/>
              <w:spacing w:after="0"/>
              <w:rPr>
                <w:sz w:val="20"/>
                <w:szCs w:val="20"/>
                <w:color w:val="auto"/>
              </w:rPr>
            </w:pPr>
            <w:r>
              <w:rPr>
                <w:rFonts w:ascii="Arial" w:cs="Arial" w:eastAsia="Arial" w:hAnsi="Arial"/>
                <w:sz w:val="13"/>
                <w:szCs w:val="13"/>
                <w:b w:val="1"/>
                <w:bCs w:val="1"/>
                <w:color w:val="E2231A"/>
              </w:rPr>
              <w:t>Matching Contribution</w:t>
            </w:r>
          </w:p>
        </w:tc>
      </w:tr>
      <w:tr>
        <w:trPr>
          <w:trHeight w:val="43"/>
        </w:trPr>
        <w:tc>
          <w:tcPr>
            <w:tcW w:w="5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508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Matthew J. Simoncini</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FCE9E8"/>
            </w:tcBorders>
            <w:shd w:val="clear" w:color="auto" w:fill="FCE9E8"/>
          </w:tcPr>
          <w:p>
            <w:pPr>
              <w:jc w:val="right"/>
              <w:ind w:right="31"/>
              <w:spacing w:after="0"/>
              <w:rPr>
                <w:sz w:val="20"/>
                <w:szCs w:val="20"/>
                <w:color w:val="auto"/>
              </w:rPr>
            </w:pPr>
            <w:r>
              <w:rPr>
                <w:rFonts w:ascii="Arial" w:cs="Arial" w:eastAsia="Arial" w:hAnsi="Arial"/>
                <w:sz w:val="14"/>
                <w:szCs w:val="14"/>
                <w:color w:val="auto"/>
              </w:rPr>
              <w:t>23,898</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513,948</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12,102</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FCE9E8"/>
            </w:tcBorders>
            <w:shd w:val="clear" w:color="auto" w:fill="FCE9E8"/>
          </w:tcPr>
          <w:p>
            <w:pPr>
              <w:jc w:val="right"/>
              <w:ind w:right="31"/>
              <w:spacing w:after="0"/>
              <w:rPr>
                <w:sz w:val="20"/>
                <w:szCs w:val="20"/>
                <w:color w:val="auto"/>
              </w:rPr>
            </w:pPr>
            <w:r>
              <w:rPr>
                <w:rFonts w:ascii="Arial" w:cs="Arial" w:eastAsia="Arial" w:hAnsi="Arial"/>
                <w:sz w:val="14"/>
                <w:szCs w:val="14"/>
                <w:color w:val="auto"/>
              </w:rPr>
              <w:t>220,311</w:t>
            </w:r>
          </w:p>
        </w:tc>
      </w:tr>
      <w:tr>
        <w:trPr>
          <w:trHeight w:val="245"/>
        </w:trPr>
        <w:tc>
          <w:tcPr>
            <w:tcW w:w="5080" w:type="dxa"/>
            <w:vAlign w:val="bottom"/>
          </w:tcPr>
          <w:p>
            <w:pPr>
              <w:ind w:left="60"/>
              <w:spacing w:after="0"/>
              <w:rPr>
                <w:sz w:val="20"/>
                <w:szCs w:val="20"/>
                <w:color w:val="auto"/>
              </w:rPr>
            </w:pPr>
            <w:r>
              <w:rPr>
                <w:rFonts w:ascii="Arial" w:cs="Arial" w:eastAsia="Arial" w:hAnsi="Arial"/>
                <w:sz w:val="14"/>
                <w:szCs w:val="14"/>
                <w:color w:val="auto"/>
              </w:rPr>
              <w:t>Jeffrey H. Vanneste</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23,898</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1"/>
              <w:spacing w:after="0"/>
              <w:rPr>
                <w:sz w:val="20"/>
                <w:szCs w:val="20"/>
                <w:color w:val="auto"/>
              </w:rPr>
            </w:pPr>
            <w:r>
              <w:rPr>
                <w:rFonts w:ascii="Arial" w:cs="Arial" w:eastAsia="Arial" w:hAnsi="Arial"/>
                <w:sz w:val="14"/>
                <w:szCs w:val="14"/>
                <w:color w:val="auto"/>
              </w:rPr>
              <w:t>180,809</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11"/>
              <w:spacing w:after="0"/>
              <w:rPr>
                <w:sz w:val="20"/>
                <w:szCs w:val="20"/>
                <w:color w:val="auto"/>
              </w:rPr>
            </w:pPr>
            <w:r>
              <w:rPr>
                <w:rFonts w:ascii="Arial" w:cs="Arial" w:eastAsia="Arial" w:hAnsi="Arial"/>
                <w:sz w:val="14"/>
                <w:szCs w:val="14"/>
                <w:color w:val="auto"/>
              </w:rPr>
              <w:t>12,102</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77,538</w:t>
            </w:r>
          </w:p>
        </w:tc>
      </w:tr>
      <w:tr>
        <w:trPr>
          <w:trHeight w:val="39"/>
        </w:trPr>
        <w:tc>
          <w:tcPr>
            <w:tcW w:w="5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508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Raymond E. Scott</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FCE9E8"/>
            </w:tcBorders>
            <w:shd w:val="clear" w:color="auto" w:fill="FCE9E8"/>
          </w:tcPr>
          <w:p>
            <w:pPr>
              <w:jc w:val="right"/>
              <w:ind w:right="31"/>
              <w:spacing w:after="0"/>
              <w:rPr>
                <w:sz w:val="20"/>
                <w:szCs w:val="20"/>
                <w:color w:val="auto"/>
              </w:rPr>
            </w:pPr>
            <w:r>
              <w:rPr>
                <w:rFonts w:ascii="Arial" w:cs="Arial" w:eastAsia="Arial" w:hAnsi="Arial"/>
                <w:sz w:val="14"/>
                <w:szCs w:val="14"/>
                <w:color w:val="auto"/>
              </w:rPr>
              <w:t>23,898</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187,719</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12,102</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FCE9E8"/>
            </w:tcBorders>
            <w:shd w:val="clear" w:color="auto" w:fill="FCE9E8"/>
          </w:tcPr>
          <w:p>
            <w:pPr>
              <w:jc w:val="right"/>
              <w:ind w:right="31"/>
              <w:spacing w:after="0"/>
              <w:rPr>
                <w:sz w:val="20"/>
                <w:szCs w:val="20"/>
                <w:color w:val="auto"/>
              </w:rPr>
            </w:pPr>
            <w:r>
              <w:rPr>
                <w:rFonts w:ascii="Arial" w:cs="Arial" w:eastAsia="Arial" w:hAnsi="Arial"/>
                <w:sz w:val="14"/>
                <w:szCs w:val="14"/>
                <w:color w:val="auto"/>
              </w:rPr>
              <w:t>80,499</w:t>
            </w:r>
          </w:p>
        </w:tc>
      </w:tr>
      <w:tr>
        <w:trPr>
          <w:trHeight w:val="245"/>
        </w:trPr>
        <w:tc>
          <w:tcPr>
            <w:tcW w:w="5080" w:type="dxa"/>
            <w:vAlign w:val="bottom"/>
          </w:tcPr>
          <w:p>
            <w:pPr>
              <w:ind w:left="60"/>
              <w:spacing w:after="0"/>
              <w:rPr>
                <w:sz w:val="20"/>
                <w:szCs w:val="20"/>
                <w:color w:val="auto"/>
              </w:rPr>
            </w:pPr>
            <w:r>
              <w:rPr>
                <w:rFonts w:ascii="Arial" w:cs="Arial" w:eastAsia="Arial" w:hAnsi="Arial"/>
                <w:sz w:val="14"/>
                <w:szCs w:val="14"/>
                <w:color w:val="auto"/>
              </w:rPr>
              <w:t>Terrence B. Larkin</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23,898</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1"/>
              <w:spacing w:after="0"/>
              <w:rPr>
                <w:sz w:val="20"/>
                <w:szCs w:val="20"/>
                <w:color w:val="auto"/>
              </w:rPr>
            </w:pPr>
            <w:r>
              <w:rPr>
                <w:rFonts w:ascii="Arial" w:cs="Arial" w:eastAsia="Arial" w:hAnsi="Arial"/>
                <w:sz w:val="14"/>
                <w:szCs w:val="14"/>
                <w:color w:val="auto"/>
              </w:rPr>
              <w:t>187,719</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11"/>
              <w:spacing w:after="0"/>
              <w:rPr>
                <w:sz w:val="20"/>
                <w:szCs w:val="20"/>
                <w:color w:val="auto"/>
              </w:rPr>
            </w:pPr>
            <w:r>
              <w:rPr>
                <w:rFonts w:ascii="Arial" w:cs="Arial" w:eastAsia="Arial" w:hAnsi="Arial"/>
                <w:sz w:val="14"/>
                <w:szCs w:val="14"/>
                <w:color w:val="auto"/>
              </w:rPr>
              <w:t>12,102</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80,499</w:t>
            </w:r>
          </w:p>
        </w:tc>
      </w:tr>
      <w:tr>
        <w:trPr>
          <w:trHeight w:val="39"/>
        </w:trPr>
        <w:tc>
          <w:tcPr>
            <w:tcW w:w="5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508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Frank C. Orsini</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FCE9E8"/>
            </w:tcBorders>
            <w:shd w:val="clear" w:color="auto" w:fill="FCE9E8"/>
          </w:tcPr>
          <w:p>
            <w:pPr>
              <w:jc w:val="right"/>
              <w:ind w:right="31"/>
              <w:spacing w:after="0"/>
              <w:rPr>
                <w:sz w:val="20"/>
                <w:szCs w:val="20"/>
                <w:color w:val="auto"/>
              </w:rPr>
            </w:pPr>
            <w:r>
              <w:rPr>
                <w:rFonts w:ascii="Arial" w:cs="Arial" w:eastAsia="Arial" w:hAnsi="Arial"/>
                <w:sz w:val="14"/>
                <w:szCs w:val="14"/>
                <w:color w:val="auto"/>
              </w:rPr>
              <w:t>20,484</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135,189</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4"/>
                <w:szCs w:val="14"/>
                <w:color w:val="auto"/>
              </w:rPr>
              <w:t>12,150</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FCE9E8"/>
            </w:tcBorders>
            <w:shd w:val="clear" w:color="auto" w:fill="FCE9E8"/>
          </w:tcPr>
          <w:p>
            <w:pPr>
              <w:jc w:val="right"/>
              <w:ind w:right="31"/>
              <w:spacing w:after="0"/>
              <w:rPr>
                <w:sz w:val="20"/>
                <w:szCs w:val="20"/>
                <w:color w:val="auto"/>
              </w:rPr>
            </w:pPr>
            <w:r>
              <w:rPr>
                <w:rFonts w:ascii="Arial" w:cs="Arial" w:eastAsia="Arial" w:hAnsi="Arial"/>
                <w:sz w:val="14"/>
                <w:szCs w:val="14"/>
                <w:color w:val="auto"/>
              </w:rPr>
              <w:t>67,594</w:t>
            </w:r>
          </w:p>
        </w:tc>
      </w:tr>
      <w:tr>
        <w:trPr>
          <w:trHeight w:val="20"/>
        </w:trPr>
        <w:tc>
          <w:tcPr>
            <w:tcW w:w="5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26" w:lineRule="exact"/>
        <w:rPr>
          <w:sz w:val="20"/>
          <w:szCs w:val="20"/>
          <w:color w:val="auto"/>
        </w:rPr>
      </w:pPr>
    </w:p>
    <w:p>
      <w:pPr>
        <w:ind w:left="740" w:right="60" w:hanging="212"/>
        <w:spacing w:after="0" w:line="258" w:lineRule="auto"/>
        <w:tabs>
          <w:tab w:leader="none" w:pos="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imputed income with respect to life insurance coverage in the following amounts: Mr. Simoncini, $3,612; Mr. Vanneste, $3,612; Mr. Scott, $1,932; Mr. Larkin, $5,544; and Mr. Orsini, $1,260.</w:t>
      </w:r>
    </w:p>
    <w:p>
      <w:pPr>
        <w:spacing w:after="0" w:line="99" w:lineRule="exact"/>
        <w:rPr>
          <w:rFonts w:ascii="Arial" w:cs="Arial" w:eastAsia="Arial" w:hAnsi="Arial"/>
          <w:sz w:val="14"/>
          <w:szCs w:val="14"/>
          <w:color w:val="auto"/>
        </w:rPr>
      </w:pPr>
    </w:p>
    <w:p>
      <w:pPr>
        <w:ind w:left="740" w:hanging="212"/>
        <w:spacing w:after="0"/>
        <w:tabs>
          <w:tab w:leader="none" w:pos="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life insurance premiums paid by the Company, including $864 in premiums for each of Messrs. Simoncini, Vanneste, Scott, Larkin and Orsini.</w:t>
      </w:r>
    </w:p>
    <w:p>
      <w:pPr>
        <w:spacing w:after="0" w:line="122" w:lineRule="exact"/>
        <w:rPr>
          <w:rFonts w:ascii="Arial" w:cs="Arial" w:eastAsia="Arial" w:hAnsi="Arial"/>
          <w:sz w:val="14"/>
          <w:szCs w:val="14"/>
          <w:color w:val="auto"/>
        </w:rPr>
      </w:pPr>
    </w:p>
    <w:p>
      <w:pPr>
        <w:ind w:left="740" w:right="320" w:hanging="212"/>
        <w:spacing w:after="0" w:line="258" w:lineRule="auto"/>
        <w:tabs>
          <w:tab w:leader="none" w:pos="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aggregate incremental cost relating to Mr. Simoncini’s personal use of the Company’s aircraft in 2017 was equal to $49,599, after certain reimbursements by Mr. Simoncini to the Company.</w:t>
      </w:r>
    </w:p>
    <w:p>
      <w:pPr>
        <w:sectPr>
          <w:pgSz w:w="11900" w:h="16838" w:orient="portrait"/>
          <w:cols w:equalWidth="0" w:num="1">
            <w:col w:w="11240"/>
          </w:cols>
          <w:pgMar w:left="240" w:top="459" w:right="419" w:bottom="1440" w:gutter="0" w:footer="0" w:header="0"/>
        </w:sectPr>
      </w:pP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4"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We have entered into employment agreements with each of our Named Executive Officers. Each employment agreement specifies the annual base salary for the executive, which may be increased at the discretion of the Compensation Committee. In addition, the employment agreements specify that the executives are eligible for an annual incentive compensation bonus and participation in the Company’s long-term incentive plan. Under the terms of the employment agreements, each Named Executive Officer is also eligible to participate in the welfare, retirement and other benefit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practices, policies and programs, as may be in effect from time to time, for senior executives of the Company generally. Under the employment agreements, if the Company reduces an executive’s base salary, adversely changes the manner of computing an executive’s incentive compensation opportunity, defers payment of his compensation or eliminates or substantially modifies his benefits, the executive would have a basis to invoke his rights under the agreement for termination for good reason. For a description of the severance provisions of the employment agreements, see “— Potential Payments upon Termination or Change in Control.”</w:t>
      </w:r>
    </w:p>
    <w:p>
      <w:pPr>
        <w:spacing w:after="0" w:line="200"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CEO Transition</w:t>
      </w:r>
    </w:p>
    <w:p>
      <w:pPr>
        <w:spacing w:after="0" w:line="196" w:lineRule="exact"/>
        <w:rPr>
          <w:sz w:val="20"/>
          <w:szCs w:val="20"/>
          <w:color w:val="auto"/>
        </w:rPr>
      </w:pPr>
    </w:p>
    <w:p>
      <w:pPr>
        <w:jc w:val="both"/>
        <w:ind w:left="200" w:right="460"/>
        <w:spacing w:after="0" w:line="246" w:lineRule="auto"/>
        <w:rPr>
          <w:sz w:val="20"/>
          <w:szCs w:val="20"/>
          <w:color w:val="auto"/>
        </w:rPr>
      </w:pPr>
      <w:r>
        <w:rPr>
          <w:rFonts w:ascii="Arial" w:cs="Arial" w:eastAsia="Arial" w:hAnsi="Arial"/>
          <w:sz w:val="16"/>
          <w:szCs w:val="16"/>
          <w:color w:val="auto"/>
        </w:rPr>
        <w:t>As previously disclosed, effective February 28, 2018, Mr. Simoncini resigned as President and CEO and as a director of the Company.</w:t>
      </w:r>
    </w:p>
    <w:p>
      <w:pPr>
        <w:spacing w:after="0" w:line="1"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Mr. Simoncini will serve as a non-executive employee of the Company, in a transition and advisory role, until his retirement from the Company on January 4, 2019. In connection with the transition, the Company and Mr. Simoncini entered into a second amended and restated employment agreement, which sets forth the terms of Mr. Simoncini’s employment in a non-executive capacity until his retirement. During the transition period, Mr. Simoncini will assist with the leadership transition and will receive a base salary of $15,000 per month. Mr. Simoncini will be eligible to receive a prorated payout under the AIP with respect to his service for the first two months of 2018 as President and CEO and will not receive any additional awards under the LTSIP. If Mr. Simoncini’s employment terminates under certain circumstances prior to his retirement date, 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will not receive any cash severance benefits, but will be entitled to full vesting of his outstanding time-based equity awards under the LTSIP and vesting of any performance-based equity awards through January 4, 2019.</w:t>
      </w:r>
    </w:p>
    <w:p>
      <w:pPr>
        <w:spacing w:after="0" w:line="9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Effective March 1, 2018, Mr. Scott assumed the role of President and CEO and became a director of the Company, as Mr. Simoncini’s successor. The Company and Mr. Scott entered into a second amended and restated employment agreement to reflect the revised terms of his employment. Pursuant to that agreement, Mr. Scott will receive an increased annual base salary of $1,160,000. As noted above in the Compensation Discussion and Analysis under the headings, “Annual Incentives” and “Long-Term Incentives,” in connection with the transition, effective March 1, 2018, Mr. Scott’s target annual incentive opportunity was increased from 100% to 150% of his annual base salary, and the target value of Mr. Scott’s long-term incentive opportunity was</w:t>
      </w:r>
    </w:p>
    <w:p>
      <w:pPr>
        <w:spacing w:after="0" w:line="261" w:lineRule="exact"/>
        <w:rPr>
          <w:sz w:val="20"/>
          <w:szCs w:val="20"/>
          <w:color w:val="auto"/>
        </w:rPr>
      </w:pPr>
    </w:p>
    <w:p>
      <w:pPr>
        <w:ind w:left="3160"/>
        <w:spacing w:after="0"/>
        <w:tabs>
          <w:tab w:leader="none" w:pos="4880" w:val="left"/>
          <w:tab w:leader="none" w:pos="50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41</w:t>
      </w:r>
    </w:p>
    <w:p>
      <w:pPr>
        <w:sectPr>
          <w:pgSz w:w="11900" w:h="16838" w:orient="portrait"/>
          <w:cols w:equalWidth="0" w:num="2">
            <w:col w:w="5480" w:space="340"/>
            <w:col w:w="5420"/>
          </w:cols>
          <w:pgMar w:left="240" w:top="459" w:right="4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337"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increased from 300% to 625% of his annual base salary. The severance provisions of Mr. Scott’s amended and restated employment agreement did not change in connection with the transition, and more information regarding Mr. Scott’s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severance entitlement can be found in the section below entitled, “—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-1102995</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71" w:lineRule="exact"/>
        <w:rPr>
          <w:sz w:val="20"/>
          <w:szCs w:val="20"/>
          <w:color w:val="auto"/>
        </w:rPr>
      </w:pPr>
    </w:p>
    <w:p>
      <w:pPr>
        <w:sectPr>
          <w:pgSz w:w="11900" w:h="16838" w:orient="portrait"/>
          <w:cols w:equalWidth="0" w:num="2">
            <w:col w:w="5360" w:space="460"/>
            <w:col w:w="5400"/>
          </w:cols>
          <w:pgMar w:left="240" w:top="459" w:right="439" w:bottom="1440" w:gutter="0" w:footer="0" w:header="0"/>
        </w:sectPr>
      </w:pP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Lear Corporation Salaried Retirement Program</w:t>
      </w:r>
    </w:p>
    <w:p>
      <w:pPr>
        <w:spacing w:after="0" w:line="196"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who have completed one month of service. Under the Retirement Savings Plan, each eligible employee may elect to contribute, on a pre-tax basis, a portion of his eligible compensation in each year.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w:t>
      </w:r>
    </w:p>
    <w:p>
      <w:pPr>
        <w:spacing w:after="0" w:line="268" w:lineRule="exact"/>
        <w:rPr>
          <w:sz w:val="20"/>
          <w:szCs w:val="20"/>
          <w:color w:val="auto"/>
        </w:rPr>
      </w:pPr>
    </w:p>
    <w:p>
      <w:pPr>
        <w:ind w:left="660" w:hanging="354"/>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Retirement Savings Plan at any time. Company matching contributions generally become vested under the Retirement Savings Plan at a rate of 20% for each full year of service.</w:t>
      </w:r>
    </w:p>
    <w:p>
      <w:pPr>
        <w:spacing w:after="0" w:line="9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All Pension Savings Plan contributions are generally determined as of the last day of each month, provided, generally, that the employee is actively employed on such date, and are allocated monthly. Contributions generally become vested under the Pension Savings Plan at a rate of 20% for each full year of service.</w:t>
      </w:r>
    </w:p>
    <w:p>
      <w:pPr>
        <w:sectPr>
          <w:pgSz w:w="11900" w:h="16838" w:orient="portrait"/>
          <w:cols w:equalWidth="0" w:num="2">
            <w:col w:w="5420" w:space="400"/>
            <w:col w:w="5400"/>
          </w:cols>
          <w:pgMar w:left="24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90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FFFFFF"/>
        </w:rPr>
        <w:t>2017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discloses the grants of plan-based awards to our Named Executive Officers in 2017.</w:t>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E2231A"/>
                <w:w w:val="90"/>
              </w:rPr>
              <w:t>All</w:t>
            </w:r>
          </w:p>
        </w:tc>
        <w:tc>
          <w:tcPr>
            <w:tcW w:w="140" w:type="dxa"/>
            <w:vAlign w:val="bottom"/>
          </w:tcPr>
          <w:p>
            <w:pPr>
              <w:spacing w:after="0"/>
              <w:rPr>
                <w:sz w:val="12"/>
                <w:szCs w:val="12"/>
                <w:color w:val="auto"/>
              </w:rPr>
            </w:pPr>
          </w:p>
        </w:tc>
        <w:tc>
          <w:tcPr>
            <w:tcW w:w="680" w:type="dxa"/>
            <w:vAlign w:val="bottom"/>
          </w:tcPr>
          <w:p>
            <w:pPr>
              <w:jc w:val="center"/>
              <w:ind w:right="139"/>
              <w:spacing w:after="0"/>
              <w:rPr>
                <w:sz w:val="20"/>
                <w:szCs w:val="20"/>
                <w:color w:val="auto"/>
              </w:rPr>
            </w:pPr>
            <w:r>
              <w:rPr>
                <w:rFonts w:ascii="Arial" w:cs="Arial" w:eastAsia="Arial" w:hAnsi="Arial"/>
                <w:sz w:val="12"/>
                <w:szCs w:val="12"/>
                <w:b w:val="1"/>
                <w:bCs w:val="1"/>
                <w:color w:val="E2231A"/>
                <w:w w:val="99"/>
              </w:rPr>
              <w:t>Grant</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3"/>
              </w:rPr>
              <w:t>Other</w:t>
            </w:r>
          </w:p>
        </w:tc>
        <w:tc>
          <w:tcPr>
            <w:tcW w:w="140" w:type="dxa"/>
            <w:vAlign w:val="bottom"/>
          </w:tcPr>
          <w:p>
            <w:pPr>
              <w:spacing w:after="0"/>
              <w:rPr>
                <w:sz w:val="11"/>
                <w:szCs w:val="11"/>
                <w:color w:val="auto"/>
              </w:rPr>
            </w:pPr>
          </w:p>
        </w:tc>
        <w:tc>
          <w:tcPr>
            <w:tcW w:w="68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9"/>
              </w:rPr>
              <w:t>Date</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1"/>
              </w:rPr>
              <w:t>Stock</w:t>
            </w:r>
          </w:p>
        </w:tc>
        <w:tc>
          <w:tcPr>
            <w:tcW w:w="140" w:type="dxa"/>
            <w:vAlign w:val="bottom"/>
          </w:tcPr>
          <w:p>
            <w:pPr>
              <w:spacing w:after="0"/>
              <w:rPr>
                <w:sz w:val="11"/>
                <w:szCs w:val="11"/>
                <w:color w:val="auto"/>
              </w:rPr>
            </w:pPr>
          </w:p>
        </w:tc>
        <w:tc>
          <w:tcPr>
            <w:tcW w:w="68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9"/>
              </w:rPr>
              <w:t>Fair</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5"/>
          </w:tcPr>
          <w:p>
            <w:pPr>
              <w:jc w:val="center"/>
              <w:ind w:right="240"/>
              <w:spacing w:after="0" w:line="135" w:lineRule="exact"/>
              <w:rPr>
                <w:sz w:val="20"/>
                <w:szCs w:val="20"/>
                <w:color w:val="auto"/>
              </w:rPr>
            </w:pPr>
            <w:r>
              <w:rPr>
                <w:rFonts w:ascii="Arial" w:cs="Arial" w:eastAsia="Arial" w:hAnsi="Arial"/>
                <w:sz w:val="12"/>
                <w:szCs w:val="12"/>
                <w:b w:val="1"/>
                <w:bCs w:val="1"/>
                <w:color w:val="E2231A"/>
                <w:w w:val="97"/>
              </w:rPr>
              <w:t>Estimated Possible Payouts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Awards:</w:t>
            </w:r>
          </w:p>
        </w:tc>
        <w:tc>
          <w:tcPr>
            <w:tcW w:w="140" w:type="dxa"/>
            <w:vAlign w:val="bottom"/>
          </w:tcPr>
          <w:p>
            <w:pPr>
              <w:spacing w:after="0"/>
              <w:rPr>
                <w:sz w:val="11"/>
                <w:szCs w:val="11"/>
                <w:color w:val="auto"/>
              </w:rPr>
            </w:pPr>
          </w:p>
        </w:tc>
        <w:tc>
          <w:tcPr>
            <w:tcW w:w="680" w:type="dxa"/>
            <w:vAlign w:val="bottom"/>
          </w:tcPr>
          <w:p>
            <w:pPr>
              <w:jc w:val="center"/>
              <w:ind w:right="139"/>
              <w:spacing w:after="0" w:line="135" w:lineRule="exact"/>
              <w:rPr>
                <w:sz w:val="20"/>
                <w:szCs w:val="20"/>
                <w:color w:val="auto"/>
              </w:rPr>
            </w:pPr>
            <w:r>
              <w:rPr>
                <w:rFonts w:ascii="Arial" w:cs="Arial" w:eastAsia="Arial" w:hAnsi="Arial"/>
                <w:sz w:val="12"/>
                <w:szCs w:val="12"/>
                <w:b w:val="1"/>
                <w:bCs w:val="1"/>
                <w:color w:val="E2231A"/>
                <w:w w:val="94"/>
              </w:rPr>
              <w:t>Value of</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5"/>
          </w:tcPr>
          <w:p>
            <w:pPr>
              <w:jc w:val="center"/>
              <w:ind w:right="220"/>
              <w:spacing w:after="0" w:line="135" w:lineRule="exact"/>
              <w:rPr>
                <w:sz w:val="20"/>
                <w:szCs w:val="20"/>
                <w:color w:val="auto"/>
              </w:rPr>
            </w:pPr>
            <w:r>
              <w:rPr>
                <w:rFonts w:ascii="Arial" w:cs="Arial" w:eastAsia="Arial" w:hAnsi="Arial"/>
                <w:sz w:val="12"/>
                <w:szCs w:val="12"/>
                <w:b w:val="1"/>
                <w:bCs w:val="1"/>
                <w:color w:val="E2231A"/>
                <w:w w:val="97"/>
              </w:rPr>
              <w:t>Under Non-Equity Incentive Plan</w:t>
            </w:r>
          </w:p>
        </w:tc>
        <w:tc>
          <w:tcPr>
            <w:tcW w:w="2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E2231A"/>
                <w:w w:val="97"/>
              </w:rPr>
              <w:t>Estimated Future Payouts</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Number of</w:t>
            </w:r>
          </w:p>
        </w:tc>
        <w:tc>
          <w:tcPr>
            <w:tcW w:w="140" w:type="dxa"/>
            <w:vAlign w:val="bottom"/>
          </w:tcPr>
          <w:p>
            <w:pPr>
              <w:spacing w:after="0"/>
              <w:rPr>
                <w:sz w:val="11"/>
                <w:szCs w:val="11"/>
                <w:color w:val="auto"/>
              </w:rPr>
            </w:pPr>
          </w:p>
        </w:tc>
        <w:tc>
          <w:tcPr>
            <w:tcW w:w="680" w:type="dxa"/>
            <w:vAlign w:val="bottom"/>
          </w:tcPr>
          <w:p>
            <w:pPr>
              <w:jc w:val="center"/>
              <w:ind w:right="139"/>
              <w:spacing w:after="0" w:line="135" w:lineRule="exact"/>
              <w:rPr>
                <w:sz w:val="20"/>
                <w:szCs w:val="20"/>
                <w:color w:val="auto"/>
              </w:rPr>
            </w:pPr>
            <w:r>
              <w:rPr>
                <w:rFonts w:ascii="Arial" w:cs="Arial" w:eastAsia="Arial" w:hAnsi="Arial"/>
                <w:sz w:val="12"/>
                <w:szCs w:val="12"/>
                <w:b w:val="1"/>
                <w:bCs w:val="1"/>
                <w:color w:val="E2231A"/>
                <w:w w:val="97"/>
              </w:rPr>
              <w:t>Stock</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(1)</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E2231A"/>
                <w:w w:val="97"/>
              </w:rPr>
              <w:t>Under Equity Incentive Plan Awards</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4"/>
              </w:rPr>
              <w:t>Shares</w:t>
            </w:r>
          </w:p>
        </w:tc>
        <w:tc>
          <w:tcPr>
            <w:tcW w:w="140" w:type="dxa"/>
            <w:vAlign w:val="bottom"/>
          </w:tcPr>
          <w:p>
            <w:pPr>
              <w:spacing w:after="0"/>
              <w:rPr>
                <w:sz w:val="11"/>
                <w:szCs w:val="11"/>
                <w:color w:val="auto"/>
              </w:rPr>
            </w:pPr>
          </w:p>
        </w:tc>
        <w:tc>
          <w:tcPr>
            <w:tcW w:w="680" w:type="dxa"/>
            <w:vAlign w:val="bottom"/>
          </w:tcPr>
          <w:p>
            <w:pPr>
              <w:jc w:val="center"/>
              <w:ind w:right="139"/>
              <w:spacing w:after="0" w:line="135" w:lineRule="exact"/>
              <w:rPr>
                <w:sz w:val="20"/>
                <w:szCs w:val="20"/>
                <w:color w:val="auto"/>
              </w:rPr>
            </w:pPr>
            <w:r>
              <w:rPr>
                <w:rFonts w:ascii="Arial" w:cs="Arial" w:eastAsia="Arial" w:hAnsi="Arial"/>
                <w:sz w:val="12"/>
                <w:szCs w:val="12"/>
                <w:b w:val="1"/>
                <w:bCs w:val="1"/>
                <w:color w:val="E2231A"/>
                <w:w w:val="93"/>
              </w:rPr>
              <w:t>and</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E2231A"/>
                <w:w w:val="97"/>
              </w:rPr>
              <w:t>of Stock</w:t>
            </w:r>
          </w:p>
        </w:tc>
        <w:tc>
          <w:tcPr>
            <w:tcW w:w="140" w:type="dxa"/>
            <w:vAlign w:val="bottom"/>
          </w:tcPr>
          <w:p>
            <w:pPr>
              <w:spacing w:after="0"/>
              <w:rPr>
                <w:sz w:val="2"/>
                <w:szCs w:val="2"/>
                <w:color w:val="auto"/>
              </w:rPr>
            </w:pPr>
          </w:p>
        </w:tc>
        <w:tc>
          <w:tcPr>
            <w:tcW w:w="680" w:type="dxa"/>
            <w:vAlign w:val="bottom"/>
            <w:vMerge w:val="restart"/>
          </w:tcPr>
          <w:p>
            <w:pPr>
              <w:jc w:val="center"/>
              <w:ind w:right="119"/>
              <w:spacing w:after="0" w:line="135" w:lineRule="exact"/>
              <w:rPr>
                <w:sz w:val="20"/>
                <w:szCs w:val="20"/>
                <w:color w:val="auto"/>
              </w:rPr>
            </w:pPr>
            <w:r>
              <w:rPr>
                <w:rFonts w:ascii="Arial" w:cs="Arial" w:eastAsia="Arial" w:hAnsi="Arial"/>
                <w:sz w:val="12"/>
                <w:szCs w:val="12"/>
                <w:b w:val="1"/>
                <w:bCs w:val="1"/>
                <w:color w:val="E2231A"/>
                <w:w w:val="98"/>
              </w:rPr>
              <w:t>Option</w:t>
            </w: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160" w:type="dxa"/>
            <w:vAlign w:val="bottom"/>
          </w:tcPr>
          <w:p>
            <w:pPr>
              <w:jc w:val="right"/>
              <w:ind w:right="317"/>
              <w:spacing w:after="0" w:line="135" w:lineRule="exact"/>
              <w:rPr>
                <w:sz w:val="20"/>
                <w:szCs w:val="20"/>
                <w:color w:val="auto"/>
              </w:rPr>
            </w:pPr>
            <w:r>
              <w:rPr>
                <w:rFonts w:ascii="Arial" w:cs="Arial" w:eastAsia="Arial" w:hAnsi="Arial"/>
                <w:sz w:val="12"/>
                <w:szCs w:val="12"/>
                <w:b w:val="1"/>
                <w:bCs w:val="1"/>
                <w:color w:val="E2231A"/>
              </w:rPr>
              <w:t>Type of</w:t>
            </w:r>
          </w:p>
        </w:tc>
        <w:tc>
          <w:tcPr>
            <w:tcW w:w="780" w:type="dxa"/>
            <w:vAlign w:val="bottom"/>
          </w:tcPr>
          <w:p>
            <w:pPr>
              <w:jc w:val="right"/>
              <w:ind w:right="198"/>
              <w:spacing w:after="0" w:line="135" w:lineRule="exact"/>
              <w:rPr>
                <w:sz w:val="20"/>
                <w:szCs w:val="20"/>
                <w:color w:val="auto"/>
              </w:rPr>
            </w:pPr>
            <w:r>
              <w:rPr>
                <w:rFonts w:ascii="Arial" w:cs="Arial" w:eastAsia="Arial" w:hAnsi="Arial"/>
                <w:sz w:val="12"/>
                <w:szCs w:val="12"/>
                <w:b w:val="1"/>
                <w:bCs w:val="1"/>
                <w:color w:val="E2231A"/>
              </w:rPr>
              <w:t>Grant</w:t>
            </w:r>
          </w:p>
        </w:tc>
        <w:tc>
          <w:tcPr>
            <w:tcW w:w="60" w:type="dxa"/>
            <w:vAlign w:val="bottom"/>
          </w:tcPr>
          <w:p>
            <w:pPr>
              <w:spacing w:after="0"/>
              <w:rPr>
                <w:sz w:val="11"/>
                <w:szCs w:val="11"/>
                <w:color w:val="auto"/>
              </w:rPr>
            </w:pPr>
          </w:p>
        </w:tc>
        <w:tc>
          <w:tcPr>
            <w:tcW w:w="720" w:type="dxa"/>
            <w:vAlign w:val="bottom"/>
            <w:gridSpan w:val="2"/>
          </w:tcPr>
          <w:p>
            <w:pPr>
              <w:jc w:val="right"/>
              <w:ind w:right="59"/>
              <w:spacing w:after="0" w:line="135" w:lineRule="exact"/>
              <w:rPr>
                <w:sz w:val="20"/>
                <w:szCs w:val="20"/>
                <w:color w:val="auto"/>
              </w:rPr>
            </w:pPr>
            <w:r>
              <w:rPr>
                <w:rFonts w:ascii="Arial" w:cs="Arial" w:eastAsia="Arial" w:hAnsi="Arial"/>
                <w:sz w:val="12"/>
                <w:szCs w:val="12"/>
                <w:b w:val="1"/>
                <w:bCs w:val="1"/>
                <w:color w:val="E2231A"/>
                <w:w w:val="99"/>
              </w:rPr>
              <w:t>Threshold</w:t>
            </w:r>
          </w:p>
        </w:tc>
        <w:tc>
          <w:tcPr>
            <w:tcW w:w="140" w:type="dxa"/>
            <w:vAlign w:val="bottom"/>
          </w:tcPr>
          <w:p>
            <w:pPr>
              <w:spacing w:after="0"/>
              <w:rPr>
                <w:sz w:val="11"/>
                <w:szCs w:val="11"/>
                <w:color w:val="auto"/>
              </w:rPr>
            </w:pPr>
          </w:p>
        </w:tc>
        <w:tc>
          <w:tcPr>
            <w:tcW w:w="640" w:type="dxa"/>
            <w:vAlign w:val="bottom"/>
          </w:tcPr>
          <w:p>
            <w:pPr>
              <w:jc w:val="center"/>
              <w:ind w:right="78"/>
              <w:spacing w:after="0" w:line="135" w:lineRule="exact"/>
              <w:rPr>
                <w:sz w:val="20"/>
                <w:szCs w:val="20"/>
                <w:color w:val="auto"/>
              </w:rPr>
            </w:pPr>
            <w:r>
              <w:rPr>
                <w:rFonts w:ascii="Arial" w:cs="Arial" w:eastAsia="Arial" w:hAnsi="Arial"/>
                <w:sz w:val="12"/>
                <w:szCs w:val="12"/>
                <w:b w:val="1"/>
                <w:bCs w:val="1"/>
                <w:color w:val="E2231A"/>
                <w:w w:val="92"/>
              </w:rPr>
              <w:t>Target</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E2231A"/>
                <w:w w:val="97"/>
              </w:rPr>
              <w:t>Maximum</w:t>
            </w:r>
          </w:p>
        </w:tc>
        <w:tc>
          <w:tcPr>
            <w:tcW w:w="740" w:type="dxa"/>
            <w:vAlign w:val="bottom"/>
          </w:tcPr>
          <w:p>
            <w:pPr>
              <w:jc w:val="right"/>
              <w:ind w:right="79"/>
              <w:spacing w:after="0" w:line="135" w:lineRule="exact"/>
              <w:rPr>
                <w:sz w:val="20"/>
                <w:szCs w:val="20"/>
                <w:color w:val="auto"/>
              </w:rPr>
            </w:pPr>
            <w:r>
              <w:rPr>
                <w:rFonts w:ascii="Arial" w:cs="Arial" w:eastAsia="Arial" w:hAnsi="Arial"/>
                <w:sz w:val="12"/>
                <w:szCs w:val="12"/>
                <w:b w:val="1"/>
                <w:bCs w:val="1"/>
                <w:color w:val="E2231A"/>
                <w:w w:val="99"/>
              </w:rPr>
              <w:t>Threshold</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2"/>
              </w:rPr>
              <w:t>Target</w:t>
            </w:r>
          </w:p>
        </w:tc>
        <w:tc>
          <w:tcPr>
            <w:tcW w:w="720" w:type="dxa"/>
            <w:vAlign w:val="bottom"/>
          </w:tcPr>
          <w:p>
            <w:pPr>
              <w:jc w:val="right"/>
              <w:ind w:right="18"/>
              <w:spacing w:after="0" w:line="135" w:lineRule="exact"/>
              <w:rPr>
                <w:sz w:val="20"/>
                <w:szCs w:val="20"/>
                <w:color w:val="auto"/>
              </w:rPr>
            </w:pPr>
            <w:r>
              <w:rPr>
                <w:rFonts w:ascii="Arial" w:cs="Arial" w:eastAsia="Arial" w:hAnsi="Arial"/>
                <w:sz w:val="12"/>
                <w:szCs w:val="12"/>
                <w:b w:val="1"/>
                <w:bCs w:val="1"/>
                <w:color w:val="E2231A"/>
              </w:rPr>
              <w:t>Maximum</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rPr>
              <w:t>or Units</w:t>
            </w: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(2)</w:t>
            </w:r>
          </w:p>
        </w:tc>
        <w:tc>
          <w:tcPr>
            <w:tcW w:w="0" w:type="dxa"/>
            <w:vAlign w:val="bottom"/>
          </w:tcPr>
          <w:p>
            <w:pPr>
              <w:spacing w:after="0"/>
              <w:rPr>
                <w:sz w:val="1"/>
                <w:szCs w:val="1"/>
                <w:color w:val="auto"/>
              </w:rPr>
            </w:pPr>
          </w:p>
        </w:tc>
      </w:tr>
      <w:tr>
        <w:trPr>
          <w:trHeight w:val="154"/>
        </w:trPr>
        <w:tc>
          <w:tcPr>
            <w:tcW w:w="2940" w:type="dxa"/>
            <w:vAlign w:val="bottom"/>
          </w:tcPr>
          <w:p>
            <w:pPr>
              <w:ind w:left="40"/>
              <w:spacing w:after="0"/>
              <w:rPr>
                <w:sz w:val="20"/>
                <w:szCs w:val="20"/>
                <w:color w:val="auto"/>
              </w:rPr>
            </w:pPr>
            <w:r>
              <w:rPr>
                <w:rFonts w:ascii="Arial" w:cs="Arial" w:eastAsia="Arial" w:hAnsi="Arial"/>
                <w:sz w:val="12"/>
                <w:szCs w:val="12"/>
                <w:b w:val="1"/>
                <w:bCs w:val="1"/>
                <w:color w:val="E2231A"/>
              </w:rPr>
              <w:t>Name</w:t>
            </w:r>
            <w:r>
              <w:rPr>
                <w:rFonts w:ascii="Arial" w:cs="Arial" w:eastAsia="Arial" w:hAnsi="Arial"/>
                <w:sz w:val="9"/>
                <w:szCs w:val="9"/>
                <w:b w:val="1"/>
                <w:bCs w:val="1"/>
                <w:color w:val="E2231A"/>
              </w:rPr>
              <w:t>(a)</w:t>
            </w:r>
          </w:p>
        </w:tc>
        <w:tc>
          <w:tcPr>
            <w:tcW w:w="1160" w:type="dxa"/>
            <w:vAlign w:val="bottom"/>
          </w:tcPr>
          <w:p>
            <w:pPr>
              <w:jc w:val="right"/>
              <w:ind w:right="357"/>
              <w:spacing w:after="0"/>
              <w:rPr>
                <w:sz w:val="20"/>
                <w:szCs w:val="20"/>
                <w:color w:val="auto"/>
              </w:rPr>
            </w:pPr>
            <w:r>
              <w:rPr>
                <w:rFonts w:ascii="Arial" w:cs="Arial" w:eastAsia="Arial" w:hAnsi="Arial"/>
                <w:sz w:val="12"/>
                <w:szCs w:val="12"/>
                <w:b w:val="1"/>
                <w:bCs w:val="1"/>
                <w:color w:val="E2231A"/>
              </w:rPr>
              <w:t>Award</w:t>
            </w:r>
          </w:p>
        </w:tc>
        <w:tc>
          <w:tcPr>
            <w:tcW w:w="780" w:type="dxa"/>
            <w:vAlign w:val="bottom"/>
          </w:tcPr>
          <w:p>
            <w:pPr>
              <w:jc w:val="right"/>
              <w:ind w:right="138"/>
              <w:spacing w:after="0"/>
              <w:rPr>
                <w:sz w:val="20"/>
                <w:szCs w:val="20"/>
                <w:color w:val="auto"/>
              </w:rPr>
            </w:pPr>
            <w:r>
              <w:rPr>
                <w:rFonts w:ascii="Arial" w:cs="Arial" w:eastAsia="Arial" w:hAnsi="Arial"/>
                <w:sz w:val="12"/>
                <w:szCs w:val="12"/>
                <w:b w:val="1"/>
                <w:bCs w:val="1"/>
                <w:color w:val="E2231A"/>
              </w:rPr>
              <w:t>Date (b)</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59"/>
              <w:spacing w:after="0"/>
              <w:rPr>
                <w:sz w:val="20"/>
                <w:szCs w:val="20"/>
                <w:color w:val="auto"/>
              </w:rPr>
            </w:pPr>
            <w:r>
              <w:rPr>
                <w:rFonts w:ascii="Arial" w:cs="Arial" w:eastAsia="Arial" w:hAnsi="Arial"/>
                <w:sz w:val="12"/>
                <w:szCs w:val="12"/>
                <w:b w:val="1"/>
                <w:bCs w:val="1"/>
                <w:color w:val="E2231A"/>
              </w:rPr>
              <w:t>(c)</w:t>
            </w:r>
          </w:p>
        </w:tc>
        <w:tc>
          <w:tcPr>
            <w:tcW w:w="140" w:type="dxa"/>
            <w:vAlign w:val="bottom"/>
          </w:tcPr>
          <w:p>
            <w:pPr>
              <w:spacing w:after="0"/>
              <w:rPr>
                <w:sz w:val="13"/>
                <w:szCs w:val="13"/>
                <w:color w:val="auto"/>
              </w:rPr>
            </w:pPr>
          </w:p>
        </w:tc>
        <w:tc>
          <w:tcPr>
            <w:tcW w:w="640" w:type="dxa"/>
            <w:vAlign w:val="bottom"/>
          </w:tcPr>
          <w:p>
            <w:pPr>
              <w:jc w:val="center"/>
              <w:ind w:right="78"/>
              <w:spacing w:after="0"/>
              <w:rPr>
                <w:sz w:val="20"/>
                <w:szCs w:val="20"/>
                <w:color w:val="auto"/>
              </w:rPr>
            </w:pPr>
            <w:r>
              <w:rPr>
                <w:rFonts w:ascii="Arial" w:cs="Arial" w:eastAsia="Arial" w:hAnsi="Arial"/>
                <w:sz w:val="12"/>
                <w:szCs w:val="12"/>
                <w:b w:val="1"/>
                <w:bCs w:val="1"/>
                <w:color w:val="E2231A"/>
                <w:w w:val="91"/>
              </w:rPr>
              <w:t>(d)</w:t>
            </w:r>
          </w:p>
        </w:tc>
        <w:tc>
          <w:tcPr>
            <w:tcW w:w="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E2231A"/>
                <w:w w:val="95"/>
              </w:rPr>
              <w:t>(e)</w:t>
            </w:r>
          </w:p>
        </w:tc>
        <w:tc>
          <w:tcPr>
            <w:tcW w:w="740" w:type="dxa"/>
            <w:vAlign w:val="bottom"/>
          </w:tcPr>
          <w:p>
            <w:pPr>
              <w:jc w:val="right"/>
              <w:ind w:right="239"/>
              <w:spacing w:after="0"/>
              <w:rPr>
                <w:sz w:val="20"/>
                <w:szCs w:val="20"/>
                <w:color w:val="auto"/>
              </w:rPr>
            </w:pPr>
            <w:r>
              <w:rPr>
                <w:rFonts w:ascii="Arial" w:cs="Arial" w:eastAsia="Arial" w:hAnsi="Arial"/>
                <w:sz w:val="12"/>
                <w:szCs w:val="12"/>
                <w:b w:val="1"/>
                <w:bCs w:val="1"/>
                <w:color w:val="E2231A"/>
              </w:rPr>
              <w:t>(f)(#)</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E2231A"/>
              </w:rPr>
              <w:t>(g)(#)</w:t>
            </w:r>
          </w:p>
        </w:tc>
        <w:tc>
          <w:tcPr>
            <w:tcW w:w="720" w:type="dxa"/>
            <w:vAlign w:val="bottom"/>
          </w:tcPr>
          <w:p>
            <w:pPr>
              <w:jc w:val="right"/>
              <w:ind w:right="138"/>
              <w:spacing w:after="0"/>
              <w:rPr>
                <w:sz w:val="20"/>
                <w:szCs w:val="20"/>
                <w:color w:val="auto"/>
              </w:rPr>
            </w:pPr>
            <w:r>
              <w:rPr>
                <w:rFonts w:ascii="Arial" w:cs="Arial" w:eastAsia="Arial" w:hAnsi="Arial"/>
                <w:sz w:val="12"/>
                <w:szCs w:val="12"/>
                <w:b w:val="1"/>
                <w:bCs w:val="1"/>
                <w:color w:val="E2231A"/>
              </w:rPr>
              <w:t>(h)(#)</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E2231A"/>
                <w:w w:val="99"/>
              </w:rPr>
              <w:t>(i)(#)</w:t>
            </w:r>
          </w:p>
        </w:tc>
        <w:tc>
          <w:tcPr>
            <w:tcW w:w="140" w:type="dxa"/>
            <w:vAlign w:val="bottom"/>
          </w:tcPr>
          <w:p>
            <w:pPr>
              <w:spacing w:after="0"/>
              <w:rPr>
                <w:sz w:val="13"/>
                <w:szCs w:val="13"/>
                <w:color w:val="auto"/>
              </w:rPr>
            </w:pPr>
          </w:p>
        </w:tc>
        <w:tc>
          <w:tcPr>
            <w:tcW w:w="680" w:type="dxa"/>
            <w:vAlign w:val="bottom"/>
          </w:tcPr>
          <w:p>
            <w:pPr>
              <w:jc w:val="center"/>
              <w:ind w:right="119"/>
              <w:spacing w:after="0"/>
              <w:rPr>
                <w:sz w:val="20"/>
                <w:szCs w:val="20"/>
                <w:color w:val="auto"/>
              </w:rPr>
            </w:pPr>
            <w:r>
              <w:rPr>
                <w:rFonts w:ascii="Arial" w:cs="Arial" w:eastAsia="Arial" w:hAnsi="Arial"/>
                <w:sz w:val="12"/>
                <w:szCs w:val="12"/>
                <w:b w:val="1"/>
                <w:bCs w:val="1"/>
                <w:color w:val="E2231A"/>
                <w:w w:val="87"/>
              </w:rPr>
              <w:t>(l)</w:t>
            </w:r>
          </w:p>
        </w:tc>
        <w:tc>
          <w:tcPr>
            <w:tcW w:w="0" w:type="dxa"/>
            <w:vAlign w:val="bottom"/>
          </w:tcPr>
          <w:p>
            <w:pPr>
              <w:spacing w:after="0"/>
              <w:rPr>
                <w:sz w:val="1"/>
                <w:szCs w:val="1"/>
                <w:color w:val="auto"/>
              </w:rPr>
            </w:pPr>
          </w:p>
        </w:tc>
      </w:tr>
      <w:tr>
        <w:trPr>
          <w:trHeight w:val="74"/>
        </w:trPr>
        <w:tc>
          <w:tcPr>
            <w:tcW w:w="29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940" w:type="dxa"/>
            <w:vAlign w:val="bottom"/>
            <w:shd w:val="clear" w:color="auto" w:fill="FCE9E8"/>
          </w:tcPr>
          <w:p>
            <w:pPr>
              <w:ind w:left="60"/>
              <w:spacing w:after="0"/>
              <w:rPr>
                <w:sz w:val="20"/>
                <w:szCs w:val="20"/>
                <w:color w:val="auto"/>
              </w:rPr>
            </w:pPr>
            <w:r>
              <w:rPr>
                <w:rFonts w:ascii="Arial" w:cs="Arial" w:eastAsia="Arial" w:hAnsi="Arial"/>
                <w:sz w:val="13"/>
                <w:szCs w:val="13"/>
                <w:color w:val="auto"/>
              </w:rPr>
              <w:t>Matthew J. Simoncini</w:t>
            </w: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Annual Incentive</w:t>
            </w:r>
          </w:p>
        </w:tc>
        <w:tc>
          <w:tcPr>
            <w:tcW w:w="780" w:type="dxa"/>
            <w:vAlign w:val="bottom"/>
            <w:shd w:val="clear" w:color="auto" w:fill="FCE9E8"/>
          </w:tcPr>
          <w:p>
            <w:pPr>
              <w:spacing w:after="0"/>
              <w:rPr>
                <w:sz w:val="15"/>
                <w:szCs w:val="15"/>
                <w:color w:val="auto"/>
              </w:rPr>
            </w:pPr>
          </w:p>
        </w:tc>
        <w:tc>
          <w:tcPr>
            <w:tcW w:w="60" w:type="dxa"/>
            <w:vAlign w:val="bottom"/>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74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80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FCE9E8"/>
          </w:tcPr>
          <w:p>
            <w:pPr>
              <w:spacing w:after="0"/>
              <w:rPr>
                <w:sz w:val="13"/>
                <w:szCs w:val="13"/>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Award</w:t>
            </w:r>
          </w:p>
        </w:tc>
        <w:tc>
          <w:tcPr>
            <w:tcW w:w="780" w:type="dxa"/>
            <w:vAlign w:val="bottom"/>
            <w:shd w:val="clear" w:color="auto" w:fill="FCE9E8"/>
          </w:tcPr>
          <w:p>
            <w:pPr>
              <w:spacing w:after="0"/>
              <w:rPr>
                <w:sz w:val="13"/>
                <w:szCs w:val="13"/>
                <w:color w:val="auto"/>
              </w:rPr>
            </w:pPr>
          </w:p>
        </w:tc>
        <w:tc>
          <w:tcPr>
            <w:tcW w:w="140" w:type="dxa"/>
            <w:vAlign w:val="bottom"/>
            <w:gridSpan w:val="2"/>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w w:val="93"/>
              </w:rPr>
              <w:t>1,083,600</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spacing w:after="0"/>
              <w:rPr>
                <w:sz w:val="20"/>
                <w:szCs w:val="20"/>
                <w:color w:val="auto"/>
              </w:rPr>
            </w:pPr>
            <w:r>
              <w:rPr>
                <w:rFonts w:ascii="Arial" w:cs="Arial" w:eastAsia="Arial" w:hAnsi="Arial"/>
                <w:sz w:val="13"/>
                <w:szCs w:val="13"/>
                <w:color w:val="auto"/>
                <w:w w:val="96"/>
              </w:rPr>
              <w:t>2,167,200</w:t>
            </w:r>
          </w:p>
        </w:tc>
        <w:tc>
          <w:tcPr>
            <w:tcW w:w="720" w:type="dxa"/>
            <w:vAlign w:val="bottom"/>
            <w:shd w:val="clear" w:color="auto" w:fill="FCE9E8"/>
          </w:tcPr>
          <w:p>
            <w:pPr>
              <w:jc w:val="center"/>
              <w:spacing w:after="0"/>
              <w:rPr>
                <w:sz w:val="20"/>
                <w:szCs w:val="20"/>
                <w:color w:val="auto"/>
              </w:rPr>
            </w:pPr>
            <w:r>
              <w:rPr>
                <w:rFonts w:ascii="Arial" w:cs="Arial" w:eastAsia="Arial" w:hAnsi="Arial"/>
                <w:sz w:val="13"/>
                <w:szCs w:val="13"/>
                <w:color w:val="auto"/>
                <w:w w:val="96"/>
              </w:rPr>
              <w:t>$ 4,334,400</w:t>
            </w:r>
          </w:p>
        </w:tc>
        <w:tc>
          <w:tcPr>
            <w:tcW w:w="140" w:type="dxa"/>
            <w:vAlign w:val="bottom"/>
            <w:shd w:val="clear" w:color="auto" w:fill="FCE9E8"/>
          </w:tcPr>
          <w:p>
            <w:pPr>
              <w:spacing w:after="0"/>
              <w:rPr>
                <w:sz w:val="13"/>
                <w:szCs w:val="13"/>
                <w:color w:val="auto"/>
              </w:rPr>
            </w:pPr>
          </w:p>
        </w:tc>
        <w:tc>
          <w:tcPr>
            <w:tcW w:w="74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80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680" w:type="dxa"/>
            <w:vAlign w:val="bottom"/>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FCE9E8"/>
          </w:tcPr>
          <w:p>
            <w:pPr>
              <w:spacing w:after="0"/>
              <w:rPr>
                <w:sz w:val="14"/>
                <w:szCs w:val="14"/>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Performance</w:t>
            </w:r>
          </w:p>
        </w:tc>
        <w:tc>
          <w:tcPr>
            <w:tcW w:w="780" w:type="dxa"/>
            <w:vAlign w:val="bottom"/>
            <w:shd w:val="clear" w:color="auto" w:fill="FCE9E8"/>
          </w:tcPr>
          <w:p>
            <w:pPr>
              <w:spacing w:after="0"/>
              <w:rPr>
                <w:sz w:val="14"/>
                <w:szCs w:val="14"/>
                <w:color w:val="auto"/>
              </w:rPr>
            </w:pPr>
          </w:p>
        </w:tc>
        <w:tc>
          <w:tcPr>
            <w:tcW w:w="60" w:type="dxa"/>
            <w:vAlign w:val="bottom"/>
            <w:shd w:val="clear" w:color="auto" w:fill="FCE9E8"/>
          </w:tcPr>
          <w:p>
            <w:pPr>
              <w:spacing w:after="0"/>
              <w:rPr>
                <w:sz w:val="14"/>
                <w:szCs w:val="14"/>
                <w:color w:val="auto"/>
              </w:rPr>
            </w:pPr>
          </w:p>
        </w:tc>
        <w:tc>
          <w:tcPr>
            <w:tcW w:w="8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7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80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8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FCE9E8"/>
          </w:tcPr>
          <w:p>
            <w:pPr>
              <w:spacing w:after="0"/>
              <w:rPr>
                <w:sz w:val="13"/>
                <w:szCs w:val="13"/>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Share Award</w:t>
            </w:r>
            <w:r>
              <w:rPr>
                <w:rFonts w:ascii="Arial" w:cs="Arial" w:eastAsia="Arial" w:hAnsi="Arial"/>
                <w:sz w:val="10"/>
                <w:szCs w:val="10"/>
                <w:color w:val="auto"/>
              </w:rPr>
              <w:t>(3)</w:t>
            </w:r>
          </w:p>
        </w:tc>
        <w:tc>
          <w:tcPr>
            <w:tcW w:w="78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shd w:val="clear" w:color="auto" w:fill="FCE9E8"/>
          </w:tcPr>
          <w:p>
            <w:pPr>
              <w:spacing w:after="0"/>
              <w:rPr>
                <w:sz w:val="13"/>
                <w:szCs w:val="13"/>
                <w:color w:val="auto"/>
              </w:rPr>
            </w:pPr>
          </w:p>
        </w:tc>
        <w:tc>
          <w:tcPr>
            <w:tcW w:w="8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740" w:type="dxa"/>
            <w:vAlign w:val="bottom"/>
            <w:shd w:val="clear" w:color="auto" w:fill="FCE9E8"/>
          </w:tcPr>
          <w:p>
            <w:pPr>
              <w:jc w:val="right"/>
              <w:ind w:right="39"/>
              <w:spacing w:after="0"/>
              <w:rPr>
                <w:sz w:val="20"/>
                <w:szCs w:val="20"/>
                <w:color w:val="auto"/>
              </w:rPr>
            </w:pPr>
            <w:r>
              <w:rPr>
                <w:rFonts w:ascii="Arial" w:cs="Arial" w:eastAsia="Arial" w:hAnsi="Arial"/>
                <w:sz w:val="13"/>
                <w:szCs w:val="13"/>
                <w:color w:val="auto"/>
              </w:rPr>
              <w:t>24,883</w:t>
            </w:r>
          </w:p>
        </w:tc>
        <w:tc>
          <w:tcPr>
            <w:tcW w:w="640" w:type="dxa"/>
            <w:vAlign w:val="bottom"/>
            <w:shd w:val="clear" w:color="auto" w:fill="FCE9E8"/>
          </w:tcPr>
          <w:p>
            <w:pPr>
              <w:ind w:left="160"/>
              <w:spacing w:after="0"/>
              <w:rPr>
                <w:sz w:val="20"/>
                <w:szCs w:val="20"/>
                <w:color w:val="auto"/>
              </w:rPr>
            </w:pPr>
            <w:r>
              <w:rPr>
                <w:rFonts w:ascii="Arial" w:cs="Arial" w:eastAsia="Arial" w:hAnsi="Arial"/>
                <w:sz w:val="13"/>
                <w:szCs w:val="13"/>
                <w:color w:val="auto"/>
              </w:rPr>
              <w:t>49,766</w:t>
            </w:r>
          </w:p>
        </w:tc>
        <w:tc>
          <w:tcPr>
            <w:tcW w:w="7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99,532</w:t>
            </w:r>
          </w:p>
        </w:tc>
        <w:tc>
          <w:tcPr>
            <w:tcW w:w="800" w:type="dxa"/>
            <w:vAlign w:val="bottom"/>
            <w:shd w:val="clear" w:color="auto" w:fill="FCE9E8"/>
          </w:tcPr>
          <w:p>
            <w:pPr>
              <w:spacing w:after="0"/>
              <w:rPr>
                <w:sz w:val="13"/>
                <w:szCs w:val="13"/>
                <w:color w:val="auto"/>
              </w:rPr>
            </w:pP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59"/>
              <w:spacing w:after="0"/>
              <w:rPr>
                <w:sz w:val="20"/>
                <w:szCs w:val="20"/>
                <w:color w:val="auto"/>
              </w:rPr>
            </w:pPr>
            <w:r>
              <w:rPr>
                <w:rFonts w:ascii="Arial" w:cs="Arial" w:eastAsia="Arial" w:hAnsi="Arial"/>
                <w:sz w:val="13"/>
                <w:szCs w:val="13"/>
                <w:color w:val="auto"/>
                <w:w w:val="93"/>
              </w:rPr>
              <w:t>6,614,897</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FCE9E8"/>
            </w:tcBorders>
            <w:shd w:val="clear" w:color="auto" w:fill="FCE9E8"/>
          </w:tcPr>
          <w:p>
            <w:pPr>
              <w:spacing w:after="0"/>
              <w:rPr>
                <w:sz w:val="20"/>
                <w:szCs w:val="20"/>
                <w:color w:val="auto"/>
              </w:rPr>
            </w:pPr>
          </w:p>
        </w:tc>
        <w:tc>
          <w:tcPr>
            <w:tcW w:w="11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8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tcBorders>
              <w:bottom w:val="single" w:sz="8" w:color="FCE9E8"/>
            </w:tcBorders>
            <w:shd w:val="clear" w:color="auto" w:fill="FCE9E8"/>
          </w:tcPr>
          <w:p>
            <w:pPr>
              <w:spacing w:after="0"/>
              <w:rPr>
                <w:sz w:val="20"/>
                <w:szCs w:val="20"/>
                <w:color w:val="auto"/>
              </w:rPr>
            </w:pPr>
          </w:p>
        </w:tc>
        <w:tc>
          <w:tcPr>
            <w:tcW w:w="80" w:type="dxa"/>
            <w:vAlign w:val="bottom"/>
            <w:tcBorders>
              <w:bottom w:val="single" w:sz="8" w:color="FCE9E8"/>
            </w:tcBorders>
            <w:shd w:val="clear" w:color="auto" w:fill="FCE9E8"/>
          </w:tcPr>
          <w:p>
            <w:pPr>
              <w:spacing w:after="0"/>
              <w:rPr>
                <w:sz w:val="20"/>
                <w:szCs w:val="20"/>
                <w:color w:val="auto"/>
              </w:rPr>
            </w:pPr>
          </w:p>
        </w:tc>
        <w:tc>
          <w:tcPr>
            <w:tcW w:w="640" w:type="dxa"/>
            <w:vAlign w:val="bottom"/>
            <w:tcBorders>
              <w:bottom w:val="single" w:sz="8" w:color="FCE9E8"/>
            </w:tcBorders>
            <w:shd w:val="clear" w:color="auto" w:fill="FCE9E8"/>
          </w:tcPr>
          <w:p>
            <w:pPr>
              <w:spacing w:after="0"/>
              <w:rPr>
                <w:sz w:val="20"/>
                <w:szCs w:val="20"/>
                <w:color w:val="auto"/>
              </w:rPr>
            </w:pPr>
          </w:p>
        </w:tc>
        <w:tc>
          <w:tcPr>
            <w:tcW w:w="140" w:type="dxa"/>
            <w:vAlign w:val="bottom"/>
            <w:tcBorders>
              <w:bottom w:val="single" w:sz="8" w:color="FCE9E8"/>
            </w:tcBorders>
            <w:shd w:val="clear" w:color="auto" w:fill="FCE9E8"/>
          </w:tcPr>
          <w:p>
            <w:pPr>
              <w:spacing w:after="0"/>
              <w:rPr>
                <w:sz w:val="20"/>
                <w:szCs w:val="20"/>
                <w:color w:val="auto"/>
              </w:rPr>
            </w:pPr>
          </w:p>
        </w:tc>
        <w:tc>
          <w:tcPr>
            <w:tcW w:w="640" w:type="dxa"/>
            <w:vAlign w:val="bottom"/>
            <w:tcBorders>
              <w:bottom w:val="single" w:sz="8" w:color="FCE9E8"/>
            </w:tcBorders>
            <w:shd w:val="clear" w:color="auto" w:fill="FCE9E8"/>
          </w:tcPr>
          <w:p>
            <w:pPr>
              <w:spacing w:after="0"/>
              <w:rPr>
                <w:sz w:val="20"/>
                <w:szCs w:val="20"/>
                <w:color w:val="auto"/>
              </w:rPr>
            </w:pPr>
          </w:p>
        </w:tc>
        <w:tc>
          <w:tcPr>
            <w:tcW w:w="720" w:type="dxa"/>
            <w:vAlign w:val="bottom"/>
            <w:tcBorders>
              <w:bottom w:val="single" w:sz="8" w:color="FCE9E8"/>
            </w:tcBorders>
            <w:shd w:val="clear" w:color="auto" w:fill="FCE9E8"/>
          </w:tcPr>
          <w:p>
            <w:pPr>
              <w:spacing w:after="0"/>
              <w:rPr>
                <w:sz w:val="20"/>
                <w:szCs w:val="20"/>
                <w:color w:val="auto"/>
              </w:rPr>
            </w:pPr>
          </w:p>
        </w:tc>
        <w:tc>
          <w:tcPr>
            <w:tcW w:w="140" w:type="dxa"/>
            <w:vAlign w:val="bottom"/>
            <w:tcBorders>
              <w:bottom w:val="single" w:sz="8" w:color="FCE9E8"/>
            </w:tcBorders>
            <w:shd w:val="clear" w:color="auto" w:fill="FCE9E8"/>
          </w:tcPr>
          <w:p>
            <w:pPr>
              <w:spacing w:after="0"/>
              <w:rPr>
                <w:sz w:val="20"/>
                <w:szCs w:val="20"/>
                <w:color w:val="auto"/>
              </w:rPr>
            </w:pPr>
          </w:p>
        </w:tc>
        <w:tc>
          <w:tcPr>
            <w:tcW w:w="740" w:type="dxa"/>
            <w:vAlign w:val="bottom"/>
            <w:tcBorders>
              <w:bottom w:val="single" w:sz="8" w:color="FCE9E8"/>
            </w:tcBorders>
            <w:shd w:val="clear" w:color="auto" w:fill="FCE9E8"/>
          </w:tcPr>
          <w:p>
            <w:pPr>
              <w:spacing w:after="0"/>
              <w:rPr>
                <w:sz w:val="20"/>
                <w:szCs w:val="20"/>
                <w:color w:val="auto"/>
              </w:rPr>
            </w:pPr>
          </w:p>
        </w:tc>
        <w:tc>
          <w:tcPr>
            <w:tcW w:w="640" w:type="dxa"/>
            <w:vAlign w:val="bottom"/>
            <w:tcBorders>
              <w:bottom w:val="single" w:sz="8" w:color="FCE9E8"/>
            </w:tcBorders>
            <w:shd w:val="clear" w:color="auto" w:fill="FCE9E8"/>
          </w:tcPr>
          <w:p>
            <w:pPr>
              <w:spacing w:after="0"/>
              <w:rPr>
                <w:sz w:val="20"/>
                <w:szCs w:val="20"/>
                <w:color w:val="auto"/>
              </w:rPr>
            </w:pPr>
          </w:p>
        </w:tc>
        <w:tc>
          <w:tcPr>
            <w:tcW w:w="720" w:type="dxa"/>
            <w:vAlign w:val="bottom"/>
            <w:tcBorders>
              <w:bottom w:val="single" w:sz="8" w:color="FCE9E8"/>
            </w:tcBorders>
            <w:shd w:val="clear" w:color="auto" w:fill="FCE9E8"/>
          </w:tcPr>
          <w:p>
            <w:pPr>
              <w:spacing w:after="0"/>
              <w:rPr>
                <w:sz w:val="20"/>
                <w:szCs w:val="20"/>
                <w:color w:val="auto"/>
              </w:rPr>
            </w:pPr>
          </w:p>
        </w:tc>
        <w:tc>
          <w:tcPr>
            <w:tcW w:w="800" w:type="dxa"/>
            <w:vAlign w:val="bottom"/>
            <w:tcBorders>
              <w:bottom w:val="single" w:sz="8" w:color="FCE9E8"/>
            </w:tcBorders>
            <w:shd w:val="clear" w:color="auto" w:fill="FCE9E8"/>
          </w:tcPr>
          <w:p>
            <w:pPr>
              <w:jc w:val="right"/>
              <w:ind w:right="19"/>
              <w:spacing w:after="0"/>
              <w:rPr>
                <w:sz w:val="20"/>
                <w:szCs w:val="20"/>
                <w:color w:val="auto"/>
              </w:rPr>
            </w:pPr>
            <w:r>
              <w:rPr>
                <w:rFonts w:ascii="Arial" w:cs="Arial" w:eastAsia="Arial" w:hAnsi="Arial"/>
                <w:sz w:val="13"/>
                <w:szCs w:val="13"/>
                <w:color w:val="auto"/>
              </w:rPr>
              <w:t>16,588</w:t>
            </w:r>
          </w:p>
        </w:tc>
        <w:tc>
          <w:tcPr>
            <w:tcW w:w="1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FCE9E8"/>
            </w:tcBorders>
            <w:shd w:val="clear" w:color="auto" w:fill="FCE9E8"/>
          </w:tcPr>
          <w:p>
            <w:pPr>
              <w:jc w:val="right"/>
              <w:ind w:right="59"/>
              <w:spacing w:after="0"/>
              <w:rPr>
                <w:sz w:val="20"/>
                <w:szCs w:val="20"/>
                <w:color w:val="auto"/>
              </w:rPr>
            </w:pPr>
            <w:r>
              <w:rPr>
                <w:rFonts w:ascii="Arial" w:cs="Arial" w:eastAsia="Arial" w:hAnsi="Arial"/>
                <w:sz w:val="13"/>
                <w:szCs w:val="13"/>
                <w:color w:val="auto"/>
                <w:w w:val="93"/>
              </w:rPr>
              <w:t>2,204,877</w:t>
            </w:r>
          </w:p>
        </w:tc>
        <w:tc>
          <w:tcPr>
            <w:tcW w:w="0" w:type="dxa"/>
            <w:vAlign w:val="bottom"/>
          </w:tcPr>
          <w:p>
            <w:pPr>
              <w:spacing w:after="0"/>
              <w:rPr>
                <w:sz w:val="1"/>
                <w:szCs w:val="1"/>
                <w:color w:val="auto"/>
              </w:rPr>
            </w:pPr>
          </w:p>
        </w:tc>
      </w:tr>
      <w:tr>
        <w:trPr>
          <w:trHeight w:val="177"/>
        </w:trPr>
        <w:tc>
          <w:tcPr>
            <w:tcW w:w="294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Jeffrey H. Vanneste</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Annual Incentive</w:t>
            </w: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Award</w:t>
            </w:r>
          </w:p>
        </w:tc>
        <w:tc>
          <w:tcPr>
            <w:tcW w:w="78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372,488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744,975</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$ 1,489,950</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Performance</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Share Award</w:t>
            </w:r>
            <w:r>
              <w:rPr>
                <w:rFonts w:ascii="Arial" w:cs="Arial" w:eastAsia="Arial" w:hAnsi="Arial"/>
                <w:sz w:val="10"/>
                <w:szCs w:val="10"/>
                <w:color w:val="auto"/>
              </w:rPr>
              <w:t>(3)</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9"/>
              <w:spacing w:after="0"/>
              <w:rPr>
                <w:sz w:val="20"/>
                <w:szCs w:val="20"/>
                <w:color w:val="auto"/>
              </w:rPr>
            </w:pPr>
            <w:r>
              <w:rPr>
                <w:rFonts w:ascii="Arial" w:cs="Arial" w:eastAsia="Arial" w:hAnsi="Arial"/>
                <w:sz w:val="13"/>
                <w:szCs w:val="13"/>
                <w:color w:val="auto"/>
              </w:rPr>
              <w:t>5,865</w:t>
            </w:r>
          </w:p>
        </w:tc>
        <w:tc>
          <w:tcPr>
            <w:tcW w:w="640" w:type="dxa"/>
            <w:vAlign w:val="bottom"/>
          </w:tcPr>
          <w:p>
            <w:pPr>
              <w:ind w:left="160"/>
              <w:spacing w:after="0"/>
              <w:rPr>
                <w:sz w:val="20"/>
                <w:szCs w:val="20"/>
                <w:color w:val="auto"/>
              </w:rPr>
            </w:pPr>
            <w:r>
              <w:rPr>
                <w:rFonts w:ascii="Arial" w:cs="Arial" w:eastAsia="Arial" w:hAnsi="Arial"/>
                <w:sz w:val="13"/>
                <w:szCs w:val="13"/>
                <w:color w:val="auto"/>
              </w:rPr>
              <w:t>11,730</w:t>
            </w:r>
          </w:p>
        </w:tc>
        <w:tc>
          <w:tcPr>
            <w:tcW w:w="720" w:type="dxa"/>
            <w:vAlign w:val="bottom"/>
          </w:tcPr>
          <w:p>
            <w:pPr>
              <w:jc w:val="right"/>
              <w:spacing w:after="0"/>
              <w:rPr>
                <w:sz w:val="20"/>
                <w:szCs w:val="20"/>
                <w:color w:val="auto"/>
              </w:rPr>
            </w:pPr>
            <w:r>
              <w:rPr>
                <w:rFonts w:ascii="Arial" w:cs="Arial" w:eastAsia="Arial" w:hAnsi="Arial"/>
                <w:sz w:val="13"/>
                <w:szCs w:val="13"/>
                <w:color w:val="auto"/>
              </w:rPr>
              <w:t>23,460</w:t>
            </w:r>
          </w:p>
        </w:tc>
        <w:tc>
          <w:tcPr>
            <w:tcW w:w="8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w w:val="93"/>
              </w:rPr>
              <w:t>1,559,152</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3,910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519,717</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RSU Award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(Career Shares)</w:t>
            </w:r>
            <w:r>
              <w:rPr>
                <w:rFonts w:ascii="Arial" w:cs="Arial" w:eastAsia="Arial" w:hAnsi="Arial"/>
                <w:sz w:val="10"/>
                <w:szCs w:val="10"/>
                <w:color w:val="auto"/>
              </w:rPr>
              <w:t>(5)</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11/20/2017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1,696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299,921</w:t>
            </w:r>
          </w:p>
        </w:tc>
        <w:tc>
          <w:tcPr>
            <w:tcW w:w="0" w:type="dxa"/>
            <w:vAlign w:val="bottom"/>
          </w:tcPr>
          <w:p>
            <w:pPr>
              <w:spacing w:after="0"/>
              <w:rPr>
                <w:sz w:val="1"/>
                <w:szCs w:val="1"/>
                <w:color w:val="auto"/>
              </w:rPr>
            </w:pPr>
          </w:p>
        </w:tc>
      </w:tr>
      <w:tr>
        <w:trPr>
          <w:trHeight w:val="43"/>
        </w:trPr>
        <w:tc>
          <w:tcPr>
            <w:tcW w:w="29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940" w:type="dxa"/>
            <w:vAlign w:val="bottom"/>
            <w:shd w:val="clear" w:color="auto" w:fill="FCE9E8"/>
          </w:tcPr>
          <w:p>
            <w:pPr>
              <w:ind w:left="60"/>
              <w:spacing w:after="0"/>
              <w:rPr>
                <w:sz w:val="20"/>
                <w:szCs w:val="20"/>
                <w:color w:val="auto"/>
              </w:rPr>
            </w:pPr>
            <w:r>
              <w:rPr>
                <w:rFonts w:ascii="Arial" w:cs="Arial" w:eastAsia="Arial" w:hAnsi="Arial"/>
                <w:sz w:val="13"/>
                <w:szCs w:val="13"/>
                <w:color w:val="auto"/>
              </w:rPr>
              <w:t>Raymond E. Scott</w:t>
            </w: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Annual Incentive</w:t>
            </w:r>
          </w:p>
        </w:tc>
        <w:tc>
          <w:tcPr>
            <w:tcW w:w="780" w:type="dxa"/>
            <w:vAlign w:val="bottom"/>
            <w:shd w:val="clear" w:color="auto" w:fill="FCE9E8"/>
          </w:tcPr>
          <w:p>
            <w:pPr>
              <w:spacing w:after="0"/>
              <w:rPr>
                <w:sz w:val="15"/>
                <w:szCs w:val="15"/>
                <w:color w:val="auto"/>
              </w:rPr>
            </w:pPr>
          </w:p>
        </w:tc>
        <w:tc>
          <w:tcPr>
            <w:tcW w:w="60" w:type="dxa"/>
            <w:vAlign w:val="bottom"/>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74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80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FCE9E8"/>
          </w:tcPr>
          <w:p>
            <w:pPr>
              <w:spacing w:after="0"/>
              <w:rPr>
                <w:sz w:val="13"/>
                <w:szCs w:val="13"/>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Award</w:t>
            </w:r>
          </w:p>
        </w:tc>
        <w:tc>
          <w:tcPr>
            <w:tcW w:w="780" w:type="dxa"/>
            <w:vAlign w:val="bottom"/>
            <w:shd w:val="clear" w:color="auto" w:fill="FCE9E8"/>
          </w:tcPr>
          <w:p>
            <w:pPr>
              <w:spacing w:after="0"/>
              <w:rPr>
                <w:sz w:val="13"/>
                <w:szCs w:val="13"/>
                <w:color w:val="auto"/>
              </w:rPr>
            </w:pPr>
          </w:p>
        </w:tc>
        <w:tc>
          <w:tcPr>
            <w:tcW w:w="140" w:type="dxa"/>
            <w:vAlign w:val="bottom"/>
            <w:gridSpan w:val="2"/>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427,549</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855,098</w:t>
            </w:r>
          </w:p>
        </w:tc>
        <w:tc>
          <w:tcPr>
            <w:tcW w:w="720" w:type="dxa"/>
            <w:vAlign w:val="bottom"/>
            <w:shd w:val="clear" w:color="auto" w:fill="FCE9E8"/>
          </w:tcPr>
          <w:p>
            <w:pPr>
              <w:jc w:val="center"/>
              <w:spacing w:after="0"/>
              <w:rPr>
                <w:sz w:val="20"/>
                <w:szCs w:val="20"/>
                <w:color w:val="auto"/>
              </w:rPr>
            </w:pPr>
            <w:r>
              <w:rPr>
                <w:rFonts w:ascii="Arial" w:cs="Arial" w:eastAsia="Arial" w:hAnsi="Arial"/>
                <w:sz w:val="13"/>
                <w:szCs w:val="13"/>
                <w:color w:val="auto"/>
                <w:w w:val="96"/>
              </w:rPr>
              <w:t>$ 1,710,196</w:t>
            </w:r>
          </w:p>
        </w:tc>
        <w:tc>
          <w:tcPr>
            <w:tcW w:w="140" w:type="dxa"/>
            <w:vAlign w:val="bottom"/>
            <w:shd w:val="clear" w:color="auto" w:fill="FCE9E8"/>
          </w:tcPr>
          <w:p>
            <w:pPr>
              <w:spacing w:after="0"/>
              <w:rPr>
                <w:sz w:val="13"/>
                <w:szCs w:val="13"/>
                <w:color w:val="auto"/>
              </w:rPr>
            </w:pPr>
          </w:p>
        </w:tc>
        <w:tc>
          <w:tcPr>
            <w:tcW w:w="74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80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680" w:type="dxa"/>
            <w:vAlign w:val="bottom"/>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FCE9E8"/>
          </w:tcPr>
          <w:p>
            <w:pPr>
              <w:spacing w:after="0"/>
              <w:rPr>
                <w:sz w:val="14"/>
                <w:szCs w:val="14"/>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Performance</w:t>
            </w:r>
          </w:p>
        </w:tc>
        <w:tc>
          <w:tcPr>
            <w:tcW w:w="780" w:type="dxa"/>
            <w:vAlign w:val="bottom"/>
            <w:shd w:val="clear" w:color="auto" w:fill="FCE9E8"/>
          </w:tcPr>
          <w:p>
            <w:pPr>
              <w:spacing w:after="0"/>
              <w:rPr>
                <w:sz w:val="14"/>
                <w:szCs w:val="14"/>
                <w:color w:val="auto"/>
              </w:rPr>
            </w:pPr>
          </w:p>
        </w:tc>
        <w:tc>
          <w:tcPr>
            <w:tcW w:w="60" w:type="dxa"/>
            <w:vAlign w:val="bottom"/>
            <w:shd w:val="clear" w:color="auto" w:fill="FCE9E8"/>
          </w:tcPr>
          <w:p>
            <w:pPr>
              <w:spacing w:after="0"/>
              <w:rPr>
                <w:sz w:val="14"/>
                <w:szCs w:val="14"/>
                <w:color w:val="auto"/>
              </w:rPr>
            </w:pPr>
          </w:p>
        </w:tc>
        <w:tc>
          <w:tcPr>
            <w:tcW w:w="8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7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80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8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FCE9E8"/>
          </w:tcPr>
          <w:p>
            <w:pPr>
              <w:spacing w:after="0"/>
              <w:rPr>
                <w:sz w:val="13"/>
                <w:szCs w:val="13"/>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Share Award</w:t>
            </w:r>
            <w:r>
              <w:rPr>
                <w:rFonts w:ascii="Arial" w:cs="Arial" w:eastAsia="Arial" w:hAnsi="Arial"/>
                <w:sz w:val="10"/>
                <w:szCs w:val="10"/>
                <w:color w:val="auto"/>
              </w:rPr>
              <w:t>(3)</w:t>
            </w:r>
          </w:p>
        </w:tc>
        <w:tc>
          <w:tcPr>
            <w:tcW w:w="78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shd w:val="clear" w:color="auto" w:fill="FCE9E8"/>
          </w:tcPr>
          <w:p>
            <w:pPr>
              <w:spacing w:after="0"/>
              <w:rPr>
                <w:sz w:val="13"/>
                <w:szCs w:val="13"/>
                <w:color w:val="auto"/>
              </w:rPr>
            </w:pPr>
          </w:p>
        </w:tc>
        <w:tc>
          <w:tcPr>
            <w:tcW w:w="8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740" w:type="dxa"/>
            <w:vAlign w:val="bottom"/>
            <w:shd w:val="clear" w:color="auto" w:fill="FCE9E8"/>
          </w:tcPr>
          <w:p>
            <w:pPr>
              <w:jc w:val="right"/>
              <w:ind w:right="39"/>
              <w:spacing w:after="0"/>
              <w:rPr>
                <w:sz w:val="20"/>
                <w:szCs w:val="20"/>
                <w:color w:val="auto"/>
              </w:rPr>
            </w:pPr>
            <w:r>
              <w:rPr>
                <w:rFonts w:ascii="Arial" w:cs="Arial" w:eastAsia="Arial" w:hAnsi="Arial"/>
                <w:sz w:val="13"/>
                <w:szCs w:val="13"/>
                <w:color w:val="auto"/>
              </w:rPr>
              <w:t>6,732</w:t>
            </w:r>
          </w:p>
        </w:tc>
        <w:tc>
          <w:tcPr>
            <w:tcW w:w="640" w:type="dxa"/>
            <w:vAlign w:val="bottom"/>
            <w:shd w:val="clear" w:color="auto" w:fill="FCE9E8"/>
          </w:tcPr>
          <w:p>
            <w:pPr>
              <w:ind w:left="160"/>
              <w:spacing w:after="0"/>
              <w:rPr>
                <w:sz w:val="20"/>
                <w:szCs w:val="20"/>
                <w:color w:val="auto"/>
              </w:rPr>
            </w:pPr>
            <w:r>
              <w:rPr>
                <w:rFonts w:ascii="Arial" w:cs="Arial" w:eastAsia="Arial" w:hAnsi="Arial"/>
                <w:sz w:val="13"/>
                <w:szCs w:val="13"/>
                <w:color w:val="auto"/>
              </w:rPr>
              <w:t>13,464</w:t>
            </w:r>
          </w:p>
        </w:tc>
        <w:tc>
          <w:tcPr>
            <w:tcW w:w="7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26,928</w:t>
            </w:r>
          </w:p>
        </w:tc>
        <w:tc>
          <w:tcPr>
            <w:tcW w:w="800" w:type="dxa"/>
            <w:vAlign w:val="bottom"/>
            <w:shd w:val="clear" w:color="auto" w:fill="FCE9E8"/>
          </w:tcPr>
          <w:p>
            <w:pPr>
              <w:spacing w:after="0"/>
              <w:rPr>
                <w:sz w:val="13"/>
                <w:szCs w:val="13"/>
                <w:color w:val="auto"/>
              </w:rPr>
            </w:pP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59"/>
              <w:spacing w:after="0"/>
              <w:rPr>
                <w:sz w:val="20"/>
                <w:szCs w:val="20"/>
                <w:color w:val="auto"/>
              </w:rPr>
            </w:pPr>
            <w:r>
              <w:rPr>
                <w:rFonts w:ascii="Arial" w:cs="Arial" w:eastAsia="Arial" w:hAnsi="Arial"/>
                <w:sz w:val="13"/>
                <w:szCs w:val="13"/>
                <w:color w:val="auto"/>
                <w:w w:val="93"/>
              </w:rPr>
              <w:t>1,789,635</w:t>
            </w:r>
          </w:p>
        </w:tc>
        <w:tc>
          <w:tcPr>
            <w:tcW w:w="0" w:type="dxa"/>
            <w:vAlign w:val="bottom"/>
          </w:tcPr>
          <w:p>
            <w:pPr>
              <w:spacing w:after="0"/>
              <w:rPr>
                <w:sz w:val="1"/>
                <w:szCs w:val="1"/>
                <w:color w:val="auto"/>
              </w:rPr>
            </w:pPr>
          </w:p>
        </w:tc>
      </w:tr>
      <w:tr>
        <w:trPr>
          <w:trHeight w:val="189"/>
        </w:trPr>
        <w:tc>
          <w:tcPr>
            <w:tcW w:w="2940" w:type="dxa"/>
            <w:vAlign w:val="bottom"/>
            <w:shd w:val="clear" w:color="auto" w:fill="FCE9E8"/>
          </w:tcPr>
          <w:p>
            <w:pPr>
              <w:spacing w:after="0"/>
              <w:rPr>
                <w:sz w:val="16"/>
                <w:szCs w:val="16"/>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8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0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4,488</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59"/>
              <w:spacing w:after="0"/>
              <w:rPr>
                <w:sz w:val="20"/>
                <w:szCs w:val="20"/>
                <w:color w:val="auto"/>
              </w:rPr>
            </w:pPr>
            <w:r>
              <w:rPr>
                <w:rFonts w:ascii="Arial" w:cs="Arial" w:eastAsia="Arial" w:hAnsi="Arial"/>
                <w:sz w:val="13"/>
                <w:szCs w:val="13"/>
                <w:color w:val="auto"/>
              </w:rPr>
              <w:t>596,545</w:t>
            </w:r>
          </w:p>
        </w:tc>
        <w:tc>
          <w:tcPr>
            <w:tcW w:w="0" w:type="dxa"/>
            <w:vAlign w:val="bottom"/>
          </w:tcPr>
          <w:p>
            <w:pPr>
              <w:spacing w:after="0"/>
              <w:rPr>
                <w:sz w:val="1"/>
                <w:szCs w:val="1"/>
                <w:color w:val="auto"/>
              </w:rPr>
            </w:pPr>
          </w:p>
        </w:tc>
      </w:tr>
      <w:tr>
        <w:trPr>
          <w:trHeight w:val="172"/>
        </w:trPr>
        <w:tc>
          <w:tcPr>
            <w:tcW w:w="2940" w:type="dxa"/>
            <w:vAlign w:val="bottom"/>
            <w:shd w:val="clear" w:color="auto" w:fill="FCE9E8"/>
          </w:tcPr>
          <w:p>
            <w:pPr>
              <w:spacing w:after="0"/>
              <w:rPr>
                <w:sz w:val="14"/>
                <w:szCs w:val="14"/>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RSU Award</w:t>
            </w:r>
          </w:p>
        </w:tc>
        <w:tc>
          <w:tcPr>
            <w:tcW w:w="780" w:type="dxa"/>
            <w:vAlign w:val="bottom"/>
            <w:shd w:val="clear" w:color="auto" w:fill="FCE9E8"/>
          </w:tcPr>
          <w:p>
            <w:pPr>
              <w:spacing w:after="0"/>
              <w:rPr>
                <w:sz w:val="14"/>
                <w:szCs w:val="14"/>
                <w:color w:val="auto"/>
              </w:rPr>
            </w:pPr>
          </w:p>
        </w:tc>
        <w:tc>
          <w:tcPr>
            <w:tcW w:w="60" w:type="dxa"/>
            <w:vAlign w:val="bottom"/>
            <w:shd w:val="clear" w:color="auto" w:fill="FCE9E8"/>
          </w:tcPr>
          <w:p>
            <w:pPr>
              <w:spacing w:after="0"/>
              <w:rPr>
                <w:sz w:val="14"/>
                <w:szCs w:val="14"/>
                <w:color w:val="auto"/>
              </w:rPr>
            </w:pPr>
          </w:p>
        </w:tc>
        <w:tc>
          <w:tcPr>
            <w:tcW w:w="8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7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80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8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940" w:type="dxa"/>
            <w:vAlign w:val="bottom"/>
            <w:tcBorders>
              <w:bottom w:val="single" w:sz="8" w:color="FCE9E8"/>
            </w:tcBorders>
            <w:shd w:val="clear" w:color="auto" w:fill="FCE9E8"/>
          </w:tcPr>
          <w:p>
            <w:pPr>
              <w:spacing w:after="0"/>
              <w:rPr>
                <w:sz w:val="16"/>
                <w:szCs w:val="16"/>
                <w:color w:val="auto"/>
              </w:rPr>
            </w:pPr>
          </w:p>
        </w:tc>
        <w:tc>
          <w:tcPr>
            <w:tcW w:w="11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(Career Shares)</w:t>
            </w:r>
            <w:r>
              <w:rPr>
                <w:rFonts w:ascii="Arial" w:cs="Arial" w:eastAsia="Arial" w:hAnsi="Arial"/>
                <w:sz w:val="10"/>
                <w:szCs w:val="10"/>
                <w:color w:val="auto"/>
              </w:rPr>
              <w:t>(5)</w:t>
            </w:r>
          </w:p>
        </w:tc>
        <w:tc>
          <w:tcPr>
            <w:tcW w:w="78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3"/>
                <w:szCs w:val="13"/>
                <w:color w:val="auto"/>
              </w:rPr>
              <w:t>11/20/2017</w:t>
            </w:r>
          </w:p>
        </w:tc>
        <w:tc>
          <w:tcPr>
            <w:tcW w:w="60" w:type="dxa"/>
            <w:vAlign w:val="bottom"/>
            <w:tcBorders>
              <w:bottom w:val="single" w:sz="8" w:color="FCE9E8"/>
            </w:tcBorders>
            <w:shd w:val="clear" w:color="auto" w:fill="FCE9E8"/>
          </w:tcPr>
          <w:p>
            <w:pPr>
              <w:spacing w:after="0"/>
              <w:rPr>
                <w:sz w:val="16"/>
                <w:szCs w:val="16"/>
                <w:color w:val="auto"/>
              </w:rPr>
            </w:pPr>
          </w:p>
        </w:tc>
        <w:tc>
          <w:tcPr>
            <w:tcW w:w="80" w:type="dxa"/>
            <w:vAlign w:val="bottom"/>
            <w:tcBorders>
              <w:bottom w:val="single" w:sz="8" w:color="FCE9E8"/>
            </w:tcBorders>
            <w:shd w:val="clear" w:color="auto" w:fill="FCE9E8"/>
          </w:tcPr>
          <w:p>
            <w:pPr>
              <w:spacing w:after="0"/>
              <w:rPr>
                <w:sz w:val="16"/>
                <w:szCs w:val="16"/>
                <w:color w:val="auto"/>
              </w:rPr>
            </w:pPr>
          </w:p>
        </w:tc>
        <w:tc>
          <w:tcPr>
            <w:tcW w:w="640" w:type="dxa"/>
            <w:vAlign w:val="bottom"/>
            <w:tcBorders>
              <w:bottom w:val="single" w:sz="8" w:color="FCE9E8"/>
            </w:tcBorders>
            <w:shd w:val="clear" w:color="auto" w:fill="FCE9E8"/>
          </w:tcPr>
          <w:p>
            <w:pPr>
              <w:spacing w:after="0"/>
              <w:rPr>
                <w:sz w:val="16"/>
                <w:szCs w:val="16"/>
                <w:color w:val="auto"/>
              </w:rPr>
            </w:pPr>
          </w:p>
        </w:tc>
        <w:tc>
          <w:tcPr>
            <w:tcW w:w="140" w:type="dxa"/>
            <w:vAlign w:val="bottom"/>
            <w:tcBorders>
              <w:bottom w:val="single" w:sz="8" w:color="FCE9E8"/>
            </w:tcBorders>
            <w:shd w:val="clear" w:color="auto" w:fill="FCE9E8"/>
          </w:tcPr>
          <w:p>
            <w:pPr>
              <w:spacing w:after="0"/>
              <w:rPr>
                <w:sz w:val="16"/>
                <w:szCs w:val="16"/>
                <w:color w:val="auto"/>
              </w:rPr>
            </w:pPr>
          </w:p>
        </w:tc>
        <w:tc>
          <w:tcPr>
            <w:tcW w:w="640" w:type="dxa"/>
            <w:vAlign w:val="bottom"/>
            <w:tcBorders>
              <w:bottom w:val="single" w:sz="8" w:color="FCE9E8"/>
            </w:tcBorders>
            <w:shd w:val="clear" w:color="auto" w:fill="FCE9E8"/>
          </w:tcPr>
          <w:p>
            <w:pPr>
              <w:spacing w:after="0"/>
              <w:rPr>
                <w:sz w:val="16"/>
                <w:szCs w:val="16"/>
                <w:color w:val="auto"/>
              </w:rPr>
            </w:pPr>
          </w:p>
        </w:tc>
        <w:tc>
          <w:tcPr>
            <w:tcW w:w="720" w:type="dxa"/>
            <w:vAlign w:val="bottom"/>
            <w:tcBorders>
              <w:bottom w:val="single" w:sz="8" w:color="FCE9E8"/>
            </w:tcBorders>
            <w:shd w:val="clear" w:color="auto" w:fill="FCE9E8"/>
          </w:tcPr>
          <w:p>
            <w:pPr>
              <w:spacing w:after="0"/>
              <w:rPr>
                <w:sz w:val="16"/>
                <w:szCs w:val="16"/>
                <w:color w:val="auto"/>
              </w:rPr>
            </w:pPr>
          </w:p>
        </w:tc>
        <w:tc>
          <w:tcPr>
            <w:tcW w:w="140" w:type="dxa"/>
            <w:vAlign w:val="bottom"/>
            <w:tcBorders>
              <w:bottom w:val="single" w:sz="8" w:color="FCE9E8"/>
            </w:tcBorders>
            <w:shd w:val="clear" w:color="auto" w:fill="FCE9E8"/>
          </w:tcPr>
          <w:p>
            <w:pPr>
              <w:spacing w:after="0"/>
              <w:rPr>
                <w:sz w:val="16"/>
                <w:szCs w:val="16"/>
                <w:color w:val="auto"/>
              </w:rPr>
            </w:pPr>
          </w:p>
        </w:tc>
        <w:tc>
          <w:tcPr>
            <w:tcW w:w="740" w:type="dxa"/>
            <w:vAlign w:val="bottom"/>
            <w:tcBorders>
              <w:bottom w:val="single" w:sz="8" w:color="FCE9E8"/>
            </w:tcBorders>
            <w:shd w:val="clear" w:color="auto" w:fill="FCE9E8"/>
          </w:tcPr>
          <w:p>
            <w:pPr>
              <w:spacing w:after="0"/>
              <w:rPr>
                <w:sz w:val="16"/>
                <w:szCs w:val="16"/>
                <w:color w:val="auto"/>
              </w:rPr>
            </w:pPr>
          </w:p>
        </w:tc>
        <w:tc>
          <w:tcPr>
            <w:tcW w:w="640" w:type="dxa"/>
            <w:vAlign w:val="bottom"/>
            <w:tcBorders>
              <w:bottom w:val="single" w:sz="8" w:color="FCE9E8"/>
            </w:tcBorders>
            <w:shd w:val="clear" w:color="auto" w:fill="FCE9E8"/>
          </w:tcPr>
          <w:p>
            <w:pPr>
              <w:spacing w:after="0"/>
              <w:rPr>
                <w:sz w:val="16"/>
                <w:szCs w:val="16"/>
                <w:color w:val="auto"/>
              </w:rPr>
            </w:pPr>
          </w:p>
        </w:tc>
        <w:tc>
          <w:tcPr>
            <w:tcW w:w="720" w:type="dxa"/>
            <w:vAlign w:val="bottom"/>
            <w:tcBorders>
              <w:bottom w:val="single" w:sz="8" w:color="FCE9E8"/>
            </w:tcBorders>
            <w:shd w:val="clear" w:color="auto" w:fill="FCE9E8"/>
          </w:tcPr>
          <w:p>
            <w:pPr>
              <w:spacing w:after="0"/>
              <w:rPr>
                <w:sz w:val="16"/>
                <w:szCs w:val="16"/>
                <w:color w:val="auto"/>
              </w:rPr>
            </w:pPr>
          </w:p>
        </w:tc>
        <w:tc>
          <w:tcPr>
            <w:tcW w:w="800" w:type="dxa"/>
            <w:vAlign w:val="bottom"/>
            <w:tcBorders>
              <w:bottom w:val="single" w:sz="8" w:color="FCE9E8"/>
            </w:tcBorders>
            <w:shd w:val="clear" w:color="auto" w:fill="FCE9E8"/>
          </w:tcPr>
          <w:p>
            <w:pPr>
              <w:jc w:val="right"/>
              <w:ind w:right="19"/>
              <w:spacing w:after="0"/>
              <w:rPr>
                <w:sz w:val="20"/>
                <w:szCs w:val="20"/>
                <w:color w:val="auto"/>
              </w:rPr>
            </w:pPr>
            <w:r>
              <w:rPr>
                <w:rFonts w:ascii="Arial" w:cs="Arial" w:eastAsia="Arial" w:hAnsi="Arial"/>
                <w:sz w:val="13"/>
                <w:szCs w:val="13"/>
                <w:color w:val="auto"/>
              </w:rPr>
              <w:t>1,696</w:t>
            </w:r>
          </w:p>
        </w:tc>
        <w:tc>
          <w:tcPr>
            <w:tcW w:w="1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FCE9E8"/>
            </w:tcBorders>
            <w:shd w:val="clear" w:color="auto" w:fill="FCE9E8"/>
          </w:tcPr>
          <w:p>
            <w:pPr>
              <w:jc w:val="right"/>
              <w:ind w:right="59"/>
              <w:spacing w:after="0"/>
              <w:rPr>
                <w:sz w:val="20"/>
                <w:szCs w:val="20"/>
                <w:color w:val="auto"/>
              </w:rPr>
            </w:pPr>
            <w:r>
              <w:rPr>
                <w:rFonts w:ascii="Arial" w:cs="Arial" w:eastAsia="Arial" w:hAnsi="Arial"/>
                <w:sz w:val="13"/>
                <w:szCs w:val="13"/>
                <w:color w:val="auto"/>
              </w:rPr>
              <w:t>299,921</w:t>
            </w:r>
          </w:p>
        </w:tc>
        <w:tc>
          <w:tcPr>
            <w:tcW w:w="0" w:type="dxa"/>
            <w:vAlign w:val="bottom"/>
          </w:tcPr>
          <w:p>
            <w:pPr>
              <w:spacing w:after="0"/>
              <w:rPr>
                <w:sz w:val="1"/>
                <w:szCs w:val="1"/>
                <w:color w:val="auto"/>
              </w:rPr>
            </w:pPr>
          </w:p>
        </w:tc>
      </w:tr>
      <w:tr>
        <w:trPr>
          <w:trHeight w:val="177"/>
        </w:trPr>
        <w:tc>
          <w:tcPr>
            <w:tcW w:w="294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Terrence B. Larkin</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Annual Incentive</w:t>
            </w: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Award</w:t>
            </w:r>
          </w:p>
        </w:tc>
        <w:tc>
          <w:tcPr>
            <w:tcW w:w="78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342,039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684,078</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$ 1,368,157</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Performance</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Share Award</w:t>
            </w:r>
            <w:r>
              <w:rPr>
                <w:rFonts w:ascii="Arial" w:cs="Arial" w:eastAsia="Arial" w:hAnsi="Arial"/>
                <w:sz w:val="10"/>
                <w:szCs w:val="10"/>
                <w:color w:val="auto"/>
              </w:rPr>
              <w:t>(3)</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9"/>
              <w:spacing w:after="0"/>
              <w:rPr>
                <w:sz w:val="20"/>
                <w:szCs w:val="20"/>
                <w:color w:val="auto"/>
              </w:rPr>
            </w:pPr>
            <w:r>
              <w:rPr>
                <w:rFonts w:ascii="Arial" w:cs="Arial" w:eastAsia="Arial" w:hAnsi="Arial"/>
                <w:sz w:val="13"/>
                <w:szCs w:val="13"/>
                <w:color w:val="auto"/>
              </w:rPr>
              <w:t>6,395</w:t>
            </w:r>
          </w:p>
        </w:tc>
        <w:tc>
          <w:tcPr>
            <w:tcW w:w="640" w:type="dxa"/>
            <w:vAlign w:val="bottom"/>
          </w:tcPr>
          <w:p>
            <w:pPr>
              <w:ind w:left="160"/>
              <w:spacing w:after="0"/>
              <w:rPr>
                <w:sz w:val="20"/>
                <w:szCs w:val="20"/>
                <w:color w:val="auto"/>
              </w:rPr>
            </w:pPr>
            <w:r>
              <w:rPr>
                <w:rFonts w:ascii="Arial" w:cs="Arial" w:eastAsia="Arial" w:hAnsi="Arial"/>
                <w:sz w:val="13"/>
                <w:szCs w:val="13"/>
                <w:color w:val="auto"/>
              </w:rPr>
              <w:t>12,791</w:t>
            </w:r>
          </w:p>
        </w:tc>
        <w:tc>
          <w:tcPr>
            <w:tcW w:w="720" w:type="dxa"/>
            <w:vAlign w:val="bottom"/>
          </w:tcPr>
          <w:p>
            <w:pPr>
              <w:jc w:val="right"/>
              <w:spacing w:after="0"/>
              <w:rPr>
                <w:sz w:val="20"/>
                <w:szCs w:val="20"/>
                <w:color w:val="auto"/>
              </w:rPr>
            </w:pPr>
            <w:r>
              <w:rPr>
                <w:rFonts w:ascii="Arial" w:cs="Arial" w:eastAsia="Arial" w:hAnsi="Arial"/>
                <w:sz w:val="13"/>
                <w:szCs w:val="13"/>
                <w:color w:val="auto"/>
              </w:rPr>
              <w:t>25,582</w:t>
            </w:r>
          </w:p>
        </w:tc>
        <w:tc>
          <w:tcPr>
            <w:tcW w:w="8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w w:val="93"/>
              </w:rPr>
              <w:t>1,700,180</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4,263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566,638</w:t>
            </w:r>
          </w:p>
        </w:tc>
        <w:tc>
          <w:tcPr>
            <w:tcW w:w="0" w:type="dxa"/>
            <w:vAlign w:val="bottom"/>
          </w:tcPr>
          <w:p>
            <w:pPr>
              <w:spacing w:after="0"/>
              <w:rPr>
                <w:sz w:val="1"/>
                <w:szCs w:val="1"/>
                <w:color w:val="auto"/>
              </w:rPr>
            </w:pPr>
          </w:p>
        </w:tc>
      </w:tr>
      <w:tr>
        <w:trPr>
          <w:trHeight w:val="37"/>
        </w:trPr>
        <w:tc>
          <w:tcPr>
            <w:tcW w:w="29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94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RSU Award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(Career Shares)</w:t>
            </w:r>
            <w:r>
              <w:rPr>
                <w:rFonts w:ascii="Arial" w:cs="Arial" w:eastAsia="Arial" w:hAnsi="Arial"/>
                <w:sz w:val="10"/>
                <w:szCs w:val="10"/>
                <w:color w:val="auto"/>
              </w:rPr>
              <w:t>(5)</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11/20/2017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1,696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299,921</w:t>
            </w:r>
          </w:p>
        </w:tc>
        <w:tc>
          <w:tcPr>
            <w:tcW w:w="0" w:type="dxa"/>
            <w:vAlign w:val="bottom"/>
          </w:tcPr>
          <w:p>
            <w:pPr>
              <w:spacing w:after="0"/>
              <w:rPr>
                <w:sz w:val="1"/>
                <w:szCs w:val="1"/>
                <w:color w:val="auto"/>
              </w:rPr>
            </w:pPr>
          </w:p>
        </w:tc>
      </w:tr>
      <w:tr>
        <w:trPr>
          <w:trHeight w:val="43"/>
        </w:trPr>
        <w:tc>
          <w:tcPr>
            <w:tcW w:w="29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940" w:type="dxa"/>
            <w:vAlign w:val="bottom"/>
            <w:shd w:val="clear" w:color="auto" w:fill="FCE9E8"/>
          </w:tcPr>
          <w:p>
            <w:pPr>
              <w:ind w:left="60"/>
              <w:spacing w:after="0"/>
              <w:rPr>
                <w:sz w:val="20"/>
                <w:szCs w:val="20"/>
                <w:color w:val="auto"/>
              </w:rPr>
            </w:pPr>
            <w:r>
              <w:rPr>
                <w:rFonts w:ascii="Arial" w:cs="Arial" w:eastAsia="Arial" w:hAnsi="Arial"/>
                <w:sz w:val="13"/>
                <w:szCs w:val="13"/>
                <w:color w:val="auto"/>
              </w:rPr>
              <w:t>Frank C. Orsini</w:t>
            </w: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Annual Incentive</w:t>
            </w:r>
          </w:p>
        </w:tc>
        <w:tc>
          <w:tcPr>
            <w:tcW w:w="780" w:type="dxa"/>
            <w:vAlign w:val="bottom"/>
            <w:shd w:val="clear" w:color="auto" w:fill="FCE9E8"/>
          </w:tcPr>
          <w:p>
            <w:pPr>
              <w:spacing w:after="0"/>
              <w:rPr>
                <w:sz w:val="15"/>
                <w:szCs w:val="15"/>
                <w:color w:val="auto"/>
              </w:rPr>
            </w:pPr>
          </w:p>
        </w:tc>
        <w:tc>
          <w:tcPr>
            <w:tcW w:w="60" w:type="dxa"/>
            <w:vAlign w:val="bottom"/>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74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80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FCE9E8"/>
          </w:tcPr>
          <w:p>
            <w:pPr>
              <w:spacing w:after="0"/>
              <w:rPr>
                <w:sz w:val="13"/>
                <w:szCs w:val="13"/>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Award</w:t>
            </w:r>
          </w:p>
        </w:tc>
        <w:tc>
          <w:tcPr>
            <w:tcW w:w="780" w:type="dxa"/>
            <w:vAlign w:val="bottom"/>
            <w:shd w:val="clear" w:color="auto" w:fill="FCE9E8"/>
          </w:tcPr>
          <w:p>
            <w:pPr>
              <w:spacing w:after="0"/>
              <w:rPr>
                <w:sz w:val="13"/>
                <w:szCs w:val="13"/>
                <w:color w:val="auto"/>
              </w:rPr>
            </w:pPr>
          </w:p>
        </w:tc>
        <w:tc>
          <w:tcPr>
            <w:tcW w:w="140" w:type="dxa"/>
            <w:vAlign w:val="bottom"/>
            <w:gridSpan w:val="2"/>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331,369</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662,738</w:t>
            </w:r>
          </w:p>
        </w:tc>
        <w:tc>
          <w:tcPr>
            <w:tcW w:w="720" w:type="dxa"/>
            <w:vAlign w:val="bottom"/>
            <w:shd w:val="clear" w:color="auto" w:fill="FCE9E8"/>
          </w:tcPr>
          <w:p>
            <w:pPr>
              <w:jc w:val="center"/>
              <w:spacing w:after="0"/>
              <w:rPr>
                <w:sz w:val="20"/>
                <w:szCs w:val="20"/>
                <w:color w:val="auto"/>
              </w:rPr>
            </w:pPr>
            <w:r>
              <w:rPr>
                <w:rFonts w:ascii="Arial" w:cs="Arial" w:eastAsia="Arial" w:hAnsi="Arial"/>
                <w:sz w:val="13"/>
                <w:szCs w:val="13"/>
                <w:color w:val="auto"/>
                <w:w w:val="96"/>
              </w:rPr>
              <w:t>$ 1,325,475</w:t>
            </w:r>
          </w:p>
        </w:tc>
        <w:tc>
          <w:tcPr>
            <w:tcW w:w="140" w:type="dxa"/>
            <w:vAlign w:val="bottom"/>
            <w:shd w:val="clear" w:color="auto" w:fill="FCE9E8"/>
          </w:tcPr>
          <w:p>
            <w:pPr>
              <w:spacing w:after="0"/>
              <w:rPr>
                <w:sz w:val="13"/>
                <w:szCs w:val="13"/>
                <w:color w:val="auto"/>
              </w:rPr>
            </w:pPr>
          </w:p>
        </w:tc>
        <w:tc>
          <w:tcPr>
            <w:tcW w:w="74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80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680" w:type="dxa"/>
            <w:vAlign w:val="bottom"/>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FCE9E8"/>
          </w:tcPr>
          <w:p>
            <w:pPr>
              <w:spacing w:after="0"/>
              <w:rPr>
                <w:sz w:val="14"/>
                <w:szCs w:val="14"/>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Performance</w:t>
            </w:r>
          </w:p>
        </w:tc>
        <w:tc>
          <w:tcPr>
            <w:tcW w:w="780" w:type="dxa"/>
            <w:vAlign w:val="bottom"/>
            <w:shd w:val="clear" w:color="auto" w:fill="FCE9E8"/>
          </w:tcPr>
          <w:p>
            <w:pPr>
              <w:spacing w:after="0"/>
              <w:rPr>
                <w:sz w:val="14"/>
                <w:szCs w:val="14"/>
                <w:color w:val="auto"/>
              </w:rPr>
            </w:pPr>
          </w:p>
        </w:tc>
        <w:tc>
          <w:tcPr>
            <w:tcW w:w="60" w:type="dxa"/>
            <w:vAlign w:val="bottom"/>
            <w:shd w:val="clear" w:color="auto" w:fill="FCE9E8"/>
          </w:tcPr>
          <w:p>
            <w:pPr>
              <w:spacing w:after="0"/>
              <w:rPr>
                <w:sz w:val="14"/>
                <w:szCs w:val="14"/>
                <w:color w:val="auto"/>
              </w:rPr>
            </w:pPr>
          </w:p>
        </w:tc>
        <w:tc>
          <w:tcPr>
            <w:tcW w:w="8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7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80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8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FCE9E8"/>
          </w:tcPr>
          <w:p>
            <w:pPr>
              <w:spacing w:after="0"/>
              <w:rPr>
                <w:sz w:val="13"/>
                <w:szCs w:val="13"/>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Share Award</w:t>
            </w:r>
            <w:r>
              <w:rPr>
                <w:rFonts w:ascii="Arial" w:cs="Arial" w:eastAsia="Arial" w:hAnsi="Arial"/>
                <w:sz w:val="10"/>
                <w:szCs w:val="10"/>
                <w:color w:val="auto"/>
              </w:rPr>
              <w:t>(3)</w:t>
            </w:r>
          </w:p>
        </w:tc>
        <w:tc>
          <w:tcPr>
            <w:tcW w:w="78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shd w:val="clear" w:color="auto" w:fill="FCE9E8"/>
          </w:tcPr>
          <w:p>
            <w:pPr>
              <w:spacing w:after="0"/>
              <w:rPr>
                <w:sz w:val="13"/>
                <w:szCs w:val="13"/>
                <w:color w:val="auto"/>
              </w:rPr>
            </w:pPr>
          </w:p>
        </w:tc>
        <w:tc>
          <w:tcPr>
            <w:tcW w:w="8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740" w:type="dxa"/>
            <w:vAlign w:val="bottom"/>
            <w:shd w:val="clear" w:color="auto" w:fill="FCE9E8"/>
          </w:tcPr>
          <w:p>
            <w:pPr>
              <w:jc w:val="right"/>
              <w:ind w:right="39"/>
              <w:spacing w:after="0"/>
              <w:rPr>
                <w:sz w:val="20"/>
                <w:szCs w:val="20"/>
                <w:color w:val="auto"/>
              </w:rPr>
            </w:pPr>
            <w:r>
              <w:rPr>
                <w:rFonts w:ascii="Arial" w:cs="Arial" w:eastAsia="Arial" w:hAnsi="Arial"/>
                <w:sz w:val="13"/>
                <w:szCs w:val="13"/>
                <w:color w:val="auto"/>
              </w:rPr>
              <w:t>5,507</w:t>
            </w:r>
          </w:p>
        </w:tc>
        <w:tc>
          <w:tcPr>
            <w:tcW w:w="640" w:type="dxa"/>
            <w:vAlign w:val="bottom"/>
            <w:shd w:val="clear" w:color="auto" w:fill="FCE9E8"/>
          </w:tcPr>
          <w:p>
            <w:pPr>
              <w:ind w:left="160"/>
              <w:spacing w:after="0"/>
              <w:rPr>
                <w:sz w:val="20"/>
                <w:szCs w:val="20"/>
                <w:color w:val="auto"/>
              </w:rPr>
            </w:pPr>
            <w:r>
              <w:rPr>
                <w:rFonts w:ascii="Arial" w:cs="Arial" w:eastAsia="Arial" w:hAnsi="Arial"/>
                <w:sz w:val="13"/>
                <w:szCs w:val="13"/>
                <w:color w:val="auto"/>
              </w:rPr>
              <w:t>11,015</w:t>
            </w:r>
          </w:p>
        </w:tc>
        <w:tc>
          <w:tcPr>
            <w:tcW w:w="7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22,030</w:t>
            </w:r>
          </w:p>
        </w:tc>
        <w:tc>
          <w:tcPr>
            <w:tcW w:w="800" w:type="dxa"/>
            <w:vAlign w:val="bottom"/>
            <w:shd w:val="clear" w:color="auto" w:fill="FCE9E8"/>
          </w:tcPr>
          <w:p>
            <w:pPr>
              <w:spacing w:after="0"/>
              <w:rPr>
                <w:sz w:val="13"/>
                <w:szCs w:val="13"/>
                <w:color w:val="auto"/>
              </w:rPr>
            </w:pP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59"/>
              <w:spacing w:after="0"/>
              <w:rPr>
                <w:sz w:val="20"/>
                <w:szCs w:val="20"/>
                <w:color w:val="auto"/>
              </w:rPr>
            </w:pPr>
            <w:r>
              <w:rPr>
                <w:rFonts w:ascii="Arial" w:cs="Arial" w:eastAsia="Arial" w:hAnsi="Arial"/>
                <w:sz w:val="13"/>
                <w:szCs w:val="13"/>
                <w:color w:val="auto"/>
                <w:w w:val="93"/>
              </w:rPr>
              <w:t>1,464,114</w:t>
            </w:r>
          </w:p>
        </w:tc>
        <w:tc>
          <w:tcPr>
            <w:tcW w:w="0" w:type="dxa"/>
            <w:vAlign w:val="bottom"/>
          </w:tcPr>
          <w:p>
            <w:pPr>
              <w:spacing w:after="0"/>
              <w:rPr>
                <w:sz w:val="1"/>
                <w:szCs w:val="1"/>
                <w:color w:val="auto"/>
              </w:rPr>
            </w:pPr>
          </w:p>
        </w:tc>
      </w:tr>
      <w:tr>
        <w:trPr>
          <w:trHeight w:val="189"/>
        </w:trPr>
        <w:tc>
          <w:tcPr>
            <w:tcW w:w="2940" w:type="dxa"/>
            <w:vAlign w:val="bottom"/>
            <w:shd w:val="clear" w:color="auto" w:fill="FCE9E8"/>
          </w:tcPr>
          <w:p>
            <w:pPr>
              <w:spacing w:after="0"/>
              <w:rPr>
                <w:sz w:val="16"/>
                <w:szCs w:val="16"/>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8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1/3/2017</w:t>
            </w:r>
          </w:p>
        </w:tc>
        <w:tc>
          <w:tcPr>
            <w:tcW w:w="60" w:type="dxa"/>
            <w:vAlign w:val="bottom"/>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4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80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3,671</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59"/>
              <w:spacing w:after="0"/>
              <w:rPr>
                <w:sz w:val="20"/>
                <w:szCs w:val="20"/>
                <w:color w:val="auto"/>
              </w:rPr>
            </w:pPr>
            <w:r>
              <w:rPr>
                <w:rFonts w:ascii="Arial" w:cs="Arial" w:eastAsia="Arial" w:hAnsi="Arial"/>
                <w:sz w:val="13"/>
                <w:szCs w:val="13"/>
                <w:color w:val="auto"/>
              </w:rPr>
              <w:t>487,949</w:t>
            </w:r>
          </w:p>
        </w:tc>
        <w:tc>
          <w:tcPr>
            <w:tcW w:w="0" w:type="dxa"/>
            <w:vAlign w:val="bottom"/>
          </w:tcPr>
          <w:p>
            <w:pPr>
              <w:spacing w:after="0"/>
              <w:rPr>
                <w:sz w:val="1"/>
                <w:szCs w:val="1"/>
                <w:color w:val="auto"/>
              </w:rPr>
            </w:pPr>
          </w:p>
        </w:tc>
      </w:tr>
      <w:tr>
        <w:trPr>
          <w:trHeight w:val="172"/>
        </w:trPr>
        <w:tc>
          <w:tcPr>
            <w:tcW w:w="2940" w:type="dxa"/>
            <w:vAlign w:val="bottom"/>
            <w:shd w:val="clear" w:color="auto" w:fill="FCE9E8"/>
          </w:tcPr>
          <w:p>
            <w:pPr>
              <w:spacing w:after="0"/>
              <w:rPr>
                <w:sz w:val="14"/>
                <w:szCs w:val="14"/>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RSU Award</w:t>
            </w:r>
          </w:p>
        </w:tc>
        <w:tc>
          <w:tcPr>
            <w:tcW w:w="780" w:type="dxa"/>
            <w:vAlign w:val="bottom"/>
            <w:shd w:val="clear" w:color="auto" w:fill="FCE9E8"/>
          </w:tcPr>
          <w:p>
            <w:pPr>
              <w:spacing w:after="0"/>
              <w:rPr>
                <w:sz w:val="14"/>
                <w:szCs w:val="14"/>
                <w:color w:val="auto"/>
              </w:rPr>
            </w:pPr>
          </w:p>
        </w:tc>
        <w:tc>
          <w:tcPr>
            <w:tcW w:w="60" w:type="dxa"/>
            <w:vAlign w:val="bottom"/>
            <w:shd w:val="clear" w:color="auto" w:fill="FCE9E8"/>
          </w:tcPr>
          <w:p>
            <w:pPr>
              <w:spacing w:after="0"/>
              <w:rPr>
                <w:sz w:val="14"/>
                <w:szCs w:val="14"/>
                <w:color w:val="auto"/>
              </w:rPr>
            </w:pPr>
          </w:p>
        </w:tc>
        <w:tc>
          <w:tcPr>
            <w:tcW w:w="8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740" w:type="dxa"/>
            <w:vAlign w:val="bottom"/>
            <w:shd w:val="clear" w:color="auto" w:fill="FCE9E8"/>
          </w:tcPr>
          <w:p>
            <w:pPr>
              <w:spacing w:after="0"/>
              <w:rPr>
                <w:sz w:val="14"/>
                <w:szCs w:val="14"/>
                <w:color w:val="auto"/>
              </w:rPr>
            </w:pPr>
          </w:p>
        </w:tc>
        <w:tc>
          <w:tcPr>
            <w:tcW w:w="640" w:type="dxa"/>
            <w:vAlign w:val="bottom"/>
            <w:shd w:val="clear" w:color="auto" w:fill="FCE9E8"/>
          </w:tcPr>
          <w:p>
            <w:pPr>
              <w:spacing w:after="0"/>
              <w:rPr>
                <w:sz w:val="14"/>
                <w:szCs w:val="14"/>
                <w:color w:val="auto"/>
              </w:rPr>
            </w:pPr>
          </w:p>
        </w:tc>
        <w:tc>
          <w:tcPr>
            <w:tcW w:w="720" w:type="dxa"/>
            <w:vAlign w:val="bottom"/>
            <w:shd w:val="clear" w:color="auto" w:fill="FCE9E8"/>
          </w:tcPr>
          <w:p>
            <w:pPr>
              <w:spacing w:after="0"/>
              <w:rPr>
                <w:sz w:val="14"/>
                <w:szCs w:val="14"/>
                <w:color w:val="auto"/>
              </w:rPr>
            </w:pPr>
          </w:p>
        </w:tc>
        <w:tc>
          <w:tcPr>
            <w:tcW w:w="800" w:type="dxa"/>
            <w:vAlign w:val="bottom"/>
            <w:shd w:val="clear" w:color="auto" w:fill="FCE9E8"/>
          </w:tcPr>
          <w:p>
            <w:pPr>
              <w:spacing w:after="0"/>
              <w:rPr>
                <w:sz w:val="14"/>
                <w:szCs w:val="14"/>
                <w:color w:val="auto"/>
              </w:rPr>
            </w:pPr>
          </w:p>
        </w:tc>
        <w:tc>
          <w:tcPr>
            <w:tcW w:w="140" w:type="dxa"/>
            <w:vAlign w:val="bottom"/>
            <w:shd w:val="clear" w:color="auto" w:fill="FCE9E8"/>
          </w:tcPr>
          <w:p>
            <w:pPr>
              <w:spacing w:after="0"/>
              <w:rPr>
                <w:sz w:val="14"/>
                <w:szCs w:val="14"/>
                <w:color w:val="auto"/>
              </w:rPr>
            </w:pPr>
          </w:p>
        </w:tc>
        <w:tc>
          <w:tcPr>
            <w:tcW w:w="68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FCE9E8"/>
          </w:tcPr>
          <w:p>
            <w:pPr>
              <w:spacing w:after="0"/>
              <w:rPr>
                <w:sz w:val="13"/>
                <w:szCs w:val="13"/>
                <w:color w:val="auto"/>
              </w:rPr>
            </w:pPr>
          </w:p>
        </w:tc>
        <w:tc>
          <w:tcPr>
            <w:tcW w:w="1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(Career Shares)</w:t>
            </w:r>
            <w:r>
              <w:rPr>
                <w:rFonts w:ascii="Arial" w:cs="Arial" w:eastAsia="Arial" w:hAnsi="Arial"/>
                <w:sz w:val="10"/>
                <w:szCs w:val="10"/>
                <w:color w:val="auto"/>
              </w:rPr>
              <w:t>(5)</w:t>
            </w:r>
          </w:p>
        </w:tc>
        <w:tc>
          <w:tcPr>
            <w:tcW w:w="78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11/20/2017</w:t>
            </w:r>
          </w:p>
        </w:tc>
        <w:tc>
          <w:tcPr>
            <w:tcW w:w="60" w:type="dxa"/>
            <w:vAlign w:val="bottom"/>
            <w:shd w:val="clear" w:color="auto" w:fill="FCE9E8"/>
          </w:tcPr>
          <w:p>
            <w:pPr>
              <w:spacing w:after="0"/>
              <w:rPr>
                <w:sz w:val="13"/>
                <w:szCs w:val="13"/>
                <w:color w:val="auto"/>
              </w:rPr>
            </w:pPr>
          </w:p>
        </w:tc>
        <w:tc>
          <w:tcPr>
            <w:tcW w:w="8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140" w:type="dxa"/>
            <w:vAlign w:val="bottom"/>
            <w:shd w:val="clear" w:color="auto" w:fill="FCE9E8"/>
          </w:tcPr>
          <w:p>
            <w:pPr>
              <w:spacing w:after="0"/>
              <w:rPr>
                <w:sz w:val="13"/>
                <w:szCs w:val="13"/>
                <w:color w:val="auto"/>
              </w:rPr>
            </w:pPr>
          </w:p>
        </w:tc>
        <w:tc>
          <w:tcPr>
            <w:tcW w:w="74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80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1,130</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59"/>
              <w:spacing w:after="0"/>
              <w:rPr>
                <w:sz w:val="20"/>
                <w:szCs w:val="20"/>
                <w:color w:val="auto"/>
              </w:rPr>
            </w:pPr>
            <w:r>
              <w:rPr>
                <w:rFonts w:ascii="Arial" w:cs="Arial" w:eastAsia="Arial" w:hAnsi="Arial"/>
                <w:sz w:val="13"/>
                <w:szCs w:val="13"/>
                <w:color w:val="auto"/>
              </w:rPr>
              <w:t>199,829</w:t>
            </w:r>
          </w:p>
        </w:tc>
        <w:tc>
          <w:tcPr>
            <w:tcW w:w="0" w:type="dxa"/>
            <w:vAlign w:val="bottom"/>
          </w:tcPr>
          <w:p>
            <w:pPr>
              <w:spacing w:after="0"/>
              <w:rPr>
                <w:sz w:val="1"/>
                <w:szCs w:val="1"/>
                <w:color w:val="auto"/>
              </w:rPr>
            </w:pPr>
          </w:p>
        </w:tc>
      </w:tr>
      <w:tr>
        <w:trPr>
          <w:trHeight w:val="43"/>
        </w:trPr>
        <w:tc>
          <w:tcPr>
            <w:tcW w:w="2940" w:type="dxa"/>
            <w:vAlign w:val="bottom"/>
            <w:shd w:val="clear" w:color="auto" w:fill="FCE9E8"/>
          </w:tcPr>
          <w:p>
            <w:pPr>
              <w:spacing w:after="0"/>
              <w:rPr>
                <w:sz w:val="3"/>
                <w:szCs w:val="3"/>
                <w:color w:val="auto"/>
              </w:rPr>
            </w:pPr>
          </w:p>
        </w:tc>
        <w:tc>
          <w:tcPr>
            <w:tcW w:w="1160" w:type="dxa"/>
            <w:vAlign w:val="bottom"/>
            <w:shd w:val="clear" w:color="auto" w:fill="FCE9E8"/>
          </w:tcPr>
          <w:p>
            <w:pPr>
              <w:spacing w:after="0"/>
              <w:rPr>
                <w:sz w:val="3"/>
                <w:szCs w:val="3"/>
                <w:color w:val="auto"/>
              </w:rPr>
            </w:pPr>
          </w:p>
        </w:tc>
        <w:tc>
          <w:tcPr>
            <w:tcW w:w="780" w:type="dxa"/>
            <w:vAlign w:val="bottom"/>
            <w:shd w:val="clear" w:color="auto" w:fill="FCE9E8"/>
          </w:tcPr>
          <w:p>
            <w:pPr>
              <w:spacing w:after="0"/>
              <w:rPr>
                <w:sz w:val="3"/>
                <w:szCs w:val="3"/>
                <w:color w:val="auto"/>
              </w:rPr>
            </w:pPr>
          </w:p>
        </w:tc>
        <w:tc>
          <w:tcPr>
            <w:tcW w:w="60" w:type="dxa"/>
            <w:vAlign w:val="bottom"/>
            <w:shd w:val="clear" w:color="auto" w:fill="FCE9E8"/>
          </w:tcPr>
          <w:p>
            <w:pPr>
              <w:spacing w:after="0"/>
              <w:rPr>
                <w:sz w:val="3"/>
                <w:szCs w:val="3"/>
                <w:color w:val="auto"/>
              </w:rPr>
            </w:pPr>
          </w:p>
        </w:tc>
        <w:tc>
          <w:tcPr>
            <w:tcW w:w="80" w:type="dxa"/>
            <w:vAlign w:val="bottom"/>
            <w:shd w:val="clear" w:color="auto" w:fill="FCE9E8"/>
          </w:tcPr>
          <w:p>
            <w:pPr>
              <w:spacing w:after="0"/>
              <w:rPr>
                <w:sz w:val="3"/>
                <w:szCs w:val="3"/>
                <w:color w:val="auto"/>
              </w:rPr>
            </w:pPr>
          </w:p>
        </w:tc>
        <w:tc>
          <w:tcPr>
            <w:tcW w:w="640" w:type="dxa"/>
            <w:vAlign w:val="bottom"/>
            <w:shd w:val="clear" w:color="auto" w:fill="FCE9E8"/>
          </w:tcPr>
          <w:p>
            <w:pPr>
              <w:spacing w:after="0"/>
              <w:rPr>
                <w:sz w:val="3"/>
                <w:szCs w:val="3"/>
                <w:color w:val="auto"/>
              </w:rPr>
            </w:pPr>
          </w:p>
        </w:tc>
        <w:tc>
          <w:tcPr>
            <w:tcW w:w="140" w:type="dxa"/>
            <w:vAlign w:val="bottom"/>
            <w:shd w:val="clear" w:color="auto" w:fill="FCE9E8"/>
          </w:tcPr>
          <w:p>
            <w:pPr>
              <w:spacing w:after="0"/>
              <w:rPr>
                <w:sz w:val="3"/>
                <w:szCs w:val="3"/>
                <w:color w:val="auto"/>
              </w:rPr>
            </w:pPr>
          </w:p>
        </w:tc>
        <w:tc>
          <w:tcPr>
            <w:tcW w:w="640" w:type="dxa"/>
            <w:vAlign w:val="bottom"/>
            <w:shd w:val="clear" w:color="auto" w:fill="FCE9E8"/>
          </w:tcPr>
          <w:p>
            <w:pPr>
              <w:spacing w:after="0"/>
              <w:rPr>
                <w:sz w:val="3"/>
                <w:szCs w:val="3"/>
                <w:color w:val="auto"/>
              </w:rPr>
            </w:pPr>
          </w:p>
        </w:tc>
        <w:tc>
          <w:tcPr>
            <w:tcW w:w="720" w:type="dxa"/>
            <w:vAlign w:val="bottom"/>
            <w:shd w:val="clear" w:color="auto" w:fill="FCE9E8"/>
          </w:tcPr>
          <w:p>
            <w:pPr>
              <w:spacing w:after="0"/>
              <w:rPr>
                <w:sz w:val="3"/>
                <w:szCs w:val="3"/>
                <w:color w:val="auto"/>
              </w:rPr>
            </w:pPr>
          </w:p>
        </w:tc>
        <w:tc>
          <w:tcPr>
            <w:tcW w:w="140" w:type="dxa"/>
            <w:vAlign w:val="bottom"/>
            <w:shd w:val="clear" w:color="auto" w:fill="FCE9E8"/>
          </w:tcPr>
          <w:p>
            <w:pPr>
              <w:spacing w:after="0"/>
              <w:rPr>
                <w:sz w:val="3"/>
                <w:szCs w:val="3"/>
                <w:color w:val="auto"/>
              </w:rPr>
            </w:pPr>
          </w:p>
        </w:tc>
        <w:tc>
          <w:tcPr>
            <w:tcW w:w="740" w:type="dxa"/>
            <w:vAlign w:val="bottom"/>
            <w:shd w:val="clear" w:color="auto" w:fill="FCE9E8"/>
          </w:tcPr>
          <w:p>
            <w:pPr>
              <w:spacing w:after="0"/>
              <w:rPr>
                <w:sz w:val="3"/>
                <w:szCs w:val="3"/>
                <w:color w:val="auto"/>
              </w:rPr>
            </w:pPr>
          </w:p>
        </w:tc>
        <w:tc>
          <w:tcPr>
            <w:tcW w:w="640" w:type="dxa"/>
            <w:vAlign w:val="bottom"/>
            <w:shd w:val="clear" w:color="auto" w:fill="FCE9E8"/>
          </w:tcPr>
          <w:p>
            <w:pPr>
              <w:spacing w:after="0"/>
              <w:rPr>
                <w:sz w:val="3"/>
                <w:szCs w:val="3"/>
                <w:color w:val="auto"/>
              </w:rPr>
            </w:pPr>
          </w:p>
        </w:tc>
        <w:tc>
          <w:tcPr>
            <w:tcW w:w="720" w:type="dxa"/>
            <w:vAlign w:val="bottom"/>
            <w:shd w:val="clear" w:color="auto" w:fill="FCE9E8"/>
          </w:tcPr>
          <w:p>
            <w:pPr>
              <w:spacing w:after="0"/>
              <w:rPr>
                <w:sz w:val="3"/>
                <w:szCs w:val="3"/>
                <w:color w:val="auto"/>
              </w:rPr>
            </w:pPr>
          </w:p>
        </w:tc>
        <w:tc>
          <w:tcPr>
            <w:tcW w:w="800" w:type="dxa"/>
            <w:vAlign w:val="bottom"/>
            <w:shd w:val="clear" w:color="auto" w:fill="FCE9E8"/>
          </w:tcPr>
          <w:p>
            <w:pPr>
              <w:spacing w:after="0"/>
              <w:rPr>
                <w:sz w:val="3"/>
                <w:szCs w:val="3"/>
                <w:color w:val="auto"/>
              </w:rPr>
            </w:pPr>
          </w:p>
        </w:tc>
        <w:tc>
          <w:tcPr>
            <w:tcW w:w="140" w:type="dxa"/>
            <w:vAlign w:val="bottom"/>
            <w:shd w:val="clear" w:color="auto" w:fill="FCE9E8"/>
          </w:tcPr>
          <w:p>
            <w:pPr>
              <w:spacing w:after="0"/>
              <w:rPr>
                <w:sz w:val="3"/>
                <w:szCs w:val="3"/>
                <w:color w:val="auto"/>
              </w:rPr>
            </w:pPr>
          </w:p>
        </w:tc>
        <w:tc>
          <w:tcPr>
            <w:tcW w:w="680" w:type="dxa"/>
            <w:vAlign w:val="bottom"/>
            <w:shd w:val="clear" w:color="auto" w:fill="FCE9E8"/>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80" w:hanging="316"/>
        <w:spacing w:after="0" w:line="208" w:lineRule="auto"/>
        <w:tabs>
          <w:tab w:leader="none" w:pos="52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For the Annual Incentive Award, the threshold, target and maximum amounts represent 50%, 100% and 200%, respectively, of the total bonus opportunity for each Named Executive Officer. If actual performance falls between threshold and maximum, the award would be calculated using linear interpolation. For the Annual Incentive Award, the target bonus opportunity for the Named Executive Officers was also based on a percentage of base salary, which is 160% for Mr. Simoncini, 100% for Mr. Scott, 90% for Messrs. Vanneste and Orsini, and 80% for Mr. Larkin.</w:t>
      </w:r>
    </w:p>
    <w:p>
      <w:pPr>
        <w:spacing w:after="0" w:line="71" w:lineRule="exact"/>
        <w:rPr>
          <w:rFonts w:ascii="Arial" w:cs="Arial" w:eastAsia="Arial" w:hAnsi="Arial"/>
          <w:sz w:val="24"/>
          <w:szCs w:val="24"/>
          <w:color w:val="auto"/>
          <w:vertAlign w:val="superscript"/>
        </w:rPr>
      </w:pPr>
    </w:p>
    <w:p>
      <w:pPr>
        <w:ind w:left="520" w:right="80" w:hanging="316"/>
        <w:spacing w:after="0" w:line="183" w:lineRule="auto"/>
        <w:tabs>
          <w:tab w:leader="none" w:pos="52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See Note 10, “Stock-Based Compensation,” to the Company’s consolidated financial statements included in our 2017 Annual Report on Form 10-K for the assumptions made in determining values.</w:t>
      </w:r>
    </w:p>
    <w:p>
      <w:pPr>
        <w:spacing w:after="0" w:line="71" w:lineRule="exact"/>
        <w:rPr>
          <w:rFonts w:ascii="Arial" w:cs="Arial" w:eastAsia="Arial" w:hAnsi="Arial"/>
          <w:sz w:val="24"/>
          <w:szCs w:val="24"/>
          <w:color w:val="auto"/>
          <w:vertAlign w:val="superscript"/>
        </w:rPr>
      </w:pPr>
    </w:p>
    <w:p>
      <w:pPr>
        <w:ind w:left="520" w:right="80" w:hanging="316"/>
        <w:spacing w:after="0" w:line="214" w:lineRule="auto"/>
        <w:tabs>
          <w:tab w:leader="none" w:pos="52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Payment of each Performance Share award is contingent on the Company attaining certain levels of Adjusted ROIC and Cumulative Adjusted Pre-Tax Income performance in the 2017-2019 performance period. Two-thirds of each Performance Share award can be earned based on Adjusted ROIC performance and one-third can be earned based on Cumulative Adjusted Pre-Tax Income performance. If threshold, target or maximum performance goals are attained in the performance period, 50%, 100% or 200% of the target amount, respectively, may be earned. If actual performance falls between threshold and maximum, the award would be calculated using linear interpolation.</w:t>
      </w:r>
    </w:p>
    <w:p>
      <w:pPr>
        <w:ind w:left="520" w:hanging="316"/>
        <w:spacing w:after="0" w:line="211" w:lineRule="auto"/>
        <w:tabs>
          <w:tab w:leader="none" w:pos="52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The RSUs vest and are paid in shares of Lear common stock on the third anniversary of the grant date.</w:t>
      </w:r>
    </w:p>
    <w:p>
      <w:pPr>
        <w:spacing w:after="0" w:line="71" w:lineRule="exact"/>
        <w:rPr>
          <w:rFonts w:ascii="Arial" w:cs="Arial" w:eastAsia="Arial" w:hAnsi="Arial"/>
          <w:sz w:val="24"/>
          <w:szCs w:val="24"/>
          <w:color w:val="auto"/>
          <w:vertAlign w:val="superscript"/>
        </w:rPr>
      </w:pPr>
    </w:p>
    <w:p>
      <w:pPr>
        <w:ind w:left="520" w:hanging="316"/>
        <w:spacing w:after="0" w:line="189" w:lineRule="auto"/>
        <w:tabs>
          <w:tab w:leader="none" w:pos="520" w:val="left"/>
        </w:tabs>
        <w:numPr>
          <w:ilvl w:val="0"/>
          <w:numId w:val="74"/>
        </w:numPr>
        <w:rPr>
          <w:rFonts w:ascii="Arial" w:cs="Arial" w:eastAsia="Arial" w:hAnsi="Arial"/>
          <w:sz w:val="19"/>
          <w:szCs w:val="19"/>
          <w:color w:val="auto"/>
          <w:vertAlign w:val="superscript"/>
        </w:rPr>
      </w:pPr>
      <w:r>
        <w:rPr>
          <w:rFonts w:ascii="Arial" w:cs="Arial" w:eastAsia="Arial" w:hAnsi="Arial"/>
          <w:sz w:val="12"/>
          <w:szCs w:val="12"/>
          <w:color w:val="auto"/>
        </w:rPr>
        <w:t>See “— Career Shares” below for an explanation regarding the vesting and distribution of the Career Shares.</w:t>
      </w:r>
    </w:p>
    <w:p>
      <w:pPr>
        <w:spacing w:after="0" w:line="133"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43</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96"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A summary description of the Company’s AIP is set forth above under the heading “Compensation Discussion and Analysis — Elements of Compensation — Annual Incentives.”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96"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The Performance Share awards were granted pursuant to the LTSIP. Payment of each Performance Share award is contingent on the Company attaining certain levels of Adjusted ROIC and Cumulative Adjusted Pre-Tax Income in the 2017-2019 performance period. Two-thirds of each Performance Share award can be earned based on Adjusted ROIC performance and one-third can be earned based on Cumulative Adjusted Pre-Tax Income performance. If threshold, target or maximum performance goals are attained in a performance period, 50%, 100% or 200% of the target amount, respectively, may be earned. If actual performance falls between threshold and maximum, the award would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calculated using linear interpolation. For a description of the effect of a termination of employment or a change in control on the vesting of Performance Shares, please see “Executive Compensation —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-2315845</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468"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ind w:left="200" w:right="200"/>
        <w:spacing w:after="0" w:line="251" w:lineRule="auto"/>
        <w:rPr>
          <w:sz w:val="20"/>
          <w:szCs w:val="20"/>
          <w:color w:val="auto"/>
        </w:rPr>
      </w:pPr>
      <w:r>
        <w:rPr>
          <w:rFonts w:ascii="Arial" w:cs="Arial" w:eastAsia="Arial" w:hAnsi="Arial"/>
          <w:sz w:val="16"/>
          <w:szCs w:val="16"/>
          <w:color w:val="auto"/>
        </w:rPr>
        <w:t>The RSU awards were granted pursuant to the LTSIP. A summary description of the LTSIP is set forth above under the heading “Compensation Discussion and Analysis — Elements of Compensation — Long-Term Incentives.”</w:t>
      </w:r>
    </w:p>
    <w:p>
      <w:pPr>
        <w:spacing w:after="0" w:line="95" w:lineRule="exact"/>
        <w:rPr>
          <w:sz w:val="20"/>
          <w:szCs w:val="20"/>
          <w:color w:val="auto"/>
        </w:rPr>
      </w:pPr>
    </w:p>
    <w:p>
      <w:pPr>
        <w:ind w:left="200" w:right="80"/>
        <w:spacing w:after="0" w:line="249" w:lineRule="auto"/>
        <w:rPr>
          <w:sz w:val="20"/>
          <w:szCs w:val="20"/>
          <w:color w:val="auto"/>
        </w:rPr>
      </w:pPr>
      <w:r>
        <w:rPr>
          <w:rFonts w:ascii="Arial" w:cs="Arial" w:eastAsia="Arial" w:hAnsi="Arial"/>
          <w:sz w:val="16"/>
          <w:szCs w:val="16"/>
          <w:color w:val="auto"/>
        </w:rPr>
        <w:t>Provided that the Company achieves positive adjusted net income in the fiscal year in which the award is granted, the RSUs vest and settle in shares of common stock on the third anniversary of the grant date during the executive’s continuing employment. Positive adjusted net income is the Company’s net income excluding the impact of restructuring and other</w:t>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Career Shares</w:t>
      </w:r>
    </w:p>
    <w:p>
      <w:pPr>
        <w:spacing w:after="0" w:line="196"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color w:val="auto"/>
        </w:rPr>
        <w:t>As shown in the table above, the Company granted “Career Shares” pursuant to the LTSIP to certain executives in 2017, including each of the Named Executive Officers.</w:t>
      </w:r>
    </w:p>
    <w:p>
      <w:pPr>
        <w:spacing w:after="0" w:line="93"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In general, the underlying shares of common stock for the vested Career Share RSUs are not distributed until the later of (i) age 62 or (ii) the vesting date. If the executive terminates due to a Career Share “qualifying retirement” (</w:t>
      </w:r>
      <w:r>
        <w:rPr>
          <w:rFonts w:ascii="Arial" w:cs="Arial" w:eastAsia="Arial" w:hAnsi="Arial"/>
          <w:sz w:val="16"/>
          <w:szCs w:val="16"/>
          <w:i w:val="1"/>
          <w:iCs w:val="1"/>
          <w:color w:val="auto"/>
        </w:rPr>
        <w:t>i.e.</w:t>
      </w:r>
      <w:r>
        <w:rPr>
          <w:rFonts w:ascii="Arial" w:cs="Arial" w:eastAsia="Arial" w:hAnsi="Arial"/>
          <w:sz w:val="16"/>
          <w:szCs w:val="16"/>
          <w:color w:val="auto"/>
        </w:rPr>
        <w:t>, voluntary termination at or after age 62 or the date that the executive attains a combined number of age and years of service of 65, with a minimum age of 55 and minimum service of five years), the underlying shares of common stock for the vested RSUs</w:t>
      </w:r>
    </w:p>
    <w:p>
      <w:pPr>
        <w:spacing w:after="0" w:line="265" w:lineRule="exact"/>
        <w:rPr>
          <w:sz w:val="20"/>
          <w:szCs w:val="20"/>
          <w:color w:val="auto"/>
        </w:rPr>
      </w:pPr>
    </w:p>
    <w:p>
      <w:pPr>
        <w:ind w:left="660" w:hanging="354"/>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special items provided in the LTSIP. For a description of the effect of a termination of employment or a change in control on the vesting of RSUs, please see “Executive Compensation — Potential Payments Upon Termination or Change in Control.”</w:t>
      </w:r>
    </w:p>
    <w:p>
      <w:pPr>
        <w:spacing w:after="0" w:line="9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are not distributed until the earlier of (i) age 62 (or such later vesting date) or (ii) three years after the executive’s qualifying retirement. If the executive has attained a combined number of age and years of service of at least 65, with a minimum age of 55 and minimum service of five years, or the executive is terminated without “cause” or resigns for “good reason,” in each case after the first anniversary of the grant date, the underlying shares of common stock for the vested RSUs are not distributed until the earlier of (i) age 62 (or such later vesting date) or (ii) three years after the executive’s termination of employment.</w:t>
      </w:r>
    </w:p>
    <w:p>
      <w:pPr>
        <w:sectPr>
          <w:pgSz w:w="11900" w:h="16838" w:orient="portrait"/>
          <w:cols w:equalWidth="0" w:num="2">
            <w:col w:w="5500" w:space="320"/>
            <w:col w:w="5400"/>
          </w:cols>
          <w:pgMar w:left="24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90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FFFFFF"/>
        </w:rPr>
        <w:t>2017 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shows outstanding equity awards as of December 31, 2017, for each Named Executive Officer.</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2"/>
          </w:tcPr>
          <w:p>
            <w:pPr>
              <w:jc w:val="right"/>
              <w:ind w:right="1246"/>
              <w:spacing w:after="0"/>
              <w:rPr>
                <w:sz w:val="20"/>
                <w:szCs w:val="20"/>
                <w:color w:val="auto"/>
              </w:rPr>
            </w:pPr>
            <w:r>
              <w:rPr>
                <w:rFonts w:ascii="Arial" w:cs="Arial" w:eastAsia="Arial" w:hAnsi="Arial"/>
                <w:sz w:val="14"/>
                <w:szCs w:val="14"/>
                <w:b w:val="1"/>
                <w:bCs w:val="1"/>
                <w:color w:val="E2231A"/>
              </w:rPr>
              <w:t>Stock Awards</w:t>
            </w: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jc w:val="center"/>
              <w:ind w:right="545"/>
              <w:spacing w:after="0" w:line="143" w:lineRule="exact"/>
              <w:rPr>
                <w:sz w:val="20"/>
                <w:szCs w:val="20"/>
                <w:color w:val="auto"/>
              </w:rPr>
            </w:pPr>
            <w:r>
              <w:rPr>
                <w:rFonts w:ascii="Arial" w:cs="Arial" w:eastAsia="Arial" w:hAnsi="Arial"/>
                <w:sz w:val="14"/>
                <w:szCs w:val="14"/>
                <w:b w:val="1"/>
                <w:bCs w:val="1"/>
                <w:color w:val="E2231A"/>
              </w:rPr>
              <w:t>Equity</w:t>
            </w:r>
          </w:p>
        </w:tc>
      </w:tr>
      <w:tr>
        <w:trPr>
          <w:trHeight w:val="162"/>
        </w:trPr>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jc w:val="center"/>
              <w:ind w:right="565"/>
              <w:spacing w:after="0"/>
              <w:rPr>
                <w:sz w:val="20"/>
                <w:szCs w:val="20"/>
                <w:color w:val="auto"/>
              </w:rPr>
            </w:pPr>
            <w:r>
              <w:rPr>
                <w:rFonts w:ascii="Arial" w:cs="Arial" w:eastAsia="Arial" w:hAnsi="Arial"/>
                <w:sz w:val="14"/>
                <w:szCs w:val="14"/>
                <w:b w:val="1"/>
                <w:bCs w:val="1"/>
                <w:color w:val="E2231A"/>
              </w:rPr>
              <w:t>Incentive</w:t>
            </w:r>
          </w:p>
        </w:tc>
      </w:tr>
      <w:tr>
        <w:trPr>
          <w:trHeight w:val="162"/>
        </w:trPr>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jc w:val="center"/>
              <w:ind w:right="565"/>
              <w:spacing w:after="0"/>
              <w:rPr>
                <w:sz w:val="20"/>
                <w:szCs w:val="20"/>
                <w:color w:val="auto"/>
              </w:rPr>
            </w:pPr>
            <w:r>
              <w:rPr>
                <w:rFonts w:ascii="Arial" w:cs="Arial" w:eastAsia="Arial" w:hAnsi="Arial"/>
                <w:sz w:val="14"/>
                <w:szCs w:val="14"/>
                <w:b w:val="1"/>
                <w:bCs w:val="1"/>
                <w:color w:val="E2231A"/>
              </w:rPr>
              <w:t>Plan</w:t>
            </w:r>
          </w:p>
        </w:tc>
      </w:tr>
      <w:tr>
        <w:trPr>
          <w:trHeight w:val="162"/>
        </w:trPr>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Equity</w:t>
            </w:r>
          </w:p>
        </w:tc>
        <w:tc>
          <w:tcPr>
            <w:tcW w:w="580" w:type="dxa"/>
            <w:vAlign w:val="bottom"/>
          </w:tcPr>
          <w:p>
            <w:pPr>
              <w:spacing w:after="0"/>
              <w:rPr>
                <w:sz w:val="14"/>
                <w:szCs w:val="14"/>
                <w:color w:val="auto"/>
              </w:rPr>
            </w:pPr>
          </w:p>
        </w:tc>
        <w:tc>
          <w:tcPr>
            <w:tcW w:w="1380" w:type="dxa"/>
            <w:vAlign w:val="bottom"/>
          </w:tcPr>
          <w:p>
            <w:pPr>
              <w:jc w:val="center"/>
              <w:ind w:right="565"/>
              <w:spacing w:after="0"/>
              <w:rPr>
                <w:sz w:val="20"/>
                <w:szCs w:val="20"/>
                <w:color w:val="auto"/>
              </w:rPr>
            </w:pPr>
            <w:r>
              <w:rPr>
                <w:rFonts w:ascii="Arial" w:cs="Arial" w:eastAsia="Arial" w:hAnsi="Arial"/>
                <w:sz w:val="14"/>
                <w:szCs w:val="14"/>
                <w:b w:val="1"/>
                <w:bCs w:val="1"/>
                <w:color w:val="E2231A"/>
              </w:rPr>
              <w:t>Awards:</w:t>
            </w:r>
          </w:p>
        </w:tc>
      </w:tr>
      <w:tr>
        <w:trPr>
          <w:trHeight w:val="162"/>
        </w:trPr>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Incentive Plan</w:t>
            </w:r>
          </w:p>
        </w:tc>
        <w:tc>
          <w:tcPr>
            <w:tcW w:w="580" w:type="dxa"/>
            <w:vAlign w:val="bottom"/>
          </w:tcPr>
          <w:p>
            <w:pPr>
              <w:spacing w:after="0"/>
              <w:rPr>
                <w:sz w:val="14"/>
                <w:szCs w:val="14"/>
                <w:color w:val="auto"/>
              </w:rPr>
            </w:pPr>
          </w:p>
        </w:tc>
        <w:tc>
          <w:tcPr>
            <w:tcW w:w="1380" w:type="dxa"/>
            <w:vAlign w:val="bottom"/>
          </w:tcPr>
          <w:p>
            <w:pPr>
              <w:jc w:val="center"/>
              <w:ind w:right="565"/>
              <w:spacing w:after="0"/>
              <w:rPr>
                <w:sz w:val="20"/>
                <w:szCs w:val="20"/>
                <w:color w:val="auto"/>
              </w:rPr>
            </w:pPr>
            <w:r>
              <w:rPr>
                <w:rFonts w:ascii="Arial" w:cs="Arial" w:eastAsia="Arial" w:hAnsi="Arial"/>
                <w:sz w:val="14"/>
                <w:szCs w:val="14"/>
                <w:b w:val="1"/>
                <w:bCs w:val="1"/>
                <w:color w:val="E2231A"/>
              </w:rPr>
              <w:t>Market or</w:t>
            </w:r>
          </w:p>
        </w:tc>
      </w:tr>
      <w:tr>
        <w:trPr>
          <w:trHeight w:val="162"/>
        </w:trPr>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Awards:</w:t>
            </w:r>
          </w:p>
        </w:tc>
        <w:tc>
          <w:tcPr>
            <w:tcW w:w="580" w:type="dxa"/>
            <w:vAlign w:val="bottom"/>
          </w:tcPr>
          <w:p>
            <w:pPr>
              <w:spacing w:after="0"/>
              <w:rPr>
                <w:sz w:val="14"/>
                <w:szCs w:val="14"/>
                <w:color w:val="auto"/>
              </w:rPr>
            </w:pPr>
          </w:p>
        </w:tc>
        <w:tc>
          <w:tcPr>
            <w:tcW w:w="1380" w:type="dxa"/>
            <w:vAlign w:val="bottom"/>
          </w:tcPr>
          <w:p>
            <w:pPr>
              <w:jc w:val="center"/>
              <w:ind w:right="545"/>
              <w:spacing w:after="0"/>
              <w:rPr>
                <w:sz w:val="20"/>
                <w:szCs w:val="20"/>
                <w:color w:val="auto"/>
              </w:rPr>
            </w:pPr>
            <w:r>
              <w:rPr>
                <w:rFonts w:ascii="Arial" w:cs="Arial" w:eastAsia="Arial" w:hAnsi="Arial"/>
                <w:sz w:val="14"/>
                <w:szCs w:val="14"/>
                <w:b w:val="1"/>
                <w:bCs w:val="1"/>
                <w:color w:val="E2231A"/>
              </w:rPr>
              <w:t>Payout</w:t>
            </w:r>
          </w:p>
        </w:tc>
      </w:tr>
      <w:tr>
        <w:trPr>
          <w:trHeight w:val="162"/>
        </w:trPr>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580" w:type="dxa"/>
            <w:vAlign w:val="bottom"/>
          </w:tcPr>
          <w:p>
            <w:pPr>
              <w:spacing w:after="0"/>
              <w:rPr>
                <w:sz w:val="14"/>
                <w:szCs w:val="14"/>
                <w:color w:val="auto"/>
              </w:rPr>
            </w:pPr>
          </w:p>
        </w:tc>
        <w:tc>
          <w:tcPr>
            <w:tcW w:w="1380" w:type="dxa"/>
            <w:vAlign w:val="bottom"/>
          </w:tcPr>
          <w:p>
            <w:pPr>
              <w:jc w:val="center"/>
              <w:ind w:right="565"/>
              <w:spacing w:after="0"/>
              <w:rPr>
                <w:sz w:val="20"/>
                <w:szCs w:val="20"/>
                <w:color w:val="auto"/>
              </w:rPr>
            </w:pPr>
            <w:r>
              <w:rPr>
                <w:rFonts w:ascii="Arial" w:cs="Arial" w:eastAsia="Arial" w:hAnsi="Arial"/>
                <w:sz w:val="14"/>
                <w:szCs w:val="14"/>
                <w:b w:val="1"/>
                <w:bCs w:val="1"/>
                <w:color w:val="E2231A"/>
                <w:w w:val="99"/>
              </w:rPr>
              <w:t>Value of</w:t>
            </w:r>
          </w:p>
        </w:tc>
      </w:tr>
      <w:tr>
        <w:trPr>
          <w:trHeight w:val="162"/>
        </w:trPr>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Unearned</w:t>
            </w:r>
          </w:p>
        </w:tc>
        <w:tc>
          <w:tcPr>
            <w:tcW w:w="580" w:type="dxa"/>
            <w:vAlign w:val="bottom"/>
          </w:tcPr>
          <w:p>
            <w:pPr>
              <w:spacing w:after="0"/>
              <w:rPr>
                <w:sz w:val="14"/>
                <w:szCs w:val="14"/>
                <w:color w:val="auto"/>
              </w:rPr>
            </w:pPr>
          </w:p>
        </w:tc>
        <w:tc>
          <w:tcPr>
            <w:tcW w:w="1380" w:type="dxa"/>
            <w:vAlign w:val="bottom"/>
          </w:tcPr>
          <w:p>
            <w:pPr>
              <w:jc w:val="center"/>
              <w:ind w:right="565"/>
              <w:spacing w:after="0"/>
              <w:rPr>
                <w:sz w:val="20"/>
                <w:szCs w:val="20"/>
                <w:color w:val="auto"/>
              </w:rPr>
            </w:pPr>
            <w:r>
              <w:rPr>
                <w:rFonts w:ascii="Arial" w:cs="Arial" w:eastAsia="Arial" w:hAnsi="Arial"/>
                <w:sz w:val="14"/>
                <w:szCs w:val="14"/>
                <w:b w:val="1"/>
                <w:bCs w:val="1"/>
                <w:color w:val="E2231A"/>
              </w:rPr>
              <w:t>Unearned</w:t>
            </w:r>
          </w:p>
        </w:tc>
      </w:tr>
      <w:tr>
        <w:trPr>
          <w:trHeight w:val="162"/>
        </w:trPr>
        <w:tc>
          <w:tcPr>
            <w:tcW w:w="3700" w:type="dxa"/>
            <w:vAlign w:val="bottom"/>
          </w:tcPr>
          <w:p>
            <w:pPr>
              <w:spacing w:after="0"/>
              <w:rPr>
                <w:sz w:val="14"/>
                <w:szCs w:val="14"/>
                <w:color w:val="auto"/>
              </w:rPr>
            </w:pPr>
          </w:p>
        </w:tc>
        <w:tc>
          <w:tcPr>
            <w:tcW w:w="1760" w:type="dxa"/>
            <w:vAlign w:val="bottom"/>
          </w:tcPr>
          <w:p>
            <w:pPr>
              <w:jc w:val="center"/>
              <w:ind w:right="4"/>
              <w:spacing w:after="0"/>
              <w:rPr>
                <w:sz w:val="20"/>
                <w:szCs w:val="20"/>
                <w:color w:val="auto"/>
              </w:rPr>
            </w:pPr>
            <w:r>
              <w:rPr>
                <w:rFonts w:ascii="Arial" w:cs="Arial" w:eastAsia="Arial" w:hAnsi="Arial"/>
                <w:sz w:val="14"/>
                <w:szCs w:val="14"/>
                <w:b w:val="1"/>
                <w:bCs w:val="1"/>
                <w:color w:val="E2231A"/>
              </w:rPr>
              <w:t>Number of</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Market Value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Shares, Units</w:t>
            </w:r>
          </w:p>
        </w:tc>
        <w:tc>
          <w:tcPr>
            <w:tcW w:w="580" w:type="dxa"/>
            <w:vAlign w:val="bottom"/>
          </w:tcPr>
          <w:p>
            <w:pPr>
              <w:spacing w:after="0"/>
              <w:rPr>
                <w:sz w:val="14"/>
                <w:szCs w:val="14"/>
                <w:color w:val="auto"/>
              </w:rPr>
            </w:pPr>
          </w:p>
        </w:tc>
        <w:tc>
          <w:tcPr>
            <w:tcW w:w="1380" w:type="dxa"/>
            <w:vAlign w:val="bottom"/>
          </w:tcPr>
          <w:p>
            <w:pPr>
              <w:jc w:val="center"/>
              <w:ind w:right="545"/>
              <w:spacing w:after="0"/>
              <w:rPr>
                <w:sz w:val="20"/>
                <w:szCs w:val="20"/>
                <w:color w:val="auto"/>
              </w:rPr>
            </w:pPr>
            <w:r>
              <w:rPr>
                <w:rFonts w:ascii="Arial" w:cs="Arial" w:eastAsia="Arial" w:hAnsi="Arial"/>
                <w:sz w:val="14"/>
                <w:szCs w:val="14"/>
                <w:b w:val="1"/>
                <w:bCs w:val="1"/>
                <w:color w:val="E2231A"/>
              </w:rPr>
              <w:t>Shares,</w:t>
            </w:r>
          </w:p>
        </w:tc>
      </w:tr>
      <w:tr>
        <w:trPr>
          <w:trHeight w:val="162"/>
        </w:trPr>
        <w:tc>
          <w:tcPr>
            <w:tcW w:w="3700" w:type="dxa"/>
            <w:vAlign w:val="bottom"/>
          </w:tcPr>
          <w:p>
            <w:pPr>
              <w:spacing w:after="0"/>
              <w:rPr>
                <w:sz w:val="14"/>
                <w:szCs w:val="14"/>
                <w:color w:val="auto"/>
              </w:rPr>
            </w:pPr>
          </w:p>
        </w:tc>
        <w:tc>
          <w:tcPr>
            <w:tcW w:w="1760" w:type="dxa"/>
            <w:vAlign w:val="bottom"/>
          </w:tcPr>
          <w:p>
            <w:pPr>
              <w:jc w:val="center"/>
              <w:ind w:right="24"/>
              <w:spacing w:after="0"/>
              <w:rPr>
                <w:sz w:val="20"/>
                <w:szCs w:val="20"/>
                <w:color w:val="auto"/>
              </w:rPr>
            </w:pPr>
            <w:r>
              <w:rPr>
                <w:rFonts w:ascii="Arial" w:cs="Arial" w:eastAsia="Arial" w:hAnsi="Arial"/>
                <w:sz w:val="14"/>
                <w:szCs w:val="14"/>
                <w:b w:val="1"/>
                <w:bCs w:val="1"/>
                <w:color w:val="E2231A"/>
              </w:rPr>
              <w:t>Shares or</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of Shares or</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or Other</w:t>
            </w:r>
          </w:p>
        </w:tc>
        <w:tc>
          <w:tcPr>
            <w:tcW w:w="580" w:type="dxa"/>
            <w:vAlign w:val="bottom"/>
          </w:tcPr>
          <w:p>
            <w:pPr>
              <w:spacing w:after="0"/>
              <w:rPr>
                <w:sz w:val="14"/>
                <w:szCs w:val="14"/>
                <w:color w:val="auto"/>
              </w:rPr>
            </w:pPr>
          </w:p>
        </w:tc>
        <w:tc>
          <w:tcPr>
            <w:tcW w:w="1380" w:type="dxa"/>
            <w:vAlign w:val="bottom"/>
          </w:tcPr>
          <w:p>
            <w:pPr>
              <w:jc w:val="center"/>
              <w:ind w:right="565"/>
              <w:spacing w:after="0"/>
              <w:rPr>
                <w:sz w:val="20"/>
                <w:szCs w:val="20"/>
                <w:color w:val="auto"/>
              </w:rPr>
            </w:pPr>
            <w:r>
              <w:rPr>
                <w:rFonts w:ascii="Arial" w:cs="Arial" w:eastAsia="Arial" w:hAnsi="Arial"/>
                <w:sz w:val="14"/>
                <w:szCs w:val="14"/>
                <w:b w:val="1"/>
                <w:bCs w:val="1"/>
                <w:color w:val="E2231A"/>
              </w:rPr>
              <w:t>Units or</w:t>
            </w:r>
          </w:p>
        </w:tc>
      </w:tr>
      <w:tr>
        <w:trPr>
          <w:trHeight w:val="162"/>
        </w:trPr>
        <w:tc>
          <w:tcPr>
            <w:tcW w:w="3700" w:type="dxa"/>
            <w:vAlign w:val="bottom"/>
          </w:tcPr>
          <w:p>
            <w:pPr>
              <w:spacing w:after="0"/>
              <w:rPr>
                <w:sz w:val="14"/>
                <w:szCs w:val="14"/>
                <w:color w:val="auto"/>
              </w:rPr>
            </w:pPr>
          </w:p>
        </w:tc>
        <w:tc>
          <w:tcPr>
            <w:tcW w:w="1760" w:type="dxa"/>
            <w:vAlign w:val="bottom"/>
          </w:tcPr>
          <w:p>
            <w:pPr>
              <w:jc w:val="center"/>
              <w:ind w:right="4"/>
              <w:spacing w:after="0"/>
              <w:rPr>
                <w:sz w:val="20"/>
                <w:szCs w:val="20"/>
                <w:color w:val="auto"/>
              </w:rPr>
            </w:pPr>
            <w:r>
              <w:rPr>
                <w:rFonts w:ascii="Arial" w:cs="Arial" w:eastAsia="Arial" w:hAnsi="Arial"/>
                <w:sz w:val="14"/>
                <w:szCs w:val="14"/>
                <w:b w:val="1"/>
                <w:bCs w:val="1"/>
                <w:color w:val="E2231A"/>
              </w:rPr>
              <w:t>Units of Stock</w:t>
            </w: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E2231A"/>
              </w:rPr>
              <w:t>Units of Stock</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Rights that</w:t>
            </w: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Other Rights</w:t>
            </w:r>
          </w:p>
        </w:tc>
      </w:tr>
      <w:tr>
        <w:trPr>
          <w:trHeight w:val="159"/>
        </w:trPr>
        <w:tc>
          <w:tcPr>
            <w:tcW w:w="3700" w:type="dxa"/>
            <w:vAlign w:val="bottom"/>
          </w:tcPr>
          <w:p>
            <w:pPr>
              <w:spacing w:after="0"/>
              <w:rPr>
                <w:sz w:val="13"/>
                <w:szCs w:val="13"/>
                <w:color w:val="auto"/>
              </w:rPr>
            </w:pPr>
          </w:p>
        </w:tc>
        <w:tc>
          <w:tcPr>
            <w:tcW w:w="1760" w:type="dxa"/>
            <w:vAlign w:val="bottom"/>
          </w:tcPr>
          <w:p>
            <w:pPr>
              <w:jc w:val="center"/>
              <w:ind w:right="4"/>
              <w:spacing w:after="0" w:line="159" w:lineRule="exact"/>
              <w:rPr>
                <w:sz w:val="20"/>
                <w:szCs w:val="20"/>
                <w:color w:val="auto"/>
              </w:rPr>
            </w:pPr>
            <w:r>
              <w:rPr>
                <w:rFonts w:ascii="Arial" w:cs="Arial" w:eastAsia="Arial" w:hAnsi="Arial"/>
                <w:sz w:val="14"/>
                <w:szCs w:val="14"/>
                <w:b w:val="1"/>
                <w:bCs w:val="1"/>
                <w:color w:val="E2231A"/>
              </w:rPr>
              <w:t>That Have</w:t>
            </w:r>
          </w:p>
        </w:tc>
        <w:tc>
          <w:tcPr>
            <w:tcW w:w="1780" w:type="dxa"/>
            <w:vAlign w:val="bottom"/>
            <w:gridSpan w:val="2"/>
          </w:tcPr>
          <w:p>
            <w:pPr>
              <w:ind w:left="380"/>
              <w:spacing w:after="0" w:line="159" w:lineRule="exact"/>
              <w:rPr>
                <w:sz w:val="20"/>
                <w:szCs w:val="20"/>
                <w:color w:val="auto"/>
              </w:rPr>
            </w:pPr>
            <w:r>
              <w:rPr>
                <w:rFonts w:ascii="Arial" w:cs="Arial" w:eastAsia="Arial" w:hAnsi="Arial"/>
                <w:sz w:val="14"/>
                <w:szCs w:val="14"/>
                <w:b w:val="1"/>
                <w:bCs w:val="1"/>
                <w:color w:val="E2231A"/>
              </w:rPr>
              <w:t>That Have Not</w:t>
            </w:r>
          </w:p>
        </w:tc>
        <w:tc>
          <w:tcPr>
            <w:tcW w:w="182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have Not</w:t>
            </w:r>
          </w:p>
        </w:tc>
        <w:tc>
          <w:tcPr>
            <w:tcW w:w="580" w:type="dxa"/>
            <w:vAlign w:val="bottom"/>
          </w:tcPr>
          <w:p>
            <w:pPr>
              <w:spacing w:after="0"/>
              <w:rPr>
                <w:sz w:val="13"/>
                <w:szCs w:val="13"/>
                <w:color w:val="auto"/>
              </w:rPr>
            </w:pPr>
          </w:p>
        </w:tc>
        <w:tc>
          <w:tcPr>
            <w:tcW w:w="1380" w:type="dxa"/>
            <w:vAlign w:val="bottom"/>
          </w:tcPr>
          <w:p>
            <w:pPr>
              <w:jc w:val="center"/>
              <w:ind w:right="565"/>
              <w:spacing w:after="0" w:line="159" w:lineRule="exact"/>
              <w:rPr>
                <w:sz w:val="20"/>
                <w:szCs w:val="20"/>
                <w:color w:val="auto"/>
              </w:rPr>
            </w:pPr>
            <w:r>
              <w:rPr>
                <w:rFonts w:ascii="Arial" w:cs="Arial" w:eastAsia="Arial" w:hAnsi="Arial"/>
                <w:sz w:val="14"/>
                <w:szCs w:val="14"/>
                <w:b w:val="1"/>
                <w:bCs w:val="1"/>
                <w:color w:val="E2231A"/>
              </w:rPr>
              <w:t>that have</w:t>
            </w:r>
          </w:p>
        </w:tc>
      </w:tr>
      <w:tr>
        <w:trPr>
          <w:trHeight w:val="179"/>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Name(a)</w:t>
            </w:r>
          </w:p>
        </w:tc>
        <w:tc>
          <w:tcPr>
            <w:tcW w:w="1760" w:type="dxa"/>
            <w:vAlign w:val="bottom"/>
            <w:tcBorders>
              <w:bottom w:val="single" w:sz="8" w:color="auto"/>
            </w:tcBorders>
          </w:tcPr>
          <w:p>
            <w:pPr>
              <w:jc w:val="right"/>
              <w:ind w:right="304"/>
              <w:spacing w:after="0" w:line="179" w:lineRule="exact"/>
              <w:rPr>
                <w:sz w:val="20"/>
                <w:szCs w:val="20"/>
                <w:color w:val="auto"/>
              </w:rPr>
            </w:pPr>
            <w:r>
              <w:rPr>
                <w:rFonts w:ascii="Arial" w:cs="Arial" w:eastAsia="Arial" w:hAnsi="Arial"/>
                <w:sz w:val="12"/>
                <w:szCs w:val="12"/>
                <w:b w:val="1"/>
                <w:bCs w:val="1"/>
                <w:color w:val="E2231A"/>
              </w:rPr>
              <w:t>Not Vested</w:t>
            </w:r>
            <w:r>
              <w:rPr>
                <w:rFonts w:ascii="Arial" w:cs="Arial" w:eastAsia="Arial" w:hAnsi="Arial"/>
                <w:sz w:val="20"/>
                <w:szCs w:val="20"/>
                <w:b w:val="1"/>
                <w:bCs w:val="1"/>
                <w:color w:val="E2231A"/>
                <w:vertAlign w:val="superscript"/>
              </w:rPr>
              <w:t>(1)</w:t>
            </w:r>
            <w:r>
              <w:rPr>
                <w:rFonts w:ascii="Arial" w:cs="Arial" w:eastAsia="Arial" w:hAnsi="Arial"/>
                <w:sz w:val="12"/>
                <w:szCs w:val="12"/>
                <w:b w:val="1"/>
                <w:bCs w:val="1"/>
                <w:color w:val="E2231A"/>
              </w:rPr>
              <w:t>(g)</w:t>
            </w:r>
          </w:p>
        </w:tc>
        <w:tc>
          <w:tcPr>
            <w:tcW w:w="1780" w:type="dxa"/>
            <w:vAlign w:val="bottom"/>
            <w:tcBorders>
              <w:bottom w:val="single" w:sz="8" w:color="auto"/>
            </w:tcBorders>
            <w:gridSpan w:val="2"/>
          </w:tcPr>
          <w:p>
            <w:pPr>
              <w:jc w:val="center"/>
              <w:spacing w:after="0" w:line="179" w:lineRule="exact"/>
              <w:rPr>
                <w:sz w:val="20"/>
                <w:szCs w:val="20"/>
                <w:color w:val="auto"/>
              </w:rPr>
            </w:pPr>
            <w:r>
              <w:rPr>
                <w:rFonts w:ascii="Arial" w:cs="Arial" w:eastAsia="Arial" w:hAnsi="Arial"/>
                <w:sz w:val="12"/>
                <w:szCs w:val="12"/>
                <w:b w:val="1"/>
                <w:bCs w:val="1"/>
                <w:color w:val="E2231A"/>
              </w:rPr>
              <w:t>Vested</w:t>
            </w:r>
            <w:r>
              <w:rPr>
                <w:rFonts w:ascii="Arial" w:cs="Arial" w:eastAsia="Arial" w:hAnsi="Arial"/>
                <w:sz w:val="20"/>
                <w:szCs w:val="20"/>
                <w:b w:val="1"/>
                <w:bCs w:val="1"/>
                <w:color w:val="E2231A"/>
                <w:vertAlign w:val="superscript"/>
              </w:rPr>
              <w:t>(2)</w:t>
            </w:r>
            <w:r>
              <w:rPr>
                <w:rFonts w:ascii="Arial" w:cs="Arial" w:eastAsia="Arial" w:hAnsi="Arial"/>
                <w:sz w:val="12"/>
                <w:szCs w:val="12"/>
                <w:b w:val="1"/>
                <w:bCs w:val="1"/>
                <w:color w:val="E2231A"/>
              </w:rPr>
              <w:t>(h)</w:t>
            </w:r>
          </w:p>
        </w:tc>
        <w:tc>
          <w:tcPr>
            <w:tcW w:w="182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E2231A"/>
              </w:rPr>
              <w:t>Vested</w:t>
            </w:r>
            <w:r>
              <w:rPr>
                <w:rFonts w:ascii="Arial" w:cs="Arial" w:eastAsia="Arial" w:hAnsi="Arial"/>
                <w:sz w:val="20"/>
                <w:szCs w:val="20"/>
                <w:b w:val="1"/>
                <w:bCs w:val="1"/>
                <w:color w:val="E2231A"/>
                <w:vertAlign w:val="superscript"/>
              </w:rPr>
              <w:t>(3)</w:t>
            </w:r>
            <w:r>
              <w:rPr>
                <w:rFonts w:ascii="Arial" w:cs="Arial" w:eastAsia="Arial" w:hAnsi="Arial"/>
                <w:sz w:val="12"/>
                <w:szCs w:val="12"/>
                <w:b w:val="1"/>
                <w:bCs w:val="1"/>
                <w:color w:val="E2231A"/>
              </w:rPr>
              <w:t>(i)</w:t>
            </w:r>
          </w:p>
        </w:tc>
        <w:tc>
          <w:tcPr>
            <w:tcW w:w="1960" w:type="dxa"/>
            <w:vAlign w:val="bottom"/>
            <w:tcBorders>
              <w:bottom w:val="single" w:sz="8" w:color="auto"/>
            </w:tcBorders>
            <w:gridSpan w:val="2"/>
          </w:tcPr>
          <w:p>
            <w:pPr>
              <w:jc w:val="center"/>
              <w:spacing w:after="0" w:line="179" w:lineRule="exact"/>
              <w:rPr>
                <w:sz w:val="20"/>
                <w:szCs w:val="20"/>
                <w:color w:val="auto"/>
              </w:rPr>
            </w:pPr>
            <w:r>
              <w:rPr>
                <w:rFonts w:ascii="Arial" w:cs="Arial" w:eastAsia="Arial" w:hAnsi="Arial"/>
                <w:sz w:val="12"/>
                <w:szCs w:val="12"/>
                <w:b w:val="1"/>
                <w:bCs w:val="1"/>
                <w:color w:val="E2231A"/>
              </w:rPr>
              <w:t>Not Vested</w:t>
            </w:r>
            <w:r>
              <w:rPr>
                <w:rFonts w:ascii="Arial" w:cs="Arial" w:eastAsia="Arial" w:hAnsi="Arial"/>
                <w:sz w:val="20"/>
                <w:szCs w:val="20"/>
                <w:b w:val="1"/>
                <w:bCs w:val="1"/>
                <w:color w:val="E2231A"/>
                <w:vertAlign w:val="superscript"/>
              </w:rPr>
              <w:t>(3)</w:t>
            </w:r>
            <w:r>
              <w:rPr>
                <w:rFonts w:ascii="Arial" w:cs="Arial" w:eastAsia="Arial" w:hAnsi="Arial"/>
                <w:sz w:val="12"/>
                <w:szCs w:val="12"/>
                <w:b w:val="1"/>
                <w:bCs w:val="1"/>
                <w:color w:val="E2231A"/>
              </w:rPr>
              <w:t>(j)</w:t>
            </w:r>
          </w:p>
        </w:tc>
      </w:tr>
      <w:tr>
        <w:trPr>
          <w:trHeight w:val="183"/>
        </w:trPr>
        <w:tc>
          <w:tcPr>
            <w:tcW w:w="370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Matthew J. Simoncini</w:t>
            </w:r>
          </w:p>
        </w:tc>
        <w:tc>
          <w:tcPr>
            <w:tcW w:w="1760" w:type="dxa"/>
            <w:vAlign w:val="bottom"/>
            <w:shd w:val="clear" w:color="auto" w:fill="FCE9E8"/>
          </w:tcPr>
          <w:p>
            <w:pPr>
              <w:jc w:val="right"/>
              <w:ind w:right="304"/>
              <w:spacing w:after="0" w:line="183" w:lineRule="exact"/>
              <w:rPr>
                <w:sz w:val="20"/>
                <w:szCs w:val="20"/>
                <w:color w:val="auto"/>
              </w:rPr>
            </w:pPr>
            <w:r>
              <w:rPr>
                <w:rFonts w:ascii="Arial" w:cs="Arial" w:eastAsia="Arial" w:hAnsi="Arial"/>
                <w:sz w:val="16"/>
                <w:szCs w:val="16"/>
                <w:color w:val="auto"/>
              </w:rPr>
              <w:t>62,440</w:t>
            </w:r>
          </w:p>
        </w:tc>
        <w:tc>
          <w:tcPr>
            <w:tcW w:w="500" w:type="dxa"/>
            <w:vAlign w:val="bottom"/>
            <w:shd w:val="clear" w:color="auto" w:fill="FCE9E8"/>
          </w:tcPr>
          <w:p>
            <w:pPr>
              <w:ind w:left="38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FCE9E8"/>
          </w:tcPr>
          <w:p>
            <w:pPr>
              <w:jc w:val="right"/>
              <w:ind w:right="360"/>
              <w:spacing w:after="0" w:line="183" w:lineRule="exact"/>
              <w:rPr>
                <w:sz w:val="20"/>
                <w:szCs w:val="20"/>
                <w:color w:val="auto"/>
              </w:rPr>
            </w:pPr>
            <w:r>
              <w:rPr>
                <w:rFonts w:ascii="Arial" w:cs="Arial" w:eastAsia="Arial" w:hAnsi="Arial"/>
                <w:sz w:val="16"/>
                <w:szCs w:val="16"/>
                <w:color w:val="auto"/>
              </w:rPr>
              <w:t>11,233,127</w:t>
            </w:r>
          </w:p>
        </w:tc>
        <w:tc>
          <w:tcPr>
            <w:tcW w:w="1820" w:type="dxa"/>
            <w:vAlign w:val="bottom"/>
            <w:shd w:val="clear" w:color="auto" w:fill="FCE9E8"/>
          </w:tcPr>
          <w:p>
            <w:pPr>
              <w:jc w:val="right"/>
              <w:ind w:right="366"/>
              <w:spacing w:after="0" w:line="183" w:lineRule="exact"/>
              <w:rPr>
                <w:sz w:val="20"/>
                <w:szCs w:val="20"/>
                <w:color w:val="auto"/>
              </w:rPr>
            </w:pPr>
            <w:r>
              <w:rPr>
                <w:rFonts w:ascii="Arial" w:cs="Arial" w:eastAsia="Arial" w:hAnsi="Arial"/>
                <w:sz w:val="16"/>
                <w:szCs w:val="16"/>
                <w:color w:val="auto"/>
              </w:rPr>
              <w:t>197,388</w:t>
            </w:r>
          </w:p>
        </w:tc>
        <w:tc>
          <w:tcPr>
            <w:tcW w:w="5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FCE9E8"/>
          </w:tcPr>
          <w:p>
            <w:pPr>
              <w:jc w:val="right"/>
              <w:ind w:right="405"/>
              <w:spacing w:after="0" w:line="183" w:lineRule="exact"/>
              <w:rPr>
                <w:sz w:val="20"/>
                <w:szCs w:val="20"/>
                <w:color w:val="auto"/>
              </w:rPr>
            </w:pPr>
            <w:r>
              <w:rPr>
                <w:rFonts w:ascii="Arial" w:cs="Arial" w:eastAsia="Arial" w:hAnsi="Arial"/>
                <w:sz w:val="16"/>
                <w:szCs w:val="16"/>
                <w:color w:val="auto"/>
              </w:rPr>
              <w:t>35,395,921</w:t>
            </w:r>
          </w:p>
        </w:tc>
      </w:tr>
      <w:tr>
        <w:trPr>
          <w:trHeight w:val="189"/>
        </w:trPr>
        <w:tc>
          <w:tcPr>
            <w:tcW w:w="370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1760" w:type="dxa"/>
            <w:vAlign w:val="bottom"/>
          </w:tcPr>
          <w:p>
            <w:pPr>
              <w:jc w:val="right"/>
              <w:ind w:right="304"/>
              <w:spacing w:after="0"/>
              <w:rPr>
                <w:sz w:val="20"/>
                <w:szCs w:val="20"/>
                <w:color w:val="auto"/>
              </w:rPr>
            </w:pPr>
            <w:r>
              <w:rPr>
                <w:rFonts w:ascii="Arial" w:cs="Arial" w:eastAsia="Arial" w:hAnsi="Arial"/>
                <w:sz w:val="16"/>
                <w:szCs w:val="16"/>
                <w:color w:val="auto"/>
              </w:rPr>
              <w:t>18,716</w:t>
            </w:r>
          </w:p>
        </w:tc>
        <w:tc>
          <w:tcPr>
            <w:tcW w:w="50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60"/>
              <w:spacing w:after="0"/>
              <w:rPr>
                <w:sz w:val="20"/>
                <w:szCs w:val="20"/>
                <w:color w:val="auto"/>
              </w:rPr>
            </w:pPr>
            <w:r>
              <w:rPr>
                <w:rFonts w:ascii="Arial" w:cs="Arial" w:eastAsia="Arial" w:hAnsi="Arial"/>
                <w:sz w:val="16"/>
                <w:szCs w:val="16"/>
                <w:color w:val="auto"/>
              </w:rPr>
              <w:t>3,362,075</w:t>
            </w:r>
          </w:p>
        </w:tc>
        <w:tc>
          <w:tcPr>
            <w:tcW w:w="1820" w:type="dxa"/>
            <w:vAlign w:val="bottom"/>
          </w:tcPr>
          <w:p>
            <w:pPr>
              <w:jc w:val="right"/>
              <w:ind w:right="366"/>
              <w:spacing w:after="0"/>
              <w:rPr>
                <w:sz w:val="20"/>
                <w:szCs w:val="20"/>
                <w:color w:val="auto"/>
              </w:rPr>
            </w:pPr>
            <w:r>
              <w:rPr>
                <w:rFonts w:ascii="Arial" w:cs="Arial" w:eastAsia="Arial" w:hAnsi="Arial"/>
                <w:sz w:val="16"/>
                <w:szCs w:val="16"/>
                <w:color w:val="auto"/>
              </w:rPr>
              <w:t>47,616</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5"/>
              <w:spacing w:after="0"/>
              <w:rPr>
                <w:sz w:val="20"/>
                <w:szCs w:val="20"/>
                <w:color w:val="auto"/>
              </w:rPr>
            </w:pPr>
            <w:r>
              <w:rPr>
                <w:rFonts w:ascii="Arial" w:cs="Arial" w:eastAsia="Arial" w:hAnsi="Arial"/>
                <w:sz w:val="16"/>
                <w:szCs w:val="16"/>
                <w:color w:val="auto"/>
              </w:rPr>
              <w:t>8,539,272</w:t>
            </w:r>
          </w:p>
        </w:tc>
      </w:tr>
      <w:tr>
        <w:trPr>
          <w:trHeight w:val="189"/>
        </w:trPr>
        <w:tc>
          <w:tcPr>
            <w:tcW w:w="370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760" w:type="dxa"/>
            <w:vAlign w:val="bottom"/>
            <w:shd w:val="clear" w:color="auto" w:fill="FCE9E8"/>
          </w:tcPr>
          <w:p>
            <w:pPr>
              <w:jc w:val="right"/>
              <w:ind w:right="304"/>
              <w:spacing w:after="0"/>
              <w:rPr>
                <w:sz w:val="20"/>
                <w:szCs w:val="20"/>
                <w:color w:val="auto"/>
              </w:rPr>
            </w:pPr>
            <w:r>
              <w:rPr>
                <w:rFonts w:ascii="Arial" w:cs="Arial" w:eastAsia="Arial" w:hAnsi="Arial"/>
                <w:sz w:val="16"/>
                <w:szCs w:val="16"/>
                <w:color w:val="auto"/>
              </w:rPr>
              <w:t>20,340</w:t>
            </w:r>
          </w:p>
        </w:tc>
        <w:tc>
          <w:tcPr>
            <w:tcW w:w="50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CE9E8"/>
          </w:tcPr>
          <w:p>
            <w:pPr>
              <w:jc w:val="right"/>
              <w:ind w:right="360"/>
              <w:spacing w:after="0"/>
              <w:rPr>
                <w:sz w:val="20"/>
                <w:szCs w:val="20"/>
                <w:color w:val="auto"/>
              </w:rPr>
            </w:pPr>
            <w:r>
              <w:rPr>
                <w:rFonts w:ascii="Arial" w:cs="Arial" w:eastAsia="Arial" w:hAnsi="Arial"/>
                <w:sz w:val="16"/>
                <w:szCs w:val="16"/>
                <w:color w:val="auto"/>
              </w:rPr>
              <w:t>3,654,279</w:t>
            </w:r>
          </w:p>
        </w:tc>
        <w:tc>
          <w:tcPr>
            <w:tcW w:w="1820" w:type="dxa"/>
            <w:vAlign w:val="bottom"/>
            <w:shd w:val="clear" w:color="auto" w:fill="FCE9E8"/>
          </w:tcPr>
          <w:p>
            <w:pPr>
              <w:jc w:val="right"/>
              <w:ind w:right="366"/>
              <w:spacing w:after="0"/>
              <w:rPr>
                <w:sz w:val="20"/>
                <w:szCs w:val="20"/>
                <w:color w:val="auto"/>
              </w:rPr>
            </w:pPr>
            <w:r>
              <w:rPr>
                <w:rFonts w:ascii="Arial" w:cs="Arial" w:eastAsia="Arial" w:hAnsi="Arial"/>
                <w:sz w:val="16"/>
                <w:szCs w:val="16"/>
                <w:color w:val="auto"/>
              </w:rPr>
              <w:t>53,616</w:t>
            </w:r>
          </w:p>
        </w:tc>
        <w:tc>
          <w:tcPr>
            <w:tcW w:w="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FCE9E8"/>
          </w:tcPr>
          <w:p>
            <w:pPr>
              <w:jc w:val="right"/>
              <w:ind w:right="405"/>
              <w:spacing w:after="0"/>
              <w:rPr>
                <w:sz w:val="20"/>
                <w:szCs w:val="20"/>
                <w:color w:val="auto"/>
              </w:rPr>
            </w:pPr>
            <w:r>
              <w:rPr>
                <w:rFonts w:ascii="Arial" w:cs="Arial" w:eastAsia="Arial" w:hAnsi="Arial"/>
                <w:sz w:val="16"/>
                <w:szCs w:val="16"/>
                <w:color w:val="auto"/>
              </w:rPr>
              <w:t>9,614,641</w:t>
            </w:r>
          </w:p>
        </w:tc>
      </w:tr>
      <w:tr>
        <w:trPr>
          <w:trHeight w:val="189"/>
        </w:trPr>
        <w:tc>
          <w:tcPr>
            <w:tcW w:w="3700" w:type="dxa"/>
            <w:vAlign w:val="bottom"/>
          </w:tcPr>
          <w:p>
            <w:pPr>
              <w:ind w:left="80"/>
              <w:spacing w:after="0"/>
              <w:rPr>
                <w:sz w:val="20"/>
                <w:szCs w:val="20"/>
                <w:color w:val="auto"/>
              </w:rPr>
            </w:pPr>
            <w:r>
              <w:rPr>
                <w:rFonts w:ascii="Arial" w:cs="Arial" w:eastAsia="Arial" w:hAnsi="Arial"/>
                <w:sz w:val="16"/>
                <w:szCs w:val="16"/>
                <w:color w:val="auto"/>
              </w:rPr>
              <w:t>Terrence B. Larkin</w:t>
            </w:r>
          </w:p>
        </w:tc>
        <w:tc>
          <w:tcPr>
            <w:tcW w:w="1760" w:type="dxa"/>
            <w:vAlign w:val="bottom"/>
          </w:tcPr>
          <w:p>
            <w:pPr>
              <w:jc w:val="right"/>
              <w:ind w:right="304"/>
              <w:spacing w:after="0"/>
              <w:rPr>
                <w:sz w:val="20"/>
                <w:szCs w:val="20"/>
                <w:color w:val="auto"/>
              </w:rPr>
            </w:pPr>
            <w:r>
              <w:rPr>
                <w:rFonts w:ascii="Arial" w:cs="Arial" w:eastAsia="Arial" w:hAnsi="Arial"/>
                <w:sz w:val="16"/>
                <w:szCs w:val="16"/>
                <w:color w:val="auto"/>
              </w:rPr>
              <w:t>20,115</w:t>
            </w:r>
          </w:p>
        </w:tc>
        <w:tc>
          <w:tcPr>
            <w:tcW w:w="50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60"/>
              <w:spacing w:after="0"/>
              <w:rPr>
                <w:sz w:val="20"/>
                <w:szCs w:val="20"/>
                <w:color w:val="auto"/>
              </w:rPr>
            </w:pPr>
            <w:r>
              <w:rPr>
                <w:rFonts w:ascii="Arial" w:cs="Arial" w:eastAsia="Arial" w:hAnsi="Arial"/>
                <w:sz w:val="16"/>
                <w:szCs w:val="16"/>
                <w:color w:val="auto"/>
              </w:rPr>
              <w:t>3,614,074</w:t>
            </w:r>
          </w:p>
        </w:tc>
        <w:tc>
          <w:tcPr>
            <w:tcW w:w="1820" w:type="dxa"/>
            <w:vAlign w:val="bottom"/>
          </w:tcPr>
          <w:p>
            <w:pPr>
              <w:jc w:val="right"/>
              <w:ind w:right="366"/>
              <w:spacing w:after="0"/>
              <w:rPr>
                <w:sz w:val="20"/>
                <w:szCs w:val="20"/>
                <w:color w:val="auto"/>
              </w:rPr>
            </w:pPr>
            <w:r>
              <w:rPr>
                <w:rFonts w:ascii="Arial" w:cs="Arial" w:eastAsia="Arial" w:hAnsi="Arial"/>
                <w:sz w:val="16"/>
                <w:szCs w:val="16"/>
                <w:color w:val="auto"/>
              </w:rPr>
              <w:t>52,270</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5"/>
              <w:spacing w:after="0"/>
              <w:rPr>
                <w:sz w:val="20"/>
                <w:szCs w:val="20"/>
                <w:color w:val="auto"/>
              </w:rPr>
            </w:pPr>
            <w:r>
              <w:rPr>
                <w:rFonts w:ascii="Arial" w:cs="Arial" w:eastAsia="Arial" w:hAnsi="Arial"/>
                <w:sz w:val="16"/>
                <w:szCs w:val="16"/>
                <w:color w:val="auto"/>
              </w:rPr>
              <w:t>9,374,119</w:t>
            </w:r>
          </w:p>
        </w:tc>
      </w:tr>
      <w:tr>
        <w:trPr>
          <w:trHeight w:val="189"/>
        </w:trPr>
        <w:tc>
          <w:tcPr>
            <w:tcW w:w="37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760" w:type="dxa"/>
            <w:vAlign w:val="bottom"/>
            <w:tcBorders>
              <w:bottom w:val="single" w:sz="8" w:color="auto"/>
            </w:tcBorders>
            <w:shd w:val="clear" w:color="auto" w:fill="FCE9E8"/>
          </w:tcPr>
          <w:p>
            <w:pPr>
              <w:jc w:val="right"/>
              <w:ind w:right="304"/>
              <w:spacing w:after="0"/>
              <w:rPr>
                <w:sz w:val="20"/>
                <w:szCs w:val="20"/>
                <w:color w:val="auto"/>
              </w:rPr>
            </w:pPr>
            <w:r>
              <w:rPr>
                <w:rFonts w:ascii="Arial" w:cs="Arial" w:eastAsia="Arial" w:hAnsi="Arial"/>
                <w:sz w:val="16"/>
                <w:szCs w:val="16"/>
                <w:color w:val="auto"/>
              </w:rPr>
              <w:t>15,908</w:t>
            </w:r>
          </w:p>
        </w:tc>
        <w:tc>
          <w:tcPr>
            <w:tcW w:w="500" w:type="dxa"/>
            <w:vAlign w:val="bottom"/>
            <w:tcBorders>
              <w:bottom w:val="single" w:sz="8" w:color="auto"/>
            </w:tcBorders>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FCE9E8"/>
          </w:tcPr>
          <w:p>
            <w:pPr>
              <w:jc w:val="right"/>
              <w:ind w:right="360"/>
              <w:spacing w:after="0"/>
              <w:rPr>
                <w:sz w:val="20"/>
                <w:szCs w:val="20"/>
                <w:color w:val="auto"/>
              </w:rPr>
            </w:pPr>
            <w:r>
              <w:rPr>
                <w:rFonts w:ascii="Arial" w:cs="Arial" w:eastAsia="Arial" w:hAnsi="Arial"/>
                <w:sz w:val="16"/>
                <w:szCs w:val="16"/>
                <w:color w:val="auto"/>
              </w:rPr>
              <w:t>2,858,947</w:t>
            </w:r>
          </w:p>
        </w:tc>
        <w:tc>
          <w:tcPr>
            <w:tcW w:w="1820" w:type="dxa"/>
            <w:vAlign w:val="bottom"/>
            <w:tcBorders>
              <w:bottom w:val="single" w:sz="8" w:color="auto"/>
            </w:tcBorders>
            <w:shd w:val="clear" w:color="auto" w:fill="FCE9E8"/>
          </w:tcPr>
          <w:p>
            <w:pPr>
              <w:jc w:val="right"/>
              <w:ind w:right="366"/>
              <w:spacing w:after="0"/>
              <w:rPr>
                <w:sz w:val="20"/>
                <w:szCs w:val="20"/>
                <w:color w:val="auto"/>
              </w:rPr>
            </w:pPr>
            <w:r>
              <w:rPr>
                <w:rFonts w:ascii="Arial" w:cs="Arial" w:eastAsia="Arial" w:hAnsi="Arial"/>
                <w:sz w:val="16"/>
                <w:szCs w:val="16"/>
                <w:color w:val="auto"/>
              </w:rPr>
              <w:t>45,010</w:t>
            </w:r>
          </w:p>
        </w:tc>
        <w:tc>
          <w:tcPr>
            <w:tcW w:w="5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FCE9E8"/>
          </w:tcPr>
          <w:p>
            <w:pPr>
              <w:jc w:val="right"/>
              <w:ind w:right="405"/>
              <w:spacing w:after="0"/>
              <w:rPr>
                <w:sz w:val="20"/>
                <w:szCs w:val="20"/>
                <w:color w:val="auto"/>
              </w:rPr>
            </w:pPr>
            <w:r>
              <w:rPr>
                <w:rFonts w:ascii="Arial" w:cs="Arial" w:eastAsia="Arial" w:hAnsi="Arial"/>
                <w:sz w:val="16"/>
                <w:szCs w:val="16"/>
                <w:color w:val="auto"/>
              </w:rPr>
              <w:t>8,072,107</w:t>
            </w:r>
          </w:p>
        </w:tc>
      </w:tr>
    </w:tbl>
    <w:p>
      <w:pPr>
        <w:spacing w:after="0" w:line="23" w:lineRule="exact"/>
        <w:rPr>
          <w:sz w:val="20"/>
          <w:szCs w:val="20"/>
          <w:color w:val="auto"/>
        </w:rPr>
      </w:pPr>
    </w:p>
    <w:p>
      <w:pPr>
        <w:ind w:left="520" w:hanging="316"/>
        <w:spacing w:after="0"/>
        <w:tabs>
          <w:tab w:leader="none" w:pos="52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The figures in column (g) represent the following RSU awards granted under the LTSIP (the Career Shares are subject to later payment as discussed above):</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340" w:type="dxa"/>
            <w:vAlign w:val="bottom"/>
          </w:tcPr>
          <w:p>
            <w:pPr>
              <w:jc w:val="center"/>
              <w:ind w:left="103"/>
              <w:spacing w:after="0"/>
              <w:rPr>
                <w:sz w:val="20"/>
                <w:szCs w:val="20"/>
                <w:color w:val="auto"/>
              </w:rPr>
            </w:pPr>
            <w:r>
              <w:rPr>
                <w:rFonts w:ascii="Arial" w:cs="Arial" w:eastAsia="Arial" w:hAnsi="Arial"/>
                <w:sz w:val="14"/>
                <w:szCs w:val="14"/>
                <w:b w:val="1"/>
                <w:bCs w:val="1"/>
                <w:color w:val="E2231A"/>
              </w:rPr>
              <w:t>Number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1480" w:type="dxa"/>
            <w:vAlign w:val="bottom"/>
          </w:tcPr>
          <w:p>
            <w:pPr>
              <w:jc w:val="right"/>
              <w:ind w:right="123"/>
              <w:spacing w:after="0"/>
              <w:rPr>
                <w:sz w:val="20"/>
                <w:szCs w:val="20"/>
                <w:color w:val="auto"/>
              </w:rPr>
            </w:pPr>
            <w:r>
              <w:rPr>
                <w:rFonts w:ascii="Arial" w:cs="Arial" w:eastAsia="Arial" w:hAnsi="Arial"/>
                <w:sz w:val="14"/>
                <w:szCs w:val="14"/>
                <w:b w:val="1"/>
                <w:bCs w:val="1"/>
                <w:color w:val="E2231A"/>
              </w:rPr>
              <w:t>Number of 2015</w:t>
            </w:r>
          </w:p>
        </w:tc>
        <w:tc>
          <w:tcPr>
            <w:tcW w:w="1500" w:type="dxa"/>
            <w:vAlign w:val="bottom"/>
          </w:tcPr>
          <w:p>
            <w:pPr>
              <w:jc w:val="right"/>
              <w:ind w:right="123"/>
              <w:spacing w:after="0"/>
              <w:rPr>
                <w:sz w:val="20"/>
                <w:szCs w:val="20"/>
                <w:color w:val="auto"/>
              </w:rPr>
            </w:pPr>
            <w:r>
              <w:rPr>
                <w:rFonts w:ascii="Arial" w:cs="Arial" w:eastAsia="Arial" w:hAnsi="Arial"/>
                <w:sz w:val="14"/>
                <w:szCs w:val="14"/>
                <w:b w:val="1"/>
                <w:bCs w:val="1"/>
                <w:color w:val="E2231A"/>
              </w:rPr>
              <w:t>Number of 2016</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Number of 2017</w:t>
            </w:r>
          </w:p>
        </w:tc>
      </w:tr>
      <w:tr>
        <w:trPr>
          <w:trHeight w:val="162"/>
        </w:trPr>
        <w:tc>
          <w:tcPr>
            <w:tcW w:w="2000" w:type="dxa"/>
            <w:vAlign w:val="bottom"/>
          </w:tcPr>
          <w:p>
            <w:pPr>
              <w:spacing w:after="0"/>
              <w:rPr>
                <w:sz w:val="14"/>
                <w:szCs w:val="14"/>
                <w:color w:val="auto"/>
              </w:rPr>
            </w:pPr>
          </w:p>
        </w:tc>
        <w:tc>
          <w:tcPr>
            <w:tcW w:w="1340" w:type="dxa"/>
            <w:vAlign w:val="bottom"/>
          </w:tcPr>
          <w:p>
            <w:pPr>
              <w:jc w:val="center"/>
              <w:ind w:left="103"/>
              <w:spacing w:after="0"/>
              <w:rPr>
                <w:sz w:val="20"/>
                <w:szCs w:val="20"/>
                <w:color w:val="auto"/>
              </w:rPr>
            </w:pPr>
            <w:r>
              <w:rPr>
                <w:rFonts w:ascii="Arial" w:cs="Arial" w:eastAsia="Arial" w:hAnsi="Arial"/>
                <w:sz w:val="14"/>
                <w:szCs w:val="14"/>
                <w:b w:val="1"/>
                <w:bCs w:val="1"/>
                <w:color w:val="E2231A"/>
              </w:rPr>
              <w:t>2015 RSUs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2016 RSUs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2017 RSUs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Career Shares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E2231A"/>
              </w:rPr>
              <w:t>Career Shares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Career Shares</w:t>
            </w:r>
          </w:p>
        </w:tc>
      </w:tr>
      <w:tr>
        <w:trPr>
          <w:trHeight w:val="162"/>
        </w:trPr>
        <w:tc>
          <w:tcPr>
            <w:tcW w:w="2000" w:type="dxa"/>
            <w:vAlign w:val="bottom"/>
          </w:tcPr>
          <w:p>
            <w:pPr>
              <w:spacing w:after="0"/>
              <w:rPr>
                <w:sz w:val="14"/>
                <w:szCs w:val="14"/>
                <w:color w:val="auto"/>
              </w:rPr>
            </w:pPr>
          </w:p>
        </w:tc>
        <w:tc>
          <w:tcPr>
            <w:tcW w:w="1340" w:type="dxa"/>
            <w:vAlign w:val="bottom"/>
          </w:tcPr>
          <w:p>
            <w:pPr>
              <w:jc w:val="center"/>
              <w:ind w:left="103"/>
              <w:spacing w:after="0"/>
              <w:rPr>
                <w:sz w:val="20"/>
                <w:szCs w:val="20"/>
                <w:color w:val="auto"/>
              </w:rPr>
            </w:pPr>
            <w:r>
              <w:rPr>
                <w:rFonts w:ascii="Arial" w:cs="Arial" w:eastAsia="Arial" w:hAnsi="Arial"/>
                <w:sz w:val="14"/>
                <w:szCs w:val="14"/>
                <w:b w:val="1"/>
                <w:bCs w:val="1"/>
                <w:color w:val="E2231A"/>
              </w:rPr>
              <w:t>Vested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Vesting</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Vesting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Vesting</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E2231A"/>
                <w:w w:val="98"/>
              </w:rPr>
              <w:t>Vesting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Vesting</w:t>
            </w:r>
          </w:p>
        </w:tc>
      </w:tr>
      <w:tr>
        <w:trPr>
          <w:trHeight w:val="162"/>
        </w:trPr>
        <w:tc>
          <w:tcPr>
            <w:tcW w:w="2000" w:type="dxa"/>
            <w:vAlign w:val="bottom"/>
          </w:tcPr>
          <w:p>
            <w:pPr>
              <w:spacing w:after="0"/>
              <w:rPr>
                <w:sz w:val="14"/>
                <w:szCs w:val="14"/>
                <w:color w:val="auto"/>
              </w:rPr>
            </w:pPr>
          </w:p>
        </w:tc>
        <w:tc>
          <w:tcPr>
            <w:tcW w:w="1340" w:type="dxa"/>
            <w:vAlign w:val="bottom"/>
          </w:tcPr>
          <w:p>
            <w:pPr>
              <w:jc w:val="center"/>
              <w:ind w:left="103"/>
              <w:spacing w:after="0"/>
              <w:rPr>
                <w:sz w:val="20"/>
                <w:szCs w:val="20"/>
                <w:color w:val="auto"/>
              </w:rPr>
            </w:pPr>
            <w:r>
              <w:rPr>
                <w:rFonts w:ascii="Arial" w:cs="Arial" w:eastAsia="Arial" w:hAnsi="Arial"/>
                <w:sz w:val="14"/>
                <w:szCs w:val="14"/>
                <w:b w:val="1"/>
                <w:bCs w:val="1"/>
                <w:color w:val="E2231A"/>
              </w:rPr>
              <w:t>January 2,</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January 4,</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January 3,</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November 18,</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E2231A"/>
              </w:rPr>
              <w:t>November 16,</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November 20,</w:t>
            </w:r>
          </w:p>
        </w:tc>
      </w:tr>
      <w:tr>
        <w:trPr>
          <w:trHeight w:val="175"/>
        </w:trPr>
        <w:tc>
          <w:tcPr>
            <w:tcW w:w="20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E2231A"/>
              </w:rPr>
              <w:t>2018</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2019</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2020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2018</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2019</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2020</w:t>
            </w:r>
          </w:p>
        </w:tc>
      </w:tr>
      <w:tr>
        <w:trPr>
          <w:trHeight w:val="183"/>
        </w:trPr>
        <w:tc>
          <w:tcPr>
            <w:tcW w:w="200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Matthew J. Simoncini</w:t>
            </w:r>
          </w:p>
        </w:tc>
        <w:tc>
          <w:tcPr>
            <w:tcW w:w="134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19,152</w:t>
            </w:r>
          </w:p>
        </w:tc>
        <w:tc>
          <w:tcPr>
            <w:tcW w:w="116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16,309</w:t>
            </w:r>
          </w:p>
        </w:tc>
        <w:tc>
          <w:tcPr>
            <w:tcW w:w="116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16,588</w:t>
            </w:r>
          </w:p>
        </w:tc>
        <w:tc>
          <w:tcPr>
            <w:tcW w:w="148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5,240</w:t>
            </w:r>
          </w:p>
        </w:tc>
        <w:tc>
          <w:tcPr>
            <w:tcW w:w="150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5,151</w:t>
            </w:r>
          </w:p>
        </w:tc>
        <w:tc>
          <w:tcPr>
            <w:tcW w:w="148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w:t>
            </w:r>
          </w:p>
        </w:tc>
      </w:tr>
      <w:tr>
        <w:trPr>
          <w:trHeight w:val="189"/>
        </w:trPr>
        <w:tc>
          <w:tcPr>
            <w:tcW w:w="200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4,688</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4,026</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3,910</w:t>
            </w: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2,217</w:t>
            </w:r>
          </w:p>
        </w:tc>
        <w:tc>
          <w:tcPr>
            <w:tcW w:w="1500" w:type="dxa"/>
            <w:vAlign w:val="bottom"/>
          </w:tcPr>
          <w:p>
            <w:pPr>
              <w:jc w:val="right"/>
              <w:ind w:right="123"/>
              <w:spacing w:after="0"/>
              <w:rPr>
                <w:sz w:val="20"/>
                <w:szCs w:val="20"/>
                <w:color w:val="auto"/>
              </w:rPr>
            </w:pPr>
            <w:r>
              <w:rPr>
                <w:rFonts w:ascii="Arial" w:cs="Arial" w:eastAsia="Arial" w:hAnsi="Arial"/>
                <w:sz w:val="16"/>
                <w:szCs w:val="16"/>
                <w:color w:val="auto"/>
              </w:rPr>
              <w:t>2,179</w:t>
            </w: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1,696</w:t>
            </w:r>
          </w:p>
        </w:tc>
      </w:tr>
      <w:tr>
        <w:trPr>
          <w:trHeight w:val="189"/>
        </w:trPr>
        <w:tc>
          <w:tcPr>
            <w:tcW w:w="200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34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5,312</w:t>
            </w:r>
          </w:p>
        </w:tc>
        <w:tc>
          <w:tcPr>
            <w:tcW w:w="116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4,448</w:t>
            </w:r>
          </w:p>
        </w:tc>
        <w:tc>
          <w:tcPr>
            <w:tcW w:w="116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4,488</w:t>
            </w:r>
          </w:p>
        </w:tc>
        <w:tc>
          <w:tcPr>
            <w:tcW w:w="148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2,217</w:t>
            </w:r>
          </w:p>
        </w:tc>
        <w:tc>
          <w:tcPr>
            <w:tcW w:w="150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2,179</w:t>
            </w:r>
          </w:p>
        </w:tc>
        <w:tc>
          <w:tcPr>
            <w:tcW w:w="148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1,696</w:t>
            </w:r>
          </w:p>
        </w:tc>
      </w:tr>
      <w:tr>
        <w:trPr>
          <w:trHeight w:val="189"/>
        </w:trPr>
        <w:tc>
          <w:tcPr>
            <w:tcW w:w="2000" w:type="dxa"/>
            <w:vAlign w:val="bottom"/>
          </w:tcPr>
          <w:p>
            <w:pPr>
              <w:ind w:left="80"/>
              <w:spacing w:after="0"/>
              <w:rPr>
                <w:sz w:val="20"/>
                <w:szCs w:val="20"/>
                <w:color w:val="auto"/>
              </w:rPr>
            </w:pPr>
            <w:r>
              <w:rPr>
                <w:rFonts w:ascii="Arial" w:cs="Arial" w:eastAsia="Arial" w:hAnsi="Arial"/>
                <w:sz w:val="16"/>
                <w:szCs w:val="16"/>
                <w:color w:val="auto"/>
              </w:rPr>
              <w:t>Terrence B. Larkin</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5,312</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4,448</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4,263</w:t>
            </w: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2,217</w:t>
            </w:r>
          </w:p>
        </w:tc>
        <w:tc>
          <w:tcPr>
            <w:tcW w:w="1500" w:type="dxa"/>
            <w:vAlign w:val="bottom"/>
          </w:tcPr>
          <w:p>
            <w:pPr>
              <w:jc w:val="right"/>
              <w:ind w:right="123"/>
              <w:spacing w:after="0"/>
              <w:rPr>
                <w:sz w:val="20"/>
                <w:szCs w:val="20"/>
                <w:color w:val="auto"/>
              </w:rPr>
            </w:pPr>
            <w:r>
              <w:rPr>
                <w:rFonts w:ascii="Arial" w:cs="Arial" w:eastAsia="Arial" w:hAnsi="Arial"/>
                <w:sz w:val="16"/>
                <w:szCs w:val="16"/>
                <w:color w:val="auto"/>
              </w:rPr>
              <w:t>2,179</w:t>
            </w: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1,696</w:t>
            </w:r>
          </w:p>
        </w:tc>
      </w:tr>
      <w:tr>
        <w:trPr>
          <w:trHeight w:val="189"/>
        </w:trPr>
        <w:tc>
          <w:tcPr>
            <w:tcW w:w="20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34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4,481</w:t>
            </w:r>
          </w:p>
        </w:tc>
        <w:tc>
          <w:tcPr>
            <w:tcW w:w="116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3,830</w:t>
            </w:r>
          </w:p>
        </w:tc>
        <w:tc>
          <w:tcPr>
            <w:tcW w:w="116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3,671</w:t>
            </w:r>
          </w:p>
        </w:tc>
        <w:tc>
          <w:tcPr>
            <w:tcW w:w="148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1,410</w:t>
            </w:r>
          </w:p>
        </w:tc>
        <w:tc>
          <w:tcPr>
            <w:tcW w:w="150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1,386</w:t>
            </w:r>
          </w:p>
        </w:tc>
        <w:tc>
          <w:tcPr>
            <w:tcW w:w="148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1,130</w:t>
            </w:r>
          </w:p>
        </w:tc>
      </w:tr>
    </w:tbl>
    <w:p>
      <w:pPr>
        <w:spacing w:after="0" w:line="126" w:lineRule="exact"/>
        <w:rPr>
          <w:sz w:val="20"/>
          <w:szCs w:val="20"/>
          <w:color w:val="auto"/>
        </w:rPr>
      </w:pPr>
    </w:p>
    <w:p>
      <w:pPr>
        <w:ind w:left="520" w:right="120" w:hanging="316"/>
        <w:spacing w:after="0" w:line="199" w:lineRule="auto"/>
        <w:tabs>
          <w:tab w:leader="none" w:pos="52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The total values in column (h) equal the total number of RSUs held by each Named Executive Officer multiplied by the market price of Company common stock at the close of the last trading day in 2017, which was $176.66 per share, plus the following accrued dividend equivalents and interest at the prime rate (which are paid if and when the underlying RSUs vest and are paid):</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183"/>
              <w:spacing w:after="0"/>
              <w:rPr>
                <w:sz w:val="20"/>
                <w:szCs w:val="20"/>
                <w:color w:val="auto"/>
              </w:rPr>
            </w:pPr>
            <w:r>
              <w:rPr>
                <w:rFonts w:ascii="Arial" w:cs="Arial" w:eastAsia="Arial" w:hAnsi="Arial"/>
                <w:sz w:val="14"/>
                <w:szCs w:val="14"/>
                <w:b w:val="1"/>
                <w:bCs w:val="1"/>
                <w:color w:val="E2231A"/>
              </w:rPr>
              <w:t>2015</w:t>
            </w:r>
          </w:p>
        </w:tc>
        <w:tc>
          <w:tcPr>
            <w:tcW w:w="240" w:type="dxa"/>
            <w:vAlign w:val="bottom"/>
          </w:tcPr>
          <w:p>
            <w:pPr>
              <w:spacing w:after="0"/>
              <w:rPr>
                <w:sz w:val="14"/>
                <w:szCs w:val="14"/>
                <w:color w:val="auto"/>
              </w:rPr>
            </w:pPr>
          </w:p>
        </w:tc>
        <w:tc>
          <w:tcPr>
            <w:tcW w:w="860" w:type="dxa"/>
            <w:vAlign w:val="bottom"/>
          </w:tcPr>
          <w:p>
            <w:pPr>
              <w:jc w:val="center"/>
              <w:ind w:right="183"/>
              <w:spacing w:after="0"/>
              <w:rPr>
                <w:sz w:val="20"/>
                <w:szCs w:val="20"/>
                <w:color w:val="auto"/>
              </w:rPr>
            </w:pPr>
            <w:r>
              <w:rPr>
                <w:rFonts w:ascii="Arial" w:cs="Arial" w:eastAsia="Arial" w:hAnsi="Arial"/>
                <w:sz w:val="14"/>
                <w:szCs w:val="14"/>
                <w:b w:val="1"/>
                <w:bCs w:val="1"/>
                <w:color w:val="E2231A"/>
              </w:rPr>
              <w:t>2016</w:t>
            </w:r>
          </w:p>
        </w:tc>
        <w:tc>
          <w:tcPr>
            <w:tcW w:w="240" w:type="dxa"/>
            <w:vAlign w:val="bottom"/>
          </w:tcPr>
          <w:p>
            <w:pPr>
              <w:spacing w:after="0"/>
              <w:rPr>
                <w:sz w:val="14"/>
                <w:szCs w:val="14"/>
                <w:color w:val="auto"/>
              </w:rPr>
            </w:pPr>
          </w:p>
        </w:tc>
        <w:tc>
          <w:tcPr>
            <w:tcW w:w="880" w:type="dxa"/>
            <w:vAlign w:val="bottom"/>
          </w:tcPr>
          <w:p>
            <w:pPr>
              <w:jc w:val="center"/>
              <w:ind w:right="163"/>
              <w:spacing w:after="0"/>
              <w:rPr>
                <w:sz w:val="20"/>
                <w:szCs w:val="20"/>
                <w:color w:val="auto"/>
              </w:rPr>
            </w:pPr>
            <w:r>
              <w:rPr>
                <w:rFonts w:ascii="Arial" w:cs="Arial" w:eastAsia="Arial" w:hAnsi="Arial"/>
                <w:sz w:val="14"/>
                <w:szCs w:val="14"/>
                <w:b w:val="1"/>
                <w:bCs w:val="1"/>
                <w:color w:val="E2231A"/>
              </w:rPr>
              <w:t>2017</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183"/>
              <w:spacing w:after="0"/>
              <w:rPr>
                <w:sz w:val="20"/>
                <w:szCs w:val="20"/>
                <w:color w:val="auto"/>
              </w:rPr>
            </w:pPr>
            <w:r>
              <w:rPr>
                <w:rFonts w:ascii="Arial" w:cs="Arial" w:eastAsia="Arial" w:hAnsi="Arial"/>
                <w:sz w:val="14"/>
                <w:szCs w:val="14"/>
                <w:b w:val="1"/>
                <w:bCs w:val="1"/>
                <w:color w:val="E2231A"/>
                <w:w w:val="99"/>
              </w:rPr>
              <w:t>Career</w:t>
            </w:r>
          </w:p>
        </w:tc>
        <w:tc>
          <w:tcPr>
            <w:tcW w:w="240" w:type="dxa"/>
            <w:vAlign w:val="bottom"/>
          </w:tcPr>
          <w:p>
            <w:pPr>
              <w:spacing w:after="0"/>
              <w:rPr>
                <w:sz w:val="14"/>
                <w:szCs w:val="14"/>
                <w:color w:val="auto"/>
              </w:rPr>
            </w:pPr>
          </w:p>
        </w:tc>
        <w:tc>
          <w:tcPr>
            <w:tcW w:w="860" w:type="dxa"/>
            <w:vAlign w:val="bottom"/>
          </w:tcPr>
          <w:p>
            <w:pPr>
              <w:jc w:val="center"/>
              <w:ind w:right="163"/>
              <w:spacing w:after="0"/>
              <w:rPr>
                <w:sz w:val="20"/>
                <w:szCs w:val="20"/>
                <w:color w:val="auto"/>
              </w:rPr>
            </w:pPr>
            <w:r>
              <w:rPr>
                <w:rFonts w:ascii="Arial" w:cs="Arial" w:eastAsia="Arial" w:hAnsi="Arial"/>
                <w:sz w:val="14"/>
                <w:szCs w:val="14"/>
                <w:b w:val="1"/>
                <w:bCs w:val="1"/>
                <w:color w:val="E2231A"/>
              </w:rPr>
              <w:t>Career</w:t>
            </w:r>
          </w:p>
        </w:tc>
        <w:tc>
          <w:tcPr>
            <w:tcW w:w="240" w:type="dxa"/>
            <w:vAlign w:val="bottom"/>
          </w:tcPr>
          <w:p>
            <w:pPr>
              <w:spacing w:after="0"/>
              <w:rPr>
                <w:sz w:val="14"/>
                <w:szCs w:val="14"/>
                <w:color w:val="auto"/>
              </w:rPr>
            </w:pPr>
          </w:p>
        </w:tc>
        <w:tc>
          <w:tcPr>
            <w:tcW w:w="880" w:type="dxa"/>
            <w:vAlign w:val="bottom"/>
          </w:tcPr>
          <w:p>
            <w:pPr>
              <w:jc w:val="center"/>
              <w:ind w:right="183"/>
              <w:spacing w:after="0"/>
              <w:rPr>
                <w:sz w:val="20"/>
                <w:szCs w:val="20"/>
                <w:color w:val="auto"/>
              </w:rPr>
            </w:pPr>
            <w:r>
              <w:rPr>
                <w:rFonts w:ascii="Arial" w:cs="Arial" w:eastAsia="Arial" w:hAnsi="Arial"/>
                <w:sz w:val="14"/>
                <w:szCs w:val="14"/>
                <w:b w:val="1"/>
                <w:bCs w:val="1"/>
                <w:color w:val="E2231A"/>
              </w:rPr>
              <w:t>Career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E2231A"/>
              </w:rPr>
              <w:t>2015 RSU</w:t>
            </w: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E2231A"/>
              </w:rPr>
              <w:t>2016 RSU</w:t>
            </w: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E2231A"/>
              </w:rPr>
              <w:t>2017 RSU</w:t>
            </w:r>
          </w:p>
        </w:tc>
        <w:tc>
          <w:tcPr>
            <w:tcW w:w="260" w:type="dxa"/>
            <w:vAlign w:val="bottom"/>
          </w:tcPr>
          <w:p>
            <w:pPr>
              <w:spacing w:after="0"/>
              <w:rPr>
                <w:sz w:val="14"/>
                <w:szCs w:val="14"/>
                <w:color w:val="auto"/>
              </w:rPr>
            </w:pPr>
          </w:p>
        </w:tc>
        <w:tc>
          <w:tcPr>
            <w:tcW w:w="860" w:type="dxa"/>
            <w:vAlign w:val="bottom"/>
          </w:tcPr>
          <w:p>
            <w:pPr>
              <w:jc w:val="center"/>
              <w:ind w:right="183"/>
              <w:spacing w:after="0"/>
              <w:rPr>
                <w:sz w:val="20"/>
                <w:szCs w:val="20"/>
                <w:color w:val="auto"/>
              </w:rPr>
            </w:pPr>
            <w:r>
              <w:rPr>
                <w:rFonts w:ascii="Arial" w:cs="Arial" w:eastAsia="Arial" w:hAnsi="Arial"/>
                <w:sz w:val="14"/>
                <w:szCs w:val="14"/>
                <w:b w:val="1"/>
                <w:bCs w:val="1"/>
                <w:color w:val="E2231A"/>
              </w:rPr>
              <w:t>Shares</w:t>
            </w:r>
          </w:p>
        </w:tc>
        <w:tc>
          <w:tcPr>
            <w:tcW w:w="240" w:type="dxa"/>
            <w:vAlign w:val="bottom"/>
          </w:tcPr>
          <w:p>
            <w:pPr>
              <w:spacing w:after="0"/>
              <w:rPr>
                <w:sz w:val="14"/>
                <w:szCs w:val="14"/>
                <w:color w:val="auto"/>
              </w:rPr>
            </w:pPr>
          </w:p>
        </w:tc>
        <w:tc>
          <w:tcPr>
            <w:tcW w:w="860" w:type="dxa"/>
            <w:vAlign w:val="bottom"/>
          </w:tcPr>
          <w:p>
            <w:pPr>
              <w:jc w:val="center"/>
              <w:ind w:right="183"/>
              <w:spacing w:after="0"/>
              <w:rPr>
                <w:sz w:val="20"/>
                <w:szCs w:val="20"/>
                <w:color w:val="auto"/>
              </w:rPr>
            </w:pPr>
            <w:r>
              <w:rPr>
                <w:rFonts w:ascii="Arial" w:cs="Arial" w:eastAsia="Arial" w:hAnsi="Arial"/>
                <w:sz w:val="14"/>
                <w:szCs w:val="14"/>
                <w:b w:val="1"/>
                <w:bCs w:val="1"/>
                <w:color w:val="E2231A"/>
              </w:rPr>
              <w:t>Shares</w:t>
            </w:r>
          </w:p>
        </w:tc>
        <w:tc>
          <w:tcPr>
            <w:tcW w:w="240" w:type="dxa"/>
            <w:vAlign w:val="bottom"/>
          </w:tcPr>
          <w:p>
            <w:pPr>
              <w:spacing w:after="0"/>
              <w:rPr>
                <w:sz w:val="14"/>
                <w:szCs w:val="14"/>
                <w:color w:val="auto"/>
              </w:rPr>
            </w:pPr>
          </w:p>
        </w:tc>
        <w:tc>
          <w:tcPr>
            <w:tcW w:w="880" w:type="dxa"/>
            <w:vAlign w:val="bottom"/>
          </w:tcPr>
          <w:p>
            <w:pPr>
              <w:jc w:val="center"/>
              <w:ind w:right="163"/>
              <w:spacing w:after="0"/>
              <w:rPr>
                <w:sz w:val="20"/>
                <w:szCs w:val="20"/>
                <w:color w:val="auto"/>
              </w:rPr>
            </w:pPr>
            <w:r>
              <w:rPr>
                <w:rFonts w:ascii="Arial" w:cs="Arial" w:eastAsia="Arial" w:hAnsi="Arial"/>
                <w:sz w:val="14"/>
                <w:szCs w:val="14"/>
                <w:b w:val="1"/>
                <w:bCs w:val="1"/>
                <w:color w:val="E2231A"/>
              </w:rPr>
              <w:t>Shares</w:t>
            </w:r>
          </w:p>
        </w:tc>
        <w:tc>
          <w:tcPr>
            <w:tcW w:w="260" w:type="dxa"/>
            <w:vAlign w:val="bottom"/>
          </w:tcPr>
          <w:p>
            <w:pPr>
              <w:spacing w:after="0"/>
              <w:rPr>
                <w:sz w:val="14"/>
                <w:szCs w:val="14"/>
                <w:color w:val="auto"/>
              </w:rPr>
            </w:pPr>
          </w:p>
        </w:tc>
        <w:tc>
          <w:tcPr>
            <w:tcW w:w="880" w:type="dxa"/>
            <w:vAlign w:val="bottom"/>
          </w:tcPr>
          <w:p>
            <w:pPr>
              <w:jc w:val="right"/>
              <w:ind w:right="322"/>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180"/>
              <w:spacing w:after="0"/>
              <w:rPr>
                <w:sz w:val="20"/>
                <w:szCs w:val="20"/>
                <w:color w:val="auto"/>
              </w:rPr>
            </w:pPr>
            <w:r>
              <w:rPr>
                <w:rFonts w:ascii="Arial" w:cs="Arial" w:eastAsia="Arial" w:hAnsi="Arial"/>
                <w:sz w:val="14"/>
                <w:szCs w:val="14"/>
                <w:b w:val="1"/>
                <w:bCs w:val="1"/>
                <w:color w:val="E2231A"/>
                <w:w w:val="98"/>
              </w:rPr>
              <w:t>Dividend</w:t>
            </w:r>
          </w:p>
        </w:tc>
        <w:tc>
          <w:tcPr>
            <w:tcW w:w="240" w:type="dxa"/>
            <w:vAlign w:val="bottom"/>
          </w:tcPr>
          <w:p>
            <w:pPr>
              <w:spacing w:after="0"/>
              <w:rPr>
                <w:sz w:val="14"/>
                <w:szCs w:val="14"/>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4"/>
                <w:szCs w:val="14"/>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E2231A"/>
              </w:rPr>
              <w:t>Dividend</w:t>
            </w:r>
          </w:p>
        </w:tc>
        <w:tc>
          <w:tcPr>
            <w:tcW w:w="260" w:type="dxa"/>
            <w:vAlign w:val="bottom"/>
          </w:tcPr>
          <w:p>
            <w:pPr>
              <w:spacing w:after="0"/>
              <w:rPr>
                <w:sz w:val="14"/>
                <w:szCs w:val="14"/>
                <w:color w:val="auto"/>
              </w:rPr>
            </w:pPr>
          </w:p>
        </w:tc>
        <w:tc>
          <w:tcPr>
            <w:tcW w:w="860" w:type="dxa"/>
            <w:vAlign w:val="bottom"/>
          </w:tcPr>
          <w:p>
            <w:pPr>
              <w:jc w:val="center"/>
              <w:ind w:right="183"/>
              <w:spacing w:after="0"/>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4"/>
                <w:szCs w:val="14"/>
                <w:color w:val="auto"/>
              </w:rPr>
            </w:pPr>
          </w:p>
        </w:tc>
        <w:tc>
          <w:tcPr>
            <w:tcW w:w="860" w:type="dxa"/>
            <w:vAlign w:val="bottom"/>
          </w:tcPr>
          <w:p>
            <w:pPr>
              <w:jc w:val="center"/>
              <w:ind w:right="163"/>
              <w:spacing w:after="0"/>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4"/>
                <w:szCs w:val="14"/>
                <w:color w:val="auto"/>
              </w:rPr>
            </w:pPr>
          </w:p>
        </w:tc>
        <w:tc>
          <w:tcPr>
            <w:tcW w:w="880" w:type="dxa"/>
            <w:vAlign w:val="bottom"/>
          </w:tcPr>
          <w:p>
            <w:pPr>
              <w:jc w:val="center"/>
              <w:ind w:right="163"/>
              <w:spacing w:after="0"/>
              <w:rPr>
                <w:sz w:val="20"/>
                <w:szCs w:val="20"/>
                <w:color w:val="auto"/>
              </w:rPr>
            </w:pPr>
            <w:r>
              <w:rPr>
                <w:rFonts w:ascii="Arial" w:cs="Arial" w:eastAsia="Arial" w:hAnsi="Arial"/>
                <w:sz w:val="14"/>
                <w:szCs w:val="14"/>
                <w:b w:val="1"/>
                <w:bCs w:val="1"/>
                <w:color w:val="E2231A"/>
              </w:rPr>
              <w:t>Dividend</w:t>
            </w:r>
          </w:p>
        </w:tc>
        <w:tc>
          <w:tcPr>
            <w:tcW w:w="260" w:type="dxa"/>
            <w:vAlign w:val="bottom"/>
          </w:tcPr>
          <w:p>
            <w:pPr>
              <w:spacing w:after="0"/>
              <w:rPr>
                <w:sz w:val="14"/>
                <w:szCs w:val="14"/>
                <w:color w:val="auto"/>
              </w:rPr>
            </w:pPr>
          </w:p>
        </w:tc>
        <w:tc>
          <w:tcPr>
            <w:tcW w:w="880" w:type="dxa"/>
            <w:vAlign w:val="bottom"/>
          </w:tcPr>
          <w:p>
            <w:pPr>
              <w:jc w:val="right"/>
              <w:ind w:right="182"/>
              <w:spacing w:after="0"/>
              <w:rPr>
                <w:sz w:val="20"/>
                <w:szCs w:val="20"/>
                <w:color w:val="auto"/>
              </w:rPr>
            </w:pPr>
            <w:r>
              <w:rPr>
                <w:rFonts w:ascii="Arial" w:cs="Arial" w:eastAsia="Arial" w:hAnsi="Arial"/>
                <w:sz w:val="14"/>
                <w:szCs w:val="14"/>
                <w:b w:val="1"/>
                <w:bCs w:val="1"/>
                <w:color w:val="E2231A"/>
              </w:rPr>
              <w:t>Dividend</w:t>
            </w:r>
          </w:p>
        </w:tc>
      </w:tr>
      <w:tr>
        <w:trPr>
          <w:trHeight w:val="175"/>
        </w:trPr>
        <w:tc>
          <w:tcPr>
            <w:tcW w:w="2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E2231A"/>
              </w:rPr>
              <w:t>Equivalents</w:t>
            </w: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r>
      <w:tr>
        <w:trPr>
          <w:trHeight w:val="183"/>
        </w:trPr>
        <w:tc>
          <w:tcPr>
            <w:tcW w:w="204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Matthew J. Simoncini</w:t>
            </w:r>
          </w:p>
        </w:tc>
        <w:tc>
          <w:tcPr>
            <w:tcW w:w="540" w:type="dxa"/>
            <w:vAlign w:val="bottom"/>
            <w:shd w:val="clear" w:color="auto" w:fill="FCE9E8"/>
          </w:tcPr>
          <w:p>
            <w:pPr>
              <w:ind w:left="440"/>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80"/>
              <w:spacing w:after="0" w:line="183" w:lineRule="exact"/>
              <w:rPr>
                <w:sz w:val="20"/>
                <w:szCs w:val="20"/>
                <w:color w:val="auto"/>
              </w:rPr>
            </w:pPr>
            <w:r>
              <w:rPr>
                <w:rFonts w:ascii="Arial" w:cs="Arial" w:eastAsia="Arial" w:hAnsi="Arial"/>
                <w:sz w:val="16"/>
                <w:szCs w:val="16"/>
                <w:color w:val="auto"/>
              </w:rPr>
              <w:t>84,129</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60"/>
              <w:spacing w:after="0" w:line="183" w:lineRule="exact"/>
              <w:rPr>
                <w:sz w:val="20"/>
                <w:szCs w:val="20"/>
                <w:color w:val="auto"/>
              </w:rPr>
            </w:pPr>
            <w:r>
              <w:rPr>
                <w:rFonts w:ascii="Arial" w:cs="Arial" w:eastAsia="Arial" w:hAnsi="Arial"/>
                <w:sz w:val="16"/>
                <w:szCs w:val="16"/>
                <w:color w:val="auto"/>
              </w:rPr>
              <w:t>53,825</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60"/>
              <w:spacing w:after="0" w:line="183" w:lineRule="exact"/>
              <w:rPr>
                <w:sz w:val="20"/>
                <w:szCs w:val="20"/>
                <w:color w:val="auto"/>
              </w:rPr>
            </w:pPr>
            <w:r>
              <w:rPr>
                <w:rFonts w:ascii="Arial" w:cs="Arial" w:eastAsia="Arial" w:hAnsi="Arial"/>
                <w:sz w:val="16"/>
                <w:szCs w:val="16"/>
                <w:color w:val="auto"/>
              </w:rPr>
              <w:t>33,732</w:t>
            </w:r>
          </w:p>
        </w:tc>
        <w:tc>
          <w:tcPr>
            <w:tcW w:w="260" w:type="dxa"/>
            <w:vAlign w:val="bottom"/>
            <w:shd w:val="clear" w:color="auto" w:fill="FCE9E8"/>
          </w:tcPr>
          <w:p>
            <w:pPr>
              <w:ind w:left="160"/>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83"/>
              <w:spacing w:after="0" w:line="183" w:lineRule="exact"/>
              <w:rPr>
                <w:sz w:val="20"/>
                <w:szCs w:val="20"/>
                <w:color w:val="auto"/>
              </w:rPr>
            </w:pPr>
            <w:r>
              <w:rPr>
                <w:rFonts w:ascii="Arial" w:cs="Arial" w:eastAsia="Arial" w:hAnsi="Arial"/>
                <w:sz w:val="16"/>
                <w:szCs w:val="16"/>
                <w:color w:val="auto"/>
              </w:rPr>
              <w:t>18,707</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63"/>
              <w:spacing w:after="0" w:line="183" w:lineRule="exact"/>
              <w:rPr>
                <w:sz w:val="20"/>
                <w:szCs w:val="20"/>
                <w:color w:val="auto"/>
              </w:rPr>
            </w:pPr>
            <w:r>
              <w:rPr>
                <w:rFonts w:ascii="Arial" w:cs="Arial" w:eastAsia="Arial" w:hAnsi="Arial"/>
                <w:sz w:val="16"/>
                <w:szCs w:val="16"/>
                <w:color w:val="auto"/>
              </w:rPr>
              <w:t>12,084</w:t>
            </w:r>
          </w:p>
        </w:tc>
        <w:tc>
          <w:tcPr>
            <w:tcW w:w="240" w:type="dxa"/>
            <w:vAlign w:val="bottom"/>
            <w:shd w:val="clear" w:color="auto" w:fill="FCE9E8"/>
          </w:tcPr>
          <w:p>
            <w:pPr>
              <w:spacing w:after="0"/>
              <w:rPr>
                <w:sz w:val="15"/>
                <w:szCs w:val="15"/>
                <w:color w:val="auto"/>
              </w:rPr>
            </w:pPr>
          </w:p>
        </w:tc>
        <w:tc>
          <w:tcPr>
            <w:tcW w:w="880" w:type="dxa"/>
            <w:vAlign w:val="bottom"/>
            <w:shd w:val="clear" w:color="auto" w:fill="FCE9E8"/>
          </w:tcPr>
          <w:p>
            <w:pPr>
              <w:jc w:val="right"/>
              <w:ind w:right="83"/>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FCE9E8"/>
          </w:tcPr>
          <w:p>
            <w:pPr>
              <w:ind w:left="160"/>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ind w:right="82"/>
              <w:spacing w:after="0" w:line="183" w:lineRule="exact"/>
              <w:rPr>
                <w:sz w:val="20"/>
                <w:szCs w:val="20"/>
                <w:color w:val="auto"/>
              </w:rPr>
            </w:pPr>
            <w:r>
              <w:rPr>
                <w:rFonts w:ascii="Arial" w:cs="Arial" w:eastAsia="Arial" w:hAnsi="Arial"/>
                <w:sz w:val="16"/>
                <w:szCs w:val="16"/>
                <w:color w:val="auto"/>
              </w:rPr>
              <w:t>202,477</w:t>
            </w:r>
          </w:p>
        </w:tc>
      </w:tr>
      <w:tr>
        <w:trPr>
          <w:trHeight w:val="189"/>
        </w:trPr>
        <w:tc>
          <w:tcPr>
            <w:tcW w:w="204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20,593</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13,287</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7,951</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83"/>
              <w:spacing w:after="0"/>
              <w:rPr>
                <w:sz w:val="20"/>
                <w:szCs w:val="20"/>
                <w:color w:val="auto"/>
              </w:rPr>
            </w:pPr>
            <w:r>
              <w:rPr>
                <w:rFonts w:ascii="Arial" w:cs="Arial" w:eastAsia="Arial" w:hAnsi="Arial"/>
                <w:sz w:val="16"/>
                <w:szCs w:val="16"/>
                <w:color w:val="auto"/>
              </w:rPr>
              <w:t>7,915</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5,112</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848</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55,706</w:t>
            </w:r>
          </w:p>
        </w:tc>
      </w:tr>
      <w:tr>
        <w:trPr>
          <w:trHeight w:val="189"/>
        </w:trPr>
        <w:tc>
          <w:tcPr>
            <w:tcW w:w="204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540" w:type="dxa"/>
            <w:vAlign w:val="bottom"/>
            <w:shd w:val="clear" w:color="auto" w:fill="FCE9E8"/>
          </w:tcPr>
          <w:p>
            <w:pPr>
              <w:ind w:left="4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80"/>
              <w:spacing w:after="0"/>
              <w:rPr>
                <w:sz w:val="20"/>
                <w:szCs w:val="20"/>
                <w:color w:val="auto"/>
              </w:rPr>
            </w:pPr>
            <w:r>
              <w:rPr>
                <w:rFonts w:ascii="Arial" w:cs="Arial" w:eastAsia="Arial" w:hAnsi="Arial"/>
                <w:sz w:val="16"/>
                <w:szCs w:val="16"/>
                <w:color w:val="auto"/>
              </w:rPr>
              <w:t>23,334</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60"/>
              <w:spacing w:after="0"/>
              <w:rPr>
                <w:sz w:val="20"/>
                <w:szCs w:val="20"/>
                <w:color w:val="auto"/>
              </w:rPr>
            </w:pPr>
            <w:r>
              <w:rPr>
                <w:rFonts w:ascii="Arial" w:cs="Arial" w:eastAsia="Arial" w:hAnsi="Arial"/>
                <w:sz w:val="16"/>
                <w:szCs w:val="16"/>
                <w:color w:val="auto"/>
              </w:rPr>
              <w:t>14,680</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60"/>
              <w:spacing w:after="0"/>
              <w:rPr>
                <w:sz w:val="20"/>
                <w:szCs w:val="20"/>
                <w:color w:val="auto"/>
              </w:rPr>
            </w:pPr>
            <w:r>
              <w:rPr>
                <w:rFonts w:ascii="Arial" w:cs="Arial" w:eastAsia="Arial" w:hAnsi="Arial"/>
                <w:sz w:val="16"/>
                <w:szCs w:val="16"/>
                <w:color w:val="auto"/>
              </w:rPr>
              <w:t>9,126</w:t>
            </w:r>
          </w:p>
        </w:tc>
        <w:tc>
          <w:tcPr>
            <w:tcW w:w="260" w:type="dxa"/>
            <w:vAlign w:val="bottom"/>
            <w:shd w:val="clear" w:color="auto" w:fill="FCE9E8"/>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83"/>
              <w:spacing w:after="0"/>
              <w:rPr>
                <w:sz w:val="20"/>
                <w:szCs w:val="20"/>
                <w:color w:val="auto"/>
              </w:rPr>
            </w:pPr>
            <w:r>
              <w:rPr>
                <w:rFonts w:ascii="Arial" w:cs="Arial" w:eastAsia="Arial" w:hAnsi="Arial"/>
                <w:sz w:val="16"/>
                <w:szCs w:val="16"/>
                <w:color w:val="auto"/>
              </w:rPr>
              <w:t>7,915</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CE9E8"/>
          </w:tcPr>
          <w:p>
            <w:pPr>
              <w:jc w:val="right"/>
              <w:ind w:right="63"/>
              <w:spacing w:after="0"/>
              <w:rPr>
                <w:sz w:val="20"/>
                <w:szCs w:val="20"/>
                <w:color w:val="auto"/>
              </w:rPr>
            </w:pPr>
            <w:r>
              <w:rPr>
                <w:rFonts w:ascii="Arial" w:cs="Arial" w:eastAsia="Arial" w:hAnsi="Arial"/>
                <w:sz w:val="16"/>
                <w:szCs w:val="16"/>
                <w:color w:val="auto"/>
              </w:rPr>
              <w:t>5,112</w:t>
            </w:r>
          </w:p>
        </w:tc>
        <w:tc>
          <w:tcPr>
            <w:tcW w:w="240" w:type="dxa"/>
            <w:vAlign w:val="bottom"/>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CE9E8"/>
          </w:tcPr>
          <w:p>
            <w:pPr>
              <w:jc w:val="right"/>
              <w:ind w:right="83"/>
              <w:spacing w:after="0"/>
              <w:rPr>
                <w:sz w:val="20"/>
                <w:szCs w:val="20"/>
                <w:color w:val="auto"/>
              </w:rPr>
            </w:pPr>
            <w:r>
              <w:rPr>
                <w:rFonts w:ascii="Arial" w:cs="Arial" w:eastAsia="Arial" w:hAnsi="Arial"/>
                <w:sz w:val="16"/>
                <w:szCs w:val="16"/>
                <w:color w:val="auto"/>
              </w:rPr>
              <w:t>848</w:t>
            </w:r>
          </w:p>
        </w:tc>
        <w:tc>
          <w:tcPr>
            <w:tcW w:w="260" w:type="dxa"/>
            <w:vAlign w:val="bottom"/>
            <w:shd w:val="clear" w:color="auto" w:fill="FCE9E8"/>
          </w:tcPr>
          <w:p>
            <w:pPr>
              <w:ind w:left="1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ind w:right="82"/>
              <w:spacing w:after="0"/>
              <w:rPr>
                <w:sz w:val="20"/>
                <w:szCs w:val="20"/>
                <w:color w:val="auto"/>
              </w:rPr>
            </w:pPr>
            <w:r>
              <w:rPr>
                <w:rFonts w:ascii="Arial" w:cs="Arial" w:eastAsia="Arial" w:hAnsi="Arial"/>
                <w:sz w:val="16"/>
                <w:szCs w:val="16"/>
                <w:color w:val="auto"/>
              </w:rPr>
              <w:t>61,015</w:t>
            </w:r>
          </w:p>
        </w:tc>
      </w:tr>
      <w:tr>
        <w:trPr>
          <w:trHeight w:val="189"/>
        </w:trPr>
        <w:tc>
          <w:tcPr>
            <w:tcW w:w="2040" w:type="dxa"/>
            <w:vAlign w:val="bottom"/>
          </w:tcPr>
          <w:p>
            <w:pPr>
              <w:ind w:left="80"/>
              <w:spacing w:after="0"/>
              <w:rPr>
                <w:sz w:val="20"/>
                <w:szCs w:val="20"/>
                <w:color w:val="auto"/>
              </w:rPr>
            </w:pPr>
            <w:r>
              <w:rPr>
                <w:rFonts w:ascii="Arial" w:cs="Arial" w:eastAsia="Arial" w:hAnsi="Arial"/>
                <w:sz w:val="16"/>
                <w:szCs w:val="16"/>
                <w:color w:val="auto"/>
              </w:rPr>
              <w:t>Terrence B. Larkin</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23,334</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14,680</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8,669</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83"/>
              <w:spacing w:after="0"/>
              <w:rPr>
                <w:sz w:val="20"/>
                <w:szCs w:val="20"/>
                <w:color w:val="auto"/>
              </w:rPr>
            </w:pPr>
            <w:r>
              <w:rPr>
                <w:rFonts w:ascii="Arial" w:cs="Arial" w:eastAsia="Arial" w:hAnsi="Arial"/>
                <w:sz w:val="16"/>
                <w:szCs w:val="16"/>
                <w:color w:val="auto"/>
              </w:rPr>
              <w:t>7,915</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5,112</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848</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60,558</w:t>
            </w:r>
          </w:p>
        </w:tc>
      </w:tr>
      <w:tr>
        <w:trPr>
          <w:trHeight w:val="189"/>
        </w:trPr>
        <w:tc>
          <w:tcPr>
            <w:tcW w:w="20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540" w:type="dxa"/>
            <w:vAlign w:val="bottom"/>
            <w:tcBorders>
              <w:bottom w:val="single" w:sz="8" w:color="auto"/>
            </w:tcBorders>
            <w:shd w:val="clear" w:color="auto" w:fill="FCE9E8"/>
          </w:tcPr>
          <w:p>
            <w:pPr>
              <w:ind w:left="4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CE9E8"/>
          </w:tcPr>
          <w:p>
            <w:pPr>
              <w:jc w:val="right"/>
              <w:ind w:right="80"/>
              <w:spacing w:after="0"/>
              <w:rPr>
                <w:sz w:val="20"/>
                <w:szCs w:val="20"/>
                <w:color w:val="auto"/>
              </w:rPr>
            </w:pPr>
            <w:r>
              <w:rPr>
                <w:rFonts w:ascii="Arial" w:cs="Arial" w:eastAsia="Arial" w:hAnsi="Arial"/>
                <w:sz w:val="16"/>
                <w:szCs w:val="16"/>
                <w:color w:val="auto"/>
              </w:rPr>
              <w:t>19,684</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CE9E8"/>
          </w:tcPr>
          <w:p>
            <w:pPr>
              <w:jc w:val="right"/>
              <w:ind w:right="60"/>
              <w:spacing w:after="0"/>
              <w:rPr>
                <w:sz w:val="20"/>
                <w:szCs w:val="20"/>
                <w:color w:val="auto"/>
              </w:rPr>
            </w:pPr>
            <w:r>
              <w:rPr>
                <w:rFonts w:ascii="Arial" w:cs="Arial" w:eastAsia="Arial" w:hAnsi="Arial"/>
                <w:sz w:val="16"/>
                <w:szCs w:val="16"/>
                <w:color w:val="auto"/>
              </w:rPr>
              <w:t>12,640</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CE9E8"/>
          </w:tcPr>
          <w:p>
            <w:pPr>
              <w:jc w:val="right"/>
              <w:ind w:right="60"/>
              <w:spacing w:after="0"/>
              <w:rPr>
                <w:sz w:val="20"/>
                <w:szCs w:val="20"/>
                <w:color w:val="auto"/>
              </w:rPr>
            </w:pPr>
            <w:r>
              <w:rPr>
                <w:rFonts w:ascii="Arial" w:cs="Arial" w:eastAsia="Arial" w:hAnsi="Arial"/>
                <w:sz w:val="16"/>
                <w:szCs w:val="16"/>
                <w:color w:val="auto"/>
              </w:rPr>
              <w:t>7,465</w:t>
            </w:r>
          </w:p>
        </w:tc>
        <w:tc>
          <w:tcPr>
            <w:tcW w:w="260" w:type="dxa"/>
            <w:vAlign w:val="bottom"/>
            <w:tcBorders>
              <w:bottom w:val="single" w:sz="8" w:color="auto"/>
            </w:tcBorders>
            <w:shd w:val="clear" w:color="auto" w:fill="FCE9E8"/>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CE9E8"/>
          </w:tcPr>
          <w:p>
            <w:pPr>
              <w:jc w:val="right"/>
              <w:ind w:right="83"/>
              <w:spacing w:after="0"/>
              <w:rPr>
                <w:sz w:val="20"/>
                <w:szCs w:val="20"/>
                <w:color w:val="auto"/>
              </w:rPr>
            </w:pPr>
            <w:r>
              <w:rPr>
                <w:rFonts w:ascii="Arial" w:cs="Arial" w:eastAsia="Arial" w:hAnsi="Arial"/>
                <w:sz w:val="16"/>
                <w:szCs w:val="16"/>
                <w:color w:val="auto"/>
              </w:rPr>
              <w:t>5,034</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CE9E8"/>
          </w:tcPr>
          <w:p>
            <w:pPr>
              <w:jc w:val="right"/>
              <w:ind w:right="63"/>
              <w:spacing w:after="0"/>
              <w:rPr>
                <w:sz w:val="20"/>
                <w:szCs w:val="20"/>
                <w:color w:val="auto"/>
              </w:rPr>
            </w:pPr>
            <w:r>
              <w:rPr>
                <w:rFonts w:ascii="Arial" w:cs="Arial" w:eastAsia="Arial" w:hAnsi="Arial"/>
                <w:sz w:val="16"/>
                <w:szCs w:val="16"/>
                <w:color w:val="auto"/>
              </w:rPr>
              <w:t>3,252</w:t>
            </w:r>
          </w:p>
        </w:tc>
        <w:tc>
          <w:tcPr>
            <w:tcW w:w="240" w:type="dxa"/>
            <w:vAlign w:val="bottom"/>
            <w:tcBorders>
              <w:bottom w:val="single" w:sz="8" w:color="auto"/>
            </w:tcBorders>
            <w:shd w:val="clear" w:color="auto" w:fill="FCE9E8"/>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FCE9E8"/>
          </w:tcPr>
          <w:p>
            <w:pPr>
              <w:jc w:val="right"/>
              <w:ind w:right="83"/>
              <w:spacing w:after="0"/>
              <w:rPr>
                <w:sz w:val="20"/>
                <w:szCs w:val="20"/>
                <w:color w:val="auto"/>
              </w:rPr>
            </w:pPr>
            <w:r>
              <w:rPr>
                <w:rFonts w:ascii="Arial" w:cs="Arial" w:eastAsia="Arial" w:hAnsi="Arial"/>
                <w:sz w:val="16"/>
                <w:szCs w:val="16"/>
                <w:color w:val="auto"/>
              </w:rPr>
              <w:t>565</w:t>
            </w:r>
          </w:p>
        </w:tc>
        <w:tc>
          <w:tcPr>
            <w:tcW w:w="260" w:type="dxa"/>
            <w:vAlign w:val="bottom"/>
            <w:tcBorders>
              <w:bottom w:val="single" w:sz="8" w:color="auto"/>
            </w:tcBorders>
            <w:shd w:val="clear" w:color="auto" w:fill="FCE9E8"/>
          </w:tcPr>
          <w:p>
            <w:pPr>
              <w:ind w:lef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FCE9E8"/>
          </w:tcPr>
          <w:p>
            <w:pPr>
              <w:jc w:val="right"/>
              <w:ind w:right="82"/>
              <w:spacing w:after="0"/>
              <w:rPr>
                <w:sz w:val="20"/>
                <w:szCs w:val="20"/>
                <w:color w:val="auto"/>
              </w:rPr>
            </w:pPr>
            <w:r>
              <w:rPr>
                <w:rFonts w:ascii="Arial" w:cs="Arial" w:eastAsia="Arial" w:hAnsi="Arial"/>
                <w:sz w:val="16"/>
                <w:szCs w:val="16"/>
                <w:color w:val="auto"/>
              </w:rPr>
              <w:t>48,640</w:t>
            </w:r>
          </w:p>
        </w:tc>
      </w:tr>
    </w:tbl>
    <w:p>
      <w:pPr>
        <w:spacing w:after="0" w:line="126"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45</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86" w:lineRule="exact"/>
        <w:rPr>
          <w:sz w:val="20"/>
          <w:szCs w:val="20"/>
          <w:color w:val="auto"/>
        </w:rPr>
      </w:pPr>
    </w:p>
    <w:p>
      <w:pPr>
        <w:ind w:left="520" w:right="100" w:hanging="316"/>
        <w:spacing w:after="0" w:line="229" w:lineRule="auto"/>
        <w:tabs>
          <w:tab w:leader="none" w:pos="52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The total amounts and values in columns (i) and (j) equal the total number of Performance Shares, at the maximum level, held by each Named Executive Officer multiplied by the market price of Company common stock at the close of the last trading day in 2017, which was $176.66 per share. These amounts exclude the Performance Shares for the 2015-2017 performance period that vested based on performance through December 31, 2017 and are reported in the “2017 Option Exercises and Stock Vested” table. In calculating the number of Performance Shares and their value, we are required by SEC rules to compare our performance through 2017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For example, if performance through the previous year exceeded target, even by only a modest amount, and even if it is unlikely that we will achieve the results that would dictate the payment of the maximum amount, we are required by SEC rules to report the maximum potential payouts. For the first year of the 2017-2019 performance period and through the second year of the 2016-2018 performance period, we exceeded target levels of Adjusted ROIC and Cumulative Pre-Tax Income (Cumulative Adjusted Pre-Tax Income for the first year of the 2017-2019 performance period) (on a combined, pro-rated basis) and have accordingly reported the following Performance Shares at the maximum award level for each of these two performance periods. Amounts also include the following accrued dividend equivalents at the maximum level (which are not paid unless the performance goals are met with respect to the underlying Performance Shares):</w:t>
      </w:r>
    </w:p>
    <w:p>
      <w:pPr>
        <w:spacing w:after="0" w:line="9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760" w:type="dxa"/>
            <w:vAlign w:val="bottom"/>
          </w:tcPr>
          <w:p>
            <w:pPr>
              <w:jc w:val="right"/>
              <w:ind w:right="163"/>
              <w:spacing w:after="0"/>
              <w:rPr>
                <w:sz w:val="20"/>
                <w:szCs w:val="20"/>
                <w:color w:val="auto"/>
              </w:rPr>
            </w:pPr>
            <w:r>
              <w:rPr>
                <w:rFonts w:ascii="Arial" w:cs="Arial" w:eastAsia="Arial" w:hAnsi="Arial"/>
                <w:sz w:val="14"/>
                <w:szCs w:val="14"/>
                <w:b w:val="1"/>
                <w:bCs w:val="1"/>
                <w:color w:val="E2231A"/>
              </w:rPr>
              <w:t>Number of 2016</w:t>
            </w:r>
          </w:p>
        </w:tc>
        <w:tc>
          <w:tcPr>
            <w:tcW w:w="1560" w:type="dxa"/>
            <w:vAlign w:val="bottom"/>
          </w:tcPr>
          <w:p>
            <w:pPr>
              <w:jc w:val="right"/>
              <w:ind w:right="163"/>
              <w:spacing w:after="0"/>
              <w:rPr>
                <w:sz w:val="20"/>
                <w:szCs w:val="20"/>
                <w:color w:val="auto"/>
              </w:rPr>
            </w:pPr>
            <w:r>
              <w:rPr>
                <w:rFonts w:ascii="Arial" w:cs="Arial" w:eastAsia="Arial" w:hAnsi="Arial"/>
                <w:sz w:val="14"/>
                <w:szCs w:val="14"/>
                <w:b w:val="1"/>
                <w:bCs w:val="1"/>
                <w:color w:val="E2231A"/>
              </w:rPr>
              <w:t>Number of 2017</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2016 Performance</w:t>
            </w: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2017 Performance</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1760" w:type="dxa"/>
            <w:vAlign w:val="bottom"/>
          </w:tcPr>
          <w:p>
            <w:pPr>
              <w:jc w:val="center"/>
              <w:ind w:left="123"/>
              <w:spacing w:after="0"/>
              <w:rPr>
                <w:sz w:val="20"/>
                <w:szCs w:val="20"/>
                <w:color w:val="auto"/>
              </w:rPr>
            </w:pPr>
            <w:r>
              <w:rPr>
                <w:rFonts w:ascii="Arial" w:cs="Arial" w:eastAsia="Arial" w:hAnsi="Arial"/>
                <w:sz w:val="14"/>
                <w:szCs w:val="14"/>
                <w:b w:val="1"/>
                <w:bCs w:val="1"/>
                <w:color w:val="E2231A"/>
              </w:rPr>
              <w:t>Performance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E2231A"/>
              </w:rPr>
              <w:t>Performance</w:t>
            </w:r>
          </w:p>
        </w:tc>
        <w:tc>
          <w:tcPr>
            <w:tcW w:w="360" w:type="dxa"/>
            <w:vAlign w:val="bottom"/>
          </w:tcPr>
          <w:p>
            <w:pPr>
              <w:spacing w:after="0"/>
              <w:rPr>
                <w:sz w:val="14"/>
                <w:szCs w:val="14"/>
                <w:color w:val="auto"/>
              </w:rPr>
            </w:pPr>
          </w:p>
        </w:tc>
        <w:tc>
          <w:tcPr>
            <w:tcW w:w="1460" w:type="dxa"/>
            <w:vAlign w:val="bottom"/>
          </w:tcPr>
          <w:p>
            <w:pPr>
              <w:jc w:val="center"/>
              <w:ind w:right="262"/>
              <w:spacing w:after="0"/>
              <w:rPr>
                <w:sz w:val="20"/>
                <w:szCs w:val="20"/>
                <w:color w:val="auto"/>
              </w:rPr>
            </w:pPr>
            <w:r>
              <w:rPr>
                <w:rFonts w:ascii="Arial" w:cs="Arial" w:eastAsia="Arial" w:hAnsi="Arial"/>
                <w:sz w:val="14"/>
                <w:szCs w:val="14"/>
                <w:b w:val="1"/>
                <w:bCs w:val="1"/>
                <w:color w:val="E2231A"/>
              </w:rPr>
              <w:t>Share Dividend</w:t>
            </w:r>
          </w:p>
        </w:tc>
        <w:tc>
          <w:tcPr>
            <w:tcW w:w="360" w:type="dxa"/>
            <w:vAlign w:val="bottom"/>
          </w:tcPr>
          <w:p>
            <w:pPr>
              <w:spacing w:after="0"/>
              <w:rPr>
                <w:sz w:val="14"/>
                <w:szCs w:val="14"/>
                <w:color w:val="auto"/>
              </w:rPr>
            </w:pPr>
          </w:p>
        </w:tc>
        <w:tc>
          <w:tcPr>
            <w:tcW w:w="1480" w:type="dxa"/>
            <w:vAlign w:val="bottom"/>
          </w:tcPr>
          <w:p>
            <w:pPr>
              <w:jc w:val="center"/>
              <w:ind w:right="282"/>
              <w:spacing w:after="0"/>
              <w:rPr>
                <w:sz w:val="20"/>
                <w:szCs w:val="20"/>
                <w:color w:val="auto"/>
              </w:rPr>
            </w:pPr>
            <w:r>
              <w:rPr>
                <w:rFonts w:ascii="Arial" w:cs="Arial" w:eastAsia="Arial" w:hAnsi="Arial"/>
                <w:sz w:val="14"/>
                <w:szCs w:val="14"/>
                <w:b w:val="1"/>
                <w:bCs w:val="1"/>
                <w:color w:val="E2231A"/>
              </w:rPr>
              <w:t>Share Dividend</w:t>
            </w:r>
          </w:p>
        </w:tc>
        <w:tc>
          <w:tcPr>
            <w:tcW w:w="32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040" w:type="dxa"/>
            <w:vAlign w:val="bottom"/>
          </w:tcPr>
          <w:p>
            <w:pPr>
              <w:spacing w:after="0"/>
              <w:rPr>
                <w:sz w:val="14"/>
                <w:szCs w:val="14"/>
                <w:color w:val="auto"/>
              </w:rPr>
            </w:pPr>
          </w:p>
        </w:tc>
        <w:tc>
          <w:tcPr>
            <w:tcW w:w="1760" w:type="dxa"/>
            <w:vAlign w:val="bottom"/>
          </w:tcPr>
          <w:p>
            <w:pPr>
              <w:jc w:val="center"/>
              <w:ind w:left="123"/>
              <w:spacing w:after="0"/>
              <w:rPr>
                <w:sz w:val="20"/>
                <w:szCs w:val="20"/>
                <w:color w:val="auto"/>
              </w:rPr>
            </w:pPr>
            <w:r>
              <w:rPr>
                <w:rFonts w:ascii="Arial" w:cs="Arial" w:eastAsia="Arial" w:hAnsi="Arial"/>
                <w:sz w:val="14"/>
                <w:szCs w:val="14"/>
                <w:b w:val="1"/>
                <w:bCs w:val="1"/>
                <w:color w:val="E2231A"/>
              </w:rPr>
              <w:t>Shares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360" w:type="dxa"/>
            <w:vAlign w:val="bottom"/>
          </w:tcPr>
          <w:p>
            <w:pPr>
              <w:spacing w:after="0"/>
              <w:rPr>
                <w:sz w:val="14"/>
                <w:szCs w:val="14"/>
                <w:color w:val="auto"/>
              </w:rPr>
            </w:pPr>
          </w:p>
        </w:tc>
        <w:tc>
          <w:tcPr>
            <w:tcW w:w="1460" w:type="dxa"/>
            <w:vAlign w:val="bottom"/>
          </w:tcPr>
          <w:p>
            <w:pPr>
              <w:jc w:val="center"/>
              <w:ind w:right="262"/>
              <w:spacing w:after="0"/>
              <w:rPr>
                <w:sz w:val="20"/>
                <w:szCs w:val="20"/>
                <w:color w:val="auto"/>
              </w:rPr>
            </w:pPr>
            <w:r>
              <w:rPr>
                <w:rFonts w:ascii="Arial" w:cs="Arial" w:eastAsia="Arial" w:hAnsi="Arial"/>
                <w:sz w:val="14"/>
                <w:szCs w:val="14"/>
                <w:b w:val="1"/>
                <w:bCs w:val="1"/>
                <w:color w:val="E2231A"/>
              </w:rPr>
              <w:t>Equivalents</w:t>
            </w:r>
          </w:p>
        </w:tc>
        <w:tc>
          <w:tcPr>
            <w:tcW w:w="360" w:type="dxa"/>
            <w:vAlign w:val="bottom"/>
          </w:tcPr>
          <w:p>
            <w:pPr>
              <w:spacing w:after="0"/>
              <w:rPr>
                <w:sz w:val="14"/>
                <w:szCs w:val="14"/>
                <w:color w:val="auto"/>
              </w:rPr>
            </w:pPr>
          </w:p>
        </w:tc>
        <w:tc>
          <w:tcPr>
            <w:tcW w:w="1480" w:type="dxa"/>
            <w:vAlign w:val="bottom"/>
          </w:tcPr>
          <w:p>
            <w:pPr>
              <w:jc w:val="center"/>
              <w:ind w:right="282"/>
              <w:spacing w:after="0"/>
              <w:rPr>
                <w:sz w:val="20"/>
                <w:szCs w:val="20"/>
                <w:color w:val="auto"/>
              </w:rPr>
            </w:pPr>
            <w:r>
              <w:rPr>
                <w:rFonts w:ascii="Arial" w:cs="Arial" w:eastAsia="Arial" w:hAnsi="Arial"/>
                <w:sz w:val="14"/>
                <w:szCs w:val="14"/>
                <w:b w:val="1"/>
                <w:bCs w:val="1"/>
                <w:color w:val="E2231A"/>
              </w:rPr>
              <w:t>Equivalents</w:t>
            </w:r>
          </w:p>
        </w:tc>
        <w:tc>
          <w:tcPr>
            <w:tcW w:w="3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E2231A"/>
              </w:rPr>
              <w:t>Dividend</w:t>
            </w:r>
          </w:p>
        </w:tc>
      </w:tr>
      <w:tr>
        <w:trPr>
          <w:trHeight w:val="175"/>
        </w:trPr>
        <w:tc>
          <w:tcPr>
            <w:tcW w:w="20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E2231A"/>
              </w:rPr>
              <w:t>(Maximum)</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(Maximum)</w:t>
            </w:r>
          </w:p>
        </w:tc>
        <w:tc>
          <w:tcPr>
            <w:tcW w:w="18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E2231A"/>
              </w:rPr>
              <w:t>(2016-2018 Awards)</w:t>
            </w:r>
          </w:p>
        </w:tc>
        <w:tc>
          <w:tcPr>
            <w:tcW w:w="18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E2231A"/>
              </w:rPr>
              <w:t>(2017-2019 Awards)</w:t>
            </w: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E2231A"/>
              </w:rPr>
              <w:t>Equivalents</w:t>
            </w:r>
          </w:p>
        </w:tc>
      </w:tr>
      <w:tr>
        <w:trPr>
          <w:trHeight w:val="183"/>
        </w:trPr>
        <w:tc>
          <w:tcPr>
            <w:tcW w:w="204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Matthew J. Simoncini</w:t>
            </w:r>
          </w:p>
        </w:tc>
        <w:tc>
          <w:tcPr>
            <w:tcW w:w="1760" w:type="dxa"/>
            <w:vAlign w:val="bottom"/>
            <w:shd w:val="clear" w:color="auto" w:fill="FCE9E8"/>
          </w:tcPr>
          <w:p>
            <w:pPr>
              <w:jc w:val="right"/>
              <w:ind w:right="163"/>
              <w:spacing w:after="0" w:line="183" w:lineRule="exact"/>
              <w:rPr>
                <w:sz w:val="20"/>
                <w:szCs w:val="20"/>
                <w:color w:val="auto"/>
              </w:rPr>
            </w:pPr>
            <w:r>
              <w:rPr>
                <w:rFonts w:ascii="Arial" w:cs="Arial" w:eastAsia="Arial" w:hAnsi="Arial"/>
                <w:sz w:val="16"/>
                <w:szCs w:val="16"/>
                <w:color w:val="auto"/>
              </w:rPr>
              <w:t>97,856</w:t>
            </w:r>
          </w:p>
        </w:tc>
        <w:tc>
          <w:tcPr>
            <w:tcW w:w="1560" w:type="dxa"/>
            <w:vAlign w:val="bottom"/>
            <w:shd w:val="clear" w:color="auto" w:fill="FCE9E8"/>
          </w:tcPr>
          <w:p>
            <w:pPr>
              <w:jc w:val="right"/>
              <w:ind w:right="163"/>
              <w:spacing w:after="0" w:line="183" w:lineRule="exact"/>
              <w:rPr>
                <w:sz w:val="20"/>
                <w:szCs w:val="20"/>
                <w:color w:val="auto"/>
              </w:rPr>
            </w:pPr>
            <w:r>
              <w:rPr>
                <w:rFonts w:ascii="Arial" w:cs="Arial" w:eastAsia="Arial" w:hAnsi="Arial"/>
                <w:sz w:val="16"/>
                <w:szCs w:val="16"/>
                <w:color w:val="auto"/>
              </w:rPr>
              <w:t>99,532</w:t>
            </w:r>
          </w:p>
        </w:tc>
        <w:tc>
          <w:tcPr>
            <w:tcW w:w="360" w:type="dxa"/>
            <w:vAlign w:val="bottom"/>
            <w:shd w:val="clear" w:color="auto" w:fill="FCE9E8"/>
          </w:tcPr>
          <w:p>
            <w:pPr>
              <w:ind w:left="24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FCE9E8"/>
          </w:tcPr>
          <w:p>
            <w:pPr>
              <w:jc w:val="right"/>
              <w:ind w:right="162"/>
              <w:spacing w:after="0" w:line="183" w:lineRule="exact"/>
              <w:rPr>
                <w:sz w:val="20"/>
                <w:szCs w:val="20"/>
                <w:color w:val="auto"/>
              </w:rPr>
            </w:pPr>
            <w:r>
              <w:rPr>
                <w:rFonts w:ascii="Arial" w:cs="Arial" w:eastAsia="Arial" w:hAnsi="Arial"/>
                <w:sz w:val="16"/>
                <w:szCs w:val="16"/>
                <w:color w:val="auto"/>
              </w:rPr>
              <w:t>322,957</w:t>
            </w:r>
          </w:p>
        </w:tc>
        <w:tc>
          <w:tcPr>
            <w:tcW w:w="36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202,400</w:t>
            </w:r>
          </w:p>
        </w:tc>
        <w:tc>
          <w:tcPr>
            <w:tcW w:w="320" w:type="dxa"/>
            <w:vAlign w:val="bottom"/>
            <w:shd w:val="clear" w:color="auto" w:fill="FCE9E8"/>
          </w:tcPr>
          <w:p>
            <w:pPr>
              <w:ind w:left="24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rPr>
              <w:t>525,357</w:t>
            </w:r>
          </w:p>
        </w:tc>
      </w:tr>
      <w:tr>
        <w:trPr>
          <w:trHeight w:val="189"/>
        </w:trPr>
        <w:tc>
          <w:tcPr>
            <w:tcW w:w="204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1760" w:type="dxa"/>
            <w:vAlign w:val="bottom"/>
          </w:tcPr>
          <w:p>
            <w:pPr>
              <w:jc w:val="right"/>
              <w:ind w:right="163"/>
              <w:spacing w:after="0"/>
              <w:rPr>
                <w:sz w:val="20"/>
                <w:szCs w:val="20"/>
                <w:color w:val="auto"/>
              </w:rPr>
            </w:pPr>
            <w:r>
              <w:rPr>
                <w:rFonts w:ascii="Arial" w:cs="Arial" w:eastAsia="Arial" w:hAnsi="Arial"/>
                <w:sz w:val="16"/>
                <w:szCs w:val="16"/>
                <w:color w:val="auto"/>
              </w:rPr>
              <w:t>24,156</w:t>
            </w:r>
          </w:p>
        </w:tc>
        <w:tc>
          <w:tcPr>
            <w:tcW w:w="1560" w:type="dxa"/>
            <w:vAlign w:val="bottom"/>
          </w:tcPr>
          <w:p>
            <w:pPr>
              <w:jc w:val="right"/>
              <w:ind w:right="163"/>
              <w:spacing w:after="0"/>
              <w:rPr>
                <w:sz w:val="20"/>
                <w:szCs w:val="20"/>
                <w:color w:val="auto"/>
              </w:rPr>
            </w:pPr>
            <w:r>
              <w:rPr>
                <w:rFonts w:ascii="Arial" w:cs="Arial" w:eastAsia="Arial" w:hAnsi="Arial"/>
                <w:sz w:val="16"/>
                <w:szCs w:val="16"/>
                <w:color w:val="auto"/>
              </w:rPr>
              <w:t>23,460</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62"/>
              <w:spacing w:after="0"/>
              <w:rPr>
                <w:sz w:val="20"/>
                <w:szCs w:val="20"/>
                <w:color w:val="auto"/>
              </w:rPr>
            </w:pPr>
            <w:r>
              <w:rPr>
                <w:rFonts w:ascii="Arial" w:cs="Arial" w:eastAsia="Arial" w:hAnsi="Arial"/>
                <w:sz w:val="16"/>
                <w:szCs w:val="16"/>
                <w:color w:val="auto"/>
              </w:rPr>
              <w:t>79,723</w:t>
            </w:r>
          </w:p>
        </w:tc>
        <w:tc>
          <w:tcPr>
            <w:tcW w:w="360" w:type="dxa"/>
            <w:vAlign w:val="bottom"/>
          </w:tcPr>
          <w:p>
            <w:pPr>
              <w:ind w:left="26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82"/>
              <w:spacing w:after="0"/>
              <w:rPr>
                <w:sz w:val="20"/>
                <w:szCs w:val="20"/>
                <w:color w:val="auto"/>
              </w:rPr>
            </w:pPr>
            <w:r>
              <w:rPr>
                <w:rFonts w:ascii="Arial" w:cs="Arial" w:eastAsia="Arial" w:hAnsi="Arial"/>
                <w:sz w:val="16"/>
                <w:szCs w:val="16"/>
                <w:color w:val="auto"/>
              </w:rPr>
              <w:t>47,706</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127,429</w:t>
            </w:r>
          </w:p>
        </w:tc>
      </w:tr>
      <w:tr>
        <w:trPr>
          <w:trHeight w:val="189"/>
        </w:trPr>
        <w:tc>
          <w:tcPr>
            <w:tcW w:w="204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760" w:type="dxa"/>
            <w:vAlign w:val="bottom"/>
            <w:shd w:val="clear" w:color="auto" w:fill="FCE9E8"/>
          </w:tcPr>
          <w:p>
            <w:pPr>
              <w:jc w:val="right"/>
              <w:ind w:right="163"/>
              <w:spacing w:after="0"/>
              <w:rPr>
                <w:sz w:val="20"/>
                <w:szCs w:val="20"/>
                <w:color w:val="auto"/>
              </w:rPr>
            </w:pPr>
            <w:r>
              <w:rPr>
                <w:rFonts w:ascii="Arial" w:cs="Arial" w:eastAsia="Arial" w:hAnsi="Arial"/>
                <w:sz w:val="16"/>
                <w:szCs w:val="16"/>
                <w:color w:val="auto"/>
              </w:rPr>
              <w:t>26,688</w:t>
            </w:r>
          </w:p>
        </w:tc>
        <w:tc>
          <w:tcPr>
            <w:tcW w:w="1560" w:type="dxa"/>
            <w:vAlign w:val="bottom"/>
            <w:shd w:val="clear" w:color="auto" w:fill="FCE9E8"/>
          </w:tcPr>
          <w:p>
            <w:pPr>
              <w:jc w:val="right"/>
              <w:ind w:right="163"/>
              <w:spacing w:after="0"/>
              <w:rPr>
                <w:sz w:val="20"/>
                <w:szCs w:val="20"/>
                <w:color w:val="auto"/>
              </w:rPr>
            </w:pPr>
            <w:r>
              <w:rPr>
                <w:rFonts w:ascii="Arial" w:cs="Arial" w:eastAsia="Arial" w:hAnsi="Arial"/>
                <w:sz w:val="16"/>
                <w:szCs w:val="16"/>
                <w:color w:val="auto"/>
              </w:rPr>
              <w:t>26,928</w:t>
            </w:r>
          </w:p>
        </w:tc>
        <w:tc>
          <w:tcPr>
            <w:tcW w:w="3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FCE9E8"/>
          </w:tcPr>
          <w:p>
            <w:pPr>
              <w:jc w:val="right"/>
              <w:ind w:right="162"/>
              <w:spacing w:after="0"/>
              <w:rPr>
                <w:sz w:val="20"/>
                <w:szCs w:val="20"/>
                <w:color w:val="auto"/>
              </w:rPr>
            </w:pPr>
            <w:r>
              <w:rPr>
                <w:rFonts w:ascii="Arial" w:cs="Arial" w:eastAsia="Arial" w:hAnsi="Arial"/>
                <w:sz w:val="16"/>
                <w:szCs w:val="16"/>
                <w:color w:val="auto"/>
              </w:rPr>
              <w:t>88,079</w:t>
            </w:r>
          </w:p>
        </w:tc>
        <w:tc>
          <w:tcPr>
            <w:tcW w:w="360" w:type="dxa"/>
            <w:vAlign w:val="bottom"/>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54,759</w:t>
            </w:r>
          </w:p>
        </w:tc>
        <w:tc>
          <w:tcPr>
            <w:tcW w:w="320" w:type="dxa"/>
            <w:vAlign w:val="bottom"/>
            <w:shd w:val="clear" w:color="auto" w:fill="FCE9E8"/>
          </w:tcPr>
          <w:p>
            <w:pPr>
              <w:ind w:left="24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CE9E8"/>
          </w:tcPr>
          <w:p>
            <w:pPr>
              <w:ind w:left="140"/>
              <w:spacing w:after="0"/>
              <w:rPr>
                <w:sz w:val="20"/>
                <w:szCs w:val="20"/>
                <w:color w:val="auto"/>
              </w:rPr>
            </w:pPr>
            <w:r>
              <w:rPr>
                <w:rFonts w:ascii="Arial" w:cs="Arial" w:eastAsia="Arial" w:hAnsi="Arial"/>
                <w:sz w:val="16"/>
                <w:szCs w:val="16"/>
                <w:color w:val="auto"/>
              </w:rPr>
              <w:t>142,838</w:t>
            </w:r>
          </w:p>
        </w:tc>
      </w:tr>
      <w:tr>
        <w:trPr>
          <w:trHeight w:val="189"/>
        </w:trPr>
        <w:tc>
          <w:tcPr>
            <w:tcW w:w="2040" w:type="dxa"/>
            <w:vAlign w:val="bottom"/>
          </w:tcPr>
          <w:p>
            <w:pPr>
              <w:ind w:left="80"/>
              <w:spacing w:after="0"/>
              <w:rPr>
                <w:sz w:val="20"/>
                <w:szCs w:val="20"/>
                <w:color w:val="auto"/>
              </w:rPr>
            </w:pPr>
            <w:r>
              <w:rPr>
                <w:rFonts w:ascii="Arial" w:cs="Arial" w:eastAsia="Arial" w:hAnsi="Arial"/>
                <w:sz w:val="16"/>
                <w:szCs w:val="16"/>
                <w:color w:val="auto"/>
              </w:rPr>
              <w:t>Terrence B. Larkin</w:t>
            </w:r>
          </w:p>
        </w:tc>
        <w:tc>
          <w:tcPr>
            <w:tcW w:w="1760" w:type="dxa"/>
            <w:vAlign w:val="bottom"/>
          </w:tcPr>
          <w:p>
            <w:pPr>
              <w:jc w:val="right"/>
              <w:ind w:right="163"/>
              <w:spacing w:after="0"/>
              <w:rPr>
                <w:sz w:val="20"/>
                <w:szCs w:val="20"/>
                <w:color w:val="auto"/>
              </w:rPr>
            </w:pPr>
            <w:r>
              <w:rPr>
                <w:rFonts w:ascii="Arial" w:cs="Arial" w:eastAsia="Arial" w:hAnsi="Arial"/>
                <w:sz w:val="16"/>
                <w:szCs w:val="16"/>
                <w:color w:val="auto"/>
              </w:rPr>
              <w:t>26,688</w:t>
            </w:r>
          </w:p>
        </w:tc>
        <w:tc>
          <w:tcPr>
            <w:tcW w:w="1560" w:type="dxa"/>
            <w:vAlign w:val="bottom"/>
          </w:tcPr>
          <w:p>
            <w:pPr>
              <w:jc w:val="right"/>
              <w:ind w:right="163"/>
              <w:spacing w:after="0"/>
              <w:rPr>
                <w:sz w:val="20"/>
                <w:szCs w:val="20"/>
                <w:color w:val="auto"/>
              </w:rPr>
            </w:pPr>
            <w:r>
              <w:rPr>
                <w:rFonts w:ascii="Arial" w:cs="Arial" w:eastAsia="Arial" w:hAnsi="Arial"/>
                <w:sz w:val="16"/>
                <w:szCs w:val="16"/>
                <w:color w:val="auto"/>
              </w:rPr>
              <w:t>25,582</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62"/>
              <w:spacing w:after="0"/>
              <w:rPr>
                <w:sz w:val="20"/>
                <w:szCs w:val="20"/>
                <w:color w:val="auto"/>
              </w:rPr>
            </w:pPr>
            <w:r>
              <w:rPr>
                <w:rFonts w:ascii="Arial" w:cs="Arial" w:eastAsia="Arial" w:hAnsi="Arial"/>
                <w:sz w:val="16"/>
                <w:szCs w:val="16"/>
                <w:color w:val="auto"/>
              </w:rPr>
              <w:t>88,079</w:t>
            </w:r>
          </w:p>
        </w:tc>
        <w:tc>
          <w:tcPr>
            <w:tcW w:w="360" w:type="dxa"/>
            <w:vAlign w:val="bottom"/>
          </w:tcPr>
          <w:p>
            <w:pPr>
              <w:ind w:left="26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82"/>
              <w:spacing w:after="0"/>
              <w:rPr>
                <w:sz w:val="20"/>
                <w:szCs w:val="20"/>
                <w:color w:val="auto"/>
              </w:rPr>
            </w:pPr>
            <w:r>
              <w:rPr>
                <w:rFonts w:ascii="Arial" w:cs="Arial" w:eastAsia="Arial" w:hAnsi="Arial"/>
                <w:sz w:val="16"/>
                <w:szCs w:val="16"/>
                <w:color w:val="auto"/>
              </w:rPr>
              <w:t>52,022</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140,101</w:t>
            </w:r>
          </w:p>
        </w:tc>
      </w:tr>
      <w:tr>
        <w:trPr>
          <w:trHeight w:val="189"/>
        </w:trPr>
        <w:tc>
          <w:tcPr>
            <w:tcW w:w="20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760" w:type="dxa"/>
            <w:vAlign w:val="bottom"/>
            <w:tcBorders>
              <w:bottom w:val="single" w:sz="8" w:color="auto"/>
            </w:tcBorders>
            <w:shd w:val="clear" w:color="auto" w:fill="FCE9E8"/>
          </w:tcPr>
          <w:p>
            <w:pPr>
              <w:jc w:val="right"/>
              <w:ind w:right="163"/>
              <w:spacing w:after="0"/>
              <w:rPr>
                <w:sz w:val="20"/>
                <w:szCs w:val="20"/>
                <w:color w:val="auto"/>
              </w:rPr>
            </w:pPr>
            <w:r>
              <w:rPr>
                <w:rFonts w:ascii="Arial" w:cs="Arial" w:eastAsia="Arial" w:hAnsi="Arial"/>
                <w:sz w:val="16"/>
                <w:szCs w:val="16"/>
                <w:color w:val="auto"/>
              </w:rPr>
              <w:t>22,980</w:t>
            </w:r>
          </w:p>
        </w:tc>
        <w:tc>
          <w:tcPr>
            <w:tcW w:w="1560" w:type="dxa"/>
            <w:vAlign w:val="bottom"/>
            <w:tcBorders>
              <w:bottom w:val="single" w:sz="8" w:color="auto"/>
            </w:tcBorders>
            <w:shd w:val="clear" w:color="auto" w:fill="FCE9E8"/>
          </w:tcPr>
          <w:p>
            <w:pPr>
              <w:jc w:val="right"/>
              <w:ind w:right="163"/>
              <w:spacing w:after="0"/>
              <w:rPr>
                <w:sz w:val="20"/>
                <w:szCs w:val="20"/>
                <w:color w:val="auto"/>
              </w:rPr>
            </w:pPr>
            <w:r>
              <w:rPr>
                <w:rFonts w:ascii="Arial" w:cs="Arial" w:eastAsia="Arial" w:hAnsi="Arial"/>
                <w:sz w:val="16"/>
                <w:szCs w:val="16"/>
                <w:color w:val="auto"/>
              </w:rPr>
              <w:t>22,030</w:t>
            </w:r>
          </w:p>
        </w:tc>
        <w:tc>
          <w:tcPr>
            <w:tcW w:w="360" w:type="dxa"/>
            <w:vAlign w:val="bottom"/>
            <w:tcBorders>
              <w:bottom w:val="single" w:sz="8" w:color="auto"/>
            </w:tcBorders>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FCE9E8"/>
          </w:tcPr>
          <w:p>
            <w:pPr>
              <w:jc w:val="right"/>
              <w:ind w:right="162"/>
              <w:spacing w:after="0"/>
              <w:rPr>
                <w:sz w:val="20"/>
                <w:szCs w:val="20"/>
                <w:color w:val="auto"/>
              </w:rPr>
            </w:pPr>
            <w:r>
              <w:rPr>
                <w:rFonts w:ascii="Arial" w:cs="Arial" w:eastAsia="Arial" w:hAnsi="Arial"/>
                <w:sz w:val="16"/>
                <w:szCs w:val="16"/>
                <w:color w:val="auto"/>
              </w:rPr>
              <w:t>75,842</w:t>
            </w:r>
          </w:p>
        </w:tc>
        <w:tc>
          <w:tcPr>
            <w:tcW w:w="360" w:type="dxa"/>
            <w:vAlign w:val="bottom"/>
            <w:tcBorders>
              <w:bottom w:val="single" w:sz="8" w:color="auto"/>
            </w:tcBorders>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6"/>
                <w:szCs w:val="16"/>
                <w:color w:val="auto"/>
              </w:rPr>
              <w:t>44,798</w:t>
            </w:r>
          </w:p>
        </w:tc>
        <w:tc>
          <w:tcPr>
            <w:tcW w:w="320" w:type="dxa"/>
            <w:vAlign w:val="bottom"/>
            <w:tcBorders>
              <w:bottom w:val="single" w:sz="8" w:color="auto"/>
            </w:tcBorders>
            <w:shd w:val="clear" w:color="auto" w:fill="FCE9E8"/>
          </w:tcPr>
          <w:p>
            <w:pPr>
              <w:ind w:left="2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rPr>
              <w:t>120,640</w:t>
            </w: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FFFFFF"/>
        </w:rPr>
        <w:t>2017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p>
      <w:pPr>
        <w:spacing w:after="0" w:line="221" w:lineRule="exact"/>
        <w:rPr>
          <w:sz w:val="20"/>
          <w:szCs w:val="20"/>
          <w:color w:val="auto"/>
        </w:rPr>
      </w:pPr>
    </w:p>
    <w:p>
      <w:pPr>
        <w:ind w:left="200" w:right="60"/>
        <w:spacing w:after="0" w:line="260" w:lineRule="auto"/>
        <w:rPr>
          <w:sz w:val="20"/>
          <w:szCs w:val="20"/>
          <w:color w:val="auto"/>
        </w:rPr>
      </w:pPr>
      <w:r>
        <w:rPr>
          <w:rFonts w:ascii="Arial" w:cs="Arial" w:eastAsia="Arial" w:hAnsi="Arial"/>
          <w:sz w:val="16"/>
          <w:szCs w:val="16"/>
          <w:color w:val="auto"/>
        </w:rPr>
        <w:t>The following table sets forth certain information regarding stock-based awards that vested during 2017 for our Named Executive Officers. No options are outstanding and none were exercised in 2017.</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6980" w:type="dxa"/>
            <w:vAlign w:val="bottom"/>
          </w:tcPr>
          <w:p>
            <w:pPr>
              <w:spacing w:after="0"/>
              <w:rPr>
                <w:sz w:val="15"/>
                <w:szCs w:val="15"/>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Stock Awards</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2460" w:type="dxa"/>
            <w:vAlign w:val="bottom"/>
          </w:tcPr>
          <w:p>
            <w:pPr>
              <w:jc w:val="center"/>
              <w:ind w:right="424"/>
              <w:spacing w:after="0" w:line="143" w:lineRule="exact"/>
              <w:rPr>
                <w:sz w:val="20"/>
                <w:szCs w:val="20"/>
                <w:color w:val="auto"/>
              </w:rPr>
            </w:pPr>
            <w:r>
              <w:rPr>
                <w:rFonts w:ascii="Arial" w:cs="Arial" w:eastAsia="Arial" w:hAnsi="Arial"/>
                <w:sz w:val="14"/>
                <w:szCs w:val="14"/>
                <w:b w:val="1"/>
                <w:bCs w:val="1"/>
                <w:color w:val="E2231A"/>
              </w:rPr>
              <w:t>Number of</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62"/>
        </w:trPr>
        <w:tc>
          <w:tcPr>
            <w:tcW w:w="6980" w:type="dxa"/>
            <w:vAlign w:val="bottom"/>
          </w:tcPr>
          <w:p>
            <w:pPr>
              <w:spacing w:after="0"/>
              <w:rPr>
                <w:sz w:val="14"/>
                <w:szCs w:val="14"/>
                <w:color w:val="auto"/>
              </w:rPr>
            </w:pPr>
          </w:p>
        </w:tc>
        <w:tc>
          <w:tcPr>
            <w:tcW w:w="2460" w:type="dxa"/>
            <w:vAlign w:val="bottom"/>
          </w:tcPr>
          <w:p>
            <w:pPr>
              <w:jc w:val="center"/>
              <w:ind w:right="444"/>
              <w:spacing w:after="0"/>
              <w:rPr>
                <w:sz w:val="20"/>
                <w:szCs w:val="20"/>
                <w:color w:val="auto"/>
              </w:rPr>
            </w:pPr>
            <w:r>
              <w:rPr>
                <w:rFonts w:ascii="Arial" w:cs="Arial" w:eastAsia="Arial" w:hAnsi="Arial"/>
                <w:sz w:val="14"/>
                <w:szCs w:val="14"/>
                <w:b w:val="1"/>
                <w:bCs w:val="1"/>
                <w:color w:val="E2231A"/>
              </w:rPr>
              <w:t>Shares Acquired</w:t>
            </w:r>
          </w:p>
        </w:tc>
        <w:tc>
          <w:tcPr>
            <w:tcW w:w="120" w:type="dxa"/>
            <w:vAlign w:val="bottom"/>
          </w:tcPr>
          <w:p>
            <w:pPr>
              <w:spacing w:after="0"/>
              <w:rPr>
                <w:sz w:val="14"/>
                <w:szCs w:val="14"/>
                <w:color w:val="auto"/>
              </w:rPr>
            </w:pPr>
          </w:p>
        </w:tc>
        <w:tc>
          <w:tcPr>
            <w:tcW w:w="1460" w:type="dxa"/>
            <w:vAlign w:val="bottom"/>
          </w:tcPr>
          <w:p>
            <w:pPr>
              <w:jc w:val="right"/>
              <w:ind w:right="782"/>
              <w:spacing w:after="0"/>
              <w:rPr>
                <w:sz w:val="20"/>
                <w:szCs w:val="20"/>
                <w:color w:val="auto"/>
              </w:rPr>
            </w:pPr>
            <w:r>
              <w:rPr>
                <w:rFonts w:ascii="Arial" w:cs="Arial" w:eastAsia="Arial" w:hAnsi="Arial"/>
                <w:sz w:val="14"/>
                <w:szCs w:val="14"/>
                <w:b w:val="1"/>
                <w:bCs w:val="1"/>
                <w:color w:val="E2231A"/>
              </w:rPr>
              <w:t>Value</w:t>
            </w:r>
          </w:p>
        </w:tc>
      </w:tr>
      <w:tr>
        <w:trPr>
          <w:trHeight w:val="159"/>
        </w:trPr>
        <w:tc>
          <w:tcPr>
            <w:tcW w:w="6980" w:type="dxa"/>
            <w:vAlign w:val="bottom"/>
          </w:tcPr>
          <w:p>
            <w:pPr>
              <w:spacing w:after="0"/>
              <w:rPr>
                <w:sz w:val="13"/>
                <w:szCs w:val="13"/>
                <w:color w:val="auto"/>
              </w:rPr>
            </w:pPr>
          </w:p>
        </w:tc>
        <w:tc>
          <w:tcPr>
            <w:tcW w:w="2460" w:type="dxa"/>
            <w:vAlign w:val="bottom"/>
          </w:tcPr>
          <w:p>
            <w:pPr>
              <w:jc w:val="center"/>
              <w:ind w:right="424"/>
              <w:spacing w:after="0" w:line="159" w:lineRule="exact"/>
              <w:rPr>
                <w:sz w:val="20"/>
                <w:szCs w:val="20"/>
                <w:color w:val="auto"/>
              </w:rPr>
            </w:pPr>
            <w:r>
              <w:rPr>
                <w:rFonts w:ascii="Arial" w:cs="Arial" w:eastAsia="Arial" w:hAnsi="Arial"/>
                <w:sz w:val="14"/>
                <w:szCs w:val="14"/>
                <w:b w:val="1"/>
                <w:bCs w:val="1"/>
                <w:color w:val="E2231A"/>
              </w:rPr>
              <w:t>on Vesting</w:t>
            </w:r>
          </w:p>
        </w:tc>
        <w:tc>
          <w:tcPr>
            <w:tcW w:w="120" w:type="dxa"/>
            <w:vAlign w:val="bottom"/>
          </w:tcPr>
          <w:p>
            <w:pPr>
              <w:spacing w:after="0"/>
              <w:rPr>
                <w:sz w:val="13"/>
                <w:szCs w:val="13"/>
                <w:color w:val="auto"/>
              </w:rPr>
            </w:pPr>
          </w:p>
        </w:tc>
        <w:tc>
          <w:tcPr>
            <w:tcW w:w="1460" w:type="dxa"/>
            <w:vAlign w:val="bottom"/>
          </w:tcPr>
          <w:p>
            <w:pPr>
              <w:jc w:val="right"/>
              <w:ind w:right="562"/>
              <w:spacing w:after="0" w:line="159" w:lineRule="exact"/>
              <w:rPr>
                <w:sz w:val="20"/>
                <w:szCs w:val="20"/>
                <w:color w:val="auto"/>
              </w:rPr>
            </w:pPr>
            <w:r>
              <w:rPr>
                <w:rFonts w:ascii="Arial" w:cs="Arial" w:eastAsia="Arial" w:hAnsi="Arial"/>
                <w:sz w:val="14"/>
                <w:szCs w:val="14"/>
                <w:b w:val="1"/>
                <w:bCs w:val="1"/>
                <w:color w:val="E2231A"/>
              </w:rPr>
              <w:t>Realized on</w:t>
            </w:r>
          </w:p>
        </w:tc>
      </w:tr>
      <w:tr>
        <w:trPr>
          <w:trHeight w:val="179"/>
        </w:trPr>
        <w:tc>
          <w:tcPr>
            <w:tcW w:w="6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Name(a)</w:t>
            </w:r>
          </w:p>
        </w:tc>
        <w:tc>
          <w:tcPr>
            <w:tcW w:w="2460" w:type="dxa"/>
            <w:vAlign w:val="bottom"/>
            <w:tcBorders>
              <w:bottom w:val="single" w:sz="8" w:color="auto"/>
            </w:tcBorders>
          </w:tcPr>
          <w:p>
            <w:pPr>
              <w:jc w:val="center"/>
              <w:ind w:right="424"/>
              <w:spacing w:after="0" w:line="179" w:lineRule="exact"/>
              <w:rPr>
                <w:sz w:val="20"/>
                <w:szCs w:val="20"/>
                <w:color w:val="auto"/>
              </w:rPr>
            </w:pPr>
            <w:r>
              <w:rPr>
                <w:rFonts w:ascii="Arial" w:cs="Arial" w:eastAsia="Arial" w:hAnsi="Arial"/>
                <w:sz w:val="12"/>
                <w:szCs w:val="12"/>
                <w:b w:val="1"/>
                <w:bCs w:val="1"/>
                <w:color w:val="E2231A"/>
              </w:rPr>
              <w:t>(d)</w:t>
            </w:r>
            <w:r>
              <w:rPr>
                <w:rFonts w:ascii="Arial" w:cs="Arial" w:eastAsia="Arial" w:hAnsi="Arial"/>
                <w:sz w:val="20"/>
                <w:szCs w:val="20"/>
                <w:b w:val="1"/>
                <w:bCs w:val="1"/>
                <w:color w:val="E2231A"/>
                <w:vertAlign w:val="superscript"/>
              </w:rPr>
              <w:t>(1)</w:t>
            </w:r>
          </w:p>
        </w:tc>
        <w:tc>
          <w:tcPr>
            <w:tcW w:w="1580" w:type="dxa"/>
            <w:vAlign w:val="bottom"/>
            <w:tcBorders>
              <w:bottom w:val="single" w:sz="8" w:color="auto"/>
            </w:tcBorders>
            <w:gridSpan w:val="2"/>
          </w:tcPr>
          <w:p>
            <w:pPr>
              <w:ind w:left="20"/>
              <w:spacing w:after="0" w:line="179" w:lineRule="exact"/>
              <w:rPr>
                <w:sz w:val="20"/>
                <w:szCs w:val="20"/>
                <w:color w:val="auto"/>
              </w:rPr>
            </w:pPr>
            <w:r>
              <w:rPr>
                <w:rFonts w:ascii="Arial" w:cs="Arial" w:eastAsia="Arial" w:hAnsi="Arial"/>
                <w:sz w:val="12"/>
                <w:szCs w:val="12"/>
                <w:b w:val="1"/>
                <w:bCs w:val="1"/>
                <w:color w:val="E2231A"/>
              </w:rPr>
              <w:t>Vesting (e)</w:t>
            </w:r>
            <w:r>
              <w:rPr>
                <w:rFonts w:ascii="Arial" w:cs="Arial" w:eastAsia="Arial" w:hAnsi="Arial"/>
                <w:sz w:val="20"/>
                <w:szCs w:val="20"/>
                <w:b w:val="1"/>
                <w:bCs w:val="1"/>
                <w:color w:val="E2231A"/>
                <w:vertAlign w:val="superscript"/>
              </w:rPr>
              <w:t>(1)(2)</w:t>
            </w:r>
          </w:p>
        </w:tc>
      </w:tr>
      <w:tr>
        <w:trPr>
          <w:trHeight w:val="183"/>
        </w:trPr>
        <w:tc>
          <w:tcPr>
            <w:tcW w:w="698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Matthew J. Simoncini</w:t>
            </w:r>
          </w:p>
        </w:tc>
        <w:tc>
          <w:tcPr>
            <w:tcW w:w="2460" w:type="dxa"/>
            <w:vAlign w:val="bottom"/>
            <w:shd w:val="clear" w:color="auto" w:fill="FCE9E8"/>
          </w:tcPr>
          <w:p>
            <w:pPr>
              <w:jc w:val="right"/>
              <w:ind w:right="824"/>
              <w:spacing w:after="0" w:line="183" w:lineRule="exact"/>
              <w:rPr>
                <w:sz w:val="20"/>
                <w:szCs w:val="20"/>
                <w:color w:val="auto"/>
              </w:rPr>
            </w:pPr>
            <w:r>
              <w:rPr>
                <w:rFonts w:ascii="Arial" w:cs="Arial" w:eastAsia="Arial" w:hAnsi="Arial"/>
                <w:sz w:val="16"/>
                <w:szCs w:val="16"/>
                <w:color w:val="auto"/>
              </w:rPr>
              <w:t>142,580</w:t>
            </w:r>
          </w:p>
        </w:tc>
        <w:tc>
          <w:tcPr>
            <w:tcW w:w="120" w:type="dxa"/>
            <w:vAlign w:val="bottom"/>
            <w:shd w:val="clear" w:color="auto" w:fill="FCE9E8"/>
          </w:tcPr>
          <w:p>
            <w:pPr>
              <w:ind w:left="20"/>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shd w:val="clear" w:color="auto" w:fill="FCE9E8"/>
          </w:tcPr>
          <w:p>
            <w:pPr>
              <w:jc w:val="right"/>
              <w:ind w:right="442"/>
              <w:spacing w:after="0" w:line="183" w:lineRule="exact"/>
              <w:rPr>
                <w:sz w:val="20"/>
                <w:szCs w:val="20"/>
                <w:color w:val="auto"/>
              </w:rPr>
            </w:pPr>
            <w:r>
              <w:rPr>
                <w:rFonts w:ascii="Arial" w:cs="Arial" w:eastAsia="Arial" w:hAnsi="Arial"/>
                <w:sz w:val="16"/>
                <w:szCs w:val="16"/>
                <w:color w:val="auto"/>
              </w:rPr>
              <w:t>26,408,563</w:t>
            </w:r>
          </w:p>
        </w:tc>
      </w:tr>
      <w:tr>
        <w:trPr>
          <w:trHeight w:val="189"/>
        </w:trPr>
        <w:tc>
          <w:tcPr>
            <w:tcW w:w="698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2460" w:type="dxa"/>
            <w:vAlign w:val="bottom"/>
          </w:tcPr>
          <w:p>
            <w:pPr>
              <w:jc w:val="right"/>
              <w:ind w:right="824"/>
              <w:spacing w:after="0"/>
              <w:rPr>
                <w:sz w:val="20"/>
                <w:szCs w:val="20"/>
                <w:color w:val="auto"/>
              </w:rPr>
            </w:pPr>
            <w:r>
              <w:rPr>
                <w:rFonts w:ascii="Arial" w:cs="Arial" w:eastAsia="Arial" w:hAnsi="Arial"/>
                <w:sz w:val="16"/>
                <w:szCs w:val="16"/>
                <w:color w:val="auto"/>
              </w:rPr>
              <w:t>36,136</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42"/>
              <w:spacing w:after="0"/>
              <w:rPr>
                <w:sz w:val="20"/>
                <w:szCs w:val="20"/>
                <w:color w:val="auto"/>
              </w:rPr>
            </w:pPr>
            <w:r>
              <w:rPr>
                <w:rFonts w:ascii="Arial" w:cs="Arial" w:eastAsia="Arial" w:hAnsi="Arial"/>
                <w:sz w:val="16"/>
                <w:szCs w:val="16"/>
                <w:color w:val="auto"/>
              </w:rPr>
              <w:t>6,671,051</w:t>
            </w:r>
          </w:p>
        </w:tc>
      </w:tr>
      <w:tr>
        <w:trPr>
          <w:trHeight w:val="189"/>
        </w:trPr>
        <w:tc>
          <w:tcPr>
            <w:tcW w:w="698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2460" w:type="dxa"/>
            <w:vAlign w:val="bottom"/>
            <w:shd w:val="clear" w:color="auto" w:fill="FCE9E8"/>
          </w:tcPr>
          <w:p>
            <w:pPr>
              <w:jc w:val="right"/>
              <w:ind w:right="824"/>
              <w:spacing w:after="0"/>
              <w:rPr>
                <w:sz w:val="20"/>
                <w:szCs w:val="20"/>
                <w:color w:val="auto"/>
              </w:rPr>
            </w:pPr>
            <w:r>
              <w:rPr>
                <w:rFonts w:ascii="Arial" w:cs="Arial" w:eastAsia="Arial" w:hAnsi="Arial"/>
                <w:sz w:val="16"/>
                <w:szCs w:val="16"/>
                <w:color w:val="auto"/>
              </w:rPr>
              <w:t>41,040</w:t>
            </w:r>
          </w:p>
        </w:tc>
        <w:tc>
          <w:tcPr>
            <w:tcW w:w="120" w:type="dxa"/>
            <w:vAlign w:val="bottom"/>
            <w:shd w:val="clear" w:color="auto" w:fill="FCE9E8"/>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7,562,919</w:t>
            </w:r>
          </w:p>
        </w:tc>
      </w:tr>
      <w:tr>
        <w:trPr>
          <w:trHeight w:val="189"/>
        </w:trPr>
        <w:tc>
          <w:tcPr>
            <w:tcW w:w="6980" w:type="dxa"/>
            <w:vAlign w:val="bottom"/>
          </w:tcPr>
          <w:p>
            <w:pPr>
              <w:ind w:left="80"/>
              <w:spacing w:after="0"/>
              <w:rPr>
                <w:sz w:val="20"/>
                <w:szCs w:val="20"/>
                <w:color w:val="auto"/>
              </w:rPr>
            </w:pPr>
            <w:r>
              <w:rPr>
                <w:rFonts w:ascii="Arial" w:cs="Arial" w:eastAsia="Arial" w:hAnsi="Arial"/>
                <w:sz w:val="16"/>
                <w:szCs w:val="16"/>
                <w:color w:val="auto"/>
              </w:rPr>
              <w:t>Terrence B. Larkin</w:t>
            </w:r>
          </w:p>
        </w:tc>
        <w:tc>
          <w:tcPr>
            <w:tcW w:w="2460" w:type="dxa"/>
            <w:vAlign w:val="bottom"/>
          </w:tcPr>
          <w:p>
            <w:pPr>
              <w:jc w:val="right"/>
              <w:ind w:right="824"/>
              <w:spacing w:after="0"/>
              <w:rPr>
                <w:sz w:val="20"/>
                <w:szCs w:val="20"/>
                <w:color w:val="auto"/>
              </w:rPr>
            </w:pPr>
            <w:r>
              <w:rPr>
                <w:rFonts w:ascii="Arial" w:cs="Arial" w:eastAsia="Arial" w:hAnsi="Arial"/>
                <w:sz w:val="16"/>
                <w:szCs w:val="16"/>
                <w:color w:val="auto"/>
              </w:rPr>
              <w:t>41,040</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42"/>
              <w:spacing w:after="0"/>
              <w:rPr>
                <w:sz w:val="20"/>
                <w:szCs w:val="20"/>
                <w:color w:val="auto"/>
              </w:rPr>
            </w:pPr>
            <w:r>
              <w:rPr>
                <w:rFonts w:ascii="Arial" w:cs="Arial" w:eastAsia="Arial" w:hAnsi="Arial"/>
                <w:sz w:val="16"/>
                <w:szCs w:val="16"/>
                <w:color w:val="auto"/>
              </w:rPr>
              <w:t>7,562,919</w:t>
            </w:r>
          </w:p>
        </w:tc>
      </w:tr>
      <w:tr>
        <w:trPr>
          <w:trHeight w:val="189"/>
        </w:trPr>
        <w:tc>
          <w:tcPr>
            <w:tcW w:w="698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2460" w:type="dxa"/>
            <w:vAlign w:val="bottom"/>
            <w:shd w:val="clear" w:color="auto" w:fill="FCE9E8"/>
          </w:tcPr>
          <w:p>
            <w:pPr>
              <w:jc w:val="right"/>
              <w:ind w:right="824"/>
              <w:spacing w:after="0"/>
              <w:rPr>
                <w:sz w:val="20"/>
                <w:szCs w:val="20"/>
                <w:color w:val="auto"/>
              </w:rPr>
            </w:pPr>
            <w:r>
              <w:rPr>
                <w:rFonts w:ascii="Arial" w:cs="Arial" w:eastAsia="Arial" w:hAnsi="Arial"/>
                <w:sz w:val="16"/>
                <w:szCs w:val="16"/>
                <w:color w:val="auto"/>
              </w:rPr>
              <w:t>33,878</w:t>
            </w:r>
          </w:p>
        </w:tc>
        <w:tc>
          <w:tcPr>
            <w:tcW w:w="120" w:type="dxa"/>
            <w:vAlign w:val="bottom"/>
            <w:shd w:val="clear" w:color="auto" w:fill="FCE9E8"/>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6,254,931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80" w:hanging="316"/>
        <w:spacing w:after="0" w:line="183" w:lineRule="auto"/>
        <w:tabs>
          <w:tab w:leader="none" w:pos="52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Consists of 2014 RSU awards that vested on February 6, 2017, 2014 Career Shares that vested on November 19, 2017, and performance shares that vested based on performance during the three-year period ended December 31, 2017 (which were paid in 2018), in the following amounts: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2014</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E2231A"/>
              </w:rPr>
              <w:t>2015</w:t>
            </w:r>
          </w:p>
        </w:tc>
        <w:tc>
          <w:tcPr>
            <w:tcW w:w="22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E2231A"/>
              </w:rPr>
              <w:t>2015</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820" w:type="dxa"/>
            <w:vAlign w:val="bottom"/>
          </w:tcPr>
          <w:p>
            <w:pPr>
              <w:jc w:val="center"/>
              <w:ind w:left="708"/>
              <w:spacing w:after="0"/>
              <w:rPr>
                <w:sz w:val="20"/>
                <w:szCs w:val="20"/>
                <w:color w:val="auto"/>
              </w:rPr>
            </w:pPr>
            <w:r>
              <w:rPr>
                <w:rFonts w:ascii="Arial" w:cs="Arial" w:eastAsia="Arial" w:hAnsi="Arial"/>
                <w:sz w:val="14"/>
                <w:szCs w:val="14"/>
                <w:b w:val="1"/>
                <w:bCs w:val="1"/>
                <w:color w:val="E2231A"/>
              </w:rPr>
              <w:t>Number of</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2014</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Career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Performance</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E2231A"/>
              </w:rPr>
              <w:t>Performance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820" w:type="dxa"/>
            <w:vAlign w:val="bottom"/>
          </w:tcPr>
          <w:p>
            <w:pPr>
              <w:jc w:val="center"/>
              <w:ind w:left="708"/>
              <w:spacing w:after="0"/>
              <w:rPr>
                <w:sz w:val="20"/>
                <w:szCs w:val="20"/>
                <w:color w:val="auto"/>
              </w:rPr>
            </w:pPr>
            <w:r>
              <w:rPr>
                <w:rFonts w:ascii="Arial" w:cs="Arial" w:eastAsia="Arial" w:hAnsi="Arial"/>
                <w:sz w:val="14"/>
                <w:szCs w:val="14"/>
                <w:b w:val="1"/>
                <w:bCs w:val="1"/>
                <w:color w:val="E2231A"/>
              </w:rPr>
              <w:t>2014</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2014 RSU</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Career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Share Value</w:t>
            </w:r>
          </w:p>
        </w:tc>
        <w:tc>
          <w:tcPr>
            <w:tcW w:w="20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320" w:type="dxa"/>
            <w:vAlign w:val="bottom"/>
          </w:tcPr>
          <w:p>
            <w:pPr>
              <w:spacing w:after="0"/>
              <w:rPr>
                <w:sz w:val="14"/>
                <w:szCs w:val="14"/>
                <w:color w:val="auto"/>
              </w:rPr>
            </w:pPr>
          </w:p>
        </w:tc>
        <w:tc>
          <w:tcPr>
            <w:tcW w:w="1820" w:type="dxa"/>
            <w:vAlign w:val="bottom"/>
          </w:tcPr>
          <w:p>
            <w:pPr>
              <w:jc w:val="center"/>
              <w:ind w:left="688"/>
              <w:spacing w:after="0"/>
              <w:rPr>
                <w:sz w:val="20"/>
                <w:szCs w:val="20"/>
                <w:color w:val="auto"/>
              </w:rPr>
            </w:pPr>
            <w:r>
              <w:rPr>
                <w:rFonts w:ascii="Arial" w:cs="Arial" w:eastAsia="Arial" w:hAnsi="Arial"/>
                <w:sz w:val="14"/>
                <w:szCs w:val="14"/>
                <w:b w:val="1"/>
                <w:bCs w:val="1"/>
                <w:color w:val="E2231A"/>
              </w:rPr>
              <w:t>RSU</w:t>
            </w:r>
          </w:p>
        </w:tc>
        <w:tc>
          <w:tcPr>
            <w:tcW w:w="200" w:type="dxa"/>
            <w:vAlign w:val="bottom"/>
          </w:tcPr>
          <w:p>
            <w:pPr>
              <w:spacing w:after="0"/>
              <w:rPr>
                <w:sz w:val="14"/>
                <w:szCs w:val="14"/>
                <w:color w:val="auto"/>
              </w:rPr>
            </w:pPr>
          </w:p>
        </w:tc>
        <w:tc>
          <w:tcPr>
            <w:tcW w:w="760" w:type="dxa"/>
            <w:vAlign w:val="bottom"/>
          </w:tcPr>
          <w:p>
            <w:pPr>
              <w:jc w:val="center"/>
              <w:ind w:right="128"/>
              <w:spacing w:after="0"/>
              <w:rPr>
                <w:sz w:val="20"/>
                <w:szCs w:val="20"/>
                <w:color w:val="auto"/>
              </w:rPr>
            </w:pPr>
            <w:r>
              <w:rPr>
                <w:rFonts w:ascii="Arial" w:cs="Arial" w:eastAsia="Arial" w:hAnsi="Arial"/>
                <w:sz w:val="14"/>
                <w:szCs w:val="14"/>
                <w:b w:val="1"/>
                <w:bCs w:val="1"/>
                <w:color w:val="E2231A"/>
                <w:w w:val="96"/>
              </w:rPr>
              <w:t>Value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Value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Acquired</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Realized on</w:t>
            </w:r>
          </w:p>
        </w:tc>
        <w:tc>
          <w:tcPr>
            <w:tcW w:w="1040" w:type="dxa"/>
            <w:vAlign w:val="bottom"/>
            <w:gridSpan w:val="2"/>
          </w:tcPr>
          <w:p>
            <w:pPr>
              <w:jc w:val="center"/>
              <w:ind w:left="8"/>
              <w:spacing w:after="0"/>
              <w:rPr>
                <w:sz w:val="20"/>
                <w:szCs w:val="20"/>
                <w:color w:val="auto"/>
              </w:rPr>
            </w:pPr>
            <w:r>
              <w:rPr>
                <w:rFonts w:ascii="Arial" w:cs="Arial" w:eastAsia="Arial" w:hAnsi="Arial"/>
                <w:sz w:val="14"/>
                <w:szCs w:val="14"/>
                <w:b w:val="1"/>
                <w:bCs w:val="1"/>
                <w:color w:val="E2231A"/>
              </w:rPr>
              <w:t>RSU, Career</w:t>
            </w:r>
          </w:p>
        </w:tc>
      </w:tr>
      <w:tr>
        <w:trPr>
          <w:trHeight w:val="162"/>
        </w:trPr>
        <w:tc>
          <w:tcPr>
            <w:tcW w:w="2320" w:type="dxa"/>
            <w:vAlign w:val="bottom"/>
          </w:tcPr>
          <w:p>
            <w:pPr>
              <w:spacing w:after="0"/>
              <w:rPr>
                <w:sz w:val="14"/>
                <w:szCs w:val="14"/>
                <w:color w:val="auto"/>
              </w:rPr>
            </w:pPr>
          </w:p>
        </w:tc>
        <w:tc>
          <w:tcPr>
            <w:tcW w:w="1820" w:type="dxa"/>
            <w:vAlign w:val="bottom"/>
          </w:tcPr>
          <w:p>
            <w:pPr>
              <w:jc w:val="center"/>
              <w:ind w:left="708"/>
              <w:spacing w:after="0"/>
              <w:rPr>
                <w:sz w:val="20"/>
                <w:szCs w:val="20"/>
                <w:color w:val="auto"/>
              </w:rPr>
            </w:pPr>
            <w:r>
              <w:rPr>
                <w:rFonts w:ascii="Arial" w:cs="Arial" w:eastAsia="Arial" w:hAnsi="Arial"/>
                <w:sz w:val="14"/>
                <w:szCs w:val="14"/>
                <w:b w:val="1"/>
                <w:bCs w:val="1"/>
                <w:color w:val="E2231A"/>
              </w:rPr>
              <w:t>Shares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Realized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Acquired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Realized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On Vesting</w:t>
            </w:r>
          </w:p>
        </w:tc>
        <w:tc>
          <w:tcPr>
            <w:tcW w:w="220" w:type="dxa"/>
            <w:vAlign w:val="bottom"/>
          </w:tcPr>
          <w:p>
            <w:pPr>
              <w:spacing w:after="0"/>
              <w:rPr>
                <w:sz w:val="14"/>
                <w:szCs w:val="14"/>
                <w:color w:val="auto"/>
              </w:rPr>
            </w:pPr>
          </w:p>
        </w:tc>
        <w:tc>
          <w:tcPr>
            <w:tcW w:w="880" w:type="dxa"/>
            <w:vAlign w:val="bottom"/>
          </w:tcPr>
          <w:p>
            <w:pPr>
              <w:jc w:val="center"/>
              <w:ind w:right="168"/>
              <w:spacing w:after="0"/>
              <w:rPr>
                <w:sz w:val="20"/>
                <w:szCs w:val="20"/>
                <w:color w:val="auto"/>
              </w:rPr>
            </w:pPr>
            <w:r>
              <w:rPr>
                <w:rFonts w:ascii="Arial" w:cs="Arial" w:eastAsia="Arial" w:hAnsi="Arial"/>
                <w:sz w:val="14"/>
                <w:szCs w:val="14"/>
                <w:b w:val="1"/>
                <w:bCs w:val="1"/>
                <w:color w:val="E2231A"/>
              </w:rPr>
              <w:t>Vesting</w:t>
            </w:r>
          </w:p>
        </w:tc>
        <w:tc>
          <w:tcPr>
            <w:tcW w:w="20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E2231A"/>
              </w:rPr>
              <w:t>Share and</w:t>
            </w:r>
          </w:p>
        </w:tc>
      </w:tr>
      <w:tr>
        <w:trPr>
          <w:trHeight w:val="162"/>
        </w:trPr>
        <w:tc>
          <w:tcPr>
            <w:tcW w:w="2320" w:type="dxa"/>
            <w:vAlign w:val="bottom"/>
          </w:tcPr>
          <w:p>
            <w:pPr>
              <w:spacing w:after="0"/>
              <w:rPr>
                <w:sz w:val="14"/>
                <w:szCs w:val="14"/>
                <w:color w:val="auto"/>
              </w:rPr>
            </w:pPr>
          </w:p>
        </w:tc>
        <w:tc>
          <w:tcPr>
            <w:tcW w:w="1820" w:type="dxa"/>
            <w:vAlign w:val="bottom"/>
          </w:tcPr>
          <w:p>
            <w:pPr>
              <w:jc w:val="center"/>
              <w:ind w:left="708"/>
              <w:spacing w:after="0"/>
              <w:rPr>
                <w:sz w:val="20"/>
                <w:szCs w:val="20"/>
                <w:color w:val="auto"/>
              </w:rPr>
            </w:pPr>
            <w:r>
              <w:rPr>
                <w:rFonts w:ascii="Arial" w:cs="Arial" w:eastAsia="Arial" w:hAnsi="Arial"/>
                <w:sz w:val="14"/>
                <w:szCs w:val="14"/>
                <w:b w:val="1"/>
                <w:bCs w:val="1"/>
                <w:color w:val="E2231A"/>
              </w:rPr>
              <w:t>Acquired on</w:t>
            </w:r>
          </w:p>
        </w:tc>
        <w:tc>
          <w:tcPr>
            <w:tcW w:w="200" w:type="dxa"/>
            <w:vAlign w:val="bottom"/>
          </w:tcPr>
          <w:p>
            <w:pPr>
              <w:spacing w:after="0"/>
              <w:rPr>
                <w:sz w:val="14"/>
                <w:szCs w:val="14"/>
                <w:color w:val="auto"/>
              </w:rPr>
            </w:pPr>
          </w:p>
        </w:tc>
        <w:tc>
          <w:tcPr>
            <w:tcW w:w="760" w:type="dxa"/>
            <w:vAlign w:val="bottom"/>
          </w:tcPr>
          <w:p>
            <w:pPr>
              <w:jc w:val="center"/>
              <w:ind w:right="128"/>
              <w:spacing w:after="0"/>
              <w:rPr>
                <w:sz w:val="20"/>
                <w:szCs w:val="20"/>
                <w:color w:val="auto"/>
              </w:rPr>
            </w:pPr>
            <w:r>
              <w:rPr>
                <w:rFonts w:ascii="Arial" w:cs="Arial" w:eastAsia="Arial" w:hAnsi="Arial"/>
                <w:sz w:val="14"/>
                <w:szCs w:val="14"/>
                <w:b w:val="1"/>
                <w:bCs w:val="1"/>
                <w:color w:val="E2231A"/>
                <w:w w:val="93"/>
              </w:rPr>
              <w:t>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on</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E2231A"/>
              </w:rPr>
              <w:t>(2015-2017</w:t>
            </w:r>
          </w:p>
        </w:tc>
        <w:tc>
          <w:tcPr>
            <w:tcW w:w="11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E2231A"/>
              </w:rPr>
              <w:t>(2015-2017</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E2231A"/>
              </w:rPr>
              <w:t>Performance</w:t>
            </w:r>
          </w:p>
        </w:tc>
      </w:tr>
      <w:tr>
        <w:trPr>
          <w:trHeight w:val="189"/>
        </w:trPr>
        <w:tc>
          <w:tcPr>
            <w:tcW w:w="2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E2231A"/>
              </w:rPr>
              <w:t>Vesting</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E2231A"/>
              </w:rPr>
              <w:t>Vesting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8"/>
              </w:rPr>
              <w:t>Vesting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8"/>
              </w:rPr>
              <w:t>Vesting</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Awards)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E2231A"/>
              </w:rPr>
              <w:t>Awards)</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rPr>
              <w:t>Share Value</w:t>
            </w:r>
          </w:p>
        </w:tc>
      </w:tr>
      <w:tr>
        <w:trPr>
          <w:trHeight w:val="156"/>
        </w:trPr>
        <w:tc>
          <w:tcPr>
            <w:tcW w:w="2320" w:type="dxa"/>
            <w:vAlign w:val="bottom"/>
            <w:shd w:val="clear" w:color="auto" w:fill="FCE9E8"/>
          </w:tcPr>
          <w:p>
            <w:pPr>
              <w:ind w:left="60"/>
              <w:spacing w:after="0" w:line="155" w:lineRule="exact"/>
              <w:rPr>
                <w:sz w:val="20"/>
                <w:szCs w:val="20"/>
                <w:color w:val="auto"/>
              </w:rPr>
            </w:pPr>
            <w:r>
              <w:rPr>
                <w:rFonts w:ascii="Arial" w:cs="Arial" w:eastAsia="Arial" w:hAnsi="Arial"/>
                <w:sz w:val="14"/>
                <w:szCs w:val="14"/>
                <w:color w:val="auto"/>
              </w:rPr>
              <w:t>Matthew J. Simoncini</w:t>
            </w:r>
          </w:p>
        </w:tc>
        <w:tc>
          <w:tcPr>
            <w:tcW w:w="1820" w:type="dxa"/>
            <w:vAlign w:val="bottom"/>
            <w:shd w:val="clear" w:color="auto" w:fill="FCE9E8"/>
          </w:tcPr>
          <w:p>
            <w:pPr>
              <w:jc w:val="right"/>
              <w:ind w:right="28"/>
              <w:spacing w:after="0" w:line="155" w:lineRule="exact"/>
              <w:rPr>
                <w:sz w:val="20"/>
                <w:szCs w:val="20"/>
                <w:color w:val="auto"/>
              </w:rPr>
            </w:pPr>
            <w:r>
              <w:rPr>
                <w:rFonts w:ascii="Arial" w:cs="Arial" w:eastAsia="Arial" w:hAnsi="Arial"/>
                <w:sz w:val="14"/>
                <w:szCs w:val="14"/>
                <w:color w:val="auto"/>
              </w:rPr>
              <w:t>22,381</w:t>
            </w:r>
          </w:p>
        </w:tc>
        <w:tc>
          <w:tcPr>
            <w:tcW w:w="200" w:type="dxa"/>
            <w:vAlign w:val="bottom"/>
            <w:shd w:val="clear" w:color="auto" w:fill="FCE9E8"/>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FCE9E8"/>
          </w:tcPr>
          <w:p>
            <w:pPr>
              <w:jc w:val="right"/>
              <w:ind w:right="48"/>
              <w:spacing w:after="0" w:line="155" w:lineRule="exact"/>
              <w:rPr>
                <w:sz w:val="20"/>
                <w:szCs w:val="20"/>
                <w:color w:val="auto"/>
              </w:rPr>
            </w:pPr>
            <w:r>
              <w:rPr>
                <w:rFonts w:ascii="Arial" w:cs="Arial" w:eastAsia="Arial" w:hAnsi="Arial"/>
                <w:sz w:val="14"/>
                <w:szCs w:val="14"/>
                <w:color w:val="auto"/>
                <w:w w:val="99"/>
              </w:rPr>
              <w:t>3,164,673</w:t>
            </w:r>
          </w:p>
        </w:tc>
        <w:tc>
          <w:tcPr>
            <w:tcW w:w="940" w:type="dxa"/>
            <w:vAlign w:val="bottom"/>
            <w:shd w:val="clear" w:color="auto" w:fill="FCE9E8"/>
          </w:tcPr>
          <w:p>
            <w:pPr>
              <w:jc w:val="right"/>
              <w:ind w:right="28"/>
              <w:spacing w:after="0" w:line="155" w:lineRule="exact"/>
              <w:rPr>
                <w:sz w:val="20"/>
                <w:szCs w:val="20"/>
                <w:color w:val="auto"/>
              </w:rPr>
            </w:pPr>
            <w:r>
              <w:rPr>
                <w:rFonts w:ascii="Arial" w:cs="Arial" w:eastAsia="Arial" w:hAnsi="Arial"/>
                <w:sz w:val="14"/>
                <w:szCs w:val="14"/>
                <w:color w:val="auto"/>
              </w:rPr>
              <w:t>5,287</w:t>
            </w:r>
          </w:p>
        </w:tc>
        <w:tc>
          <w:tcPr>
            <w:tcW w:w="820" w:type="dxa"/>
            <w:vAlign w:val="bottom"/>
            <w:shd w:val="clear" w:color="auto" w:fill="FCE9E8"/>
          </w:tcPr>
          <w:p>
            <w:pPr>
              <w:jc w:val="center"/>
              <w:spacing w:after="0" w:line="155" w:lineRule="exact"/>
              <w:rPr>
                <w:sz w:val="20"/>
                <w:szCs w:val="20"/>
                <w:color w:val="auto"/>
              </w:rPr>
            </w:pPr>
            <w:r>
              <w:rPr>
                <w:rFonts w:ascii="Arial" w:cs="Arial" w:eastAsia="Arial" w:hAnsi="Arial"/>
                <w:sz w:val="14"/>
                <w:szCs w:val="14"/>
                <w:color w:val="auto"/>
              </w:rPr>
              <w:t>$924,591</w:t>
            </w:r>
          </w:p>
        </w:tc>
        <w:tc>
          <w:tcPr>
            <w:tcW w:w="1120" w:type="dxa"/>
            <w:vAlign w:val="bottom"/>
            <w:shd w:val="clear" w:color="auto" w:fill="FCE9E8"/>
          </w:tcPr>
          <w:p>
            <w:pPr>
              <w:jc w:val="right"/>
              <w:ind w:right="48"/>
              <w:spacing w:after="0" w:line="155" w:lineRule="exact"/>
              <w:rPr>
                <w:sz w:val="20"/>
                <w:szCs w:val="20"/>
                <w:color w:val="auto"/>
              </w:rPr>
            </w:pPr>
            <w:r>
              <w:rPr>
                <w:rFonts w:ascii="Arial" w:cs="Arial" w:eastAsia="Arial" w:hAnsi="Arial"/>
                <w:sz w:val="14"/>
                <w:szCs w:val="14"/>
                <w:color w:val="auto"/>
              </w:rPr>
              <w:t>114,912</w:t>
            </w:r>
          </w:p>
        </w:tc>
        <w:tc>
          <w:tcPr>
            <w:tcW w:w="220" w:type="dxa"/>
            <w:vAlign w:val="bottom"/>
            <w:shd w:val="clear" w:color="auto" w:fill="FCE9E8"/>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28"/>
              <w:spacing w:after="0" w:line="155" w:lineRule="exact"/>
              <w:rPr>
                <w:sz w:val="20"/>
                <w:szCs w:val="20"/>
                <w:color w:val="auto"/>
              </w:rPr>
            </w:pPr>
            <w:r>
              <w:rPr>
                <w:rFonts w:ascii="Arial" w:cs="Arial" w:eastAsia="Arial" w:hAnsi="Arial"/>
                <w:sz w:val="14"/>
                <w:szCs w:val="14"/>
                <w:color w:val="auto"/>
              </w:rPr>
              <w:t>21,720,666</w:t>
            </w:r>
          </w:p>
        </w:tc>
        <w:tc>
          <w:tcPr>
            <w:tcW w:w="200" w:type="dxa"/>
            <w:vAlign w:val="bottom"/>
            <w:shd w:val="clear" w:color="auto" w:fill="FCE9E8"/>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spacing w:after="0" w:line="155" w:lineRule="exact"/>
              <w:rPr>
                <w:sz w:val="20"/>
                <w:szCs w:val="20"/>
                <w:color w:val="auto"/>
              </w:rPr>
            </w:pPr>
            <w:r>
              <w:rPr>
                <w:rFonts w:ascii="Arial" w:cs="Arial" w:eastAsia="Arial" w:hAnsi="Arial"/>
                <w:sz w:val="14"/>
                <w:szCs w:val="14"/>
                <w:color w:val="auto"/>
              </w:rPr>
              <w:t>25,809,930</w:t>
            </w:r>
          </w:p>
        </w:tc>
      </w:tr>
      <w:tr>
        <w:trPr>
          <w:trHeight w:val="162"/>
        </w:trPr>
        <w:tc>
          <w:tcPr>
            <w:tcW w:w="2320" w:type="dxa"/>
            <w:vAlign w:val="bottom"/>
          </w:tcPr>
          <w:p>
            <w:pPr>
              <w:ind w:left="60"/>
              <w:spacing w:after="0"/>
              <w:rPr>
                <w:sz w:val="20"/>
                <w:szCs w:val="20"/>
                <w:color w:val="auto"/>
              </w:rPr>
            </w:pPr>
            <w:r>
              <w:rPr>
                <w:rFonts w:ascii="Arial" w:cs="Arial" w:eastAsia="Arial" w:hAnsi="Arial"/>
                <w:sz w:val="14"/>
                <w:szCs w:val="14"/>
                <w:color w:val="auto"/>
              </w:rPr>
              <w:t>Jeffrey H. Vanneste</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5,894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833,412</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2,114</w:t>
            </w:r>
          </w:p>
        </w:tc>
        <w:tc>
          <w:tcPr>
            <w:tcW w:w="820" w:type="dxa"/>
            <w:vAlign w:val="bottom"/>
          </w:tcPr>
          <w:p>
            <w:pPr>
              <w:jc w:val="center"/>
              <w:spacing w:after="0"/>
              <w:rPr>
                <w:sz w:val="20"/>
                <w:szCs w:val="20"/>
                <w:color w:val="auto"/>
              </w:rPr>
            </w:pPr>
            <w:r>
              <w:rPr>
                <w:rFonts w:ascii="Arial" w:cs="Arial" w:eastAsia="Arial" w:hAnsi="Arial"/>
                <w:sz w:val="14"/>
                <w:szCs w:val="14"/>
                <w:color w:val="auto"/>
              </w:rPr>
              <w:t>$369,696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28,128</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5,316,755</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6,519,863</w:t>
            </w:r>
          </w:p>
        </w:tc>
      </w:tr>
      <w:tr>
        <w:trPr>
          <w:trHeight w:val="162"/>
        </w:trPr>
        <w:tc>
          <w:tcPr>
            <w:tcW w:w="2320" w:type="dxa"/>
            <w:vAlign w:val="bottom"/>
            <w:shd w:val="clear" w:color="auto" w:fill="FCE9E8"/>
          </w:tcPr>
          <w:p>
            <w:pPr>
              <w:ind w:left="60"/>
              <w:spacing w:after="0"/>
              <w:rPr>
                <w:sz w:val="20"/>
                <w:szCs w:val="20"/>
                <w:color w:val="auto"/>
              </w:rPr>
            </w:pPr>
            <w:r>
              <w:rPr>
                <w:rFonts w:ascii="Arial" w:cs="Arial" w:eastAsia="Arial" w:hAnsi="Arial"/>
                <w:sz w:val="14"/>
                <w:szCs w:val="14"/>
                <w:color w:val="auto"/>
              </w:rPr>
              <w:t>Raymond E. Scott</w:t>
            </w:r>
          </w:p>
        </w:tc>
        <w:tc>
          <w:tcPr>
            <w:tcW w:w="1820" w:type="dxa"/>
            <w:vAlign w:val="bottom"/>
            <w:shd w:val="clear" w:color="auto" w:fill="FCE9E8"/>
          </w:tcPr>
          <w:p>
            <w:pPr>
              <w:jc w:val="right"/>
              <w:ind w:right="28"/>
              <w:spacing w:after="0"/>
              <w:rPr>
                <w:sz w:val="20"/>
                <w:szCs w:val="20"/>
                <w:color w:val="auto"/>
              </w:rPr>
            </w:pPr>
            <w:r>
              <w:rPr>
                <w:rFonts w:ascii="Arial" w:cs="Arial" w:eastAsia="Arial" w:hAnsi="Arial"/>
                <w:sz w:val="14"/>
                <w:szCs w:val="14"/>
                <w:color w:val="auto"/>
              </w:rPr>
              <w:t>7,054</w:t>
            </w:r>
          </w:p>
        </w:tc>
        <w:tc>
          <w:tcPr>
            <w:tcW w:w="2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997,436</w:t>
            </w:r>
          </w:p>
        </w:tc>
        <w:tc>
          <w:tcPr>
            <w:tcW w:w="940" w:type="dxa"/>
            <w:vAlign w:val="bottom"/>
            <w:shd w:val="clear" w:color="auto" w:fill="FCE9E8"/>
          </w:tcPr>
          <w:p>
            <w:pPr>
              <w:jc w:val="right"/>
              <w:ind w:right="28"/>
              <w:spacing w:after="0"/>
              <w:rPr>
                <w:sz w:val="20"/>
                <w:szCs w:val="20"/>
                <w:color w:val="auto"/>
              </w:rPr>
            </w:pPr>
            <w:r>
              <w:rPr>
                <w:rFonts w:ascii="Arial" w:cs="Arial" w:eastAsia="Arial" w:hAnsi="Arial"/>
                <w:sz w:val="14"/>
                <w:szCs w:val="14"/>
                <w:color w:val="auto"/>
              </w:rPr>
              <w:t>2,114</w:t>
            </w:r>
          </w:p>
        </w:tc>
        <w:tc>
          <w:tcPr>
            <w:tcW w:w="82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$369,696</w:t>
            </w:r>
          </w:p>
        </w:tc>
        <w:tc>
          <w:tcPr>
            <w:tcW w:w="112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31,872</w:t>
            </w:r>
          </w:p>
        </w:tc>
        <w:tc>
          <w:tcPr>
            <w:tcW w:w="220" w:type="dxa"/>
            <w:vAlign w:val="bottom"/>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28"/>
              <w:spacing w:after="0"/>
              <w:rPr>
                <w:sz w:val="20"/>
                <w:szCs w:val="20"/>
                <w:color w:val="auto"/>
              </w:rPr>
            </w:pPr>
            <w:r>
              <w:rPr>
                <w:rFonts w:ascii="Arial" w:cs="Arial" w:eastAsia="Arial" w:hAnsi="Arial"/>
                <w:sz w:val="14"/>
                <w:szCs w:val="14"/>
                <w:color w:val="auto"/>
              </w:rPr>
              <w:t>6,024,445</w:t>
            </w:r>
          </w:p>
        </w:tc>
        <w:tc>
          <w:tcPr>
            <w:tcW w:w="200" w:type="dxa"/>
            <w:vAlign w:val="bottom"/>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7,391,577</w:t>
            </w:r>
          </w:p>
        </w:tc>
      </w:tr>
      <w:tr>
        <w:trPr>
          <w:trHeight w:val="162"/>
        </w:trPr>
        <w:tc>
          <w:tcPr>
            <w:tcW w:w="2320" w:type="dxa"/>
            <w:vAlign w:val="bottom"/>
          </w:tcPr>
          <w:p>
            <w:pPr>
              <w:ind w:left="60"/>
              <w:spacing w:after="0"/>
              <w:rPr>
                <w:sz w:val="20"/>
                <w:szCs w:val="20"/>
                <w:color w:val="auto"/>
              </w:rPr>
            </w:pPr>
            <w:r>
              <w:rPr>
                <w:rFonts w:ascii="Arial" w:cs="Arial" w:eastAsia="Arial" w:hAnsi="Arial"/>
                <w:sz w:val="14"/>
                <w:szCs w:val="14"/>
                <w:color w:val="auto"/>
              </w:rPr>
              <w:t>Terrence B. Larkin</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7,054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997,436</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2,114</w:t>
            </w:r>
          </w:p>
        </w:tc>
        <w:tc>
          <w:tcPr>
            <w:tcW w:w="820" w:type="dxa"/>
            <w:vAlign w:val="bottom"/>
          </w:tcPr>
          <w:p>
            <w:pPr>
              <w:jc w:val="center"/>
              <w:spacing w:after="0"/>
              <w:rPr>
                <w:sz w:val="20"/>
                <w:szCs w:val="20"/>
                <w:color w:val="auto"/>
              </w:rPr>
            </w:pPr>
            <w:r>
              <w:rPr>
                <w:rFonts w:ascii="Arial" w:cs="Arial" w:eastAsia="Arial" w:hAnsi="Arial"/>
                <w:sz w:val="14"/>
                <w:szCs w:val="14"/>
                <w:color w:val="auto"/>
              </w:rPr>
              <w:t>$369,696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31,872</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6,024,445</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7,391,577</w:t>
            </w:r>
          </w:p>
        </w:tc>
      </w:tr>
      <w:tr>
        <w:trPr>
          <w:trHeight w:val="162"/>
        </w:trPr>
        <w:tc>
          <w:tcPr>
            <w:tcW w:w="232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4"/>
                <w:szCs w:val="14"/>
                <w:color w:val="auto"/>
              </w:rPr>
              <w:t>Frank C. Orsini</w:t>
            </w:r>
          </w:p>
        </w:tc>
        <w:tc>
          <w:tcPr>
            <w:tcW w:w="1820" w:type="dxa"/>
            <w:vAlign w:val="bottom"/>
            <w:tcBorders>
              <w:bottom w:val="single" w:sz="8" w:color="auto"/>
            </w:tcBorders>
            <w:shd w:val="clear" w:color="auto" w:fill="FCE9E8"/>
          </w:tcPr>
          <w:p>
            <w:pPr>
              <w:jc w:val="right"/>
              <w:ind w:right="28"/>
              <w:spacing w:after="0"/>
              <w:rPr>
                <w:sz w:val="20"/>
                <w:szCs w:val="20"/>
                <w:color w:val="auto"/>
              </w:rPr>
            </w:pPr>
            <w:r>
              <w:rPr>
                <w:rFonts w:ascii="Arial" w:cs="Arial" w:eastAsia="Arial" w:hAnsi="Arial"/>
                <w:sz w:val="14"/>
                <w:szCs w:val="14"/>
                <w:color w:val="auto"/>
              </w:rPr>
              <w:t>5,722</w:t>
            </w:r>
          </w:p>
        </w:tc>
        <w:tc>
          <w:tcPr>
            <w:tcW w:w="2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809,091</w:t>
            </w:r>
          </w:p>
        </w:tc>
        <w:tc>
          <w:tcPr>
            <w:tcW w:w="940" w:type="dxa"/>
            <w:vAlign w:val="bottom"/>
            <w:tcBorders>
              <w:bottom w:val="single" w:sz="8" w:color="auto"/>
            </w:tcBorders>
            <w:shd w:val="clear" w:color="auto" w:fill="FCE9E8"/>
          </w:tcPr>
          <w:p>
            <w:pPr>
              <w:jc w:val="right"/>
              <w:ind w:right="28"/>
              <w:spacing w:after="0"/>
              <w:rPr>
                <w:sz w:val="20"/>
                <w:szCs w:val="20"/>
                <w:color w:val="auto"/>
              </w:rPr>
            </w:pPr>
            <w:r>
              <w:rPr>
                <w:rFonts w:ascii="Arial" w:cs="Arial" w:eastAsia="Arial" w:hAnsi="Arial"/>
                <w:sz w:val="14"/>
                <w:szCs w:val="14"/>
                <w:color w:val="auto"/>
              </w:rPr>
              <w:t>1,268</w:t>
            </w:r>
          </w:p>
        </w:tc>
        <w:tc>
          <w:tcPr>
            <w:tcW w:w="82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4"/>
                <w:szCs w:val="14"/>
                <w:color w:val="auto"/>
              </w:rPr>
              <w:t>$221,748</w:t>
            </w:r>
          </w:p>
        </w:tc>
        <w:tc>
          <w:tcPr>
            <w:tcW w:w="112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26,888</w:t>
            </w:r>
          </w:p>
        </w:tc>
        <w:tc>
          <w:tcPr>
            <w:tcW w:w="22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CE9E8"/>
          </w:tcPr>
          <w:p>
            <w:pPr>
              <w:jc w:val="right"/>
              <w:ind w:right="28"/>
              <w:spacing w:after="0"/>
              <w:rPr>
                <w:sz w:val="20"/>
                <w:szCs w:val="20"/>
                <w:color w:val="auto"/>
              </w:rPr>
            </w:pPr>
            <w:r>
              <w:rPr>
                <w:rFonts w:ascii="Arial" w:cs="Arial" w:eastAsia="Arial" w:hAnsi="Arial"/>
                <w:sz w:val="14"/>
                <w:szCs w:val="14"/>
                <w:color w:val="auto"/>
              </w:rPr>
              <w:t>5,082,370</w:t>
            </w:r>
          </w:p>
        </w:tc>
        <w:tc>
          <w:tcPr>
            <w:tcW w:w="20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6,113,209</w:t>
            </w:r>
          </w:p>
        </w:tc>
      </w:tr>
    </w:tbl>
    <w:p>
      <w:pPr>
        <w:spacing w:after="0" w:line="126" w:lineRule="exact"/>
        <w:rPr>
          <w:sz w:val="20"/>
          <w:szCs w:val="20"/>
          <w:color w:val="auto"/>
        </w:rPr>
      </w:pPr>
    </w:p>
    <w:p>
      <w:pPr>
        <w:ind w:left="660" w:hanging="354"/>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90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82" w:lineRule="exact"/>
        <w:rPr>
          <w:sz w:val="20"/>
          <w:szCs w:val="20"/>
          <w:color w:val="auto"/>
        </w:rPr>
      </w:pPr>
    </w:p>
    <w:p>
      <w:pPr>
        <w:ind w:left="520" w:hanging="316"/>
        <w:spacing w:after="0"/>
        <w:tabs>
          <w:tab w:leader="none" w:pos="52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Includes dividend equivalent payments, including interest, in the following amounts:</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8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E2231A"/>
              </w:rPr>
              <w:t>2015 Performance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440" w:type="dxa"/>
            <w:vAlign w:val="bottom"/>
          </w:tcPr>
          <w:p>
            <w:pPr>
              <w:spacing w:after="0"/>
              <w:rPr>
                <w:sz w:val="14"/>
                <w:szCs w:val="14"/>
                <w:color w:val="auto"/>
              </w:rPr>
            </w:pPr>
          </w:p>
        </w:tc>
        <w:tc>
          <w:tcPr>
            <w:tcW w:w="2140" w:type="dxa"/>
            <w:vAlign w:val="bottom"/>
            <w:gridSpan w:val="2"/>
          </w:tcPr>
          <w:p>
            <w:pPr>
              <w:ind w:left="920"/>
              <w:spacing w:after="0"/>
              <w:rPr>
                <w:sz w:val="20"/>
                <w:szCs w:val="20"/>
                <w:color w:val="auto"/>
              </w:rPr>
            </w:pPr>
            <w:r>
              <w:rPr>
                <w:rFonts w:ascii="Arial" w:cs="Arial" w:eastAsia="Arial" w:hAnsi="Arial"/>
                <w:sz w:val="14"/>
                <w:szCs w:val="14"/>
                <w:b w:val="1"/>
                <w:bCs w:val="1"/>
                <w:color w:val="E2231A"/>
              </w:rPr>
              <w:t>2014 RSU</w:t>
            </w:r>
          </w:p>
        </w:tc>
        <w:tc>
          <w:tcPr>
            <w:tcW w:w="2240" w:type="dxa"/>
            <w:vAlign w:val="bottom"/>
            <w:gridSpan w:val="2"/>
          </w:tcPr>
          <w:p>
            <w:pPr>
              <w:ind w:left="480"/>
              <w:spacing w:after="0"/>
              <w:rPr>
                <w:sz w:val="20"/>
                <w:szCs w:val="20"/>
                <w:color w:val="auto"/>
              </w:rPr>
            </w:pPr>
            <w:r>
              <w:rPr>
                <w:rFonts w:ascii="Arial" w:cs="Arial" w:eastAsia="Arial" w:hAnsi="Arial"/>
                <w:sz w:val="14"/>
                <w:szCs w:val="14"/>
                <w:b w:val="1"/>
                <w:bCs w:val="1"/>
                <w:color w:val="E2231A"/>
              </w:rPr>
              <w:t>2014 Career Share</w:t>
            </w:r>
          </w:p>
        </w:tc>
        <w:tc>
          <w:tcPr>
            <w:tcW w:w="580" w:type="dxa"/>
            <w:vAlign w:val="bottom"/>
          </w:tcPr>
          <w:p>
            <w:pPr>
              <w:spacing w:after="0"/>
              <w:rPr>
                <w:sz w:val="14"/>
                <w:szCs w:val="14"/>
                <w:color w:val="auto"/>
              </w:rPr>
            </w:pPr>
          </w:p>
        </w:tc>
        <w:tc>
          <w:tcPr>
            <w:tcW w:w="1800" w:type="dxa"/>
            <w:vAlign w:val="bottom"/>
          </w:tcPr>
          <w:p>
            <w:pPr>
              <w:jc w:val="center"/>
              <w:ind w:right="602"/>
              <w:spacing w:after="0"/>
              <w:rPr>
                <w:sz w:val="20"/>
                <w:szCs w:val="20"/>
                <w:color w:val="auto"/>
              </w:rPr>
            </w:pPr>
            <w:r>
              <w:rPr>
                <w:rFonts w:ascii="Arial" w:cs="Arial" w:eastAsia="Arial" w:hAnsi="Arial"/>
                <w:sz w:val="14"/>
                <w:szCs w:val="14"/>
                <w:b w:val="1"/>
                <w:bCs w:val="1"/>
                <w:color w:val="E2231A"/>
              </w:rPr>
              <w:t>Share Dividend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Dividend</w:t>
            </w:r>
          </w:p>
        </w:tc>
      </w:tr>
      <w:tr>
        <w:trPr>
          <w:trHeight w:val="162"/>
        </w:trPr>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500"/>
              <w:spacing w:after="0"/>
              <w:rPr>
                <w:sz w:val="20"/>
                <w:szCs w:val="20"/>
                <w:color w:val="auto"/>
              </w:rPr>
            </w:pPr>
            <w:r>
              <w:rPr>
                <w:rFonts w:ascii="Arial" w:cs="Arial" w:eastAsia="Arial" w:hAnsi="Arial"/>
                <w:sz w:val="14"/>
                <w:szCs w:val="14"/>
                <w:b w:val="1"/>
                <w:bCs w:val="1"/>
                <w:color w:val="E2231A"/>
              </w:rPr>
              <w:t>Dividend</w:t>
            </w:r>
          </w:p>
        </w:tc>
        <w:tc>
          <w:tcPr>
            <w:tcW w:w="640" w:type="dxa"/>
            <w:vAlign w:val="bottom"/>
          </w:tcPr>
          <w:p>
            <w:pPr>
              <w:spacing w:after="0"/>
              <w:rPr>
                <w:sz w:val="14"/>
                <w:szCs w:val="14"/>
                <w:color w:val="auto"/>
              </w:rPr>
            </w:pPr>
          </w:p>
        </w:tc>
        <w:tc>
          <w:tcPr>
            <w:tcW w:w="1600" w:type="dxa"/>
            <w:vAlign w:val="bottom"/>
          </w:tcPr>
          <w:p>
            <w:pPr>
              <w:jc w:val="right"/>
              <w:ind w:right="742"/>
              <w:spacing w:after="0"/>
              <w:rPr>
                <w:sz w:val="20"/>
                <w:szCs w:val="20"/>
                <w:color w:val="auto"/>
              </w:rPr>
            </w:pPr>
            <w:r>
              <w:rPr>
                <w:rFonts w:ascii="Arial" w:cs="Arial" w:eastAsia="Arial" w:hAnsi="Arial"/>
                <w:sz w:val="14"/>
                <w:szCs w:val="14"/>
                <w:b w:val="1"/>
                <w:bCs w:val="1"/>
                <w:color w:val="E2231A"/>
              </w:rPr>
              <w:t>Dividend</w:t>
            </w:r>
          </w:p>
        </w:tc>
        <w:tc>
          <w:tcPr>
            <w:tcW w:w="580" w:type="dxa"/>
            <w:vAlign w:val="bottom"/>
          </w:tcPr>
          <w:p>
            <w:pPr>
              <w:spacing w:after="0"/>
              <w:rPr>
                <w:sz w:val="14"/>
                <w:szCs w:val="14"/>
                <w:color w:val="auto"/>
              </w:rPr>
            </w:pPr>
          </w:p>
        </w:tc>
        <w:tc>
          <w:tcPr>
            <w:tcW w:w="1800" w:type="dxa"/>
            <w:vAlign w:val="bottom"/>
          </w:tcPr>
          <w:p>
            <w:pPr>
              <w:jc w:val="center"/>
              <w:ind w:right="602"/>
              <w:spacing w:after="0"/>
              <w:rPr>
                <w:sz w:val="20"/>
                <w:szCs w:val="20"/>
                <w:color w:val="auto"/>
              </w:rPr>
            </w:pPr>
            <w:r>
              <w:rPr>
                <w:rFonts w:ascii="Arial" w:cs="Arial" w:eastAsia="Arial" w:hAnsi="Arial"/>
                <w:sz w:val="14"/>
                <w:szCs w:val="14"/>
                <w:b w:val="1"/>
                <w:bCs w:val="1"/>
                <w:color w:val="E2231A"/>
              </w:rPr>
              <w:t>Equivalents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E2231A"/>
              </w:rPr>
              <w:t>Equivalent</w:t>
            </w:r>
          </w:p>
        </w:tc>
      </w:tr>
      <w:tr>
        <w:trPr>
          <w:trHeight w:val="175"/>
        </w:trPr>
        <w:tc>
          <w:tcPr>
            <w:tcW w:w="24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E2231A"/>
              </w:rPr>
              <w:t>Equivalents</w:t>
            </w: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E2231A"/>
              </w:rPr>
              <w:t>Equivalents</w:t>
            </w:r>
          </w:p>
        </w:tc>
        <w:tc>
          <w:tcPr>
            <w:tcW w:w="238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E2231A"/>
              </w:rPr>
              <w:t>(2015-2017 Awards)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Payments</w:t>
            </w:r>
          </w:p>
        </w:tc>
      </w:tr>
      <w:tr>
        <w:trPr>
          <w:trHeight w:val="183"/>
        </w:trPr>
        <w:tc>
          <w:tcPr>
            <w:tcW w:w="244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Matthew J. Simoncini</w:t>
            </w:r>
          </w:p>
        </w:tc>
        <w:tc>
          <w:tcPr>
            <w:tcW w:w="940" w:type="dxa"/>
            <w:vAlign w:val="bottom"/>
            <w:shd w:val="clear" w:color="auto" w:fill="FCE9E8"/>
          </w:tcPr>
          <w:p>
            <w:pPr>
              <w:ind w:left="8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FCE9E8"/>
          </w:tcPr>
          <w:p>
            <w:pPr>
              <w:jc w:val="right"/>
              <w:ind w:right="400"/>
              <w:spacing w:after="0" w:line="183" w:lineRule="exact"/>
              <w:rPr>
                <w:sz w:val="20"/>
                <w:szCs w:val="20"/>
                <w:color w:val="auto"/>
              </w:rPr>
            </w:pPr>
            <w:r>
              <w:rPr>
                <w:rFonts w:ascii="Arial" w:cs="Arial" w:eastAsia="Arial" w:hAnsi="Arial"/>
                <w:sz w:val="16"/>
                <w:szCs w:val="16"/>
                <w:color w:val="auto"/>
              </w:rPr>
              <w:t>70,325</w:t>
            </w:r>
          </w:p>
        </w:tc>
        <w:tc>
          <w:tcPr>
            <w:tcW w:w="640" w:type="dxa"/>
            <w:vAlign w:val="bottom"/>
            <w:shd w:val="clear" w:color="auto" w:fill="FCE9E8"/>
          </w:tcPr>
          <w:p>
            <w:pPr>
              <w:ind w:left="480"/>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FCE9E8"/>
          </w:tcPr>
          <w:p>
            <w:pPr>
              <w:jc w:val="right"/>
              <w:ind w:right="402"/>
              <w:spacing w:after="0" w:line="183" w:lineRule="exact"/>
              <w:rPr>
                <w:sz w:val="20"/>
                <w:szCs w:val="20"/>
                <w:color w:val="auto"/>
              </w:rPr>
            </w:pPr>
            <w:r>
              <w:rPr>
                <w:rFonts w:ascii="Arial" w:cs="Arial" w:eastAsia="Arial" w:hAnsi="Arial"/>
                <w:sz w:val="16"/>
                <w:szCs w:val="16"/>
                <w:color w:val="auto"/>
              </w:rPr>
              <w:t>21,604</w:t>
            </w:r>
          </w:p>
        </w:tc>
        <w:tc>
          <w:tcPr>
            <w:tcW w:w="580" w:type="dxa"/>
            <w:vAlign w:val="bottom"/>
            <w:shd w:val="clear" w:color="auto" w:fill="FCE9E8"/>
          </w:tcPr>
          <w:p>
            <w:pPr>
              <w:ind w:left="480"/>
              <w:spacing w:after="0" w:line="183" w:lineRule="exact"/>
              <w:rPr>
                <w:sz w:val="20"/>
                <w:szCs w:val="20"/>
                <w:color w:val="auto"/>
              </w:rPr>
            </w:pPr>
            <w:r>
              <w:rPr>
                <w:rFonts w:ascii="Arial" w:cs="Arial" w:eastAsia="Arial" w:hAnsi="Arial"/>
                <w:sz w:val="16"/>
                <w:szCs w:val="16"/>
                <w:color w:val="auto"/>
                <w:w w:val="89"/>
              </w:rPr>
              <w:t>$</w:t>
            </w:r>
          </w:p>
        </w:tc>
        <w:tc>
          <w:tcPr>
            <w:tcW w:w="1800" w:type="dxa"/>
            <w:vAlign w:val="bottom"/>
            <w:shd w:val="clear" w:color="auto" w:fill="FCE9E8"/>
          </w:tcPr>
          <w:p>
            <w:pPr>
              <w:jc w:val="right"/>
              <w:ind w:right="502"/>
              <w:spacing w:after="0" w:line="183" w:lineRule="exact"/>
              <w:rPr>
                <w:sz w:val="20"/>
                <w:szCs w:val="20"/>
                <w:color w:val="auto"/>
              </w:rPr>
            </w:pPr>
            <w:r>
              <w:rPr>
                <w:rFonts w:ascii="Arial" w:cs="Arial" w:eastAsia="Arial" w:hAnsi="Arial"/>
                <w:sz w:val="16"/>
                <w:szCs w:val="16"/>
                <w:color w:val="auto"/>
              </w:rPr>
              <w:t>506,704</w:t>
            </w:r>
          </w:p>
        </w:tc>
        <w:tc>
          <w:tcPr>
            <w:tcW w:w="1820" w:type="dxa"/>
            <w:vAlign w:val="bottom"/>
            <w:shd w:val="clear" w:color="auto" w:fill="FCE9E8"/>
          </w:tcPr>
          <w:p>
            <w:pPr>
              <w:jc w:val="center"/>
              <w:spacing w:after="0" w:line="183" w:lineRule="exact"/>
              <w:rPr>
                <w:sz w:val="20"/>
                <w:szCs w:val="20"/>
                <w:color w:val="auto"/>
              </w:rPr>
            </w:pPr>
            <w:r>
              <w:rPr>
                <w:rFonts w:ascii="Arial" w:cs="Arial" w:eastAsia="Arial" w:hAnsi="Arial"/>
                <w:sz w:val="16"/>
                <w:szCs w:val="16"/>
                <w:color w:val="auto"/>
              </w:rPr>
              <w:t>$ 598,633</w:t>
            </w:r>
          </w:p>
        </w:tc>
      </w:tr>
      <w:tr>
        <w:trPr>
          <w:trHeight w:val="189"/>
        </w:trPr>
        <w:tc>
          <w:tcPr>
            <w:tcW w:w="244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940" w:type="dxa"/>
            <w:vAlign w:val="bottom"/>
          </w:tcPr>
          <w:p>
            <w:pPr>
              <w:ind w:left="8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00"/>
              <w:spacing w:after="0"/>
              <w:rPr>
                <w:sz w:val="20"/>
                <w:szCs w:val="20"/>
                <w:color w:val="auto"/>
              </w:rPr>
            </w:pPr>
            <w:r>
              <w:rPr>
                <w:rFonts w:ascii="Arial" w:cs="Arial" w:eastAsia="Arial" w:hAnsi="Arial"/>
                <w:sz w:val="16"/>
                <w:szCs w:val="16"/>
                <w:color w:val="auto"/>
              </w:rPr>
              <w:t>18,520</w:t>
            </w:r>
          </w:p>
        </w:tc>
        <w:tc>
          <w:tcPr>
            <w:tcW w:w="640" w:type="dxa"/>
            <w:vAlign w:val="bottom"/>
          </w:tcPr>
          <w:p>
            <w:pPr>
              <w:ind w:left="48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02"/>
              <w:spacing w:after="0"/>
              <w:rPr>
                <w:sz w:val="20"/>
                <w:szCs w:val="20"/>
                <w:color w:val="auto"/>
              </w:rPr>
            </w:pPr>
            <w:r>
              <w:rPr>
                <w:rFonts w:ascii="Arial" w:cs="Arial" w:eastAsia="Arial" w:hAnsi="Arial"/>
                <w:sz w:val="16"/>
                <w:szCs w:val="16"/>
                <w:color w:val="auto"/>
              </w:rPr>
              <w:t>8,638</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502"/>
              <w:spacing w:after="0"/>
              <w:rPr>
                <w:sz w:val="20"/>
                <w:szCs w:val="20"/>
                <w:color w:val="auto"/>
              </w:rPr>
            </w:pPr>
            <w:r>
              <w:rPr>
                <w:rFonts w:ascii="Arial" w:cs="Arial" w:eastAsia="Arial" w:hAnsi="Arial"/>
                <w:sz w:val="16"/>
                <w:szCs w:val="16"/>
                <w:color w:val="auto"/>
              </w:rPr>
              <w:t>124,030</w:t>
            </w:r>
          </w:p>
        </w:tc>
        <w:tc>
          <w:tcPr>
            <w:tcW w:w="1820" w:type="dxa"/>
            <w:vAlign w:val="bottom"/>
          </w:tcPr>
          <w:p>
            <w:pPr>
              <w:jc w:val="center"/>
              <w:spacing w:after="0"/>
              <w:rPr>
                <w:sz w:val="20"/>
                <w:szCs w:val="20"/>
                <w:color w:val="auto"/>
              </w:rPr>
            </w:pPr>
            <w:r>
              <w:rPr>
                <w:rFonts w:ascii="Arial" w:cs="Arial" w:eastAsia="Arial" w:hAnsi="Arial"/>
                <w:sz w:val="16"/>
                <w:szCs w:val="16"/>
                <w:color w:val="auto"/>
              </w:rPr>
              <w:t>$ 151,188</w:t>
            </w:r>
          </w:p>
        </w:tc>
      </w:tr>
      <w:tr>
        <w:trPr>
          <w:trHeight w:val="189"/>
        </w:trPr>
        <w:tc>
          <w:tcPr>
            <w:tcW w:w="244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940" w:type="dxa"/>
            <w:vAlign w:val="bottom"/>
            <w:shd w:val="clear" w:color="auto" w:fill="FCE9E8"/>
          </w:tcPr>
          <w:p>
            <w:pPr>
              <w:ind w:left="8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FCE9E8"/>
          </w:tcPr>
          <w:p>
            <w:pPr>
              <w:jc w:val="right"/>
              <w:ind w:right="400"/>
              <w:spacing w:after="0"/>
              <w:rPr>
                <w:sz w:val="20"/>
                <w:szCs w:val="20"/>
                <w:color w:val="auto"/>
              </w:rPr>
            </w:pPr>
            <w:r>
              <w:rPr>
                <w:rFonts w:ascii="Arial" w:cs="Arial" w:eastAsia="Arial" w:hAnsi="Arial"/>
                <w:sz w:val="16"/>
                <w:szCs w:val="16"/>
                <w:color w:val="auto"/>
              </w:rPr>
              <w:t>22,165</w:t>
            </w:r>
          </w:p>
        </w:tc>
        <w:tc>
          <w:tcPr>
            <w:tcW w:w="64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8,638</w:t>
            </w:r>
          </w:p>
        </w:tc>
        <w:tc>
          <w:tcPr>
            <w:tcW w:w="580" w:type="dxa"/>
            <w:vAlign w:val="bottom"/>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FCE9E8"/>
          </w:tcPr>
          <w:p>
            <w:pPr>
              <w:jc w:val="right"/>
              <w:ind w:right="502"/>
              <w:spacing w:after="0"/>
              <w:rPr>
                <w:sz w:val="20"/>
                <w:szCs w:val="20"/>
                <w:color w:val="auto"/>
              </w:rPr>
            </w:pPr>
            <w:r>
              <w:rPr>
                <w:rFonts w:ascii="Arial" w:cs="Arial" w:eastAsia="Arial" w:hAnsi="Arial"/>
                <w:sz w:val="16"/>
                <w:szCs w:val="16"/>
                <w:color w:val="auto"/>
              </w:rPr>
              <w:t>140,539</w:t>
            </w:r>
          </w:p>
        </w:tc>
        <w:tc>
          <w:tcPr>
            <w:tcW w:w="18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$ 171,342</w:t>
            </w:r>
          </w:p>
        </w:tc>
      </w:tr>
      <w:tr>
        <w:trPr>
          <w:trHeight w:val="189"/>
        </w:trPr>
        <w:tc>
          <w:tcPr>
            <w:tcW w:w="2440" w:type="dxa"/>
            <w:vAlign w:val="bottom"/>
          </w:tcPr>
          <w:p>
            <w:pPr>
              <w:ind w:left="80"/>
              <w:spacing w:after="0"/>
              <w:rPr>
                <w:sz w:val="20"/>
                <w:szCs w:val="20"/>
                <w:color w:val="auto"/>
              </w:rPr>
            </w:pPr>
            <w:r>
              <w:rPr>
                <w:rFonts w:ascii="Arial" w:cs="Arial" w:eastAsia="Arial" w:hAnsi="Arial"/>
                <w:sz w:val="16"/>
                <w:szCs w:val="16"/>
                <w:color w:val="auto"/>
              </w:rPr>
              <w:t>Terrence B. Larkin</w:t>
            </w:r>
          </w:p>
        </w:tc>
        <w:tc>
          <w:tcPr>
            <w:tcW w:w="940" w:type="dxa"/>
            <w:vAlign w:val="bottom"/>
          </w:tcPr>
          <w:p>
            <w:pPr>
              <w:ind w:left="8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00"/>
              <w:spacing w:after="0"/>
              <w:rPr>
                <w:sz w:val="20"/>
                <w:szCs w:val="20"/>
                <w:color w:val="auto"/>
              </w:rPr>
            </w:pPr>
            <w:r>
              <w:rPr>
                <w:rFonts w:ascii="Arial" w:cs="Arial" w:eastAsia="Arial" w:hAnsi="Arial"/>
                <w:sz w:val="16"/>
                <w:szCs w:val="16"/>
                <w:color w:val="auto"/>
              </w:rPr>
              <w:t>22,165</w:t>
            </w:r>
          </w:p>
        </w:tc>
        <w:tc>
          <w:tcPr>
            <w:tcW w:w="640" w:type="dxa"/>
            <w:vAlign w:val="bottom"/>
          </w:tcPr>
          <w:p>
            <w:pPr>
              <w:ind w:left="48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02"/>
              <w:spacing w:after="0"/>
              <w:rPr>
                <w:sz w:val="20"/>
                <w:szCs w:val="20"/>
                <w:color w:val="auto"/>
              </w:rPr>
            </w:pPr>
            <w:r>
              <w:rPr>
                <w:rFonts w:ascii="Arial" w:cs="Arial" w:eastAsia="Arial" w:hAnsi="Arial"/>
                <w:sz w:val="16"/>
                <w:szCs w:val="16"/>
                <w:color w:val="auto"/>
              </w:rPr>
              <w:t>8,638</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502"/>
              <w:spacing w:after="0"/>
              <w:rPr>
                <w:sz w:val="20"/>
                <w:szCs w:val="20"/>
                <w:color w:val="auto"/>
              </w:rPr>
            </w:pPr>
            <w:r>
              <w:rPr>
                <w:rFonts w:ascii="Arial" w:cs="Arial" w:eastAsia="Arial" w:hAnsi="Arial"/>
                <w:sz w:val="16"/>
                <w:szCs w:val="16"/>
                <w:color w:val="auto"/>
              </w:rPr>
              <w:t>140,539</w:t>
            </w:r>
          </w:p>
        </w:tc>
        <w:tc>
          <w:tcPr>
            <w:tcW w:w="1820" w:type="dxa"/>
            <w:vAlign w:val="bottom"/>
          </w:tcPr>
          <w:p>
            <w:pPr>
              <w:jc w:val="center"/>
              <w:spacing w:after="0"/>
              <w:rPr>
                <w:sz w:val="20"/>
                <w:szCs w:val="20"/>
                <w:color w:val="auto"/>
              </w:rPr>
            </w:pPr>
            <w:r>
              <w:rPr>
                <w:rFonts w:ascii="Arial" w:cs="Arial" w:eastAsia="Arial" w:hAnsi="Arial"/>
                <w:sz w:val="16"/>
                <w:szCs w:val="16"/>
                <w:color w:val="auto"/>
              </w:rPr>
              <w:t>$ 171,342</w:t>
            </w:r>
          </w:p>
        </w:tc>
      </w:tr>
      <w:tr>
        <w:trPr>
          <w:trHeight w:val="189"/>
        </w:trPr>
        <w:tc>
          <w:tcPr>
            <w:tcW w:w="24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940" w:type="dxa"/>
            <w:vAlign w:val="bottom"/>
            <w:tcBorders>
              <w:bottom w:val="single" w:sz="8" w:color="auto"/>
            </w:tcBorders>
            <w:shd w:val="clear" w:color="auto" w:fill="FCE9E8"/>
          </w:tcPr>
          <w:p>
            <w:pPr>
              <w:ind w:left="86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FCE9E8"/>
          </w:tcPr>
          <w:p>
            <w:pPr>
              <w:jc w:val="right"/>
              <w:ind w:right="400"/>
              <w:spacing w:after="0"/>
              <w:rPr>
                <w:sz w:val="20"/>
                <w:szCs w:val="20"/>
                <w:color w:val="auto"/>
              </w:rPr>
            </w:pPr>
            <w:r>
              <w:rPr>
                <w:rFonts w:ascii="Arial" w:cs="Arial" w:eastAsia="Arial" w:hAnsi="Arial"/>
                <w:sz w:val="16"/>
                <w:szCs w:val="16"/>
                <w:color w:val="auto"/>
              </w:rPr>
              <w:t>17,979</w:t>
            </w:r>
          </w:p>
        </w:tc>
        <w:tc>
          <w:tcPr>
            <w:tcW w:w="640" w:type="dxa"/>
            <w:vAlign w:val="bottom"/>
            <w:tcBorders>
              <w:bottom w:val="single" w:sz="8" w:color="auto"/>
            </w:tcBorders>
            <w:shd w:val="clear" w:color="auto" w:fill="FCE9E8"/>
          </w:tcPr>
          <w:p>
            <w:pPr>
              <w:ind w:left="48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FCE9E8"/>
          </w:tcPr>
          <w:p>
            <w:pPr>
              <w:jc w:val="right"/>
              <w:ind w:right="402"/>
              <w:spacing w:after="0"/>
              <w:rPr>
                <w:sz w:val="20"/>
                <w:szCs w:val="20"/>
                <w:color w:val="auto"/>
              </w:rPr>
            </w:pPr>
            <w:r>
              <w:rPr>
                <w:rFonts w:ascii="Arial" w:cs="Arial" w:eastAsia="Arial" w:hAnsi="Arial"/>
                <w:sz w:val="16"/>
                <w:szCs w:val="16"/>
                <w:color w:val="auto"/>
              </w:rPr>
              <w:t>5,181</w:t>
            </w:r>
          </w:p>
        </w:tc>
        <w:tc>
          <w:tcPr>
            <w:tcW w:w="580" w:type="dxa"/>
            <w:vAlign w:val="bottom"/>
            <w:tcBorders>
              <w:bottom w:val="single" w:sz="8" w:color="auto"/>
            </w:tcBorders>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FCE9E8"/>
          </w:tcPr>
          <w:p>
            <w:pPr>
              <w:jc w:val="right"/>
              <w:ind w:right="502"/>
              <w:spacing w:after="0"/>
              <w:rPr>
                <w:sz w:val="20"/>
                <w:szCs w:val="20"/>
                <w:color w:val="auto"/>
              </w:rPr>
            </w:pPr>
            <w:r>
              <w:rPr>
                <w:rFonts w:ascii="Arial" w:cs="Arial" w:eastAsia="Arial" w:hAnsi="Arial"/>
                <w:sz w:val="16"/>
                <w:szCs w:val="16"/>
                <w:color w:val="auto"/>
              </w:rPr>
              <w:t>118,562</w:t>
            </w:r>
          </w:p>
        </w:tc>
        <w:tc>
          <w:tcPr>
            <w:tcW w:w="182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$ 141,722</w:t>
            </w:r>
          </w:p>
        </w:tc>
      </w:tr>
    </w:tbl>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FFFFFF"/>
        </w:rPr>
        <w:t>2017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380" w:type="dxa"/>
            <w:vAlign w:val="bottom"/>
          </w:tcPr>
          <w:p>
            <w:pPr>
              <w:spacing w:after="0"/>
              <w:rPr>
                <w:sz w:val="14"/>
                <w:szCs w:val="14"/>
                <w:color w:val="auto"/>
              </w:rPr>
            </w:pPr>
          </w:p>
        </w:tc>
        <w:tc>
          <w:tcPr>
            <w:tcW w:w="1020" w:type="dxa"/>
            <w:vAlign w:val="bottom"/>
          </w:tcPr>
          <w:p>
            <w:pPr>
              <w:jc w:val="center"/>
              <w:ind w:right="306"/>
              <w:spacing w:after="0"/>
              <w:rPr>
                <w:sz w:val="20"/>
                <w:szCs w:val="20"/>
                <w:color w:val="auto"/>
              </w:rPr>
            </w:pPr>
            <w:r>
              <w:rPr>
                <w:rFonts w:ascii="Arial" w:cs="Arial" w:eastAsia="Arial" w:hAnsi="Arial"/>
                <w:sz w:val="14"/>
                <w:szCs w:val="14"/>
                <w:b w:val="1"/>
                <w:bCs w:val="1"/>
                <w:color w:val="E2231A"/>
              </w:rPr>
              <w:t>Present</w:t>
            </w:r>
          </w:p>
        </w:tc>
        <w:tc>
          <w:tcPr>
            <w:tcW w:w="1080" w:type="dxa"/>
            <w:vAlign w:val="bottom"/>
            <w:gridSpan w:val="2"/>
          </w:tcPr>
          <w:p>
            <w:pPr>
              <w:jc w:val="center"/>
              <w:ind w:left="126"/>
              <w:spacing w:after="0"/>
              <w:rPr>
                <w:sz w:val="20"/>
                <w:szCs w:val="20"/>
                <w:color w:val="auto"/>
              </w:rPr>
            </w:pPr>
            <w:r>
              <w:rPr>
                <w:rFonts w:ascii="Arial" w:cs="Arial" w:eastAsia="Arial" w:hAnsi="Arial"/>
                <w:sz w:val="14"/>
                <w:szCs w:val="14"/>
                <w:b w:val="1"/>
                <w:bCs w:val="1"/>
                <w:color w:val="E2231A"/>
              </w:rPr>
              <w:t>Payments</w:t>
            </w:r>
          </w:p>
        </w:tc>
      </w:tr>
      <w:tr>
        <w:trPr>
          <w:trHeight w:val="162"/>
        </w:trPr>
        <w:tc>
          <w:tcPr>
            <w:tcW w:w="2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Credited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E2231A"/>
                <w:w w:val="90"/>
              </w:rPr>
              <w:t>of</w:t>
            </w:r>
          </w:p>
        </w:tc>
        <w:tc>
          <w:tcPr>
            <w:tcW w:w="380" w:type="dxa"/>
            <w:vAlign w:val="bottom"/>
          </w:tcPr>
          <w:p>
            <w:pPr>
              <w:spacing w:after="0"/>
              <w:rPr>
                <w:sz w:val="14"/>
                <w:szCs w:val="14"/>
                <w:color w:val="auto"/>
              </w:rPr>
            </w:pPr>
          </w:p>
        </w:tc>
        <w:tc>
          <w:tcPr>
            <w:tcW w:w="1020" w:type="dxa"/>
            <w:vAlign w:val="bottom"/>
          </w:tcPr>
          <w:p>
            <w:pPr>
              <w:jc w:val="center"/>
              <w:ind w:right="306"/>
              <w:spacing w:after="0"/>
              <w:rPr>
                <w:sz w:val="20"/>
                <w:szCs w:val="20"/>
                <w:color w:val="auto"/>
              </w:rPr>
            </w:pPr>
            <w:r>
              <w:rPr>
                <w:rFonts w:ascii="Arial" w:cs="Arial" w:eastAsia="Arial" w:hAnsi="Arial"/>
                <w:sz w:val="14"/>
                <w:szCs w:val="14"/>
                <w:b w:val="1"/>
                <w:bCs w:val="1"/>
                <w:color w:val="E2231A"/>
              </w:rPr>
              <w:t>Value of</w:t>
            </w:r>
          </w:p>
        </w:tc>
        <w:tc>
          <w:tcPr>
            <w:tcW w:w="360" w:type="dxa"/>
            <w:vAlign w:val="bottom"/>
          </w:tcPr>
          <w:p>
            <w:pPr>
              <w:spacing w:after="0"/>
              <w:rPr>
                <w:sz w:val="14"/>
                <w:szCs w:val="14"/>
                <w:color w:val="auto"/>
              </w:rPr>
            </w:pPr>
          </w:p>
        </w:tc>
        <w:tc>
          <w:tcPr>
            <w:tcW w:w="720" w:type="dxa"/>
            <w:vAlign w:val="bottom"/>
          </w:tcPr>
          <w:p>
            <w:pPr>
              <w:jc w:val="center"/>
              <w:ind w:right="106"/>
              <w:spacing w:after="0"/>
              <w:rPr>
                <w:sz w:val="20"/>
                <w:szCs w:val="20"/>
                <w:color w:val="auto"/>
              </w:rPr>
            </w:pPr>
            <w:r>
              <w:rPr>
                <w:rFonts w:ascii="Arial" w:cs="Arial" w:eastAsia="Arial" w:hAnsi="Arial"/>
                <w:sz w:val="14"/>
                <w:szCs w:val="14"/>
                <w:b w:val="1"/>
                <w:bCs w:val="1"/>
                <w:color w:val="E2231A"/>
              </w:rPr>
              <w:t>During</w:t>
            </w:r>
          </w:p>
        </w:tc>
      </w:tr>
      <w:tr>
        <w:trPr>
          <w:trHeight w:val="159"/>
        </w:trPr>
        <w:tc>
          <w:tcPr>
            <w:tcW w:w="24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Service</w:t>
            </w: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Vesting</w:t>
            </w:r>
          </w:p>
        </w:tc>
        <w:tc>
          <w:tcPr>
            <w:tcW w:w="1400" w:type="dxa"/>
            <w:vAlign w:val="bottom"/>
            <w:gridSpan w:val="2"/>
          </w:tcPr>
          <w:p>
            <w:pPr>
              <w:ind w:left="260"/>
              <w:spacing w:after="0" w:line="159" w:lineRule="exact"/>
              <w:rPr>
                <w:sz w:val="20"/>
                <w:szCs w:val="20"/>
                <w:color w:val="auto"/>
              </w:rPr>
            </w:pPr>
            <w:r>
              <w:rPr>
                <w:rFonts w:ascii="Arial" w:cs="Arial" w:eastAsia="Arial" w:hAnsi="Arial"/>
                <w:sz w:val="14"/>
                <w:szCs w:val="14"/>
                <w:b w:val="1"/>
                <w:bCs w:val="1"/>
                <w:color w:val="E2231A"/>
              </w:rPr>
              <w:t>Accumulated</w:t>
            </w:r>
          </w:p>
        </w:tc>
        <w:tc>
          <w:tcPr>
            <w:tcW w:w="1080" w:type="dxa"/>
            <w:vAlign w:val="bottom"/>
            <w:gridSpan w:val="2"/>
          </w:tcPr>
          <w:p>
            <w:pPr>
              <w:ind w:left="260"/>
              <w:spacing w:after="0" w:line="159" w:lineRule="exact"/>
              <w:rPr>
                <w:sz w:val="20"/>
                <w:szCs w:val="20"/>
                <w:color w:val="auto"/>
              </w:rPr>
            </w:pPr>
            <w:r>
              <w:rPr>
                <w:rFonts w:ascii="Arial" w:cs="Arial" w:eastAsia="Arial" w:hAnsi="Arial"/>
                <w:sz w:val="14"/>
                <w:szCs w:val="14"/>
                <w:b w:val="1"/>
                <w:bCs w:val="1"/>
                <w:color w:val="E2231A"/>
              </w:rPr>
              <w:t>Last Fiscal</w:t>
            </w:r>
          </w:p>
        </w:tc>
      </w:tr>
      <w:tr>
        <w:trPr>
          <w:trHeight w:val="179"/>
        </w:trPr>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Name(a)</w:t>
            </w:r>
          </w:p>
        </w:tc>
        <w:tc>
          <w:tcPr>
            <w:tcW w:w="3920" w:type="dxa"/>
            <w:vAlign w:val="bottom"/>
            <w:tcBorders>
              <w:bottom w:val="single" w:sz="8" w:color="auto"/>
            </w:tcBorders>
          </w:tcPr>
          <w:p>
            <w:pPr>
              <w:jc w:val="right"/>
              <w:ind w:right="1350"/>
              <w:spacing w:after="0"/>
              <w:rPr>
                <w:sz w:val="20"/>
                <w:szCs w:val="20"/>
                <w:color w:val="auto"/>
              </w:rPr>
            </w:pPr>
            <w:r>
              <w:rPr>
                <w:rFonts w:ascii="Arial" w:cs="Arial" w:eastAsia="Arial" w:hAnsi="Arial"/>
                <w:sz w:val="14"/>
                <w:szCs w:val="14"/>
                <w:b w:val="1"/>
                <w:bCs w:val="1"/>
                <w:color w:val="E2231A"/>
              </w:rPr>
              <w:t>Plan Name(s)(b)</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w:t>
            </w:r>
          </w:p>
        </w:tc>
        <w:tc>
          <w:tcPr>
            <w:tcW w:w="1160" w:type="dxa"/>
            <w:vAlign w:val="bottom"/>
            <w:tcBorders>
              <w:bottom w:val="single" w:sz="8" w:color="auto"/>
            </w:tcBorders>
          </w:tcPr>
          <w:p>
            <w:pPr>
              <w:jc w:val="right"/>
              <w:ind w:right="187"/>
              <w:spacing w:after="0" w:line="179" w:lineRule="exact"/>
              <w:rPr>
                <w:sz w:val="20"/>
                <w:szCs w:val="20"/>
                <w:color w:val="auto"/>
              </w:rPr>
            </w:pPr>
            <w:r>
              <w:rPr>
                <w:rFonts w:ascii="Arial" w:cs="Arial" w:eastAsia="Arial" w:hAnsi="Arial"/>
                <w:sz w:val="12"/>
                <w:szCs w:val="12"/>
                <w:b w:val="1"/>
                <w:bCs w:val="1"/>
                <w:color w:val="E2231A"/>
              </w:rPr>
              <w:t>Service</w:t>
            </w:r>
            <w:r>
              <w:rPr>
                <w:rFonts w:ascii="Arial" w:cs="Arial" w:eastAsia="Arial" w:hAnsi="Arial"/>
                <w:sz w:val="20"/>
                <w:szCs w:val="20"/>
                <w:b w:val="1"/>
                <w:bCs w:val="1"/>
                <w:color w:val="E2231A"/>
                <w:vertAlign w:val="superscript"/>
              </w:rPr>
              <w:t>(1)</w:t>
            </w:r>
          </w:p>
        </w:tc>
        <w:tc>
          <w:tcPr>
            <w:tcW w:w="1400" w:type="dxa"/>
            <w:vAlign w:val="bottom"/>
            <w:tcBorders>
              <w:bottom w:val="single" w:sz="8" w:color="auto"/>
            </w:tcBorders>
            <w:gridSpan w:val="2"/>
          </w:tcPr>
          <w:p>
            <w:pPr>
              <w:jc w:val="center"/>
              <w:spacing w:after="0" w:line="179" w:lineRule="exact"/>
              <w:rPr>
                <w:sz w:val="20"/>
                <w:szCs w:val="20"/>
                <w:color w:val="auto"/>
              </w:rPr>
            </w:pPr>
            <w:r>
              <w:rPr>
                <w:rFonts w:ascii="Arial" w:cs="Arial" w:eastAsia="Arial" w:hAnsi="Arial"/>
                <w:sz w:val="12"/>
                <w:szCs w:val="12"/>
                <w:b w:val="1"/>
                <w:bCs w:val="1"/>
                <w:color w:val="E2231A"/>
              </w:rPr>
              <w:t>Benefit</w:t>
            </w:r>
            <w:r>
              <w:rPr>
                <w:rFonts w:ascii="Arial" w:cs="Arial" w:eastAsia="Arial" w:hAnsi="Arial"/>
                <w:sz w:val="20"/>
                <w:szCs w:val="20"/>
                <w:b w:val="1"/>
                <w:bCs w:val="1"/>
                <w:color w:val="E2231A"/>
                <w:vertAlign w:val="superscript"/>
              </w:rPr>
              <w:t>(2)</w:t>
            </w:r>
            <w:r>
              <w:rPr>
                <w:rFonts w:ascii="Arial" w:cs="Arial" w:eastAsia="Arial" w:hAnsi="Arial"/>
                <w:sz w:val="12"/>
                <w:szCs w:val="12"/>
                <w:b w:val="1"/>
                <w:bCs w:val="1"/>
                <w:color w:val="E2231A"/>
              </w:rPr>
              <w:t>(d)</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E2231A"/>
              </w:rPr>
              <w:t>Year(e)</w:t>
            </w:r>
          </w:p>
        </w:tc>
      </w:tr>
      <w:tr>
        <w:trPr>
          <w:trHeight w:val="183"/>
        </w:trPr>
        <w:tc>
          <w:tcPr>
            <w:tcW w:w="240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Matthew J. Simoncini</w:t>
            </w:r>
          </w:p>
        </w:tc>
        <w:tc>
          <w:tcPr>
            <w:tcW w:w="3920" w:type="dxa"/>
            <w:vAlign w:val="bottom"/>
            <w:shd w:val="clear" w:color="auto" w:fill="FCE9E8"/>
          </w:tcPr>
          <w:p>
            <w:pPr>
              <w:jc w:val="right"/>
              <w:ind w:right="170"/>
              <w:spacing w:after="0" w:line="183" w:lineRule="exact"/>
              <w:rPr>
                <w:sz w:val="20"/>
                <w:szCs w:val="20"/>
                <w:color w:val="auto"/>
              </w:rPr>
            </w:pPr>
            <w:r>
              <w:rPr>
                <w:rFonts w:ascii="Arial" w:cs="Arial" w:eastAsia="Arial" w:hAnsi="Arial"/>
                <w:sz w:val="16"/>
                <w:szCs w:val="16"/>
                <w:color w:val="auto"/>
              </w:rPr>
              <w:t>Pension Plan (tax-qualified plan)</w:t>
            </w:r>
          </w:p>
        </w:tc>
        <w:tc>
          <w:tcPr>
            <w:tcW w:w="1060" w:type="dxa"/>
            <w:vAlign w:val="bottom"/>
            <w:shd w:val="clear" w:color="auto" w:fill="FCE9E8"/>
          </w:tcPr>
          <w:p>
            <w:pPr>
              <w:jc w:val="right"/>
              <w:ind w:right="186"/>
              <w:spacing w:after="0" w:line="183" w:lineRule="exact"/>
              <w:rPr>
                <w:sz w:val="20"/>
                <w:szCs w:val="20"/>
                <w:color w:val="auto"/>
              </w:rPr>
            </w:pPr>
            <w:r>
              <w:rPr>
                <w:rFonts w:ascii="Arial" w:cs="Arial" w:eastAsia="Arial" w:hAnsi="Arial"/>
                <w:sz w:val="16"/>
                <w:szCs w:val="16"/>
                <w:color w:val="auto"/>
              </w:rPr>
              <w:t>7.7</w:t>
            </w:r>
          </w:p>
        </w:tc>
        <w:tc>
          <w:tcPr>
            <w:tcW w:w="1160" w:type="dxa"/>
            <w:vAlign w:val="bottom"/>
            <w:shd w:val="clear" w:color="auto" w:fill="FCE9E8"/>
          </w:tcPr>
          <w:p>
            <w:pPr>
              <w:jc w:val="right"/>
              <w:ind w:right="187"/>
              <w:spacing w:after="0" w:line="183" w:lineRule="exact"/>
              <w:rPr>
                <w:sz w:val="20"/>
                <w:szCs w:val="20"/>
                <w:color w:val="auto"/>
              </w:rPr>
            </w:pPr>
            <w:r>
              <w:rPr>
                <w:rFonts w:ascii="Arial" w:cs="Arial" w:eastAsia="Arial" w:hAnsi="Arial"/>
                <w:sz w:val="16"/>
                <w:szCs w:val="16"/>
                <w:color w:val="auto"/>
              </w:rPr>
              <w:t>18.7</w:t>
            </w:r>
          </w:p>
        </w:tc>
        <w:tc>
          <w:tcPr>
            <w:tcW w:w="380" w:type="dxa"/>
            <w:vAlign w:val="bottom"/>
            <w:shd w:val="clear" w:color="auto" w:fill="FCE9E8"/>
          </w:tcPr>
          <w:p>
            <w:pPr>
              <w:ind w:left="24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line="183" w:lineRule="exact"/>
              <w:rPr>
                <w:sz w:val="20"/>
                <w:szCs w:val="20"/>
                <w:color w:val="auto"/>
              </w:rPr>
            </w:pPr>
            <w:r>
              <w:rPr>
                <w:rFonts w:ascii="Arial" w:cs="Arial" w:eastAsia="Arial" w:hAnsi="Arial"/>
                <w:sz w:val="16"/>
                <w:szCs w:val="16"/>
                <w:color w:val="auto"/>
              </w:rPr>
              <w:t>238,970</w:t>
            </w:r>
          </w:p>
        </w:tc>
        <w:tc>
          <w:tcPr>
            <w:tcW w:w="36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line="183" w:lineRule="exact"/>
              <w:rPr>
                <w:sz w:val="20"/>
                <w:szCs w:val="20"/>
                <w:color w:val="auto"/>
              </w:rPr>
            </w:pPr>
            <w:r>
              <w:rPr>
                <w:rFonts w:ascii="Arial" w:cs="Arial" w:eastAsia="Arial" w:hAnsi="Arial"/>
                <w:sz w:val="16"/>
                <w:szCs w:val="16"/>
                <w:color w:val="auto"/>
              </w:rPr>
              <w:t>—</w:t>
            </w:r>
          </w:p>
        </w:tc>
      </w:tr>
      <w:tr>
        <w:trPr>
          <w:trHeight w:val="189"/>
        </w:trPr>
        <w:tc>
          <w:tcPr>
            <w:tcW w:w="2400" w:type="dxa"/>
            <w:vAlign w:val="bottom"/>
            <w:shd w:val="clear" w:color="auto" w:fill="FCE9E8"/>
          </w:tcPr>
          <w:p>
            <w:pPr>
              <w:spacing w:after="0"/>
              <w:rPr>
                <w:sz w:val="16"/>
                <w:szCs w:val="16"/>
                <w:color w:val="auto"/>
              </w:rPr>
            </w:pPr>
          </w:p>
        </w:tc>
        <w:tc>
          <w:tcPr>
            <w:tcW w:w="3920" w:type="dxa"/>
            <w:vAlign w:val="bottom"/>
            <w:shd w:val="clear" w:color="auto" w:fill="FCE9E8"/>
          </w:tcPr>
          <w:p>
            <w:pPr>
              <w:jc w:val="right"/>
              <w:ind w:right="170"/>
              <w:spacing w:after="0"/>
              <w:rPr>
                <w:sz w:val="20"/>
                <w:szCs w:val="20"/>
                <w:color w:val="auto"/>
              </w:rPr>
            </w:pPr>
            <w:r>
              <w:rPr>
                <w:rFonts w:ascii="Arial" w:cs="Arial" w:eastAsia="Arial" w:hAnsi="Arial"/>
                <w:sz w:val="16"/>
                <w:szCs w:val="16"/>
                <w:color w:val="auto"/>
              </w:rPr>
              <w:t>Pension Equalization Program</w:t>
            </w:r>
          </w:p>
        </w:tc>
        <w:tc>
          <w:tcPr>
            <w:tcW w:w="1060" w:type="dxa"/>
            <w:vAlign w:val="bottom"/>
            <w:shd w:val="clear" w:color="auto" w:fill="FCE9E8"/>
          </w:tcPr>
          <w:p>
            <w:pPr>
              <w:jc w:val="right"/>
              <w:ind w:right="186"/>
              <w:spacing w:after="0"/>
              <w:rPr>
                <w:sz w:val="20"/>
                <w:szCs w:val="20"/>
                <w:color w:val="auto"/>
              </w:rPr>
            </w:pPr>
            <w:r>
              <w:rPr>
                <w:rFonts w:ascii="Arial" w:cs="Arial" w:eastAsia="Arial" w:hAnsi="Arial"/>
                <w:sz w:val="16"/>
                <w:szCs w:val="16"/>
                <w:color w:val="auto"/>
              </w:rPr>
              <w:t>7.7</w:t>
            </w:r>
          </w:p>
        </w:tc>
        <w:tc>
          <w:tcPr>
            <w:tcW w:w="11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18.7</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rPr>
                <w:sz w:val="20"/>
                <w:szCs w:val="20"/>
                <w:color w:val="auto"/>
              </w:rPr>
            </w:pPr>
            <w:r>
              <w:rPr>
                <w:rFonts w:ascii="Arial" w:cs="Arial" w:eastAsia="Arial" w:hAnsi="Arial"/>
                <w:sz w:val="16"/>
                <w:szCs w:val="16"/>
                <w:color w:val="auto"/>
              </w:rPr>
              <w:t>100,582</w:t>
            </w:r>
          </w:p>
        </w:tc>
        <w:tc>
          <w:tcPr>
            <w:tcW w:w="360" w:type="dxa"/>
            <w:vAlign w:val="bottom"/>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9"/>
        </w:trPr>
        <w:tc>
          <w:tcPr>
            <w:tcW w:w="2400" w:type="dxa"/>
            <w:vAlign w:val="bottom"/>
            <w:shd w:val="clear" w:color="auto" w:fill="FCE9E8"/>
          </w:tcPr>
          <w:p>
            <w:pPr>
              <w:spacing w:after="0"/>
              <w:rPr>
                <w:sz w:val="16"/>
                <w:szCs w:val="16"/>
                <w:color w:val="auto"/>
              </w:rPr>
            </w:pPr>
          </w:p>
        </w:tc>
        <w:tc>
          <w:tcPr>
            <w:tcW w:w="3920" w:type="dxa"/>
            <w:vAlign w:val="bottom"/>
            <w:shd w:val="clear" w:color="auto" w:fill="FCE9E8"/>
          </w:tcPr>
          <w:p>
            <w:pPr>
              <w:jc w:val="right"/>
              <w:ind w:right="170"/>
              <w:spacing w:after="0"/>
              <w:rPr>
                <w:sz w:val="20"/>
                <w:szCs w:val="20"/>
                <w:color w:val="auto"/>
              </w:rPr>
            </w:pPr>
            <w:r>
              <w:rPr>
                <w:rFonts w:ascii="Arial" w:cs="Arial" w:eastAsia="Arial" w:hAnsi="Arial"/>
                <w:sz w:val="16"/>
                <w:szCs w:val="16"/>
                <w:color w:val="auto"/>
              </w:rPr>
              <w:t>Salaried Retirement Restoration Program</w:t>
            </w:r>
          </w:p>
        </w:tc>
        <w:tc>
          <w:tcPr>
            <w:tcW w:w="1060" w:type="dxa"/>
            <w:vAlign w:val="bottom"/>
            <w:shd w:val="clear" w:color="auto" w:fill="FCE9E8"/>
          </w:tcPr>
          <w:p>
            <w:pPr>
              <w:jc w:val="right"/>
              <w:ind w:right="186"/>
              <w:spacing w:after="0"/>
              <w:rPr>
                <w:sz w:val="20"/>
                <w:szCs w:val="20"/>
                <w:color w:val="auto"/>
              </w:rPr>
            </w:pPr>
            <w:r>
              <w:rPr>
                <w:rFonts w:ascii="Arial" w:cs="Arial" w:eastAsia="Arial" w:hAnsi="Arial"/>
                <w:sz w:val="16"/>
                <w:szCs w:val="16"/>
                <w:color w:val="auto"/>
              </w:rPr>
              <w:t>7.7</w:t>
            </w:r>
          </w:p>
        </w:tc>
        <w:tc>
          <w:tcPr>
            <w:tcW w:w="11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18.7</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rPr>
                <w:sz w:val="20"/>
                <w:szCs w:val="20"/>
                <w:color w:val="auto"/>
              </w:rPr>
            </w:pPr>
            <w:r>
              <w:rPr>
                <w:rFonts w:ascii="Arial" w:cs="Arial" w:eastAsia="Arial" w:hAnsi="Arial"/>
                <w:sz w:val="16"/>
                <w:szCs w:val="16"/>
                <w:color w:val="auto"/>
              </w:rPr>
              <w:t>112,409</w:t>
            </w:r>
          </w:p>
        </w:tc>
        <w:tc>
          <w:tcPr>
            <w:tcW w:w="360" w:type="dxa"/>
            <w:vAlign w:val="bottom"/>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7"/>
        </w:trPr>
        <w:tc>
          <w:tcPr>
            <w:tcW w:w="2400" w:type="dxa"/>
            <w:vAlign w:val="bottom"/>
            <w:shd w:val="clear" w:color="auto" w:fill="000000"/>
          </w:tcPr>
          <w:p>
            <w:pPr>
              <w:ind w:left="80"/>
              <w:spacing w:after="0"/>
              <w:rPr>
                <w:sz w:val="20"/>
                <w:szCs w:val="20"/>
                <w:color w:val="auto"/>
              </w:rPr>
            </w:pPr>
            <w:r>
              <w:rPr>
                <w:rFonts w:ascii="Arial" w:cs="Arial" w:eastAsia="Arial" w:hAnsi="Arial"/>
                <w:sz w:val="1"/>
                <w:szCs w:val="1"/>
                <w:color w:val="auto"/>
              </w:rPr>
              <w:t>Jeffrey H. Vanneste</w:t>
            </w:r>
          </w:p>
        </w:tc>
        <w:tc>
          <w:tcPr>
            <w:tcW w:w="3920" w:type="dxa"/>
            <w:vAlign w:val="bottom"/>
            <w:shd w:val="clear" w:color="auto" w:fill="000000"/>
          </w:tcPr>
          <w:p>
            <w:pPr>
              <w:jc w:val="right"/>
              <w:ind w:right="170"/>
              <w:spacing w:after="0"/>
              <w:rPr>
                <w:sz w:val="20"/>
                <w:szCs w:val="20"/>
                <w:color w:val="auto"/>
              </w:rPr>
            </w:pPr>
            <w:r>
              <w:rPr>
                <w:rFonts w:ascii="Arial" w:cs="Arial" w:eastAsia="Arial" w:hAnsi="Arial"/>
                <w:sz w:val="1"/>
                <w:szCs w:val="1"/>
                <w:color w:val="auto"/>
              </w:rPr>
              <w:t>Pension Plan (tax-qualified plan)</w:t>
            </w:r>
          </w:p>
        </w:tc>
        <w:tc>
          <w:tcPr>
            <w:tcW w:w="1060" w:type="dxa"/>
            <w:vAlign w:val="bottom"/>
            <w:shd w:val="clear" w:color="auto" w:fill="000000"/>
          </w:tcPr>
          <w:p>
            <w:pPr>
              <w:jc w:val="right"/>
              <w:ind w:right="186"/>
              <w:spacing w:after="0"/>
              <w:rPr>
                <w:sz w:val="20"/>
                <w:szCs w:val="20"/>
                <w:color w:val="auto"/>
              </w:rPr>
            </w:pPr>
            <w:r>
              <w:rPr>
                <w:rFonts w:ascii="Arial" w:cs="Arial" w:eastAsia="Arial" w:hAnsi="Arial"/>
                <w:sz w:val="1"/>
                <w:szCs w:val="1"/>
                <w:color w:val="auto"/>
              </w:rPr>
              <w:t>15.3</w:t>
            </w:r>
          </w:p>
        </w:tc>
        <w:tc>
          <w:tcPr>
            <w:tcW w:w="1160" w:type="dxa"/>
            <w:vAlign w:val="bottom"/>
            <w:shd w:val="clear" w:color="auto" w:fill="000000"/>
          </w:tcPr>
          <w:p>
            <w:pPr>
              <w:jc w:val="right"/>
              <w:ind w:right="187"/>
              <w:spacing w:after="0"/>
              <w:rPr>
                <w:sz w:val="20"/>
                <w:szCs w:val="20"/>
                <w:color w:val="auto"/>
              </w:rPr>
            </w:pPr>
            <w:r>
              <w:rPr>
                <w:rFonts w:ascii="Arial" w:cs="Arial" w:eastAsia="Arial" w:hAnsi="Arial"/>
                <w:sz w:val="1"/>
                <w:szCs w:val="1"/>
                <w:color w:val="auto"/>
              </w:rPr>
              <w:t>26.3</w:t>
            </w:r>
          </w:p>
        </w:tc>
        <w:tc>
          <w:tcPr>
            <w:tcW w:w="380" w:type="dxa"/>
            <w:vAlign w:val="bottom"/>
            <w:shd w:val="clear" w:color="auto" w:fill="000000"/>
          </w:tcPr>
          <w:p>
            <w:pPr>
              <w:ind w:left="240"/>
              <w:spacing w:after="0"/>
              <w:rPr>
                <w:sz w:val="20"/>
                <w:szCs w:val="20"/>
                <w:color w:val="auto"/>
              </w:rPr>
            </w:pPr>
            <w:r>
              <w:rPr>
                <w:rFonts w:ascii="Arial" w:cs="Arial" w:eastAsia="Arial" w:hAnsi="Arial"/>
                <w:sz w:val="1"/>
                <w:szCs w:val="1"/>
                <w:color w:val="auto"/>
              </w:rPr>
              <w:t>$</w:t>
            </w:r>
          </w:p>
        </w:tc>
        <w:tc>
          <w:tcPr>
            <w:tcW w:w="1020" w:type="dxa"/>
            <w:vAlign w:val="bottom"/>
            <w:shd w:val="clear" w:color="auto" w:fill="000000"/>
          </w:tcPr>
          <w:p>
            <w:pPr>
              <w:jc w:val="right"/>
              <w:ind w:right="166"/>
              <w:spacing w:after="0"/>
              <w:rPr>
                <w:sz w:val="20"/>
                <w:szCs w:val="20"/>
                <w:color w:val="auto"/>
              </w:rPr>
            </w:pPr>
            <w:r>
              <w:rPr>
                <w:rFonts w:ascii="Arial" w:cs="Arial" w:eastAsia="Arial" w:hAnsi="Arial"/>
                <w:sz w:val="1"/>
                <w:szCs w:val="1"/>
                <w:color w:val="auto"/>
              </w:rPr>
              <w:t>506,570</w:t>
            </w:r>
          </w:p>
        </w:tc>
        <w:tc>
          <w:tcPr>
            <w:tcW w:w="360" w:type="dxa"/>
            <w:vAlign w:val="bottom"/>
            <w:shd w:val="clear" w:color="auto" w:fill="000000"/>
          </w:tcPr>
          <w:p>
            <w:pPr>
              <w:ind w:left="260"/>
              <w:spacing w:after="0"/>
              <w:rPr>
                <w:sz w:val="20"/>
                <w:szCs w:val="20"/>
                <w:color w:val="auto"/>
              </w:rPr>
            </w:pPr>
            <w:r>
              <w:rPr>
                <w:rFonts w:ascii="Arial" w:cs="Arial" w:eastAsia="Arial" w:hAnsi="Arial"/>
                <w:sz w:val="1"/>
                <w:szCs w:val="1"/>
                <w:color w:val="auto"/>
              </w:rPr>
              <w:t>$</w:t>
            </w:r>
          </w:p>
        </w:tc>
        <w:tc>
          <w:tcPr>
            <w:tcW w:w="720" w:type="dxa"/>
            <w:vAlign w:val="bottom"/>
            <w:shd w:val="clear" w:color="auto" w:fill="000000"/>
          </w:tcPr>
          <w:p>
            <w:pPr>
              <w:ind w:left="400"/>
              <w:spacing w:after="0"/>
              <w:rPr>
                <w:sz w:val="20"/>
                <w:szCs w:val="20"/>
                <w:color w:val="auto"/>
              </w:rPr>
            </w:pPr>
            <w:r>
              <w:rPr>
                <w:rFonts w:ascii="Arial" w:cs="Arial" w:eastAsia="Arial" w:hAnsi="Arial"/>
                <w:sz w:val="1"/>
                <w:szCs w:val="1"/>
                <w:color w:val="auto"/>
              </w:rPr>
              <w:t>—</w:t>
            </w:r>
          </w:p>
        </w:tc>
      </w:tr>
      <w:tr>
        <w:trPr>
          <w:trHeight w:val="174"/>
        </w:trPr>
        <w:tc>
          <w:tcPr>
            <w:tcW w:w="2400" w:type="dxa"/>
            <w:vAlign w:val="bottom"/>
          </w:tcPr>
          <w:p>
            <w:pPr>
              <w:ind w:left="1560"/>
              <w:spacing w:after="0"/>
              <w:rPr>
                <w:sz w:val="20"/>
                <w:szCs w:val="20"/>
                <w:color w:val="auto"/>
              </w:rPr>
            </w:pPr>
            <w:r>
              <w:rPr>
                <w:rFonts w:ascii="Arial" w:cs="Arial" w:eastAsia="Arial" w:hAnsi="Arial"/>
                <w:sz w:val="15"/>
                <w:szCs w:val="15"/>
                <w:color w:val="auto"/>
              </w:rPr>
              <w:t>(3)</w:t>
            </w:r>
          </w:p>
        </w:tc>
        <w:tc>
          <w:tcPr>
            <w:tcW w:w="3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2400" w:type="dxa"/>
            <w:vAlign w:val="bottom"/>
          </w:tcPr>
          <w:p>
            <w:pPr>
              <w:spacing w:after="0"/>
              <w:rPr>
                <w:sz w:val="17"/>
                <w:szCs w:val="17"/>
                <w:color w:val="auto"/>
              </w:rPr>
            </w:pPr>
          </w:p>
        </w:tc>
        <w:tc>
          <w:tcPr>
            <w:tcW w:w="3920" w:type="dxa"/>
            <w:vAlign w:val="bottom"/>
          </w:tcPr>
          <w:p>
            <w:pPr>
              <w:jc w:val="right"/>
              <w:ind w:right="170"/>
              <w:spacing w:after="0"/>
              <w:rPr>
                <w:sz w:val="20"/>
                <w:szCs w:val="20"/>
                <w:color w:val="auto"/>
              </w:rPr>
            </w:pPr>
            <w:r>
              <w:rPr>
                <w:rFonts w:ascii="Arial" w:cs="Arial" w:eastAsia="Arial" w:hAnsi="Arial"/>
                <w:sz w:val="16"/>
                <w:szCs w:val="16"/>
                <w:color w:val="auto"/>
              </w:rPr>
              <w:t>Pension Equalization Program</w:t>
            </w:r>
          </w:p>
        </w:tc>
        <w:tc>
          <w:tcPr>
            <w:tcW w:w="1060" w:type="dxa"/>
            <w:vAlign w:val="bottom"/>
          </w:tcPr>
          <w:p>
            <w:pPr>
              <w:jc w:val="right"/>
              <w:ind w:right="186"/>
              <w:spacing w:after="0"/>
              <w:rPr>
                <w:sz w:val="20"/>
                <w:szCs w:val="20"/>
                <w:color w:val="auto"/>
              </w:rPr>
            </w:pPr>
            <w:r>
              <w:rPr>
                <w:rFonts w:ascii="Arial" w:cs="Arial" w:eastAsia="Arial" w:hAnsi="Arial"/>
                <w:sz w:val="16"/>
                <w:szCs w:val="16"/>
                <w:color w:val="auto"/>
              </w:rPr>
              <w:t>15.3</w:t>
            </w:r>
          </w:p>
        </w:tc>
        <w:tc>
          <w:tcPr>
            <w:tcW w:w="1160" w:type="dxa"/>
            <w:vAlign w:val="bottom"/>
          </w:tcPr>
          <w:p>
            <w:pPr>
              <w:jc w:val="right"/>
              <w:ind w:right="187"/>
              <w:spacing w:after="0"/>
              <w:rPr>
                <w:sz w:val="20"/>
                <w:szCs w:val="20"/>
                <w:color w:val="auto"/>
              </w:rPr>
            </w:pPr>
            <w:r>
              <w:rPr>
                <w:rFonts w:ascii="Arial" w:cs="Arial" w:eastAsia="Arial" w:hAnsi="Arial"/>
                <w:sz w:val="16"/>
                <w:szCs w:val="16"/>
                <w:color w:val="auto"/>
              </w:rPr>
              <w:t>26.3</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6"/>
              <w:spacing w:after="0"/>
              <w:rPr>
                <w:sz w:val="20"/>
                <w:szCs w:val="20"/>
                <w:color w:val="auto"/>
              </w:rPr>
            </w:pPr>
            <w:r>
              <w:rPr>
                <w:rFonts w:ascii="Arial" w:cs="Arial" w:eastAsia="Arial" w:hAnsi="Arial"/>
                <w:sz w:val="16"/>
                <w:szCs w:val="16"/>
                <w:color w:val="auto"/>
              </w:rPr>
              <w:t>91,642</w:t>
            </w:r>
          </w:p>
        </w:tc>
        <w:tc>
          <w:tcPr>
            <w:tcW w:w="360" w:type="dxa"/>
            <w:vAlign w:val="bottom"/>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187"/>
        </w:trPr>
        <w:tc>
          <w:tcPr>
            <w:tcW w:w="24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color w:val="auto"/>
              </w:rPr>
              <w:t>Salaried Retirement Restoration Program</w:t>
            </w:r>
          </w:p>
        </w:tc>
        <w:tc>
          <w:tcPr>
            <w:tcW w:w="106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color w:val="auto"/>
              </w:rPr>
              <w:t>15.3</w:t>
            </w:r>
          </w:p>
        </w:tc>
        <w:tc>
          <w:tcPr>
            <w:tcW w:w="116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color w:val="auto"/>
              </w:rPr>
              <w:t>26.3</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color w:val="auto"/>
              </w:rPr>
              <w:t>394,670</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r>
      <w:tr>
        <w:trPr>
          <w:trHeight w:val="183"/>
        </w:trPr>
        <w:tc>
          <w:tcPr>
            <w:tcW w:w="240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Raymond E. Scott</w:t>
            </w:r>
          </w:p>
        </w:tc>
        <w:tc>
          <w:tcPr>
            <w:tcW w:w="3920" w:type="dxa"/>
            <w:vAlign w:val="bottom"/>
            <w:shd w:val="clear" w:color="auto" w:fill="FCE9E8"/>
          </w:tcPr>
          <w:p>
            <w:pPr>
              <w:jc w:val="right"/>
              <w:ind w:right="170"/>
              <w:spacing w:after="0" w:line="183" w:lineRule="exact"/>
              <w:rPr>
                <w:sz w:val="20"/>
                <w:szCs w:val="20"/>
                <w:color w:val="auto"/>
              </w:rPr>
            </w:pPr>
            <w:r>
              <w:rPr>
                <w:rFonts w:ascii="Arial" w:cs="Arial" w:eastAsia="Arial" w:hAnsi="Arial"/>
                <w:sz w:val="16"/>
                <w:szCs w:val="16"/>
                <w:color w:val="auto"/>
              </w:rPr>
              <w:t>Pension Plan (tax-qualified plan)</w:t>
            </w:r>
          </w:p>
        </w:tc>
        <w:tc>
          <w:tcPr>
            <w:tcW w:w="1060" w:type="dxa"/>
            <w:vAlign w:val="bottom"/>
            <w:shd w:val="clear" w:color="auto" w:fill="FCE9E8"/>
          </w:tcPr>
          <w:p>
            <w:pPr>
              <w:jc w:val="right"/>
              <w:ind w:right="186"/>
              <w:spacing w:after="0" w:line="183" w:lineRule="exact"/>
              <w:rPr>
                <w:sz w:val="20"/>
                <w:szCs w:val="20"/>
                <w:color w:val="auto"/>
              </w:rPr>
            </w:pPr>
            <w:r>
              <w:rPr>
                <w:rFonts w:ascii="Arial" w:cs="Arial" w:eastAsia="Arial" w:hAnsi="Arial"/>
                <w:sz w:val="16"/>
                <w:szCs w:val="16"/>
                <w:color w:val="auto"/>
              </w:rPr>
              <w:t>18.4</w:t>
            </w:r>
          </w:p>
        </w:tc>
        <w:tc>
          <w:tcPr>
            <w:tcW w:w="1160" w:type="dxa"/>
            <w:vAlign w:val="bottom"/>
            <w:shd w:val="clear" w:color="auto" w:fill="FCE9E8"/>
          </w:tcPr>
          <w:p>
            <w:pPr>
              <w:jc w:val="right"/>
              <w:ind w:right="187"/>
              <w:spacing w:after="0" w:line="183" w:lineRule="exact"/>
              <w:rPr>
                <w:sz w:val="20"/>
                <w:szCs w:val="20"/>
                <w:color w:val="auto"/>
              </w:rPr>
            </w:pPr>
            <w:r>
              <w:rPr>
                <w:rFonts w:ascii="Arial" w:cs="Arial" w:eastAsia="Arial" w:hAnsi="Arial"/>
                <w:sz w:val="16"/>
                <w:szCs w:val="16"/>
                <w:color w:val="auto"/>
              </w:rPr>
              <w:t>29.4</w:t>
            </w:r>
          </w:p>
        </w:tc>
        <w:tc>
          <w:tcPr>
            <w:tcW w:w="380" w:type="dxa"/>
            <w:vAlign w:val="bottom"/>
            <w:shd w:val="clear" w:color="auto" w:fill="FCE9E8"/>
          </w:tcPr>
          <w:p>
            <w:pPr>
              <w:ind w:left="24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line="183" w:lineRule="exact"/>
              <w:rPr>
                <w:sz w:val="20"/>
                <w:szCs w:val="20"/>
                <w:color w:val="auto"/>
              </w:rPr>
            </w:pPr>
            <w:r>
              <w:rPr>
                <w:rFonts w:ascii="Arial" w:cs="Arial" w:eastAsia="Arial" w:hAnsi="Arial"/>
                <w:sz w:val="16"/>
                <w:szCs w:val="16"/>
                <w:color w:val="auto"/>
              </w:rPr>
              <w:t>498,817</w:t>
            </w:r>
          </w:p>
        </w:tc>
        <w:tc>
          <w:tcPr>
            <w:tcW w:w="36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line="183" w:lineRule="exact"/>
              <w:rPr>
                <w:sz w:val="20"/>
                <w:szCs w:val="20"/>
                <w:color w:val="auto"/>
              </w:rPr>
            </w:pPr>
            <w:r>
              <w:rPr>
                <w:rFonts w:ascii="Arial" w:cs="Arial" w:eastAsia="Arial" w:hAnsi="Arial"/>
                <w:sz w:val="16"/>
                <w:szCs w:val="16"/>
                <w:color w:val="auto"/>
              </w:rPr>
              <w:t>—</w:t>
            </w:r>
          </w:p>
        </w:tc>
      </w:tr>
      <w:tr>
        <w:trPr>
          <w:trHeight w:val="189"/>
        </w:trPr>
        <w:tc>
          <w:tcPr>
            <w:tcW w:w="2400" w:type="dxa"/>
            <w:vAlign w:val="bottom"/>
            <w:shd w:val="clear" w:color="auto" w:fill="FCE9E8"/>
          </w:tcPr>
          <w:p>
            <w:pPr>
              <w:spacing w:after="0"/>
              <w:rPr>
                <w:sz w:val="16"/>
                <w:szCs w:val="16"/>
                <w:color w:val="auto"/>
              </w:rPr>
            </w:pPr>
          </w:p>
        </w:tc>
        <w:tc>
          <w:tcPr>
            <w:tcW w:w="3920" w:type="dxa"/>
            <w:vAlign w:val="bottom"/>
            <w:shd w:val="clear" w:color="auto" w:fill="FCE9E8"/>
          </w:tcPr>
          <w:p>
            <w:pPr>
              <w:jc w:val="right"/>
              <w:ind w:right="170"/>
              <w:spacing w:after="0"/>
              <w:rPr>
                <w:sz w:val="20"/>
                <w:szCs w:val="20"/>
                <w:color w:val="auto"/>
              </w:rPr>
            </w:pPr>
            <w:r>
              <w:rPr>
                <w:rFonts w:ascii="Arial" w:cs="Arial" w:eastAsia="Arial" w:hAnsi="Arial"/>
                <w:sz w:val="16"/>
                <w:szCs w:val="16"/>
                <w:color w:val="auto"/>
              </w:rPr>
              <w:t>Pension Equalization Program</w:t>
            </w:r>
          </w:p>
        </w:tc>
        <w:tc>
          <w:tcPr>
            <w:tcW w:w="1060" w:type="dxa"/>
            <w:vAlign w:val="bottom"/>
            <w:shd w:val="clear" w:color="auto" w:fill="FCE9E8"/>
          </w:tcPr>
          <w:p>
            <w:pPr>
              <w:jc w:val="right"/>
              <w:ind w:right="186"/>
              <w:spacing w:after="0"/>
              <w:rPr>
                <w:sz w:val="20"/>
                <w:szCs w:val="20"/>
                <w:color w:val="auto"/>
              </w:rPr>
            </w:pPr>
            <w:r>
              <w:rPr>
                <w:rFonts w:ascii="Arial" w:cs="Arial" w:eastAsia="Arial" w:hAnsi="Arial"/>
                <w:sz w:val="16"/>
                <w:szCs w:val="16"/>
                <w:color w:val="auto"/>
              </w:rPr>
              <w:t>18.4</w:t>
            </w:r>
          </w:p>
        </w:tc>
        <w:tc>
          <w:tcPr>
            <w:tcW w:w="11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29.4</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rPr>
                <w:sz w:val="20"/>
                <w:szCs w:val="20"/>
                <w:color w:val="auto"/>
              </w:rPr>
            </w:pPr>
            <w:r>
              <w:rPr>
                <w:rFonts w:ascii="Arial" w:cs="Arial" w:eastAsia="Arial" w:hAnsi="Arial"/>
                <w:sz w:val="16"/>
                <w:szCs w:val="16"/>
                <w:color w:val="auto"/>
              </w:rPr>
              <w:t>594,303</w:t>
            </w:r>
          </w:p>
        </w:tc>
        <w:tc>
          <w:tcPr>
            <w:tcW w:w="360" w:type="dxa"/>
            <w:vAlign w:val="bottom"/>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9"/>
        </w:trPr>
        <w:tc>
          <w:tcPr>
            <w:tcW w:w="2400" w:type="dxa"/>
            <w:vAlign w:val="bottom"/>
            <w:shd w:val="clear" w:color="auto" w:fill="FCE9E8"/>
          </w:tcPr>
          <w:p>
            <w:pPr>
              <w:spacing w:after="0"/>
              <w:rPr>
                <w:sz w:val="16"/>
                <w:szCs w:val="16"/>
                <w:color w:val="auto"/>
              </w:rPr>
            </w:pPr>
          </w:p>
        </w:tc>
        <w:tc>
          <w:tcPr>
            <w:tcW w:w="3920" w:type="dxa"/>
            <w:vAlign w:val="bottom"/>
            <w:shd w:val="clear" w:color="auto" w:fill="FCE9E8"/>
          </w:tcPr>
          <w:p>
            <w:pPr>
              <w:jc w:val="right"/>
              <w:ind w:right="170"/>
              <w:spacing w:after="0"/>
              <w:rPr>
                <w:sz w:val="20"/>
                <w:szCs w:val="20"/>
                <w:color w:val="auto"/>
              </w:rPr>
            </w:pPr>
            <w:r>
              <w:rPr>
                <w:rFonts w:ascii="Arial" w:cs="Arial" w:eastAsia="Arial" w:hAnsi="Arial"/>
                <w:sz w:val="16"/>
                <w:szCs w:val="16"/>
                <w:color w:val="auto"/>
              </w:rPr>
              <w:t>Salaried Retirement Restoration Program</w:t>
            </w:r>
          </w:p>
        </w:tc>
        <w:tc>
          <w:tcPr>
            <w:tcW w:w="1060" w:type="dxa"/>
            <w:vAlign w:val="bottom"/>
            <w:shd w:val="clear" w:color="auto" w:fill="FCE9E8"/>
          </w:tcPr>
          <w:p>
            <w:pPr>
              <w:jc w:val="right"/>
              <w:ind w:right="186"/>
              <w:spacing w:after="0"/>
              <w:rPr>
                <w:sz w:val="20"/>
                <w:szCs w:val="20"/>
                <w:color w:val="auto"/>
              </w:rPr>
            </w:pPr>
            <w:r>
              <w:rPr>
                <w:rFonts w:ascii="Arial" w:cs="Arial" w:eastAsia="Arial" w:hAnsi="Arial"/>
                <w:sz w:val="16"/>
                <w:szCs w:val="16"/>
                <w:color w:val="auto"/>
              </w:rPr>
              <w:t>18.4</w:t>
            </w:r>
          </w:p>
        </w:tc>
        <w:tc>
          <w:tcPr>
            <w:tcW w:w="11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29.4</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rPr>
                <w:sz w:val="20"/>
                <w:szCs w:val="20"/>
                <w:color w:val="auto"/>
              </w:rPr>
            </w:pPr>
            <w:r>
              <w:rPr>
                <w:rFonts w:ascii="Arial" w:cs="Arial" w:eastAsia="Arial" w:hAnsi="Arial"/>
                <w:sz w:val="16"/>
                <w:szCs w:val="16"/>
                <w:color w:val="auto"/>
              </w:rPr>
              <w:t>385,365</w:t>
            </w:r>
          </w:p>
        </w:tc>
        <w:tc>
          <w:tcPr>
            <w:tcW w:w="360" w:type="dxa"/>
            <w:vAlign w:val="bottom"/>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7"/>
        </w:trPr>
        <w:tc>
          <w:tcPr>
            <w:tcW w:w="2400" w:type="dxa"/>
            <w:vAlign w:val="bottom"/>
            <w:shd w:val="clear" w:color="auto" w:fill="000000"/>
          </w:tcPr>
          <w:p>
            <w:pPr>
              <w:ind w:left="80"/>
              <w:spacing w:after="0"/>
              <w:rPr>
                <w:sz w:val="20"/>
                <w:szCs w:val="20"/>
                <w:color w:val="auto"/>
              </w:rPr>
            </w:pPr>
            <w:r>
              <w:rPr>
                <w:rFonts w:ascii="Arial" w:cs="Arial" w:eastAsia="Arial" w:hAnsi="Arial"/>
                <w:sz w:val="1"/>
                <w:szCs w:val="1"/>
                <w:color w:val="auto"/>
              </w:rPr>
              <w:t>Terrence B. Larkin</w:t>
            </w:r>
          </w:p>
        </w:tc>
        <w:tc>
          <w:tcPr>
            <w:tcW w:w="3920" w:type="dxa"/>
            <w:vAlign w:val="bottom"/>
            <w:shd w:val="clear" w:color="auto" w:fill="000000"/>
          </w:tcPr>
          <w:p>
            <w:pPr>
              <w:jc w:val="right"/>
              <w:ind w:right="170"/>
              <w:spacing w:after="0"/>
              <w:rPr>
                <w:sz w:val="20"/>
                <w:szCs w:val="20"/>
                <w:color w:val="auto"/>
              </w:rPr>
            </w:pPr>
            <w:r>
              <w:rPr>
                <w:rFonts w:ascii="Arial" w:cs="Arial" w:eastAsia="Arial" w:hAnsi="Arial"/>
                <w:sz w:val="1"/>
                <w:szCs w:val="1"/>
                <w:color w:val="auto"/>
              </w:rPr>
              <w:t>N/A</w:t>
            </w:r>
          </w:p>
        </w:tc>
        <w:tc>
          <w:tcPr>
            <w:tcW w:w="10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80"/>
        </w:trPr>
        <w:tc>
          <w:tcPr>
            <w:tcW w:w="2400" w:type="dxa"/>
            <w:vAlign w:val="bottom"/>
            <w:tcBorders>
              <w:bottom w:val="single" w:sz="8" w:color="auto"/>
            </w:tcBorders>
          </w:tcPr>
          <w:p>
            <w:pPr>
              <w:ind w:left="1460"/>
              <w:spacing w:after="0"/>
              <w:rPr>
                <w:sz w:val="20"/>
                <w:szCs w:val="20"/>
                <w:color w:val="auto"/>
              </w:rPr>
            </w:pPr>
            <w:r>
              <w:rPr>
                <w:rFonts w:ascii="Arial" w:cs="Arial" w:eastAsia="Arial" w:hAnsi="Arial"/>
                <w:sz w:val="15"/>
                <w:szCs w:val="15"/>
                <w:color w:val="auto"/>
              </w:rPr>
              <w:t>(4)</w:t>
            </w:r>
          </w:p>
        </w:tc>
        <w:tc>
          <w:tcPr>
            <w:tcW w:w="39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89"/>
        </w:trPr>
        <w:tc>
          <w:tcPr>
            <w:tcW w:w="240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3920" w:type="dxa"/>
            <w:vAlign w:val="bottom"/>
            <w:shd w:val="clear" w:color="auto" w:fill="FCE9E8"/>
          </w:tcPr>
          <w:p>
            <w:pPr>
              <w:jc w:val="right"/>
              <w:ind w:right="170"/>
              <w:spacing w:after="0"/>
              <w:rPr>
                <w:sz w:val="20"/>
                <w:szCs w:val="20"/>
                <w:color w:val="auto"/>
              </w:rPr>
            </w:pPr>
            <w:r>
              <w:rPr>
                <w:rFonts w:ascii="Arial" w:cs="Arial" w:eastAsia="Arial" w:hAnsi="Arial"/>
                <w:sz w:val="16"/>
                <w:szCs w:val="16"/>
                <w:color w:val="auto"/>
              </w:rPr>
              <w:t>Pension Plan (tax-qualified plan)</w:t>
            </w:r>
          </w:p>
        </w:tc>
        <w:tc>
          <w:tcPr>
            <w:tcW w:w="1060" w:type="dxa"/>
            <w:vAlign w:val="bottom"/>
            <w:shd w:val="clear" w:color="auto" w:fill="FCE9E8"/>
          </w:tcPr>
          <w:p>
            <w:pPr>
              <w:jc w:val="right"/>
              <w:ind w:right="186"/>
              <w:spacing w:after="0"/>
              <w:rPr>
                <w:sz w:val="20"/>
                <w:szCs w:val="20"/>
                <w:color w:val="auto"/>
              </w:rPr>
            </w:pPr>
            <w:r>
              <w:rPr>
                <w:rFonts w:ascii="Arial" w:cs="Arial" w:eastAsia="Arial" w:hAnsi="Arial"/>
                <w:sz w:val="16"/>
                <w:szCs w:val="16"/>
                <w:color w:val="auto"/>
              </w:rPr>
              <w:t>12.7</w:t>
            </w:r>
          </w:p>
        </w:tc>
        <w:tc>
          <w:tcPr>
            <w:tcW w:w="11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23.7</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rPr>
                <w:sz w:val="20"/>
                <w:szCs w:val="20"/>
                <w:color w:val="auto"/>
              </w:rPr>
            </w:pPr>
            <w:r>
              <w:rPr>
                <w:rFonts w:ascii="Arial" w:cs="Arial" w:eastAsia="Arial" w:hAnsi="Arial"/>
                <w:sz w:val="16"/>
                <w:szCs w:val="16"/>
                <w:color w:val="auto"/>
              </w:rPr>
              <w:t>265,583</w:t>
            </w:r>
          </w:p>
        </w:tc>
        <w:tc>
          <w:tcPr>
            <w:tcW w:w="360" w:type="dxa"/>
            <w:vAlign w:val="bottom"/>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9"/>
        </w:trPr>
        <w:tc>
          <w:tcPr>
            <w:tcW w:w="2400" w:type="dxa"/>
            <w:vAlign w:val="bottom"/>
            <w:shd w:val="clear" w:color="auto" w:fill="FCE9E8"/>
          </w:tcPr>
          <w:p>
            <w:pPr>
              <w:spacing w:after="0"/>
              <w:rPr>
                <w:sz w:val="16"/>
                <w:szCs w:val="16"/>
                <w:color w:val="auto"/>
              </w:rPr>
            </w:pPr>
          </w:p>
        </w:tc>
        <w:tc>
          <w:tcPr>
            <w:tcW w:w="3920" w:type="dxa"/>
            <w:vAlign w:val="bottom"/>
            <w:shd w:val="clear" w:color="auto" w:fill="FCE9E8"/>
          </w:tcPr>
          <w:p>
            <w:pPr>
              <w:jc w:val="right"/>
              <w:ind w:right="170"/>
              <w:spacing w:after="0"/>
              <w:rPr>
                <w:sz w:val="20"/>
                <w:szCs w:val="20"/>
                <w:color w:val="auto"/>
              </w:rPr>
            </w:pPr>
            <w:r>
              <w:rPr>
                <w:rFonts w:ascii="Arial" w:cs="Arial" w:eastAsia="Arial" w:hAnsi="Arial"/>
                <w:sz w:val="16"/>
                <w:szCs w:val="16"/>
                <w:color w:val="auto"/>
              </w:rPr>
              <w:t>Pension Equalization Program</w:t>
            </w:r>
          </w:p>
        </w:tc>
        <w:tc>
          <w:tcPr>
            <w:tcW w:w="1060" w:type="dxa"/>
            <w:vAlign w:val="bottom"/>
            <w:shd w:val="clear" w:color="auto" w:fill="FCE9E8"/>
          </w:tcPr>
          <w:p>
            <w:pPr>
              <w:jc w:val="right"/>
              <w:ind w:right="186"/>
              <w:spacing w:after="0"/>
              <w:rPr>
                <w:sz w:val="20"/>
                <w:szCs w:val="20"/>
                <w:color w:val="auto"/>
              </w:rPr>
            </w:pPr>
            <w:r>
              <w:rPr>
                <w:rFonts w:ascii="Arial" w:cs="Arial" w:eastAsia="Arial" w:hAnsi="Arial"/>
                <w:sz w:val="16"/>
                <w:szCs w:val="16"/>
                <w:color w:val="auto"/>
              </w:rPr>
              <w:t>12.7</w:t>
            </w:r>
          </w:p>
        </w:tc>
        <w:tc>
          <w:tcPr>
            <w:tcW w:w="11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23.7</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rPr>
                <w:sz w:val="20"/>
                <w:szCs w:val="20"/>
                <w:color w:val="auto"/>
              </w:rPr>
            </w:pPr>
            <w:r>
              <w:rPr>
                <w:rFonts w:ascii="Arial" w:cs="Arial" w:eastAsia="Arial" w:hAnsi="Arial"/>
                <w:sz w:val="16"/>
                <w:szCs w:val="16"/>
                <w:color w:val="auto"/>
              </w:rPr>
              <w:t>93,475</w:t>
            </w:r>
          </w:p>
        </w:tc>
        <w:tc>
          <w:tcPr>
            <w:tcW w:w="360" w:type="dxa"/>
            <w:vAlign w:val="bottom"/>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9"/>
        </w:trPr>
        <w:tc>
          <w:tcPr>
            <w:tcW w:w="2400" w:type="dxa"/>
            <w:vAlign w:val="bottom"/>
            <w:shd w:val="clear" w:color="auto" w:fill="FCE9E8"/>
          </w:tcPr>
          <w:p>
            <w:pPr>
              <w:spacing w:after="0"/>
              <w:rPr>
                <w:sz w:val="16"/>
                <w:szCs w:val="16"/>
                <w:color w:val="auto"/>
              </w:rPr>
            </w:pPr>
          </w:p>
        </w:tc>
        <w:tc>
          <w:tcPr>
            <w:tcW w:w="3920" w:type="dxa"/>
            <w:vAlign w:val="bottom"/>
            <w:shd w:val="clear" w:color="auto" w:fill="FCE9E8"/>
          </w:tcPr>
          <w:p>
            <w:pPr>
              <w:jc w:val="right"/>
              <w:ind w:right="170"/>
              <w:spacing w:after="0"/>
              <w:rPr>
                <w:sz w:val="20"/>
                <w:szCs w:val="20"/>
                <w:color w:val="auto"/>
              </w:rPr>
            </w:pPr>
            <w:r>
              <w:rPr>
                <w:rFonts w:ascii="Arial" w:cs="Arial" w:eastAsia="Arial" w:hAnsi="Arial"/>
                <w:sz w:val="16"/>
                <w:szCs w:val="16"/>
                <w:color w:val="auto"/>
              </w:rPr>
              <w:t>Salaried Retirement Restoration Program</w:t>
            </w:r>
          </w:p>
        </w:tc>
        <w:tc>
          <w:tcPr>
            <w:tcW w:w="1060" w:type="dxa"/>
            <w:vAlign w:val="bottom"/>
            <w:shd w:val="clear" w:color="auto" w:fill="FCE9E8"/>
          </w:tcPr>
          <w:p>
            <w:pPr>
              <w:jc w:val="right"/>
              <w:ind w:right="186"/>
              <w:spacing w:after="0"/>
              <w:rPr>
                <w:sz w:val="20"/>
                <w:szCs w:val="20"/>
                <w:color w:val="auto"/>
              </w:rPr>
            </w:pPr>
            <w:r>
              <w:rPr>
                <w:rFonts w:ascii="Arial" w:cs="Arial" w:eastAsia="Arial" w:hAnsi="Arial"/>
                <w:sz w:val="16"/>
                <w:szCs w:val="16"/>
                <w:color w:val="auto"/>
              </w:rPr>
              <w:t>12.7</w:t>
            </w:r>
          </w:p>
        </w:tc>
        <w:tc>
          <w:tcPr>
            <w:tcW w:w="1160" w:type="dxa"/>
            <w:vAlign w:val="bottom"/>
            <w:shd w:val="clear" w:color="auto" w:fill="FCE9E8"/>
          </w:tcPr>
          <w:p>
            <w:pPr>
              <w:jc w:val="right"/>
              <w:ind w:right="187"/>
              <w:spacing w:after="0"/>
              <w:rPr>
                <w:sz w:val="20"/>
                <w:szCs w:val="20"/>
                <w:color w:val="auto"/>
              </w:rPr>
            </w:pPr>
            <w:r>
              <w:rPr>
                <w:rFonts w:ascii="Arial" w:cs="Arial" w:eastAsia="Arial" w:hAnsi="Arial"/>
                <w:sz w:val="16"/>
                <w:szCs w:val="16"/>
                <w:color w:val="auto"/>
              </w:rPr>
              <w:t>23.7</w:t>
            </w:r>
          </w:p>
        </w:tc>
        <w:tc>
          <w:tcPr>
            <w:tcW w:w="38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66"/>
              <w:spacing w:after="0"/>
              <w:rPr>
                <w:sz w:val="20"/>
                <w:szCs w:val="20"/>
                <w:color w:val="auto"/>
              </w:rPr>
            </w:pPr>
            <w:r>
              <w:rPr>
                <w:rFonts w:ascii="Arial" w:cs="Arial" w:eastAsia="Arial" w:hAnsi="Arial"/>
                <w:sz w:val="16"/>
                <w:szCs w:val="16"/>
                <w:color w:val="auto"/>
              </w:rPr>
              <w:t>119,571</w:t>
            </w:r>
          </w:p>
        </w:tc>
        <w:tc>
          <w:tcPr>
            <w:tcW w:w="360" w:type="dxa"/>
            <w:vAlign w:val="bottom"/>
            <w:shd w:val="clear" w:color="auto" w:fill="FCE9E8"/>
          </w:tcPr>
          <w:p>
            <w:pPr>
              <w:ind w:left="26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140" w:hanging="316"/>
        <w:spacing w:after="0" w:line="183" w:lineRule="auto"/>
        <w:tabs>
          <w:tab w:leader="none" w:pos="52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NEOs are vested in their pension benefits.</w:t>
      </w:r>
    </w:p>
    <w:p>
      <w:pPr>
        <w:spacing w:after="0" w:line="71" w:lineRule="exact"/>
        <w:rPr>
          <w:rFonts w:ascii="Arial" w:cs="Arial" w:eastAsia="Arial" w:hAnsi="Arial"/>
          <w:sz w:val="24"/>
          <w:szCs w:val="24"/>
          <w:color w:val="auto"/>
          <w:vertAlign w:val="superscript"/>
        </w:rPr>
      </w:pPr>
    </w:p>
    <w:p>
      <w:pPr>
        <w:ind w:left="520" w:right="20" w:hanging="316"/>
        <w:spacing w:after="0" w:line="221" w:lineRule="auto"/>
        <w:tabs>
          <w:tab w:leader="none" w:pos="52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Present values determined using a December 31, 2017 measurement date and reflect benefits accrued based on service and pay earned through such date. Figures for the tax-qualified pension plan are determined based on post-commencement valuation mortality (white collar RP-2014 annuitant with 110.2% experience adjustment, projected generationally using MP-2017 improvement scale, modified using Long Term Improvement Rates (LTIR) based on the proxy SSA rates released by the SOA) commencement of benefits at age 65 and an assumed discount rate of 3.70% as of the measurement date. Figures for the Pension Equalization Program and the Salaried Retirement Restoration Program (collectively, the “SERP”) are determined based on the mortality prescribed by Revenue Ruling 2001-62, commencement of benefits at the later of age 60 and full vesting and an assumed discount rate of 3.05% as of the measurement date. The assumed future SERP present value conversion rate for those not yet in payment is 2.80%.</w:t>
      </w:r>
    </w:p>
    <w:p>
      <w:pPr>
        <w:spacing w:after="0" w:line="1" w:lineRule="exact"/>
        <w:rPr>
          <w:rFonts w:ascii="Arial" w:cs="Arial" w:eastAsia="Arial" w:hAnsi="Arial"/>
          <w:sz w:val="24"/>
          <w:szCs w:val="24"/>
          <w:color w:val="auto"/>
          <w:vertAlign w:val="superscript"/>
        </w:rPr>
      </w:pPr>
    </w:p>
    <w:p>
      <w:pPr>
        <w:ind w:left="520" w:hanging="316"/>
        <w:spacing w:after="0" w:line="211" w:lineRule="auto"/>
        <w:tabs>
          <w:tab w:leader="none" w:pos="52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Mr. Vanneste was credited with prior service for his past affiliation with the Company in accordance with plan provisions.</w:t>
      </w:r>
    </w:p>
    <w:p>
      <w:pPr>
        <w:spacing w:after="0" w:line="71" w:lineRule="exact"/>
        <w:rPr>
          <w:rFonts w:ascii="Arial" w:cs="Arial" w:eastAsia="Arial" w:hAnsi="Arial"/>
          <w:sz w:val="24"/>
          <w:szCs w:val="24"/>
          <w:color w:val="auto"/>
          <w:vertAlign w:val="superscript"/>
        </w:rPr>
      </w:pPr>
    </w:p>
    <w:p>
      <w:pPr>
        <w:ind w:left="520" w:right="380" w:hanging="316"/>
        <w:spacing w:after="0" w:line="183" w:lineRule="auto"/>
        <w:tabs>
          <w:tab w:leader="none" w:pos="52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Mr. Larkin is not a participant in the Pension Plan, Pension Equalization Program or Salaried Retirement Restoration Program pension make-up account (“Pension Make-Up Account”).</w:t>
      </w:r>
    </w:p>
    <w:p>
      <w:pPr>
        <w:spacing w:after="0" w:line="112"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47</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96"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The Named Executive Officers (as well as other eligible employees), other than Mr. Larkin,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104"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pay,” which is the average of the participant’s compensation for the five calendar years in the last ten years of employment in which the participant had his highest earnings. Compensation is generally defined under the plan to mean (i) all cash compensation reported for federal income tax purposes other than long-term incentive bonuses, and (ii) any elective contributions that are not includable in gross income under Internal Revenue Code Section 125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401(k). A participant’s annual retirement benefit, payable as a life annuity at age 65, equals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-1231265</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1" w:lineRule="exact"/>
        <w:rPr>
          <w:sz w:val="20"/>
          <w:szCs w:val="20"/>
          <w:color w:val="auto"/>
        </w:rPr>
      </w:pPr>
    </w:p>
    <w:p>
      <w:pPr>
        <w:ind w:left="200" w:hanging="196"/>
        <w:spacing w:after="0" w:line="248" w:lineRule="auto"/>
        <w:tabs>
          <w:tab w:leader="none" w:pos="2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114" w:lineRule="exact"/>
        <w:rPr>
          <w:rFonts w:ascii="Arial" w:cs="Arial" w:eastAsia="Arial" w:hAnsi="Arial"/>
          <w:sz w:val="16"/>
          <w:szCs w:val="16"/>
          <w:color w:val="auto"/>
        </w:rPr>
      </w:pPr>
    </w:p>
    <w:p>
      <w:pPr>
        <w:ind w:left="200" w:hanging="196"/>
        <w:spacing w:after="0"/>
        <w:tabs>
          <w:tab w:leader="none" w:pos="2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$360.00 times years of credited service.</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Any employee who on December 31, 1996 was an active participant and age 50 or older earned benefits under the 1.10% formula for years of credited service through 2001.</w:t>
      </w:r>
    </w:p>
    <w:p>
      <w:pPr>
        <w:spacing w:after="0" w:line="93"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229" w:lineRule="exact"/>
        <w:rPr>
          <w:sz w:val="20"/>
          <w:szCs w:val="20"/>
          <w:color w:val="auto"/>
        </w:rPr>
      </w:pPr>
    </w:p>
    <w:p>
      <w:pPr>
        <w:sectPr>
          <w:pgSz w:w="11900" w:h="16838" w:orient="portrait"/>
          <w:cols w:equalWidth="0" w:num="2">
            <w:col w:w="5480" w:space="340"/>
            <w:col w:w="5360"/>
          </w:cols>
          <w:pgMar w:left="240" w:top="459" w:right="479" w:bottom="1440" w:gutter="0" w:footer="0" w:header="0"/>
        </w:sectPr>
      </w:pP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Equalization Program</w:t>
      </w:r>
    </w:p>
    <w:p>
      <w:pPr>
        <w:spacing w:after="0" w:line="196"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w:t>
      </w:r>
    </w:p>
    <w:p>
      <w:pPr>
        <w:spacing w:after="0" w:line="200" w:lineRule="exact"/>
        <w:rPr>
          <w:sz w:val="20"/>
          <w:szCs w:val="20"/>
          <w:color w:val="auto"/>
        </w:rPr>
      </w:pPr>
    </w:p>
    <w:p>
      <w:pPr>
        <w:spacing w:after="0" w:line="257" w:lineRule="exact"/>
        <w:rPr>
          <w:sz w:val="20"/>
          <w:szCs w:val="20"/>
          <w:color w:val="auto"/>
        </w:rPr>
      </w:pPr>
    </w:p>
    <w:p>
      <w:pPr>
        <w:ind w:left="660" w:hanging="354"/>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Officers other than Mr. Larkin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receive any cash payments until the participant retires or otherwise terminates employment with the Company.</w:t>
      </w:r>
    </w:p>
    <w:p>
      <w:pPr>
        <w:sectPr>
          <w:pgSz w:w="11900" w:h="16838" w:orient="portrait"/>
          <w:cols w:equalWidth="0" w:num="2">
            <w:col w:w="5480" w:space="340"/>
            <w:col w:w="5360"/>
          </w:cols>
          <w:pgMar w:left="240" w:top="459" w:right="4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Lear Corporation Salaried Retirement Restoration Program</w:t>
      </w:r>
    </w:p>
    <w:p>
      <w:pPr>
        <w:spacing w:after="0" w:line="196"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95"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The Salaried Retirement Restoration Program has both defined benefit and defined contribution elements. The defined benefit element has been quantified and described in the 2017 Pension Benefits table and in the narrative below. The 2017 Nonqualified Deferred Compensation table below identifies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-635635</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defined contribution components of the Salaried Retirement Restoration Program.</w:t>
      </w:r>
    </w:p>
    <w:p>
      <w:pPr>
        <w:spacing w:after="0" w:line="8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Salaried Retirement Restoration Program was most recently amended and restated effective December 29, 2017. The amendment and restatement provides greater flexibility to participants to determine distribution dates for their deferrals, permits participants to defer up to 75% of base salary and up to 90% of their AIP awards and allows participants to modify distribution dates.</w:t>
      </w:r>
    </w:p>
    <w:p>
      <w:pPr>
        <w:spacing w:after="0" w:line="391" w:lineRule="exact"/>
        <w:rPr>
          <w:sz w:val="20"/>
          <w:szCs w:val="20"/>
          <w:color w:val="auto"/>
        </w:rPr>
      </w:pPr>
    </w:p>
    <w:p>
      <w:pPr>
        <w:sectPr>
          <w:pgSz w:w="11900" w:h="16838" w:orient="portrait"/>
          <w:cols w:equalWidth="0" w:num="2">
            <w:col w:w="5440" w:space="380"/>
            <w:col w:w="5420"/>
          </w:cols>
          <w:pgMar w:left="240" w:top="459" w:right="419" w:bottom="1440" w:gutter="0" w:footer="0" w:header="0"/>
        </w:sectPr>
      </w:pP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Defined Benefit Element</w:t>
      </w:r>
    </w:p>
    <w:p>
      <w:pPr>
        <w:spacing w:after="0" w:line="192"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 the Pension Plan and/or the Pension Equalization Program if</w:t>
      </w:r>
    </w:p>
    <w:p>
      <w:pPr>
        <w:spacing w:after="0" w:line="3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Defined Contribution Element</w:t>
      </w:r>
    </w:p>
    <w:p>
      <w:pPr>
        <w:spacing w:after="0" w:line="192"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In 2017, the defined contribution component of the Salaried Retirement Restoration Program generally provided a defined contribution benefit of an amount that the participant would have received under the Pension Savings Plan but could not 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participant had not elected to defer compensation under the Salaried Retirement Restoration Program as from time to time was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Retirement Restoration Program after three years of vesting service. Distributions of the excess Pension Savings Plan contributions, deferral contributions and Company matching contributions are made in a lump sum in the calendar year following the year of the participant’s termination of employment.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390" w:lineRule="exact"/>
        <w:rPr>
          <w:sz w:val="20"/>
          <w:szCs w:val="20"/>
          <w:color w:val="auto"/>
        </w:rPr>
      </w:pPr>
    </w:p>
    <w:p>
      <w:pPr>
        <w:sectPr>
          <w:pgSz w:w="11900" w:h="16838" w:orient="portrait"/>
          <w:cols w:equalWidth="0" w:num="2">
            <w:col w:w="5400" w:space="420"/>
            <w:col w:w="5420"/>
          </w:cols>
          <w:pgMar w:left="240" w:top="459" w:right="419"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2017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699770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E2231A"/>
              </w:rPr>
              <w:t>Aggregate</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b w:val="1"/>
                <w:bCs w:val="1"/>
                <w:color w:val="E2231A"/>
              </w:rPr>
              <w:t>Executive</w:t>
            </w:r>
          </w:p>
        </w:tc>
        <w:tc>
          <w:tcPr>
            <w:tcW w:w="32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b w:val="1"/>
                <w:bCs w:val="1"/>
                <w:color w:val="E2231A"/>
              </w:rPr>
              <w:t>Company</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Earnings</w:t>
            </w:r>
          </w:p>
        </w:tc>
        <w:tc>
          <w:tcPr>
            <w:tcW w:w="28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Arial" w:cs="Arial" w:eastAsia="Arial" w:hAnsi="Arial"/>
                <w:sz w:val="14"/>
                <w:szCs w:val="14"/>
                <w:b w:val="1"/>
                <w:bCs w:val="1"/>
                <w:color w:val="E2231A"/>
              </w:rPr>
              <w:t>Aggregate</w:t>
            </w:r>
          </w:p>
        </w:tc>
        <w:tc>
          <w:tcPr>
            <w:tcW w:w="2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E2231A"/>
              </w:rPr>
              <w:t>Aggregate</w:t>
            </w:r>
          </w:p>
        </w:tc>
      </w:tr>
      <w:tr>
        <w:trPr>
          <w:trHeight w:val="159"/>
        </w:trPr>
        <w:tc>
          <w:tcPr>
            <w:tcW w:w="2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gridSpan w:val="2"/>
          </w:tcPr>
          <w:p>
            <w:pPr>
              <w:ind w:left="200"/>
              <w:spacing w:after="0" w:line="159" w:lineRule="exact"/>
              <w:rPr>
                <w:sz w:val="20"/>
                <w:szCs w:val="20"/>
                <w:color w:val="auto"/>
              </w:rPr>
            </w:pPr>
            <w:r>
              <w:rPr>
                <w:rFonts w:ascii="Arial" w:cs="Arial" w:eastAsia="Arial" w:hAnsi="Arial"/>
                <w:sz w:val="14"/>
                <w:szCs w:val="14"/>
                <w:b w:val="1"/>
                <w:bCs w:val="1"/>
                <w:color w:val="E2231A"/>
              </w:rPr>
              <w:t>Contributions</w:t>
            </w:r>
          </w:p>
        </w:tc>
        <w:tc>
          <w:tcPr>
            <w:tcW w:w="140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E2231A"/>
              </w:rPr>
              <w:t>Contributions</w:t>
            </w:r>
          </w:p>
        </w:tc>
        <w:tc>
          <w:tcPr>
            <w:tcW w:w="280" w:type="dxa"/>
            <w:vAlign w:val="bottom"/>
          </w:tcPr>
          <w:p>
            <w:pPr>
              <w:spacing w:after="0"/>
              <w:rPr>
                <w:sz w:val="13"/>
                <w:szCs w:val="13"/>
                <w:color w:val="auto"/>
              </w:rPr>
            </w:pPr>
          </w:p>
        </w:tc>
        <w:tc>
          <w:tcPr>
            <w:tcW w:w="820" w:type="dxa"/>
            <w:vAlign w:val="bottom"/>
          </w:tcPr>
          <w:p>
            <w:pPr>
              <w:jc w:val="center"/>
              <w:ind w:right="209"/>
              <w:spacing w:after="0" w:line="159" w:lineRule="exact"/>
              <w:rPr>
                <w:sz w:val="20"/>
                <w:szCs w:val="20"/>
                <w:color w:val="auto"/>
              </w:rPr>
            </w:pPr>
            <w:r>
              <w:rPr>
                <w:rFonts w:ascii="Arial" w:cs="Arial" w:eastAsia="Arial" w:hAnsi="Arial"/>
                <w:sz w:val="14"/>
                <w:szCs w:val="14"/>
                <w:b w:val="1"/>
                <w:bCs w:val="1"/>
                <w:color w:val="E2231A"/>
              </w:rPr>
              <w:t>in Last</w:t>
            </w:r>
          </w:p>
        </w:tc>
        <w:tc>
          <w:tcPr>
            <w:tcW w:w="280" w:type="dxa"/>
            <w:vAlign w:val="bottom"/>
          </w:tcPr>
          <w:p>
            <w:pPr>
              <w:spacing w:after="0"/>
              <w:rPr>
                <w:sz w:val="13"/>
                <w:szCs w:val="13"/>
                <w:color w:val="auto"/>
              </w:rPr>
            </w:pPr>
          </w:p>
        </w:tc>
        <w:tc>
          <w:tcPr>
            <w:tcW w:w="1160" w:type="dxa"/>
            <w:vAlign w:val="bottom"/>
          </w:tcPr>
          <w:p>
            <w:pPr>
              <w:spacing w:after="0" w:line="159" w:lineRule="exact"/>
              <w:rPr>
                <w:sz w:val="20"/>
                <w:szCs w:val="20"/>
                <w:color w:val="auto"/>
              </w:rPr>
            </w:pPr>
            <w:r>
              <w:rPr>
                <w:rFonts w:ascii="Arial" w:cs="Arial" w:eastAsia="Arial" w:hAnsi="Arial"/>
                <w:sz w:val="14"/>
                <w:szCs w:val="14"/>
                <w:b w:val="1"/>
                <w:bCs w:val="1"/>
                <w:color w:val="E2231A"/>
              </w:rPr>
              <w:t>Withdrawals/</w:t>
            </w:r>
          </w:p>
        </w:tc>
        <w:tc>
          <w:tcPr>
            <w:tcW w:w="280" w:type="dxa"/>
            <w:vAlign w:val="bottom"/>
          </w:tcPr>
          <w:p>
            <w:pPr>
              <w:spacing w:after="0"/>
              <w:rPr>
                <w:sz w:val="13"/>
                <w:szCs w:val="13"/>
                <w:color w:val="auto"/>
              </w:rPr>
            </w:pPr>
          </w:p>
        </w:tc>
        <w:tc>
          <w:tcPr>
            <w:tcW w:w="1040" w:type="dxa"/>
            <w:vAlign w:val="bottom"/>
          </w:tcPr>
          <w:p>
            <w:pPr>
              <w:jc w:val="right"/>
              <w:ind w:right="228"/>
              <w:spacing w:after="0" w:line="159" w:lineRule="exact"/>
              <w:rPr>
                <w:sz w:val="20"/>
                <w:szCs w:val="20"/>
                <w:color w:val="auto"/>
              </w:rPr>
            </w:pPr>
            <w:r>
              <w:rPr>
                <w:rFonts w:ascii="Arial" w:cs="Arial" w:eastAsia="Arial" w:hAnsi="Arial"/>
                <w:sz w:val="14"/>
                <w:szCs w:val="14"/>
                <w:b w:val="1"/>
                <w:bCs w:val="1"/>
                <w:color w:val="E2231A"/>
              </w:rPr>
              <w:t>Balance at</w:t>
            </w:r>
          </w:p>
        </w:tc>
      </w:tr>
      <w:tr>
        <w:trPr>
          <w:trHeight w:val="179"/>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Name(a)</w:t>
            </w:r>
          </w:p>
        </w:tc>
        <w:tc>
          <w:tcPr>
            <w:tcW w:w="18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E2231A"/>
              </w:rPr>
              <w:t>Plan Name</w:t>
            </w: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E2231A"/>
              </w:rPr>
              <w:t>in Last FY(b)</w:t>
            </w:r>
          </w:p>
        </w:tc>
        <w:tc>
          <w:tcPr>
            <w:tcW w:w="1400" w:type="dxa"/>
            <w:vAlign w:val="bottom"/>
            <w:tcBorders>
              <w:bottom w:val="single" w:sz="8" w:color="auto"/>
            </w:tcBorders>
            <w:gridSpan w:val="2"/>
          </w:tcPr>
          <w:p>
            <w:pPr>
              <w:ind w:left="200"/>
              <w:spacing w:after="0" w:line="179" w:lineRule="exact"/>
              <w:rPr>
                <w:sz w:val="20"/>
                <w:szCs w:val="20"/>
                <w:color w:val="auto"/>
              </w:rPr>
            </w:pPr>
            <w:r>
              <w:rPr>
                <w:rFonts w:ascii="Arial" w:cs="Arial" w:eastAsia="Arial" w:hAnsi="Arial"/>
                <w:sz w:val="12"/>
                <w:szCs w:val="12"/>
                <w:b w:val="1"/>
                <w:bCs w:val="1"/>
                <w:color w:val="E2231A"/>
              </w:rPr>
              <w:t>in Last FY</w:t>
            </w:r>
            <w:r>
              <w:rPr>
                <w:rFonts w:ascii="Arial" w:cs="Arial" w:eastAsia="Arial" w:hAnsi="Arial"/>
                <w:sz w:val="20"/>
                <w:szCs w:val="20"/>
                <w:b w:val="1"/>
                <w:bCs w:val="1"/>
                <w:color w:val="E2231A"/>
                <w:vertAlign w:val="superscript"/>
              </w:rPr>
              <w:t>(1)</w:t>
            </w:r>
            <w:r>
              <w:rPr>
                <w:rFonts w:ascii="Arial" w:cs="Arial" w:eastAsia="Arial" w:hAnsi="Arial"/>
                <w:sz w:val="12"/>
                <w:szCs w:val="12"/>
                <w:b w:val="1"/>
                <w:bCs w:val="1"/>
                <w:color w:val="E2231A"/>
              </w:rPr>
              <w:t>(c)</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9"/>
              <w:spacing w:after="0" w:line="179" w:lineRule="exact"/>
              <w:rPr>
                <w:sz w:val="20"/>
                <w:szCs w:val="20"/>
                <w:color w:val="auto"/>
              </w:rPr>
            </w:pPr>
            <w:r>
              <w:rPr>
                <w:rFonts w:ascii="Arial" w:cs="Arial" w:eastAsia="Arial" w:hAnsi="Arial"/>
                <w:sz w:val="12"/>
                <w:szCs w:val="12"/>
                <w:b w:val="1"/>
                <w:bCs w:val="1"/>
                <w:color w:val="E2231A"/>
              </w:rPr>
              <w:t>FY(d)</w:t>
            </w:r>
            <w:r>
              <w:rPr>
                <w:rFonts w:ascii="Arial" w:cs="Arial" w:eastAsia="Arial" w:hAnsi="Arial"/>
                <w:sz w:val="20"/>
                <w:szCs w:val="20"/>
                <w:b w:val="1"/>
                <w:bCs w:val="1"/>
                <w:color w:val="E2231A"/>
                <w:vertAlign w:val="superscript"/>
              </w:rPr>
              <w:t>(2)</w:t>
            </w: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E2231A"/>
              </w:rPr>
              <w:t>Distributions(e)</w:t>
            </w:r>
          </w:p>
        </w:tc>
        <w:tc>
          <w:tcPr>
            <w:tcW w:w="1320" w:type="dxa"/>
            <w:vAlign w:val="bottom"/>
            <w:tcBorders>
              <w:bottom w:val="single" w:sz="8" w:color="auto"/>
            </w:tcBorders>
            <w:gridSpan w:val="2"/>
          </w:tcPr>
          <w:p>
            <w:pPr>
              <w:ind w:left="200"/>
              <w:spacing w:after="0" w:line="179" w:lineRule="exact"/>
              <w:rPr>
                <w:sz w:val="20"/>
                <w:szCs w:val="20"/>
                <w:color w:val="auto"/>
              </w:rPr>
            </w:pPr>
            <w:r>
              <w:rPr>
                <w:rFonts w:ascii="Arial" w:cs="Arial" w:eastAsia="Arial" w:hAnsi="Arial"/>
                <w:sz w:val="12"/>
                <w:szCs w:val="12"/>
                <w:b w:val="1"/>
                <w:bCs w:val="1"/>
                <w:color w:val="E2231A"/>
              </w:rPr>
              <w:t>Last FYE(f)</w:t>
            </w:r>
            <w:r>
              <w:rPr>
                <w:rFonts w:ascii="Arial" w:cs="Arial" w:eastAsia="Arial" w:hAnsi="Arial"/>
                <w:sz w:val="20"/>
                <w:szCs w:val="20"/>
                <w:b w:val="1"/>
                <w:bCs w:val="1"/>
                <w:color w:val="E2231A"/>
                <w:vertAlign w:val="superscript"/>
              </w:rPr>
              <w:t>(3)</w:t>
            </w:r>
          </w:p>
        </w:tc>
      </w:tr>
      <w:tr>
        <w:trPr>
          <w:trHeight w:val="160"/>
        </w:trPr>
        <w:tc>
          <w:tcPr>
            <w:tcW w:w="2620" w:type="dxa"/>
            <w:vAlign w:val="bottom"/>
            <w:shd w:val="clear" w:color="auto" w:fill="FCE9E8"/>
          </w:tcPr>
          <w:p>
            <w:pPr>
              <w:ind w:left="60"/>
              <w:spacing w:after="0"/>
              <w:rPr>
                <w:sz w:val="20"/>
                <w:szCs w:val="20"/>
                <w:color w:val="auto"/>
              </w:rPr>
            </w:pPr>
            <w:r>
              <w:rPr>
                <w:rFonts w:ascii="Arial" w:cs="Arial" w:eastAsia="Arial" w:hAnsi="Arial"/>
                <w:sz w:val="14"/>
                <w:szCs w:val="14"/>
                <w:color w:val="auto"/>
              </w:rPr>
              <w:t>Matthew J. Simoncini</w:t>
            </w:r>
          </w:p>
        </w:tc>
        <w:tc>
          <w:tcPr>
            <w:tcW w:w="1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3"/>
                <w:szCs w:val="13"/>
                <w:color w:val="auto"/>
              </w:rPr>
            </w:pPr>
          </w:p>
        </w:tc>
        <w:tc>
          <w:tcPr>
            <w:tcW w:w="1020" w:type="dxa"/>
            <w:vAlign w:val="bottom"/>
            <w:shd w:val="clear" w:color="auto" w:fill="FCE9E8"/>
          </w:tcPr>
          <w:p>
            <w:pPr>
              <w:spacing w:after="0"/>
              <w:rPr>
                <w:sz w:val="13"/>
                <w:szCs w:val="13"/>
                <w:color w:val="auto"/>
              </w:rPr>
            </w:pPr>
          </w:p>
        </w:tc>
        <w:tc>
          <w:tcPr>
            <w:tcW w:w="320" w:type="dxa"/>
            <w:vAlign w:val="bottom"/>
            <w:shd w:val="clear" w:color="auto" w:fill="FCE9E8"/>
          </w:tcPr>
          <w:p>
            <w:pPr>
              <w:spacing w:after="0"/>
              <w:rPr>
                <w:sz w:val="13"/>
                <w:szCs w:val="13"/>
                <w:color w:val="auto"/>
              </w:rPr>
            </w:pPr>
          </w:p>
        </w:tc>
        <w:tc>
          <w:tcPr>
            <w:tcW w:w="108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82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116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1040" w:type="dxa"/>
            <w:vAlign w:val="bottom"/>
            <w:shd w:val="clear" w:color="auto" w:fill="FCE9E8"/>
          </w:tcPr>
          <w:p>
            <w:pPr>
              <w:spacing w:after="0"/>
              <w:rPr>
                <w:sz w:val="13"/>
                <w:szCs w:val="13"/>
                <w:color w:val="auto"/>
              </w:rPr>
            </w:pPr>
          </w:p>
        </w:tc>
      </w:tr>
      <w:tr>
        <w:trPr>
          <w:trHeight w:val="171"/>
        </w:trPr>
        <w:tc>
          <w:tcPr>
            <w:tcW w:w="2620" w:type="dxa"/>
            <w:vAlign w:val="bottom"/>
            <w:shd w:val="clear" w:color="auto" w:fill="FCE9E8"/>
          </w:tcPr>
          <w:p>
            <w:pPr>
              <w:spacing w:after="0"/>
              <w:rPr>
                <w:sz w:val="14"/>
                <w:szCs w:val="14"/>
                <w:color w:val="auto"/>
              </w:rPr>
            </w:pPr>
          </w:p>
        </w:tc>
        <w:tc>
          <w:tcPr>
            <w:tcW w:w="1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309,884</w:t>
            </w:r>
          </w:p>
        </w:tc>
        <w:tc>
          <w:tcPr>
            <w:tcW w:w="32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734,259</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FCE9E8"/>
          </w:tcPr>
          <w:p>
            <w:pPr>
              <w:jc w:val="right"/>
              <w:ind w:right="109"/>
              <w:spacing w:after="0"/>
              <w:rPr>
                <w:sz w:val="20"/>
                <w:szCs w:val="20"/>
                <w:color w:val="auto"/>
              </w:rPr>
            </w:pPr>
            <w:r>
              <w:rPr>
                <w:rFonts w:ascii="Arial" w:cs="Arial" w:eastAsia="Arial" w:hAnsi="Arial"/>
                <w:sz w:val="14"/>
                <w:szCs w:val="14"/>
                <w:color w:val="auto"/>
              </w:rPr>
              <w:t>776,348</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6,420,514</w:t>
            </w:r>
          </w:p>
        </w:tc>
      </w:tr>
      <w:tr>
        <w:trPr>
          <w:trHeight w:val="162"/>
        </w:trPr>
        <w:tc>
          <w:tcPr>
            <w:tcW w:w="2620" w:type="dxa"/>
            <w:vAlign w:val="bottom"/>
            <w:shd w:val="clear" w:color="auto" w:fill="FCE9E8"/>
          </w:tcPr>
          <w:p>
            <w:pPr>
              <w:spacing w:after="0"/>
              <w:rPr>
                <w:sz w:val="14"/>
                <w:szCs w:val="14"/>
                <w:color w:val="auto"/>
              </w:rPr>
            </w:pPr>
          </w:p>
        </w:tc>
        <w:tc>
          <w:tcPr>
            <w:tcW w:w="1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946,195</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FCE9E8"/>
          </w:tcPr>
          <w:p>
            <w:pPr>
              <w:jc w:val="right"/>
              <w:ind w:right="109"/>
              <w:spacing w:after="0"/>
              <w:rPr>
                <w:sz w:val="20"/>
                <w:szCs w:val="20"/>
                <w:color w:val="auto"/>
              </w:rPr>
            </w:pPr>
            <w:r>
              <w:rPr>
                <w:rFonts w:ascii="Arial" w:cs="Arial" w:eastAsia="Arial" w:hAnsi="Arial"/>
                <w:sz w:val="14"/>
                <w:szCs w:val="14"/>
                <w:color w:val="auto"/>
              </w:rPr>
              <w:t>880,708</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4,371,345</w:t>
            </w:r>
          </w:p>
        </w:tc>
      </w:tr>
      <w:tr>
        <w:trPr>
          <w:trHeight w:val="167"/>
        </w:trPr>
        <w:tc>
          <w:tcPr>
            <w:tcW w:w="2620" w:type="dxa"/>
            <w:vAlign w:val="bottom"/>
          </w:tcPr>
          <w:p>
            <w:pPr>
              <w:ind w:left="60"/>
              <w:spacing w:after="0"/>
              <w:rPr>
                <w:sz w:val="20"/>
                <w:szCs w:val="20"/>
                <w:color w:val="auto"/>
              </w:rPr>
            </w:pPr>
            <w:r>
              <w:rPr>
                <w:rFonts w:ascii="Arial" w:cs="Arial" w:eastAsia="Arial" w:hAnsi="Arial"/>
                <w:sz w:val="14"/>
                <w:szCs w:val="14"/>
                <w:color w:val="auto"/>
              </w:rPr>
              <w:t>Jeffrey H. Vanneste</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Salaried Retirement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Restoration Program</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119,519</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258,347</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208,091</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1,874,166</w:t>
            </w:r>
          </w:p>
        </w:tc>
      </w:tr>
      <w:tr>
        <w:trPr>
          <w:trHeight w:val="157"/>
        </w:trPr>
        <w:tc>
          <w:tcPr>
            <w:tcW w:w="2620" w:type="dxa"/>
            <w:vAlign w:val="bottom"/>
          </w:tcPr>
          <w:p>
            <w:pPr>
              <w:spacing w:after="0"/>
              <w:rPr>
                <w:sz w:val="13"/>
                <w:szCs w:val="13"/>
                <w:color w:val="auto"/>
              </w:rPr>
            </w:pPr>
          </w:p>
        </w:tc>
        <w:tc>
          <w:tcPr>
            <w:tcW w:w="18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Vested Career Shares</w:t>
            </w:r>
          </w:p>
        </w:tc>
        <w:tc>
          <w:tcPr>
            <w:tcW w:w="300" w:type="dxa"/>
            <w:vAlign w:val="bottom"/>
          </w:tcPr>
          <w:p>
            <w:pPr>
              <w:ind w:left="18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378,334</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9"/>
              <w:spacing w:after="0" w:line="157" w:lineRule="exact"/>
              <w:rPr>
                <w:sz w:val="20"/>
                <w:szCs w:val="20"/>
                <w:color w:val="auto"/>
              </w:rPr>
            </w:pPr>
            <w:r>
              <w:rPr>
                <w:rFonts w:ascii="Arial" w:cs="Arial" w:eastAsia="Arial" w:hAnsi="Arial"/>
                <w:sz w:val="14"/>
                <w:szCs w:val="14"/>
                <w:color w:val="auto"/>
              </w:rPr>
              <w:t>294,502</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tcPr>
          <w:p>
            <w:pPr>
              <w:ind w:left="84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1,521,224</w:t>
            </w:r>
          </w:p>
        </w:tc>
      </w:tr>
      <w:tr>
        <w:trPr>
          <w:trHeight w:val="167"/>
        </w:trPr>
        <w:tc>
          <w:tcPr>
            <w:tcW w:w="2620" w:type="dxa"/>
            <w:vAlign w:val="bottom"/>
            <w:shd w:val="clear" w:color="auto" w:fill="FCE9E8"/>
          </w:tcPr>
          <w:p>
            <w:pPr>
              <w:ind w:left="60"/>
              <w:spacing w:after="0"/>
              <w:rPr>
                <w:sz w:val="20"/>
                <w:szCs w:val="20"/>
                <w:color w:val="auto"/>
              </w:rPr>
            </w:pPr>
            <w:r>
              <w:rPr>
                <w:rFonts w:ascii="Arial" w:cs="Arial" w:eastAsia="Arial" w:hAnsi="Arial"/>
                <w:sz w:val="14"/>
                <w:szCs w:val="14"/>
                <w:color w:val="auto"/>
              </w:rPr>
              <w:t>Raymond E. Scott</w:t>
            </w:r>
          </w:p>
        </w:tc>
        <w:tc>
          <w:tcPr>
            <w:tcW w:w="1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4"/>
                <w:szCs w:val="14"/>
                <w:color w:val="auto"/>
              </w:rPr>
            </w:pPr>
          </w:p>
        </w:tc>
        <w:tc>
          <w:tcPr>
            <w:tcW w:w="102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82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116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r>
      <w:tr>
        <w:trPr>
          <w:trHeight w:val="157"/>
        </w:trPr>
        <w:tc>
          <w:tcPr>
            <w:tcW w:w="2620" w:type="dxa"/>
            <w:vAlign w:val="bottom"/>
            <w:shd w:val="clear" w:color="auto" w:fill="FCE9E8"/>
          </w:tcPr>
          <w:p>
            <w:pPr>
              <w:spacing w:after="0"/>
              <w:rPr>
                <w:sz w:val="13"/>
                <w:szCs w:val="13"/>
                <w:color w:val="auto"/>
              </w:rPr>
            </w:pPr>
          </w:p>
        </w:tc>
        <w:tc>
          <w:tcPr>
            <w:tcW w:w="1820" w:type="dxa"/>
            <w:vAlign w:val="bottom"/>
            <w:shd w:val="clear" w:color="auto" w:fill="FCE9E8"/>
          </w:tcPr>
          <w:p>
            <w:pPr>
              <w:jc w:val="right"/>
              <w:ind w:right="108"/>
              <w:spacing w:after="0" w:line="157" w:lineRule="exact"/>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180"/>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08"/>
              <w:spacing w:after="0" w:line="157" w:lineRule="exact"/>
              <w:rPr>
                <w:sz w:val="20"/>
                <w:szCs w:val="20"/>
                <w:color w:val="auto"/>
              </w:rPr>
            </w:pPr>
            <w:r>
              <w:rPr>
                <w:rFonts w:ascii="Arial" w:cs="Arial" w:eastAsia="Arial" w:hAnsi="Arial"/>
                <w:sz w:val="14"/>
                <w:szCs w:val="14"/>
                <w:color w:val="auto"/>
              </w:rPr>
              <w:t>123,468</w:t>
            </w:r>
          </w:p>
        </w:tc>
        <w:tc>
          <w:tcPr>
            <w:tcW w:w="32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08"/>
              <w:spacing w:after="0" w:line="157" w:lineRule="exact"/>
              <w:rPr>
                <w:sz w:val="20"/>
                <w:szCs w:val="20"/>
                <w:color w:val="auto"/>
              </w:rPr>
            </w:pPr>
            <w:r>
              <w:rPr>
                <w:rFonts w:ascii="Arial" w:cs="Arial" w:eastAsia="Arial" w:hAnsi="Arial"/>
                <w:sz w:val="14"/>
                <w:szCs w:val="14"/>
                <w:color w:val="auto"/>
              </w:rPr>
              <w:t>268,218</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FCE9E8"/>
          </w:tcPr>
          <w:p>
            <w:pPr>
              <w:jc w:val="right"/>
              <w:ind w:right="109"/>
              <w:spacing w:after="0" w:line="157" w:lineRule="exact"/>
              <w:rPr>
                <w:sz w:val="20"/>
                <w:szCs w:val="20"/>
                <w:color w:val="auto"/>
              </w:rPr>
            </w:pPr>
            <w:r>
              <w:rPr>
                <w:rFonts w:ascii="Arial" w:cs="Arial" w:eastAsia="Arial" w:hAnsi="Arial"/>
                <w:sz w:val="14"/>
                <w:szCs w:val="14"/>
                <w:color w:val="auto"/>
              </w:rPr>
              <w:t>496,844</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40"/>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3,193,025</w:t>
            </w:r>
          </w:p>
        </w:tc>
      </w:tr>
      <w:tr>
        <w:trPr>
          <w:trHeight w:val="162"/>
        </w:trPr>
        <w:tc>
          <w:tcPr>
            <w:tcW w:w="2620" w:type="dxa"/>
            <w:vAlign w:val="bottom"/>
            <w:shd w:val="clear" w:color="auto" w:fill="FCE9E8"/>
          </w:tcPr>
          <w:p>
            <w:pPr>
              <w:spacing w:after="0"/>
              <w:rPr>
                <w:sz w:val="14"/>
                <w:szCs w:val="14"/>
                <w:color w:val="auto"/>
              </w:rPr>
            </w:pPr>
          </w:p>
        </w:tc>
        <w:tc>
          <w:tcPr>
            <w:tcW w:w="1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378,334</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FCE9E8"/>
          </w:tcPr>
          <w:p>
            <w:pPr>
              <w:jc w:val="right"/>
              <w:ind w:right="109"/>
              <w:spacing w:after="0"/>
              <w:rPr>
                <w:sz w:val="20"/>
                <w:szCs w:val="20"/>
                <w:color w:val="auto"/>
              </w:rPr>
            </w:pPr>
            <w:r>
              <w:rPr>
                <w:rFonts w:ascii="Arial" w:cs="Arial" w:eastAsia="Arial" w:hAnsi="Arial"/>
                <w:sz w:val="14"/>
                <w:szCs w:val="14"/>
                <w:color w:val="auto"/>
              </w:rPr>
              <w:t>363,920</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1,748,210</w:t>
            </w:r>
          </w:p>
        </w:tc>
      </w:tr>
      <w:tr>
        <w:trPr>
          <w:trHeight w:val="167"/>
        </w:trPr>
        <w:tc>
          <w:tcPr>
            <w:tcW w:w="2620" w:type="dxa"/>
            <w:vAlign w:val="bottom"/>
          </w:tcPr>
          <w:p>
            <w:pPr>
              <w:ind w:left="60"/>
              <w:spacing w:after="0" w:line="167" w:lineRule="exact"/>
              <w:rPr>
                <w:sz w:val="20"/>
                <w:szCs w:val="20"/>
                <w:color w:val="auto"/>
              </w:rPr>
            </w:pPr>
            <w:r>
              <w:rPr>
                <w:rFonts w:ascii="Arial" w:cs="Arial" w:eastAsia="Arial" w:hAnsi="Arial"/>
                <w:sz w:val="12"/>
                <w:szCs w:val="12"/>
                <w:color w:val="auto"/>
              </w:rPr>
              <w:t>Terrence B. Larkin</w:t>
            </w:r>
            <w:r>
              <w:rPr>
                <w:rFonts w:ascii="Arial" w:cs="Arial" w:eastAsia="Arial" w:hAnsi="Arial"/>
                <w:sz w:val="19"/>
                <w:szCs w:val="19"/>
                <w:color w:val="auto"/>
                <w:vertAlign w:val="superscript"/>
              </w:rPr>
              <w:t>(4)</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Salaried Retirement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Restoration Program</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123,468</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268,218</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417,914</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2,844,549</w:t>
            </w:r>
          </w:p>
        </w:tc>
      </w:tr>
      <w:tr>
        <w:trPr>
          <w:trHeight w:val="157"/>
        </w:trPr>
        <w:tc>
          <w:tcPr>
            <w:tcW w:w="2620" w:type="dxa"/>
            <w:vAlign w:val="bottom"/>
          </w:tcPr>
          <w:p>
            <w:pPr>
              <w:spacing w:after="0"/>
              <w:rPr>
                <w:sz w:val="13"/>
                <w:szCs w:val="13"/>
                <w:color w:val="auto"/>
              </w:rPr>
            </w:pPr>
          </w:p>
        </w:tc>
        <w:tc>
          <w:tcPr>
            <w:tcW w:w="18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Vested Career Shares</w:t>
            </w:r>
          </w:p>
        </w:tc>
        <w:tc>
          <w:tcPr>
            <w:tcW w:w="300" w:type="dxa"/>
            <w:vAlign w:val="bottom"/>
          </w:tcPr>
          <w:p>
            <w:pPr>
              <w:ind w:left="18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tcPr>
          <w:p>
            <w:pPr>
              <w:ind w:left="84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w:t>
            </w:r>
          </w:p>
        </w:tc>
      </w:tr>
      <w:tr>
        <w:trPr>
          <w:trHeight w:val="167"/>
        </w:trPr>
        <w:tc>
          <w:tcPr>
            <w:tcW w:w="2620" w:type="dxa"/>
            <w:vAlign w:val="bottom"/>
            <w:shd w:val="clear" w:color="auto" w:fill="FCE9E8"/>
          </w:tcPr>
          <w:p>
            <w:pPr>
              <w:ind w:left="60"/>
              <w:spacing w:after="0"/>
              <w:rPr>
                <w:sz w:val="20"/>
                <w:szCs w:val="20"/>
                <w:color w:val="auto"/>
              </w:rPr>
            </w:pPr>
            <w:r>
              <w:rPr>
                <w:rFonts w:ascii="Arial" w:cs="Arial" w:eastAsia="Arial" w:hAnsi="Arial"/>
                <w:sz w:val="14"/>
                <w:szCs w:val="14"/>
                <w:color w:val="auto"/>
              </w:rPr>
              <w:t>Frank C. Orsini</w:t>
            </w:r>
          </w:p>
        </w:tc>
        <w:tc>
          <w:tcPr>
            <w:tcW w:w="1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4"/>
                <w:szCs w:val="14"/>
                <w:color w:val="auto"/>
              </w:rPr>
            </w:pPr>
          </w:p>
        </w:tc>
        <w:tc>
          <w:tcPr>
            <w:tcW w:w="102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82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116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r>
      <w:tr>
        <w:trPr>
          <w:trHeight w:val="157"/>
        </w:trPr>
        <w:tc>
          <w:tcPr>
            <w:tcW w:w="2620" w:type="dxa"/>
            <w:vAlign w:val="bottom"/>
            <w:shd w:val="clear" w:color="auto" w:fill="FCE9E8"/>
          </w:tcPr>
          <w:p>
            <w:pPr>
              <w:spacing w:after="0"/>
              <w:rPr>
                <w:sz w:val="13"/>
                <w:szCs w:val="13"/>
                <w:color w:val="auto"/>
              </w:rPr>
            </w:pPr>
          </w:p>
        </w:tc>
        <w:tc>
          <w:tcPr>
            <w:tcW w:w="1820" w:type="dxa"/>
            <w:vAlign w:val="bottom"/>
            <w:shd w:val="clear" w:color="auto" w:fill="FCE9E8"/>
          </w:tcPr>
          <w:p>
            <w:pPr>
              <w:jc w:val="right"/>
              <w:ind w:right="108"/>
              <w:spacing w:after="0" w:line="157" w:lineRule="exact"/>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180"/>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08"/>
              <w:spacing w:after="0" w:line="157" w:lineRule="exact"/>
              <w:rPr>
                <w:sz w:val="20"/>
                <w:szCs w:val="20"/>
                <w:color w:val="auto"/>
              </w:rPr>
            </w:pPr>
            <w:r>
              <w:rPr>
                <w:rFonts w:ascii="Arial" w:cs="Arial" w:eastAsia="Arial" w:hAnsi="Arial"/>
                <w:sz w:val="14"/>
                <w:szCs w:val="14"/>
                <w:color w:val="auto"/>
              </w:rPr>
              <w:t>106,326</w:t>
            </w:r>
          </w:p>
        </w:tc>
        <w:tc>
          <w:tcPr>
            <w:tcW w:w="32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08"/>
              <w:spacing w:after="0" w:line="157" w:lineRule="exact"/>
              <w:rPr>
                <w:sz w:val="20"/>
                <w:szCs w:val="20"/>
                <w:color w:val="auto"/>
              </w:rPr>
            </w:pPr>
            <w:r>
              <w:rPr>
                <w:rFonts w:ascii="Arial" w:cs="Arial" w:eastAsia="Arial" w:hAnsi="Arial"/>
                <w:sz w:val="14"/>
                <w:szCs w:val="14"/>
                <w:color w:val="auto"/>
              </w:rPr>
              <w:t>202,783</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FCE9E8"/>
          </w:tcPr>
          <w:p>
            <w:pPr>
              <w:jc w:val="right"/>
              <w:ind w:right="109"/>
              <w:spacing w:after="0" w:line="157" w:lineRule="exact"/>
              <w:rPr>
                <w:sz w:val="20"/>
                <w:szCs w:val="20"/>
                <w:color w:val="auto"/>
              </w:rPr>
            </w:pPr>
            <w:r>
              <w:rPr>
                <w:rFonts w:ascii="Arial" w:cs="Arial" w:eastAsia="Arial" w:hAnsi="Arial"/>
                <w:sz w:val="14"/>
                <w:szCs w:val="14"/>
                <w:color w:val="auto"/>
              </w:rPr>
              <w:t>188,901</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40"/>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1,687,353</w:t>
            </w:r>
          </w:p>
        </w:tc>
      </w:tr>
      <w:tr>
        <w:trPr>
          <w:trHeight w:val="162"/>
        </w:trPr>
        <w:tc>
          <w:tcPr>
            <w:tcW w:w="2620" w:type="dxa"/>
            <w:vAlign w:val="bottom"/>
            <w:shd w:val="clear" w:color="auto" w:fill="FCE9E8"/>
          </w:tcPr>
          <w:p>
            <w:pPr>
              <w:spacing w:after="0"/>
              <w:rPr>
                <w:sz w:val="14"/>
                <w:szCs w:val="14"/>
                <w:color w:val="auto"/>
              </w:rPr>
            </w:pPr>
          </w:p>
        </w:tc>
        <w:tc>
          <w:tcPr>
            <w:tcW w:w="1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226,929</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FCE9E8"/>
          </w:tcPr>
          <w:p>
            <w:pPr>
              <w:jc w:val="right"/>
              <w:ind w:right="109"/>
              <w:spacing w:after="0"/>
              <w:rPr>
                <w:sz w:val="20"/>
                <w:szCs w:val="20"/>
                <w:color w:val="auto"/>
              </w:rPr>
            </w:pPr>
            <w:r>
              <w:rPr>
                <w:rFonts w:ascii="Arial" w:cs="Arial" w:eastAsia="Arial" w:hAnsi="Arial"/>
                <w:sz w:val="14"/>
                <w:szCs w:val="14"/>
                <w:color w:val="auto"/>
              </w:rPr>
              <w:t>218,360</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1,048,890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40" w:hanging="316"/>
        <w:spacing w:after="0" w:line="183" w:lineRule="auto"/>
        <w:tabs>
          <w:tab w:leader="none" w:pos="52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Salaried Retirement Restoration Program amounts are included in column (i) of the 2017 Summary Compensation Table. For Vested Career Shares, amounts represent the value of the Vested Career Shares (and accrued dividend equivalents) on November 19, 2017, the vesting date.</w:t>
      </w:r>
    </w:p>
    <w:p>
      <w:pPr>
        <w:spacing w:after="0" w:line="112"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49</w:t>
      </w:r>
    </w:p>
    <w:p>
      <w:pPr>
        <w:sectPr>
          <w:pgSz w:w="11900" w:h="16838" w:orient="portrait"/>
          <w:cols w:equalWidth="0" w:num="1">
            <w:col w:w="11240"/>
          </w:cols>
          <w:pgMar w:left="240" w:top="459" w:right="41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82" w:lineRule="exact"/>
        <w:rPr>
          <w:sz w:val="20"/>
          <w:szCs w:val="20"/>
          <w:color w:val="auto"/>
        </w:rPr>
      </w:pPr>
    </w:p>
    <w:p>
      <w:pPr>
        <w:ind w:left="520" w:hanging="316"/>
        <w:spacing w:after="0"/>
        <w:tabs>
          <w:tab w:leader="none" w:pos="52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represent accrued dividend equivalents plus stock price appreciation or depreciation.</w:t>
      </w:r>
    </w:p>
    <w:p>
      <w:pPr>
        <w:spacing w:after="0" w:line="111" w:lineRule="exact"/>
        <w:rPr>
          <w:rFonts w:ascii="Arial" w:cs="Arial" w:eastAsia="Arial" w:hAnsi="Arial"/>
          <w:sz w:val="24"/>
          <w:szCs w:val="24"/>
          <w:color w:val="auto"/>
          <w:vertAlign w:val="superscript"/>
        </w:rPr>
      </w:pPr>
    </w:p>
    <w:p>
      <w:pPr>
        <w:ind w:left="520" w:right="500" w:hanging="316"/>
        <w:spacing w:after="0" w:line="183" w:lineRule="auto"/>
        <w:tabs>
          <w:tab w:leader="none" w:pos="52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reflect the closing price of the Company’s common stock on December 29, 2017, which was $176.66, and accrued dividend equivalents (see the 2017 Options Exercised and Stock Vested table for more information).</w:t>
      </w:r>
    </w:p>
    <w:p>
      <w:pPr>
        <w:spacing w:after="0" w:line="112" w:lineRule="exact"/>
        <w:rPr>
          <w:rFonts w:ascii="Arial" w:cs="Arial" w:eastAsia="Arial" w:hAnsi="Arial"/>
          <w:sz w:val="24"/>
          <w:szCs w:val="24"/>
          <w:color w:val="auto"/>
          <w:vertAlign w:val="superscript"/>
        </w:rPr>
      </w:pPr>
    </w:p>
    <w:p>
      <w:pPr>
        <w:jc w:val="both"/>
        <w:ind w:left="520" w:right="20" w:hanging="316"/>
        <w:spacing w:after="0"/>
        <w:tabs>
          <w:tab w:leader="none" w:pos="52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Because Mr. Larkin is over the age of 62, the shares of the Company’s common stock underlying the Career Shares that vested on November 19, 2017 were distributed to him immediately upon vesting. Thus, those Career Shares are not reported in this table and are instead reflected only in the 2017 Option Exercises and Stock Vested table.</w:t>
      </w:r>
    </w:p>
    <w:p>
      <w:pPr>
        <w:sectPr>
          <w:pgSz w:w="11900" w:h="16838" w:orient="portrait"/>
          <w:cols w:equalWidth="0" w:num="1">
            <w:col w:w="11220"/>
          </w:cols>
          <w:pgMar w:left="240" w:top="459" w:right="439" w:bottom="1440" w:gutter="0" w:footer="0" w:header="0"/>
        </w:sect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Salaried Retirement Restoration Program</w:t>
      </w:r>
    </w:p>
    <w:p>
      <w:pPr>
        <w:spacing w:after="0" w:line="192"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The defined contribution element of the Salaried Retirement Restoration Program is described in the narrative accompanying the 2017 Pension Benefits table above and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quantified in the 2017 Nonqualified Deferred Compensation table.</w:t>
      </w:r>
    </w:p>
    <w:p>
      <w:pPr>
        <w:spacing w:after="0" w:line="597" w:lineRule="exact"/>
        <w:rPr>
          <w:sz w:val="20"/>
          <w:szCs w:val="20"/>
          <w:color w:val="auto"/>
        </w:rPr>
      </w:pPr>
    </w:p>
    <w:p>
      <w:pPr>
        <w:sectPr>
          <w:pgSz w:w="11900" w:h="16838" w:orient="portrait"/>
          <w:cols w:equalWidth="0" w:num="2">
            <w:col w:w="5360" w:space="460"/>
            <w:col w:w="5400"/>
          </w:cols>
          <w:pgMar w:left="240" w:top="459" w:right="439" w:bottom="1440" w:gutter="0" w:footer="0" w:header="0"/>
          <w:type w:val="continuous"/>
        </w:sectPr>
      </w:pP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Vested Career Shares</w:t>
      </w:r>
    </w:p>
    <w:p>
      <w:pPr>
        <w:spacing w:after="0" w:line="192"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We have included the Vested Career Shares in the 2017 Nonqualified Deferred Compensation table (for all Named Executive Officers other than Mr. Larkin, who is over age 62) because they vested in a previous year(s) but distribution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underlying shares of common stock is deferred, as described above in the narrative on the Career Shares program accompanying the 2017 Grants of Plan-Based Awards table.</w:t>
      </w:r>
    </w:p>
    <w:p>
      <w:pPr>
        <w:spacing w:after="0" w:line="387" w:lineRule="exact"/>
        <w:rPr>
          <w:sz w:val="20"/>
          <w:szCs w:val="20"/>
          <w:color w:val="auto"/>
        </w:rPr>
      </w:pPr>
    </w:p>
    <w:p>
      <w:pPr>
        <w:sectPr>
          <w:pgSz w:w="11900" w:h="16838" w:orient="portrait"/>
          <w:cols w:equalWidth="0" w:num="2">
            <w:col w:w="5280" w:space="540"/>
            <w:col w:w="5400"/>
          </w:cols>
          <w:pgMar w:left="240" w:top="459" w:right="439" w:bottom="1440" w:gutter="0" w:footer="0" w:header="0"/>
          <w:type w:val="continuous"/>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42"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upon his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2017. Values of accelerated equity awards are based on the closing price of</w:t>
      </w:r>
    </w:p>
    <w:p>
      <w:pPr>
        <w:spacing w:after="0" w:line="250" w:lineRule="exact"/>
        <w:rPr>
          <w:sz w:val="20"/>
          <w:szCs w:val="20"/>
          <w:color w:val="auto"/>
        </w:rPr>
      </w:pPr>
    </w:p>
    <w:p>
      <w:pPr>
        <w:ind w:left="660" w:hanging="354"/>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common stock on December 29, 2017, which was $176.66.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ectPr>
          <w:pgSz w:w="11900" w:h="16838" w:orient="portrait"/>
          <w:cols w:equalWidth="0" w:num="2">
            <w:col w:w="5460" w:space="360"/>
            <w:col w:w="5400"/>
          </w:cols>
          <w:pgMar w:left="24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90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61" w:lineRule="exact"/>
        <w:rPr>
          <w:sz w:val="20"/>
          <w:szCs w:val="20"/>
          <w:color w:val="auto"/>
        </w:rPr>
      </w:pPr>
    </w:p>
    <w:p>
      <w:pPr>
        <w:ind w:left="200" w:right="600"/>
        <w:spacing w:after="0" w:line="260" w:lineRule="auto"/>
        <w:rPr>
          <w:sz w:val="20"/>
          <w:szCs w:val="20"/>
          <w:color w:val="auto"/>
        </w:rPr>
      </w:pPr>
      <w:r>
        <w:rPr>
          <w:rFonts w:ascii="Arial" w:cs="Arial" w:eastAsia="Arial" w:hAnsi="Arial"/>
          <w:sz w:val="16"/>
          <w:szCs w:val="16"/>
          <w:color w:val="auto"/>
        </w:rPr>
        <w:t>Accrued amounts under the Company’s pension and deferred compensation plans are not included in this table. For these amounts, see the 2017 Pension Benefits table above and the 2017 Nonqualified Deferred Compensation table above.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E2231A"/>
              </w:rPr>
              <w:t>Accelerated</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E2231A"/>
              </w:rPr>
              <w:t>Named Executive Officer</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Continuation of</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Vesting or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E2231A"/>
              </w:rPr>
              <w:t>Medical/Welfare</w:t>
            </w:r>
          </w:p>
        </w:tc>
        <w:tc>
          <w:tcPr>
            <w:tcW w:w="380" w:type="dxa"/>
            <w:vAlign w:val="bottom"/>
          </w:tcPr>
          <w:p>
            <w:pPr>
              <w:spacing w:after="0"/>
              <w:rPr>
                <w:sz w:val="12"/>
                <w:szCs w:val="12"/>
                <w:color w:val="auto"/>
              </w:rPr>
            </w:pPr>
          </w:p>
        </w:tc>
        <w:tc>
          <w:tcPr>
            <w:tcW w:w="10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E2231A"/>
              </w:rPr>
              <w:t>Payout of</w:t>
            </w:r>
          </w:p>
        </w:tc>
        <w:tc>
          <w:tcPr>
            <w:tcW w:w="400" w:type="dxa"/>
            <w:vAlign w:val="bottom"/>
          </w:tcPr>
          <w:p>
            <w:pPr>
              <w:spacing w:after="0"/>
              <w:rPr>
                <w:sz w:val="12"/>
                <w:szCs w:val="12"/>
                <w:color w:val="auto"/>
              </w:rPr>
            </w:pPr>
          </w:p>
        </w:tc>
        <w:tc>
          <w:tcPr>
            <w:tcW w:w="104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62"/>
        </w:trPr>
        <w:tc>
          <w:tcPr>
            <w:tcW w:w="5120" w:type="dxa"/>
            <w:vAlign w:val="bottom"/>
            <w:gridSpan w:val="3"/>
          </w:tcPr>
          <w:p>
            <w:pPr>
              <w:spacing w:after="0"/>
              <w:rPr>
                <w:sz w:val="20"/>
                <w:szCs w:val="20"/>
                <w:color w:val="auto"/>
              </w:rPr>
            </w:pPr>
            <w:r>
              <w:rPr>
                <w:rFonts w:ascii="Arial" w:cs="Arial" w:eastAsia="Arial" w:hAnsi="Arial"/>
                <w:sz w:val="14"/>
                <w:szCs w:val="14"/>
                <w:b w:val="1"/>
                <w:bCs w:val="1"/>
                <w:color w:val="E2231A"/>
              </w:rPr>
              <w:t>and</w:t>
            </w:r>
          </w:p>
        </w:tc>
        <w:tc>
          <w:tcPr>
            <w:tcW w:w="2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E2231A"/>
              </w:rPr>
              <w:t>Cash</w:t>
            </w: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E2231A"/>
              </w:rPr>
              <w:t>Benefits (Present</w:t>
            </w:r>
          </w:p>
        </w:tc>
        <w:tc>
          <w:tcPr>
            <w:tcW w:w="380" w:type="dxa"/>
            <w:vAlign w:val="bottom"/>
          </w:tcPr>
          <w:p>
            <w:pPr>
              <w:spacing w:after="0"/>
              <w:rPr>
                <w:sz w:val="14"/>
                <w:szCs w:val="14"/>
                <w:color w:val="auto"/>
              </w:rPr>
            </w:pPr>
          </w:p>
        </w:tc>
        <w:tc>
          <w:tcPr>
            <w:tcW w:w="1040" w:type="dxa"/>
            <w:vAlign w:val="bottom"/>
          </w:tcPr>
          <w:p>
            <w:pPr>
              <w:jc w:val="center"/>
              <w:ind w:right="288"/>
              <w:spacing w:after="0"/>
              <w:rPr>
                <w:sz w:val="20"/>
                <w:szCs w:val="20"/>
                <w:color w:val="auto"/>
              </w:rPr>
            </w:pPr>
            <w:r>
              <w:rPr>
                <w:rFonts w:ascii="Arial" w:cs="Arial" w:eastAsia="Arial" w:hAnsi="Arial"/>
                <w:sz w:val="14"/>
                <w:szCs w:val="14"/>
                <w:b w:val="1"/>
                <w:bCs w:val="1"/>
                <w:color w:val="E2231A"/>
              </w:rPr>
              <w:t>Equity</w:t>
            </w: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E2231A"/>
              </w:rPr>
              <w:t>Termination</w:t>
            </w:r>
          </w:p>
        </w:tc>
        <w:tc>
          <w:tcPr>
            <w:tcW w:w="0" w:type="dxa"/>
            <w:vAlign w:val="bottom"/>
          </w:tcPr>
          <w:p>
            <w:pPr>
              <w:spacing w:after="0"/>
              <w:rPr>
                <w:sz w:val="1"/>
                <w:szCs w:val="1"/>
                <w:color w:val="auto"/>
              </w:rPr>
            </w:pPr>
          </w:p>
        </w:tc>
      </w:tr>
      <w:tr>
        <w:trPr>
          <w:trHeight w:val="189"/>
        </w:trPr>
        <w:tc>
          <w:tcPr>
            <w:tcW w:w="5120" w:type="dxa"/>
            <w:vAlign w:val="bottom"/>
            <w:gridSpan w:val="3"/>
          </w:tcPr>
          <w:p>
            <w:pPr>
              <w:spacing w:after="0"/>
              <w:rPr>
                <w:sz w:val="20"/>
                <w:szCs w:val="20"/>
                <w:color w:val="auto"/>
              </w:rPr>
            </w:pPr>
            <w:r>
              <w:rPr>
                <w:rFonts w:ascii="Arial" w:cs="Arial" w:eastAsia="Arial" w:hAnsi="Arial"/>
                <w:sz w:val="14"/>
                <w:szCs w:val="14"/>
                <w:b w:val="1"/>
                <w:bCs w:val="1"/>
                <w:color w:val="E2231A"/>
              </w:rPr>
              <w:t>Triggering Event</w:t>
            </w:r>
          </w:p>
        </w:tc>
        <w:tc>
          <w:tcPr>
            <w:tcW w:w="1280" w:type="dxa"/>
            <w:vAlign w:val="bottom"/>
            <w:gridSpan w:val="2"/>
          </w:tcPr>
          <w:p>
            <w:pPr>
              <w:ind w:left="120"/>
              <w:spacing w:after="0" w:line="189" w:lineRule="exact"/>
              <w:rPr>
                <w:sz w:val="20"/>
                <w:szCs w:val="20"/>
                <w:color w:val="auto"/>
              </w:rPr>
            </w:pPr>
            <w:r>
              <w:rPr>
                <w:rFonts w:ascii="Arial" w:cs="Arial" w:eastAsia="Arial" w:hAnsi="Arial"/>
                <w:sz w:val="13"/>
                <w:szCs w:val="13"/>
                <w:b w:val="1"/>
                <w:bCs w:val="1"/>
                <w:color w:val="E2231A"/>
              </w:rPr>
              <w:t>Severance</w:t>
            </w:r>
            <w:r>
              <w:rPr>
                <w:rFonts w:ascii="Arial" w:cs="Arial" w:eastAsia="Arial" w:hAnsi="Arial"/>
                <w:sz w:val="21"/>
                <w:szCs w:val="21"/>
                <w:b w:val="1"/>
                <w:bCs w:val="1"/>
                <w:color w:val="E2231A"/>
                <w:vertAlign w:val="superscript"/>
              </w:rPr>
              <w:t>(1)</w:t>
            </w:r>
          </w:p>
        </w:tc>
        <w:tc>
          <w:tcPr>
            <w:tcW w:w="500" w:type="dxa"/>
            <w:vAlign w:val="bottom"/>
          </w:tcPr>
          <w:p>
            <w:pPr>
              <w:spacing w:after="0"/>
              <w:rPr>
                <w:sz w:val="16"/>
                <w:szCs w:val="16"/>
                <w:color w:val="auto"/>
              </w:rPr>
            </w:pPr>
          </w:p>
        </w:tc>
        <w:tc>
          <w:tcPr>
            <w:tcW w:w="1280" w:type="dxa"/>
            <w:vAlign w:val="bottom"/>
          </w:tcPr>
          <w:p>
            <w:pPr>
              <w:jc w:val="center"/>
              <w:ind w:right="408"/>
              <w:spacing w:after="0" w:line="189" w:lineRule="exact"/>
              <w:rPr>
                <w:sz w:val="20"/>
                <w:szCs w:val="20"/>
                <w:color w:val="auto"/>
              </w:rPr>
            </w:pPr>
            <w:r>
              <w:rPr>
                <w:rFonts w:ascii="Arial" w:cs="Arial" w:eastAsia="Arial" w:hAnsi="Arial"/>
                <w:sz w:val="13"/>
                <w:szCs w:val="13"/>
                <w:b w:val="1"/>
                <w:bCs w:val="1"/>
                <w:color w:val="E2231A"/>
                <w:w w:val="99"/>
              </w:rPr>
              <w:t>Value)</w:t>
            </w:r>
            <w:r>
              <w:rPr>
                <w:rFonts w:ascii="Arial" w:cs="Arial" w:eastAsia="Arial" w:hAnsi="Arial"/>
                <w:sz w:val="21"/>
                <w:szCs w:val="21"/>
                <w:b w:val="1"/>
                <w:bCs w:val="1"/>
                <w:color w:val="E2231A"/>
                <w:w w:val="99"/>
                <w:vertAlign w:val="superscript"/>
              </w:rPr>
              <w:t>(2)</w:t>
            </w:r>
          </w:p>
        </w:tc>
        <w:tc>
          <w:tcPr>
            <w:tcW w:w="380" w:type="dxa"/>
            <w:vAlign w:val="bottom"/>
          </w:tcPr>
          <w:p>
            <w:pPr>
              <w:spacing w:after="0"/>
              <w:rPr>
                <w:sz w:val="16"/>
                <w:szCs w:val="16"/>
                <w:color w:val="auto"/>
              </w:rPr>
            </w:pPr>
          </w:p>
        </w:tc>
        <w:tc>
          <w:tcPr>
            <w:tcW w:w="1040" w:type="dxa"/>
            <w:vAlign w:val="bottom"/>
          </w:tcPr>
          <w:p>
            <w:pPr>
              <w:jc w:val="center"/>
              <w:ind w:right="288"/>
              <w:spacing w:after="0" w:line="189" w:lineRule="exact"/>
              <w:rPr>
                <w:sz w:val="20"/>
                <w:szCs w:val="20"/>
                <w:color w:val="auto"/>
              </w:rPr>
            </w:pPr>
            <w:r>
              <w:rPr>
                <w:rFonts w:ascii="Arial" w:cs="Arial" w:eastAsia="Arial" w:hAnsi="Arial"/>
                <w:sz w:val="13"/>
                <w:szCs w:val="13"/>
                <w:b w:val="1"/>
                <w:bCs w:val="1"/>
                <w:color w:val="E2231A"/>
              </w:rPr>
              <w:t>Awards</w:t>
            </w:r>
            <w:r>
              <w:rPr>
                <w:rFonts w:ascii="Arial" w:cs="Arial" w:eastAsia="Arial" w:hAnsi="Arial"/>
                <w:sz w:val="21"/>
                <w:szCs w:val="21"/>
                <w:b w:val="1"/>
                <w:bCs w:val="1"/>
                <w:color w:val="E2231A"/>
                <w:vertAlign w:val="superscript"/>
              </w:rPr>
              <w:t>(3)</w:t>
            </w:r>
          </w:p>
        </w:tc>
        <w:tc>
          <w:tcPr>
            <w:tcW w:w="400" w:type="dxa"/>
            <w:vAlign w:val="bottom"/>
          </w:tcPr>
          <w:p>
            <w:pPr>
              <w:spacing w:after="0"/>
              <w:rPr>
                <w:sz w:val="16"/>
                <w:szCs w:val="16"/>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E2231A"/>
              </w:rPr>
              <w:t>Benefits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top w:val="single" w:sz="8" w:color="auto"/>
              <w:bottom w:val="single" w:sz="8" w:color="auto"/>
            </w:tcBorders>
            <w:gridSpan w:val="2"/>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Matthew J. Simoncini</w:t>
            </w:r>
          </w:p>
        </w:tc>
        <w:tc>
          <w:tcPr>
            <w:tcW w:w="260" w:type="dxa"/>
            <w:vAlign w:val="bottom"/>
            <w:tcBorders>
              <w:top w:val="single" w:sz="8" w:color="auto"/>
              <w:bottom w:val="single" w:sz="8" w:color="auto"/>
            </w:tcBorders>
            <w:shd w:val="clear" w:color="auto" w:fill="FCE9E8"/>
          </w:tcPr>
          <w:p>
            <w:pPr>
              <w:spacing w:after="0"/>
              <w:rPr>
                <w:sz w:val="13"/>
                <w:szCs w:val="13"/>
                <w:color w:val="auto"/>
              </w:rPr>
            </w:pPr>
          </w:p>
        </w:tc>
        <w:tc>
          <w:tcPr>
            <w:tcW w:w="1020" w:type="dxa"/>
            <w:vAlign w:val="bottom"/>
            <w:tcBorders>
              <w:top w:val="single" w:sz="8" w:color="auto"/>
              <w:bottom w:val="single" w:sz="8" w:color="auto"/>
            </w:tcBorders>
            <w:shd w:val="clear" w:color="auto" w:fill="FCE9E8"/>
          </w:tcPr>
          <w:p>
            <w:pPr>
              <w:spacing w:after="0"/>
              <w:rPr>
                <w:sz w:val="13"/>
                <w:szCs w:val="13"/>
                <w:color w:val="auto"/>
              </w:rPr>
            </w:pPr>
          </w:p>
        </w:tc>
        <w:tc>
          <w:tcPr>
            <w:tcW w:w="500" w:type="dxa"/>
            <w:vAlign w:val="bottom"/>
            <w:tcBorders>
              <w:top w:val="single" w:sz="8" w:color="auto"/>
              <w:bottom w:val="single" w:sz="8" w:color="auto"/>
            </w:tcBorders>
            <w:shd w:val="clear" w:color="auto" w:fill="FCE9E8"/>
          </w:tcPr>
          <w:p>
            <w:pPr>
              <w:spacing w:after="0"/>
              <w:rPr>
                <w:sz w:val="13"/>
                <w:szCs w:val="13"/>
                <w:color w:val="auto"/>
              </w:rPr>
            </w:pPr>
          </w:p>
        </w:tc>
        <w:tc>
          <w:tcPr>
            <w:tcW w:w="1280" w:type="dxa"/>
            <w:vAlign w:val="bottom"/>
            <w:tcBorders>
              <w:top w:val="single" w:sz="8" w:color="auto"/>
              <w:bottom w:val="single" w:sz="8" w:color="auto"/>
            </w:tcBorders>
            <w:shd w:val="clear" w:color="auto" w:fill="FCE9E8"/>
          </w:tcPr>
          <w:p>
            <w:pPr>
              <w:spacing w:after="0"/>
              <w:rPr>
                <w:sz w:val="13"/>
                <w:szCs w:val="13"/>
                <w:color w:val="auto"/>
              </w:rPr>
            </w:pPr>
          </w:p>
        </w:tc>
        <w:tc>
          <w:tcPr>
            <w:tcW w:w="38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40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Arial" w:cs="Arial" w:eastAsia="Arial" w:hAnsi="Arial"/>
                <w:sz w:val="14"/>
                <w:szCs w:val="14"/>
                <w:color w:val="auto"/>
              </w:rPr>
              <w:t>Control</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7,043,400</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31,984</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28,683,955</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w w:val="99"/>
              </w:rPr>
              <w:t>35,759,339</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7,043,400</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31,984</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19,820,111</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99"/>
              </w:rPr>
              <w:t>26,895,495</w:t>
            </w:r>
          </w:p>
        </w:tc>
        <w:tc>
          <w:tcPr>
            <w:tcW w:w="0" w:type="dxa"/>
            <w:vAlign w:val="bottom"/>
          </w:tcPr>
          <w:p>
            <w:pPr>
              <w:spacing w:after="0"/>
              <w:rPr>
                <w:sz w:val="1"/>
                <w:szCs w:val="1"/>
                <w:color w:val="auto"/>
              </w:rPr>
            </w:pPr>
          </w:p>
        </w:tc>
      </w:tr>
      <w:tr>
        <w:trPr>
          <w:trHeight w:val="170"/>
        </w:trPr>
        <w:tc>
          <w:tcPr>
            <w:tcW w:w="5120" w:type="dxa"/>
            <w:vAlign w:val="bottom"/>
            <w:gridSpan w:val="3"/>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17,103,076</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w w:val="99"/>
              </w:rPr>
              <w:t>17,103,076</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20,067,244</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w w:val="99"/>
              </w:rPr>
              <w:t>20,067,244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top w:val="single" w:sz="8" w:color="auto"/>
              <w:bottom w:val="single" w:sz="8" w:color="auto"/>
            </w:tcBorders>
            <w:gridSpan w:val="2"/>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Jeffrey H. Vanneste</w:t>
            </w:r>
          </w:p>
        </w:tc>
        <w:tc>
          <w:tcPr>
            <w:tcW w:w="260" w:type="dxa"/>
            <w:vAlign w:val="bottom"/>
            <w:tcBorders>
              <w:top w:val="single" w:sz="8" w:color="auto"/>
              <w:bottom w:val="single" w:sz="8" w:color="auto"/>
            </w:tcBorders>
            <w:shd w:val="clear" w:color="auto" w:fill="FCE9E8"/>
          </w:tcPr>
          <w:p>
            <w:pPr>
              <w:spacing w:after="0"/>
              <w:rPr>
                <w:sz w:val="13"/>
                <w:szCs w:val="13"/>
                <w:color w:val="auto"/>
              </w:rPr>
            </w:pPr>
          </w:p>
        </w:tc>
        <w:tc>
          <w:tcPr>
            <w:tcW w:w="1020" w:type="dxa"/>
            <w:vAlign w:val="bottom"/>
            <w:tcBorders>
              <w:top w:val="single" w:sz="8" w:color="auto"/>
              <w:bottom w:val="single" w:sz="8" w:color="auto"/>
            </w:tcBorders>
            <w:shd w:val="clear" w:color="auto" w:fill="FCE9E8"/>
          </w:tcPr>
          <w:p>
            <w:pPr>
              <w:spacing w:after="0"/>
              <w:rPr>
                <w:sz w:val="13"/>
                <w:szCs w:val="13"/>
                <w:color w:val="auto"/>
              </w:rPr>
            </w:pPr>
          </w:p>
        </w:tc>
        <w:tc>
          <w:tcPr>
            <w:tcW w:w="500" w:type="dxa"/>
            <w:vAlign w:val="bottom"/>
            <w:tcBorders>
              <w:top w:val="single" w:sz="8" w:color="auto"/>
              <w:bottom w:val="single" w:sz="8" w:color="auto"/>
            </w:tcBorders>
            <w:shd w:val="clear" w:color="auto" w:fill="FCE9E8"/>
          </w:tcPr>
          <w:p>
            <w:pPr>
              <w:spacing w:after="0"/>
              <w:rPr>
                <w:sz w:val="13"/>
                <w:szCs w:val="13"/>
                <w:color w:val="auto"/>
              </w:rPr>
            </w:pPr>
          </w:p>
        </w:tc>
        <w:tc>
          <w:tcPr>
            <w:tcW w:w="1280" w:type="dxa"/>
            <w:vAlign w:val="bottom"/>
            <w:tcBorders>
              <w:top w:val="single" w:sz="8" w:color="auto"/>
              <w:bottom w:val="single" w:sz="8" w:color="auto"/>
            </w:tcBorders>
            <w:shd w:val="clear" w:color="auto" w:fill="FCE9E8"/>
          </w:tcPr>
          <w:p>
            <w:pPr>
              <w:spacing w:after="0"/>
              <w:rPr>
                <w:sz w:val="13"/>
                <w:szCs w:val="13"/>
                <w:color w:val="auto"/>
              </w:rPr>
            </w:pPr>
          </w:p>
        </w:tc>
        <w:tc>
          <w:tcPr>
            <w:tcW w:w="38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40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Arial" w:cs="Arial" w:eastAsia="Arial" w:hAnsi="Arial"/>
                <w:sz w:val="14"/>
                <w:szCs w:val="14"/>
                <w:color w:val="auto"/>
              </w:rPr>
              <w:t>Control</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3,145,450</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31,984</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7,573,454</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w w:val="99"/>
              </w:rPr>
              <w:t>10,750,888</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3,145,450</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31,984</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5,151,088</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8,328,522</w:t>
            </w:r>
          </w:p>
        </w:tc>
        <w:tc>
          <w:tcPr>
            <w:tcW w:w="0" w:type="dxa"/>
            <w:vAlign w:val="bottom"/>
          </w:tcPr>
          <w:p>
            <w:pPr>
              <w:spacing w:after="0"/>
              <w:rPr>
                <w:sz w:val="1"/>
                <w:szCs w:val="1"/>
                <w:color w:val="auto"/>
              </w:rPr>
            </w:pPr>
          </w:p>
        </w:tc>
      </w:tr>
      <w:tr>
        <w:trPr>
          <w:trHeight w:val="170"/>
        </w:trPr>
        <w:tc>
          <w:tcPr>
            <w:tcW w:w="5120" w:type="dxa"/>
            <w:vAlign w:val="bottom"/>
            <w:gridSpan w:val="3"/>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4,510,651</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4,510,651</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5,509,806</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5,509,806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top w:val="single" w:sz="8" w:color="auto"/>
              <w:bottom w:val="single" w:sz="8" w:color="auto"/>
            </w:tcBorders>
            <w:gridSpan w:val="2"/>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Raymond E. Scott</w:t>
            </w:r>
          </w:p>
        </w:tc>
        <w:tc>
          <w:tcPr>
            <w:tcW w:w="260" w:type="dxa"/>
            <w:vAlign w:val="bottom"/>
            <w:tcBorders>
              <w:top w:val="single" w:sz="8" w:color="auto"/>
              <w:bottom w:val="single" w:sz="8" w:color="auto"/>
            </w:tcBorders>
            <w:shd w:val="clear" w:color="auto" w:fill="FCE9E8"/>
          </w:tcPr>
          <w:p>
            <w:pPr>
              <w:spacing w:after="0"/>
              <w:rPr>
                <w:sz w:val="13"/>
                <w:szCs w:val="13"/>
                <w:color w:val="auto"/>
              </w:rPr>
            </w:pPr>
          </w:p>
        </w:tc>
        <w:tc>
          <w:tcPr>
            <w:tcW w:w="1020" w:type="dxa"/>
            <w:vAlign w:val="bottom"/>
            <w:tcBorders>
              <w:top w:val="single" w:sz="8" w:color="auto"/>
              <w:bottom w:val="single" w:sz="8" w:color="auto"/>
            </w:tcBorders>
            <w:shd w:val="clear" w:color="auto" w:fill="FCE9E8"/>
          </w:tcPr>
          <w:p>
            <w:pPr>
              <w:spacing w:after="0"/>
              <w:rPr>
                <w:sz w:val="13"/>
                <w:szCs w:val="13"/>
                <w:color w:val="auto"/>
              </w:rPr>
            </w:pPr>
          </w:p>
        </w:tc>
        <w:tc>
          <w:tcPr>
            <w:tcW w:w="500" w:type="dxa"/>
            <w:vAlign w:val="bottom"/>
            <w:tcBorders>
              <w:top w:val="single" w:sz="8" w:color="auto"/>
              <w:bottom w:val="single" w:sz="8" w:color="auto"/>
            </w:tcBorders>
            <w:shd w:val="clear" w:color="auto" w:fill="FCE9E8"/>
          </w:tcPr>
          <w:p>
            <w:pPr>
              <w:spacing w:after="0"/>
              <w:rPr>
                <w:sz w:val="13"/>
                <w:szCs w:val="13"/>
                <w:color w:val="auto"/>
              </w:rPr>
            </w:pPr>
          </w:p>
        </w:tc>
        <w:tc>
          <w:tcPr>
            <w:tcW w:w="1280" w:type="dxa"/>
            <w:vAlign w:val="bottom"/>
            <w:tcBorders>
              <w:top w:val="single" w:sz="8" w:color="auto"/>
              <w:bottom w:val="single" w:sz="8" w:color="auto"/>
            </w:tcBorders>
            <w:shd w:val="clear" w:color="auto" w:fill="FCE9E8"/>
          </w:tcPr>
          <w:p>
            <w:pPr>
              <w:spacing w:after="0"/>
              <w:rPr>
                <w:sz w:val="13"/>
                <w:szCs w:val="13"/>
                <w:color w:val="auto"/>
              </w:rPr>
            </w:pPr>
          </w:p>
        </w:tc>
        <w:tc>
          <w:tcPr>
            <w:tcW w:w="38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40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Arial" w:cs="Arial" w:eastAsia="Arial" w:hAnsi="Arial"/>
                <w:sz w:val="14"/>
                <w:szCs w:val="14"/>
                <w:color w:val="auto"/>
              </w:rPr>
              <w:t>Control</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3,420,392</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28,724</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8,394,768</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w w:val="99"/>
              </w:rPr>
              <w:t>11,843,884</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3,420,392</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28,724</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5,689,888</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9,139,004</w:t>
            </w:r>
          </w:p>
        </w:tc>
        <w:tc>
          <w:tcPr>
            <w:tcW w:w="0" w:type="dxa"/>
            <w:vAlign w:val="bottom"/>
          </w:tcPr>
          <w:p>
            <w:pPr>
              <w:spacing w:after="0"/>
              <w:rPr>
                <w:sz w:val="1"/>
                <w:szCs w:val="1"/>
                <w:color w:val="auto"/>
              </w:rPr>
            </w:pPr>
          </w:p>
        </w:tc>
      </w:tr>
      <w:tr>
        <w:trPr>
          <w:trHeight w:val="170"/>
        </w:trPr>
        <w:tc>
          <w:tcPr>
            <w:tcW w:w="5120" w:type="dxa"/>
            <w:vAlign w:val="bottom"/>
            <w:gridSpan w:val="3"/>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6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N/A</w:t>
            </w:r>
          </w:p>
        </w:tc>
        <w:tc>
          <w:tcPr>
            <w:tcW w:w="50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N/A</w:t>
            </w:r>
          </w:p>
        </w:tc>
        <w:tc>
          <w:tcPr>
            <w:tcW w:w="3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6,057,182</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6,057,182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top w:val="single" w:sz="8" w:color="auto"/>
              <w:bottom w:val="single" w:sz="8" w:color="auto"/>
            </w:tcBorders>
            <w:gridSpan w:val="2"/>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Terrence B. Larkin</w:t>
            </w:r>
          </w:p>
        </w:tc>
        <w:tc>
          <w:tcPr>
            <w:tcW w:w="260" w:type="dxa"/>
            <w:vAlign w:val="bottom"/>
            <w:tcBorders>
              <w:top w:val="single" w:sz="8" w:color="auto"/>
              <w:bottom w:val="single" w:sz="8" w:color="auto"/>
            </w:tcBorders>
            <w:shd w:val="clear" w:color="auto" w:fill="FCE9E8"/>
          </w:tcPr>
          <w:p>
            <w:pPr>
              <w:spacing w:after="0"/>
              <w:rPr>
                <w:sz w:val="13"/>
                <w:szCs w:val="13"/>
                <w:color w:val="auto"/>
              </w:rPr>
            </w:pPr>
          </w:p>
        </w:tc>
        <w:tc>
          <w:tcPr>
            <w:tcW w:w="1020" w:type="dxa"/>
            <w:vAlign w:val="bottom"/>
            <w:tcBorders>
              <w:top w:val="single" w:sz="8" w:color="auto"/>
              <w:bottom w:val="single" w:sz="8" w:color="auto"/>
            </w:tcBorders>
            <w:shd w:val="clear" w:color="auto" w:fill="FCE9E8"/>
          </w:tcPr>
          <w:p>
            <w:pPr>
              <w:spacing w:after="0"/>
              <w:rPr>
                <w:sz w:val="13"/>
                <w:szCs w:val="13"/>
                <w:color w:val="auto"/>
              </w:rPr>
            </w:pPr>
          </w:p>
        </w:tc>
        <w:tc>
          <w:tcPr>
            <w:tcW w:w="500" w:type="dxa"/>
            <w:vAlign w:val="bottom"/>
            <w:tcBorders>
              <w:top w:val="single" w:sz="8" w:color="auto"/>
              <w:bottom w:val="single" w:sz="8" w:color="auto"/>
            </w:tcBorders>
            <w:shd w:val="clear" w:color="auto" w:fill="FCE9E8"/>
          </w:tcPr>
          <w:p>
            <w:pPr>
              <w:spacing w:after="0"/>
              <w:rPr>
                <w:sz w:val="13"/>
                <w:szCs w:val="13"/>
                <w:color w:val="auto"/>
              </w:rPr>
            </w:pPr>
          </w:p>
        </w:tc>
        <w:tc>
          <w:tcPr>
            <w:tcW w:w="1280" w:type="dxa"/>
            <w:vAlign w:val="bottom"/>
            <w:tcBorders>
              <w:top w:val="single" w:sz="8" w:color="auto"/>
              <w:bottom w:val="single" w:sz="8" w:color="auto"/>
            </w:tcBorders>
            <w:shd w:val="clear" w:color="auto" w:fill="FCE9E8"/>
          </w:tcPr>
          <w:p>
            <w:pPr>
              <w:spacing w:after="0"/>
              <w:rPr>
                <w:sz w:val="13"/>
                <w:szCs w:val="13"/>
                <w:color w:val="auto"/>
              </w:rPr>
            </w:pPr>
          </w:p>
        </w:tc>
        <w:tc>
          <w:tcPr>
            <w:tcW w:w="38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40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Arial" w:cs="Arial" w:eastAsia="Arial" w:hAnsi="Arial"/>
                <w:sz w:val="14"/>
                <w:szCs w:val="14"/>
                <w:color w:val="auto"/>
              </w:rPr>
              <w:t>Control</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3,078,353</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35,734</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8,237,519</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w w:val="99"/>
              </w:rPr>
              <w:t>11,351,606</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3,078,353</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35,734</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5,612,695</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8,726,782</w:t>
            </w:r>
          </w:p>
        </w:tc>
        <w:tc>
          <w:tcPr>
            <w:tcW w:w="0" w:type="dxa"/>
            <w:vAlign w:val="bottom"/>
          </w:tcPr>
          <w:p>
            <w:pPr>
              <w:spacing w:after="0"/>
              <w:rPr>
                <w:sz w:val="1"/>
                <w:szCs w:val="1"/>
                <w:color w:val="auto"/>
              </w:rPr>
            </w:pPr>
          </w:p>
        </w:tc>
      </w:tr>
      <w:tr>
        <w:trPr>
          <w:trHeight w:val="170"/>
        </w:trPr>
        <w:tc>
          <w:tcPr>
            <w:tcW w:w="5120" w:type="dxa"/>
            <w:vAlign w:val="bottom"/>
            <w:gridSpan w:val="3"/>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4,914,539</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4,914,539</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5,976,773</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5,976,773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top w:val="single" w:sz="8" w:color="auto"/>
              <w:bottom w:val="single" w:sz="8" w:color="auto"/>
            </w:tcBorders>
            <w:gridSpan w:val="2"/>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Frank C. Orsini</w:t>
            </w:r>
          </w:p>
        </w:tc>
        <w:tc>
          <w:tcPr>
            <w:tcW w:w="260" w:type="dxa"/>
            <w:vAlign w:val="bottom"/>
            <w:tcBorders>
              <w:top w:val="single" w:sz="8" w:color="auto"/>
              <w:bottom w:val="single" w:sz="8" w:color="auto"/>
            </w:tcBorders>
            <w:shd w:val="clear" w:color="auto" w:fill="FCE9E8"/>
          </w:tcPr>
          <w:p>
            <w:pPr>
              <w:spacing w:after="0"/>
              <w:rPr>
                <w:sz w:val="13"/>
                <w:szCs w:val="13"/>
                <w:color w:val="auto"/>
              </w:rPr>
            </w:pPr>
          </w:p>
        </w:tc>
        <w:tc>
          <w:tcPr>
            <w:tcW w:w="1020" w:type="dxa"/>
            <w:vAlign w:val="bottom"/>
            <w:tcBorders>
              <w:top w:val="single" w:sz="8" w:color="auto"/>
              <w:bottom w:val="single" w:sz="8" w:color="auto"/>
            </w:tcBorders>
            <w:shd w:val="clear" w:color="auto" w:fill="FCE9E8"/>
          </w:tcPr>
          <w:p>
            <w:pPr>
              <w:spacing w:after="0"/>
              <w:rPr>
                <w:sz w:val="13"/>
                <w:szCs w:val="13"/>
                <w:color w:val="auto"/>
              </w:rPr>
            </w:pPr>
          </w:p>
        </w:tc>
        <w:tc>
          <w:tcPr>
            <w:tcW w:w="500" w:type="dxa"/>
            <w:vAlign w:val="bottom"/>
            <w:tcBorders>
              <w:top w:val="single" w:sz="8" w:color="auto"/>
              <w:bottom w:val="single" w:sz="8" w:color="auto"/>
            </w:tcBorders>
            <w:shd w:val="clear" w:color="auto" w:fill="FCE9E8"/>
          </w:tcPr>
          <w:p>
            <w:pPr>
              <w:spacing w:after="0"/>
              <w:rPr>
                <w:sz w:val="13"/>
                <w:szCs w:val="13"/>
                <w:color w:val="auto"/>
              </w:rPr>
            </w:pPr>
          </w:p>
        </w:tc>
        <w:tc>
          <w:tcPr>
            <w:tcW w:w="1280" w:type="dxa"/>
            <w:vAlign w:val="bottom"/>
            <w:tcBorders>
              <w:top w:val="single" w:sz="8" w:color="auto"/>
              <w:bottom w:val="single" w:sz="8" w:color="auto"/>
            </w:tcBorders>
            <w:shd w:val="clear" w:color="auto" w:fill="FCE9E8"/>
          </w:tcPr>
          <w:p>
            <w:pPr>
              <w:spacing w:after="0"/>
              <w:rPr>
                <w:sz w:val="13"/>
                <w:szCs w:val="13"/>
                <w:color w:val="auto"/>
              </w:rPr>
            </w:pPr>
          </w:p>
        </w:tc>
        <w:tc>
          <w:tcPr>
            <w:tcW w:w="38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400" w:type="dxa"/>
            <w:vAlign w:val="bottom"/>
            <w:tcBorders>
              <w:top w:val="single" w:sz="8" w:color="auto"/>
              <w:bottom w:val="single" w:sz="8" w:color="auto"/>
            </w:tcBorders>
            <w:shd w:val="clear" w:color="auto" w:fill="FCE9E8"/>
          </w:tcPr>
          <w:p>
            <w:pPr>
              <w:spacing w:after="0"/>
              <w:rPr>
                <w:sz w:val="13"/>
                <w:szCs w:val="13"/>
                <w:color w:val="auto"/>
              </w:rPr>
            </w:pPr>
          </w:p>
        </w:tc>
        <w:tc>
          <w:tcPr>
            <w:tcW w:w="1040" w:type="dxa"/>
            <w:vAlign w:val="bottom"/>
            <w:tcBorders>
              <w:top w:val="single" w:sz="8" w:color="auto"/>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Arial" w:cs="Arial" w:eastAsia="Arial" w:hAnsi="Arial"/>
                <w:sz w:val="14"/>
                <w:szCs w:val="14"/>
                <w:color w:val="auto"/>
              </w:rPr>
              <w:t>Control</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2,798,225</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27,420</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6,840,321</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9,665,966</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2,798,225</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27,420</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4,638,559</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7,464,204</w:t>
            </w:r>
          </w:p>
        </w:tc>
        <w:tc>
          <w:tcPr>
            <w:tcW w:w="0" w:type="dxa"/>
            <w:vAlign w:val="bottom"/>
          </w:tcPr>
          <w:p>
            <w:pPr>
              <w:spacing w:after="0"/>
              <w:rPr>
                <w:sz w:val="1"/>
                <w:szCs w:val="1"/>
                <w:color w:val="auto"/>
              </w:rPr>
            </w:pPr>
          </w:p>
        </w:tc>
      </w:tr>
      <w:tr>
        <w:trPr>
          <w:trHeight w:val="170"/>
        </w:trPr>
        <w:tc>
          <w:tcPr>
            <w:tcW w:w="5120" w:type="dxa"/>
            <w:vAlign w:val="bottom"/>
            <w:gridSpan w:val="3"/>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26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N/A</w:t>
            </w:r>
          </w:p>
        </w:tc>
        <w:tc>
          <w:tcPr>
            <w:tcW w:w="50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N/A</w:t>
            </w:r>
          </w:p>
        </w:tc>
        <w:tc>
          <w:tcPr>
            <w:tcW w:w="3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26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020" w:type="dxa"/>
            <w:vAlign w:val="bottom"/>
          </w:tcPr>
          <w:p>
            <w:pPr>
              <w:ind w:left="40"/>
              <w:spacing w:after="0" w:line="176" w:lineRule="exact"/>
              <w:rPr>
                <w:sz w:val="20"/>
                <w:szCs w:val="20"/>
                <w:color w:val="auto"/>
              </w:rPr>
            </w:pPr>
            <w:r>
              <w:rPr>
                <w:rFonts w:ascii="Arial" w:cs="Arial" w:eastAsia="Arial" w:hAnsi="Arial"/>
                <w:sz w:val="12"/>
                <w:szCs w:val="12"/>
                <w:color w:val="auto"/>
              </w:rPr>
              <w:t>Disability or Death</w:t>
            </w:r>
            <w:r>
              <w:rPr>
                <w:rFonts w:ascii="Arial" w:cs="Arial" w:eastAsia="Arial" w:hAnsi="Arial"/>
                <w:sz w:val="20"/>
                <w:szCs w:val="20"/>
                <w:color w:val="auto"/>
                <w:vertAlign w:val="superscript"/>
              </w:rPr>
              <w:t>(5)</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4,893,430</w:t>
            </w:r>
          </w:p>
        </w:tc>
        <w:tc>
          <w:tcPr>
            <w:tcW w:w="40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4,893,430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6997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120" w:hanging="316"/>
        <w:spacing w:after="0" w:line="214" w:lineRule="auto"/>
        <w:tabs>
          <w:tab w:leader="none" w:pos="52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Cash severance (in an amount equal to two times base salary plus target annual incentive bonus amount) is paid in a lump sum to each Named Executive Officer on the date that is six months after the date of termination (other than Mr. Vanneste, who receives cash severance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w:t>
      </w:r>
    </w:p>
    <w:p>
      <w:pPr>
        <w:spacing w:after="0" w:line="7" w:lineRule="exact"/>
        <w:rPr>
          <w:rFonts w:ascii="Arial" w:cs="Arial" w:eastAsia="Arial" w:hAnsi="Arial"/>
          <w:sz w:val="24"/>
          <w:szCs w:val="24"/>
          <w:color w:val="auto"/>
          <w:vertAlign w:val="superscript"/>
        </w:rPr>
      </w:pPr>
    </w:p>
    <w:p>
      <w:pPr>
        <w:ind w:left="520" w:hanging="316"/>
        <w:spacing w:after="0"/>
        <w:tabs>
          <w:tab w:leader="none" w:pos="52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Consists of continuation of health insurance, life insurance premium and imputed income amounts.</w:t>
      </w:r>
    </w:p>
    <w:p>
      <w:pPr>
        <w:spacing w:after="0" w:line="133"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51</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86" w:lineRule="exact"/>
        <w:rPr>
          <w:sz w:val="20"/>
          <w:szCs w:val="20"/>
          <w:color w:val="auto"/>
        </w:rPr>
      </w:pPr>
    </w:p>
    <w:p>
      <w:pPr>
        <w:ind w:left="520" w:right="60" w:hanging="316"/>
        <w:spacing w:after="0" w:line="218" w:lineRule="auto"/>
        <w:tabs>
          <w:tab w:leader="none" w:pos="52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Represents accelerated or pro rata (as applicable) vesting of RSUs and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and pro rata portions of the RSUs and performance shares are valued based on the December 29, 2017 closing price of the Company’s common stock.</w:t>
      </w:r>
    </w:p>
    <w:p>
      <w:pPr>
        <w:spacing w:after="0" w:line="112" w:lineRule="exact"/>
        <w:rPr>
          <w:rFonts w:ascii="Arial" w:cs="Arial" w:eastAsia="Arial" w:hAnsi="Arial"/>
          <w:sz w:val="24"/>
          <w:szCs w:val="24"/>
          <w:color w:val="auto"/>
          <w:vertAlign w:val="superscript"/>
        </w:rPr>
      </w:pPr>
    </w:p>
    <w:p>
      <w:pPr>
        <w:ind w:left="520" w:right="420" w:hanging="316"/>
        <w:spacing w:after="0" w:line="183" w:lineRule="auto"/>
        <w:tabs>
          <w:tab w:leader="none" w:pos="52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As of December 31, 2017, Messrs. Simoncini, Vanneste and Larkin were retirement-eligible and, therefore, they qualify for accelerated vesting of certain incentive awards upon retirement. The Company does not provide for enhanced early retirement benefits under its pension programs.</w:t>
      </w:r>
    </w:p>
    <w:p>
      <w:pPr>
        <w:spacing w:after="0" w:line="71" w:lineRule="exact"/>
        <w:rPr>
          <w:rFonts w:ascii="Arial" w:cs="Arial" w:eastAsia="Arial" w:hAnsi="Arial"/>
          <w:sz w:val="24"/>
          <w:szCs w:val="24"/>
          <w:color w:val="auto"/>
          <w:vertAlign w:val="superscript"/>
        </w:rPr>
      </w:pPr>
    </w:p>
    <w:p>
      <w:pPr>
        <w:ind w:left="520" w:right="140" w:hanging="316"/>
        <w:spacing w:after="0" w:line="183" w:lineRule="auto"/>
        <w:tabs>
          <w:tab w:leader="none" w:pos="52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Messrs. Simoncini, Vanneste, Scott and Orsini are fully vested in their pension benefits, and, as such, there would be no pension vesting enhancement with respect to death benefits for them. Mr. Larkin is not a participant in the Pension Plan and therefore is not eligible for such death benefit.</w:t>
      </w:r>
    </w:p>
    <w:p>
      <w:pPr>
        <w:sectPr>
          <w:pgSz w:w="11900" w:h="16838" w:orient="portrait"/>
          <w:cols w:equalWidth="0" w:num="1">
            <w:col w:w="11220"/>
          </w:cols>
          <w:pgMar w:left="240" w:top="459" w:right="439" w:bottom="1440" w:gutter="0" w:footer="0" w:header="0"/>
        </w:sectPr>
      </w:pPr>
    </w:p>
    <w:p>
      <w:pPr>
        <w:spacing w:after="0" w:line="285"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generally available to our executive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20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6"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387" w:lineRule="exact"/>
        <w:rPr>
          <w:sz w:val="20"/>
          <w:szCs w:val="20"/>
          <w:color w:val="auto"/>
        </w:rPr>
      </w:pPr>
    </w:p>
    <w:p>
      <w:pPr>
        <w:sectPr>
          <w:pgSz w:w="11900" w:h="16838" w:orient="portrait"/>
          <w:cols w:equalWidth="0" w:num="2">
            <w:col w:w="5360" w:space="460"/>
            <w:col w:w="5400"/>
          </w:cols>
          <w:pgMar w:left="240" w:top="459" w:right="439" w:bottom="1440" w:gutter="0" w:footer="0" w:header="0"/>
          <w:type w:val="continuous"/>
        </w:sectPr>
      </w:pP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 with a Change in Control</w:t>
      </w:r>
    </w:p>
    <w:p>
      <w:pPr>
        <w:sectPr>
          <w:pgSz w:w="11900" w:h="16838" w:orient="portrait"/>
          <w:cols w:equalWidth="0" w:num="1">
            <w:col w:w="11220"/>
          </w:cols>
          <w:pgMar w:left="240" w:top="459" w:right="439" w:bottom="1440" w:gutter="0" w:footer="0" w:header="0"/>
          <w:type w:val="continuous"/>
        </w:sectPr>
      </w:pPr>
    </w:p>
    <w:p>
      <w:pPr>
        <w:spacing w:after="0" w:line="20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If a change in control occurs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 Any unvested RSUs (other than Career Shares) that were granted less than 12 months prior to the Named Executive Officer’s termination of employment will vest on a pro rata basis.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None of our Named Executive Officers is a party to an employment agreement containing a provision which would 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39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w:t>
      </w:r>
    </w:p>
    <w:p>
      <w:pPr>
        <w:sectPr>
          <w:pgSz w:w="11900" w:h="16838" w:orient="portrait"/>
          <w:cols w:equalWidth="0" w:num="1">
            <w:col w:w="11220"/>
          </w:cols>
          <w:pgMar w:left="240" w:top="459" w:right="439" w:bottom="1440" w:gutter="0" w:footer="0" w:header="0"/>
          <w:type w:val="continuous"/>
        </w:sectPr>
      </w:pPr>
    </w:p>
    <w:p>
      <w:pPr>
        <w:spacing w:after="0" w:line="20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a lump sum payment equal to two times the sum of his annual base salary rate and annual target bonus amount, each as in effect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as of the termination date. In the event of an involuntary termination for any reason other than cause, or by the executive for good reason, (i) all unvested RSUs (other than Career Shares) that were granted at least 12 months prior to the termination of employment become vested in their entirety, (ii) all unvested RSUs (other than Career Shares) that were granted less than 12 months prior to the termination of employment vest on a pro rata basis, and (iii)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69" w:lineRule="exact"/>
        <w:rPr>
          <w:sz w:val="20"/>
          <w:szCs w:val="20"/>
          <w:color w:val="auto"/>
        </w:rPr>
      </w:pPr>
    </w:p>
    <w:p>
      <w:pPr>
        <w:ind w:left="660" w:hanging="354"/>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20"/>
          </w:cols>
          <w:pgMar w:left="24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96"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a combined number of age and years of service of at least 65, with a minimum age of 55 and minimum service of five years when he terminates, is entitled to additional vesting credit for RSU awards. The executive will be entitled to receive the shares underlying the RSUs that would have vested if the date of</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196"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attained a combined number of age and years of service of at least 65, with a minimum age of 55 and minimum service</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96"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Following termination of the executive’s employment for disability, the executive will receive all base salary and other accrued amounts then payable through the date of termination. He will also receive compensation payable under the Company’s disability and medical plans. In the event of the executive’s termination for disability, all unvested RSUs become vested in their entirety upon termination and a pro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-635635</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of five years, he will be entitled to receive all of the shares underlying his vested RSUs and associated dividend equivalents with interest, but all unvested RSUs and Performance Shares and any associated dividend equivalents with interest will be forfeited. If an executive is terminated for cause, he will forfeit all RSUs and Performance Shares along with any associated dividend equivalents with interest.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distribution.</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196"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 to the Career Share qualifying retirement date (</w:t>
      </w:r>
      <w:r>
        <w:rPr>
          <w:rFonts w:ascii="Arial" w:cs="Arial" w:eastAsia="Arial" w:hAnsi="Arial"/>
          <w:sz w:val="16"/>
          <w:szCs w:val="16"/>
          <w:i w:val="1"/>
          <w:iCs w:val="1"/>
          <w:color w:val="auto"/>
        </w:rPr>
        <w:t>i.e.,</w:t>
      </w:r>
      <w:r>
        <w:rPr>
          <w:rFonts w:ascii="Arial" w:cs="Arial" w:eastAsia="Arial" w:hAnsi="Arial"/>
          <w:sz w:val="16"/>
          <w:szCs w:val="16"/>
          <w:color w:val="auto"/>
        </w:rPr>
        <w:t xml:space="preserve"> age 62 or the date that the executive attains a combined number of age and years of service of 65, with a minimum age of 55 and minimum service of five years) or for violating non-competition and non-solicitation covenants prior to distribution of the shares. If the executive has a Career Share qualifying retirement or is terminated without “cause” or resigns for “good reason,” in each case within 24 months of the vesting date, the Career Shares will continue to vest as originally scheduled.</w:t>
      </w:r>
    </w:p>
    <w:p>
      <w:pPr>
        <w:spacing w:after="0" w:line="9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 (i) age 62 (or such later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date) or (ii) three years after the executive’s qualifying retirement. If the executive has attained a combined number of age and years of service of at least 65, with a minimum age of 55 and minimum service of five years,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10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264" w:lineRule="exact"/>
        <w:rPr>
          <w:sz w:val="20"/>
          <w:szCs w:val="20"/>
          <w:color w:val="auto"/>
        </w:rPr>
      </w:pPr>
    </w:p>
    <w:p>
      <w:pPr>
        <w:ind w:left="3160"/>
        <w:spacing w:after="0"/>
        <w:tabs>
          <w:tab w:leader="none" w:pos="4880" w:val="left"/>
          <w:tab w:leader="none" w:pos="50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53</w:t>
      </w:r>
    </w:p>
    <w:p>
      <w:pPr>
        <w:sectPr>
          <w:pgSz w:w="11900" w:h="16838" w:orient="portrait"/>
          <w:cols w:equalWidth="0" w:num="2">
            <w:col w:w="5420" w:space="400"/>
            <w:col w:w="5400"/>
          </w:cols>
          <w:pgMar w:left="24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55"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Following the death of the executive, we will pay to his estate or designated beneficiary a pro rata portion of any bonus earned prior to the date of death. In the event of the executive’s death, all unvested RSUs become vested in their entirety and a pro rata amount of Performance Shares may be earned through the date of death if actual performance during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-1560830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440" w:space="380"/>
            <w:col w:w="5380"/>
          </w:cols>
          <w:pgMar w:left="240" w:top="459" w:right="459" w:bottom="1440" w:gutter="0" w:footer="0" w:header="0"/>
        </w:sectPr>
      </w:pP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executive who has entered into an employment agreement with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is obligated to:</w:t>
      </w:r>
    </w:p>
    <w:p>
      <w:pPr>
        <w:spacing w:after="0" w:line="127" w:lineRule="exact"/>
        <w:rPr>
          <w:sz w:val="20"/>
          <w:szCs w:val="20"/>
          <w:color w:val="auto"/>
        </w:rPr>
      </w:pPr>
    </w:p>
    <w:p>
      <w:pPr>
        <w:ind w:left="400" w:right="480" w:hanging="196"/>
        <w:spacing w:after="0" w:line="260" w:lineRule="auto"/>
        <w:tabs>
          <w:tab w:leader="none" w:pos="4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comply with confidentiality, non-competition and non-solicitation covenants during employment;</w:t>
      </w:r>
    </w:p>
    <w:p>
      <w:pPr>
        <w:spacing w:after="0" w:line="101" w:lineRule="exact"/>
        <w:rPr>
          <w:rFonts w:ascii="Arial" w:cs="Arial" w:eastAsia="Arial" w:hAnsi="Arial"/>
          <w:sz w:val="16"/>
          <w:szCs w:val="16"/>
          <w:color w:val="auto"/>
        </w:rPr>
      </w:pPr>
    </w:p>
    <w:p>
      <w:pPr>
        <w:ind w:left="400" w:hanging="196"/>
        <w:spacing w:after="0" w:line="251" w:lineRule="auto"/>
        <w:tabs>
          <w:tab w:leader="none" w:pos="4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108" w:lineRule="exact"/>
        <w:rPr>
          <w:rFonts w:ascii="Arial" w:cs="Arial" w:eastAsia="Arial" w:hAnsi="Arial"/>
          <w:sz w:val="16"/>
          <w:szCs w:val="16"/>
          <w:color w:val="auto"/>
        </w:rPr>
      </w:pPr>
    </w:p>
    <w:p>
      <w:pPr>
        <w:ind w:left="400" w:right="220" w:hanging="196"/>
        <w:spacing w:after="0" w:line="260" w:lineRule="auto"/>
        <w:tabs>
          <w:tab w:leader="none" w:pos="4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order to receive severance payments due under the employment agreement, sign a general release relating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196"/>
        <w:spacing w:after="0" w:line="260" w:lineRule="auto"/>
        <w:rPr>
          <w:sz w:val="20"/>
          <w:szCs w:val="20"/>
          <w:color w:val="auto"/>
        </w:rPr>
      </w:pPr>
      <w:r>
        <w:rPr>
          <w:rFonts w:ascii="Arial" w:cs="Arial" w:eastAsia="Arial" w:hAnsi="Arial"/>
          <w:sz w:val="16"/>
          <w:szCs w:val="16"/>
          <w:color w:val="auto"/>
        </w:rPr>
        <w:t>his employment (applies only in the case of termination by the Company without “cause” or by the executive for “good reason”);</w:t>
      </w:r>
    </w:p>
    <w:p>
      <w:pPr>
        <w:spacing w:after="0" w:line="101" w:lineRule="exact"/>
        <w:rPr>
          <w:sz w:val="20"/>
          <w:szCs w:val="20"/>
          <w:color w:val="auto"/>
        </w:rPr>
      </w:pPr>
    </w:p>
    <w:p>
      <w:pPr>
        <w:ind w:left="196" w:right="40" w:hanging="196"/>
        <w:spacing w:after="0" w:line="260" w:lineRule="auto"/>
        <w:tabs>
          <w:tab w:leader="none" w:pos="196"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return data and materials relating to the business of the Company in his possession;</w:t>
      </w:r>
    </w:p>
    <w:p>
      <w:pPr>
        <w:spacing w:after="0" w:line="101" w:lineRule="exact"/>
        <w:rPr>
          <w:rFonts w:ascii="Arial" w:cs="Arial" w:eastAsia="Arial" w:hAnsi="Arial"/>
          <w:sz w:val="16"/>
          <w:szCs w:val="16"/>
          <w:color w:val="auto"/>
        </w:rPr>
      </w:pPr>
    </w:p>
    <w:p>
      <w:pPr>
        <w:ind w:left="196" w:right="520" w:hanging="196"/>
        <w:spacing w:after="0" w:line="253" w:lineRule="auto"/>
        <w:tabs>
          <w:tab w:leader="none" w:pos="196" w:val="left"/>
        </w:tabs>
        <w:numPr>
          <w:ilvl w:val="0"/>
          <w:numId w:val="92"/>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employment; and</w:t>
      </w:r>
    </w:p>
    <w:p>
      <w:pPr>
        <w:spacing w:after="0" w:line="106" w:lineRule="exact"/>
        <w:rPr>
          <w:rFonts w:ascii="Arial" w:cs="Arial" w:eastAsia="Arial" w:hAnsi="Arial"/>
          <w:sz w:val="16"/>
          <w:szCs w:val="16"/>
          <w:color w:val="auto"/>
        </w:rPr>
      </w:pPr>
    </w:p>
    <w:p>
      <w:pPr>
        <w:ind w:left="196" w:right="460" w:hanging="196"/>
        <w:spacing w:after="0" w:line="260" w:lineRule="auto"/>
        <w:tabs>
          <w:tab w:leader="none" w:pos="196"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cooperate with litigation matters or investigations as the Company deems necessary.</w:t>
      </w:r>
    </w:p>
    <w:p>
      <w:pPr>
        <w:spacing w:after="0" w:line="389" w:lineRule="exact"/>
        <w:rPr>
          <w:sz w:val="20"/>
          <w:szCs w:val="20"/>
          <w:color w:val="auto"/>
        </w:rPr>
      </w:pPr>
    </w:p>
    <w:p>
      <w:pPr>
        <w:sectPr>
          <w:pgSz w:w="11900" w:h="16838" w:orient="portrait"/>
          <w:cols w:equalWidth="0" w:num="2">
            <w:col w:w="5440" w:space="384"/>
            <w:col w:w="5376"/>
          </w:cols>
          <w:pgMar w:left="240" w:top="459" w:right="459" w:bottom="1440" w:gutter="0" w:footer="0" w:header="0"/>
          <w:type w:val="continuous"/>
        </w:sectPr>
      </w:pPr>
    </w:p>
    <w:p>
      <w:pPr>
        <w:spacing w:after="0" w:line="51"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Compensation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42"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252" w:lineRule="exact"/>
        <w:rPr>
          <w:sz w:val="20"/>
          <w:szCs w:val="20"/>
          <w:color w:val="auto"/>
        </w:rPr>
      </w:pPr>
    </w:p>
    <w:p>
      <w:pPr>
        <w:ind w:left="400" w:right="240" w:hanging="196"/>
        <w:spacing w:after="0" w:line="260" w:lineRule="auto"/>
        <w:tabs>
          <w:tab w:leader="none" w:pos="4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appropriate compensation mix between fixed (base salary) and variable (annual and long-term incentive) pay opportunities;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54"/>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200" w:right="480" w:hanging="196"/>
        <w:spacing w:after="0" w:line="260" w:lineRule="auto"/>
        <w:tabs>
          <w:tab w:leader="none" w:pos="2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review of market data and competitive practices for elements of executive compensation;</w:t>
      </w:r>
    </w:p>
    <w:p>
      <w:pPr>
        <w:spacing w:after="0" w:line="47" w:lineRule="exact"/>
        <w:rPr>
          <w:rFonts w:ascii="Arial" w:cs="Arial" w:eastAsia="Arial" w:hAnsi="Arial"/>
          <w:sz w:val="16"/>
          <w:szCs w:val="16"/>
          <w:color w:val="auto"/>
        </w:rPr>
      </w:pPr>
    </w:p>
    <w:p>
      <w:pPr>
        <w:ind w:left="200" w:right="240" w:hanging="196"/>
        <w:spacing w:after="0" w:line="253" w:lineRule="auto"/>
        <w:tabs>
          <w:tab w:leader="none" w:pos="2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Performance measures that are tied to key Company short and long-term performance metrics and are correlated to total stockholder returns;</w:t>
      </w:r>
    </w:p>
    <w:p>
      <w:pPr>
        <w:spacing w:after="0" w:line="52" w:lineRule="exact"/>
        <w:rPr>
          <w:rFonts w:ascii="Arial" w:cs="Arial" w:eastAsia="Arial" w:hAnsi="Arial"/>
          <w:sz w:val="16"/>
          <w:szCs w:val="16"/>
          <w:color w:val="auto"/>
        </w:rPr>
      </w:pPr>
    </w:p>
    <w:p>
      <w:pPr>
        <w:ind w:left="200" w:right="100" w:hanging="196"/>
        <w:spacing w:after="0" w:line="253" w:lineRule="auto"/>
        <w:tabs>
          <w:tab w:leader="none" w:pos="2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alignment of annual and long-term award objectives to ensure that both types of awards encourage consistent behaviors and sustainable performance results; and</w:t>
      </w:r>
    </w:p>
    <w:p>
      <w:pPr>
        <w:spacing w:after="0" w:line="52" w:lineRule="exact"/>
        <w:rPr>
          <w:rFonts w:ascii="Arial" w:cs="Arial" w:eastAsia="Arial" w:hAnsi="Arial"/>
          <w:sz w:val="16"/>
          <w:szCs w:val="16"/>
          <w:color w:val="auto"/>
        </w:rPr>
      </w:pPr>
    </w:p>
    <w:p>
      <w:pPr>
        <w:jc w:val="both"/>
        <w:ind w:left="200" w:right="320" w:hanging="196"/>
        <w:spacing w:after="0" w:line="251" w:lineRule="auto"/>
        <w:tabs>
          <w:tab w:leader="none" w:pos="2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balanced mix of four performance measures for incentive awards (Free Cash Flow, Adjusted Operating Income, Cumulative Adjusted Pre-Tax Income and Adjusted ROIC) that encourage value creation, retention and stock price appreciation.</w:t>
      </w:r>
    </w:p>
    <w:p>
      <w:pPr>
        <w:spacing w:after="0" w:line="9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ectPr>
          <w:pgSz w:w="11900" w:h="16838" w:orient="portrait"/>
          <w:cols w:equalWidth="0" w:num="2">
            <w:col w:w="5480" w:space="340"/>
            <w:col w:w="5380"/>
          </w:cols>
          <w:pgMar w:left="240" w:top="459" w:right="4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2"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Matthew J. Simoncini, our President and CEO in 2017.</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2017, our last completed fiscal year:</w:t>
      </w:r>
    </w:p>
    <w:p>
      <w:pPr>
        <w:spacing w:after="0" w:line="127" w:lineRule="exact"/>
        <w:rPr>
          <w:sz w:val="20"/>
          <w:szCs w:val="20"/>
          <w:color w:val="auto"/>
        </w:rPr>
      </w:pPr>
    </w:p>
    <w:p>
      <w:pPr>
        <w:ind w:left="400" w:right="160" w:hanging="189"/>
        <w:spacing w:after="0" w:line="260" w:lineRule="auto"/>
        <w:tabs>
          <w:tab w:leader="none" w:pos="4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the Company (other than our CEO) was $10,216; and</w:t>
      </w:r>
    </w:p>
    <w:p>
      <w:pPr>
        <w:spacing w:after="0" w:line="101" w:lineRule="exact"/>
        <w:rPr>
          <w:rFonts w:ascii="Arial" w:cs="Arial" w:eastAsia="Arial" w:hAnsi="Arial"/>
          <w:sz w:val="16"/>
          <w:szCs w:val="16"/>
          <w:color w:val="auto"/>
        </w:rPr>
      </w:pPr>
    </w:p>
    <w:p>
      <w:pPr>
        <w:ind w:left="400" w:hanging="189"/>
        <w:spacing w:after="0"/>
        <w:tabs>
          <w:tab w:leader="none" w:pos="4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annual total compensation of our CEO was $14,833,466.</w:t>
      </w:r>
    </w:p>
    <w:p>
      <w:pPr>
        <w:spacing w:after="0" w:line="113"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Based on this information, for 2017, our CEO’s annual total compensation was 1,452 times that of the annual total compensation of the median employee (as determined below).</w:t>
      </w:r>
    </w:p>
    <w:p>
      <w:pPr>
        <w:spacing w:after="0" w:line="93"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This pay ratio is a reasonable estimate calculated in good faith, in a manner consistent with Item 402(u) of Regulation S-K, based on our payroll and employment records and the methodology described below. The Securities and Exchange Commission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ratios 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spacing w:after="0" w:line="104" w:lineRule="exact"/>
        <w:rPr>
          <w:sz w:val="20"/>
          <w:szCs w:val="20"/>
          <w:color w:val="auto"/>
        </w:rPr>
      </w:pPr>
    </w:p>
    <w:p>
      <w:pPr>
        <w:ind w:left="220" w:right="80"/>
        <w:spacing w:after="0" w:line="253" w:lineRule="auto"/>
        <w:rPr>
          <w:sz w:val="20"/>
          <w:szCs w:val="20"/>
          <w:color w:val="auto"/>
        </w:rPr>
      </w:pPr>
      <w:r>
        <w:rPr>
          <w:rFonts w:ascii="Arial" w:cs="Arial" w:eastAsia="Arial" w:hAnsi="Arial"/>
          <w:sz w:val="16"/>
          <w:szCs w:val="16"/>
          <w:color w:val="auto"/>
        </w:rPr>
        <w:t>To identify the median of the annual total compensation of all of our employees, as well as to determine the annual total compensation of the “median employee,” the methodology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and the material assumptions, adjustments and estimates that we used were as follows:</w:t>
      </w:r>
    </w:p>
    <w:p>
      <w:pPr>
        <w:spacing w:after="0" w:line="101" w:lineRule="exact"/>
        <w:rPr>
          <w:sz w:val="20"/>
          <w:szCs w:val="20"/>
          <w:color w:val="auto"/>
        </w:rPr>
      </w:pPr>
    </w:p>
    <w:p>
      <w:pPr>
        <w:ind w:left="320" w:right="120" w:hanging="311"/>
        <w:spacing w:after="0" w:line="250" w:lineRule="auto"/>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determined that, as of October 1, 2017, our employee population consisted of approximately 158,971 individuals working at the Company and its consolidated subsidiaries, with approximately 9,171 of these individuals located in the United States and approximately 149,800 of these individuals located outside of the United States.</w:t>
      </w:r>
    </w:p>
    <w:p>
      <w:pPr>
        <w:spacing w:after="0" w:line="108" w:lineRule="exact"/>
        <w:rPr>
          <w:rFonts w:ascii="Arial" w:cs="Arial" w:eastAsia="Arial" w:hAnsi="Arial"/>
          <w:sz w:val="16"/>
          <w:szCs w:val="16"/>
          <w:color w:val="auto"/>
        </w:rPr>
      </w:pPr>
    </w:p>
    <w:p>
      <w:pPr>
        <w:ind w:left="320" w:right="780" w:hanging="311"/>
        <w:spacing w:after="0" w:line="251" w:lineRule="auto"/>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employed a proportionate stratified statistical sampling methodology to help simplify the identification of the median employee. The sample size used was approximately 1,590 employees.</w:t>
      </w:r>
    </w:p>
    <w:p>
      <w:pPr>
        <w:spacing w:after="0" w:line="108" w:lineRule="exact"/>
        <w:rPr>
          <w:rFonts w:ascii="Arial" w:cs="Arial" w:eastAsia="Arial" w:hAnsi="Arial"/>
          <w:sz w:val="16"/>
          <w:szCs w:val="16"/>
          <w:color w:val="auto"/>
        </w:rPr>
      </w:pPr>
    </w:p>
    <w:p>
      <w:pPr>
        <w:ind w:left="320" w:hanging="311"/>
        <w:spacing w:after="0" w:line="248" w:lineRule="auto"/>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utilized 2017 base pay as our consistently applied compensation measure to identify the median employee from our employee population, which we applied to all employees included in our analysis. We did not make any cost of living adjustments in identifying the median employee. Using this methodology, we determined that the median employee was an hourly employee located outside of the United States.</w:t>
      </w:r>
    </w:p>
    <w:p>
      <w:pPr>
        <w:spacing w:after="0" w:line="114" w:lineRule="exact"/>
        <w:rPr>
          <w:rFonts w:ascii="Arial" w:cs="Arial" w:eastAsia="Arial" w:hAnsi="Arial"/>
          <w:sz w:val="16"/>
          <w:szCs w:val="16"/>
          <w:color w:val="auto"/>
        </w:rPr>
      </w:pPr>
    </w:p>
    <w:p>
      <w:pPr>
        <w:ind w:left="320" w:right="500" w:hanging="311"/>
        <w:spacing w:after="0" w:line="250" w:lineRule="auto"/>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 respect to the annual total compensation of the median employee, we identified and calculated the elements of such employee’s compensation for 2017 in accordance with the requirements of Item 402(c)(2)(x) of Regulation S-K, resulting in annual total compensation of $10,216.</w:t>
      </w:r>
    </w:p>
    <w:p>
      <w:pPr>
        <w:spacing w:after="0" w:line="108" w:lineRule="exact"/>
        <w:rPr>
          <w:rFonts w:ascii="Arial" w:cs="Arial" w:eastAsia="Arial" w:hAnsi="Arial"/>
          <w:sz w:val="16"/>
          <w:szCs w:val="16"/>
          <w:color w:val="auto"/>
        </w:rPr>
      </w:pPr>
    </w:p>
    <w:p>
      <w:pPr>
        <w:ind w:left="320" w:right="60" w:hanging="311"/>
        <w:spacing w:after="0" w:line="250" w:lineRule="auto"/>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(column (j)) of our 2017 Summary Compensation Table included in this proxy statement and incorporated by reference under Item 11 of Part III of our 2017 Annual Report on Form 10-K.</w:t>
      </w:r>
    </w:p>
    <w:p>
      <w:pPr>
        <w:spacing w:after="0" w:line="327" w:lineRule="exact"/>
        <w:rPr>
          <w:sz w:val="20"/>
          <w:szCs w:val="20"/>
          <w:color w:val="auto"/>
        </w:rPr>
      </w:pPr>
    </w:p>
    <w:p>
      <w:pPr>
        <w:ind w:left="3160"/>
        <w:spacing w:after="0"/>
        <w:tabs>
          <w:tab w:leader="none" w:pos="4880" w:val="left"/>
          <w:tab w:leader="none" w:pos="50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55</w:t>
      </w:r>
    </w:p>
    <w:p>
      <w:pPr>
        <w:sectPr>
          <w:pgSz w:w="11900" w:h="16838" w:orient="portrait"/>
          <w:cols w:equalWidth="0" w:num="2">
            <w:col w:w="5480" w:space="340"/>
            <w:col w:w="5400"/>
          </w:cols>
          <w:pgMar w:left="24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right="2500"/>
        <w:spacing w:after="0" w:line="287" w:lineRule="auto"/>
        <w:rPr>
          <w:sz w:val="20"/>
          <w:szCs w:val="20"/>
          <w:color w:val="auto"/>
        </w:rPr>
      </w:pPr>
      <w:r>
        <w:rPr>
          <w:rFonts w:ascii="Arial" w:cs="Arial" w:eastAsia="Arial" w:hAnsi="Arial"/>
          <w:sz w:val="39"/>
          <w:szCs w:val="39"/>
          <w:b w:val="1"/>
          <w:bCs w:val="1"/>
          <w:color w:val="E2231A"/>
        </w:rPr>
        <w:t>COMPENSATION COMMITTEE INTERLOCKS AND INSIDER PARTICIPATION</w:t>
      </w:r>
    </w:p>
    <w:p>
      <w:pPr>
        <w:spacing w:after="0" w:line="108"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The following persons served on our Compensation Committee during all or a portion of 2017: Dr. Jepsen, Ms. Ligocki and Messrs. Capo, Mallett and Runkle. No member of the Compensation Committee was, during the fiscal year ended December 31, 2017, an officer, former officer or employee of the Company or any of our subsidiaries. None of our executive officers served as a member of:</w:t>
      </w:r>
    </w:p>
    <w:p>
      <w:pPr>
        <w:spacing w:after="0" w:line="107" w:lineRule="exact"/>
        <w:rPr>
          <w:sz w:val="20"/>
          <w:szCs w:val="20"/>
          <w:color w:val="auto"/>
        </w:rPr>
      </w:pPr>
    </w:p>
    <w:p>
      <w:pPr>
        <w:ind w:left="420" w:hanging="216"/>
        <w:spacing w:after="0"/>
        <w:tabs>
          <w:tab w:leader="none" w:pos="4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126" w:lineRule="exact"/>
        <w:rPr>
          <w:rFonts w:ascii="Arial" w:cs="Arial" w:eastAsia="Arial" w:hAnsi="Arial"/>
          <w:sz w:val="16"/>
          <w:szCs w:val="16"/>
          <w:color w:val="auto"/>
        </w:rPr>
      </w:pPr>
    </w:p>
    <w:p>
      <w:pPr>
        <w:ind w:left="420" w:hanging="216"/>
        <w:spacing w:after="0"/>
        <w:tabs>
          <w:tab w:leader="none" w:pos="4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board of directors of another entity in which one of the executive officers of such entity served on our Compensation Committee; or</w:t>
      </w:r>
    </w:p>
    <w:p>
      <w:pPr>
        <w:spacing w:after="0" w:line="126" w:lineRule="exact"/>
        <w:rPr>
          <w:rFonts w:ascii="Arial" w:cs="Arial" w:eastAsia="Arial" w:hAnsi="Arial"/>
          <w:sz w:val="16"/>
          <w:szCs w:val="16"/>
          <w:color w:val="auto"/>
        </w:rPr>
      </w:pPr>
    </w:p>
    <w:p>
      <w:pPr>
        <w:ind w:left="420" w:hanging="216"/>
        <w:spacing w:after="0"/>
        <w:tabs>
          <w:tab w:leader="none" w:pos="4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as a member of our Board.</w:t>
      </w:r>
    </w:p>
    <w:p>
      <w:pPr>
        <w:spacing w:after="0" w:line="129" w:lineRule="exact"/>
        <w:rPr>
          <w:sz w:val="20"/>
          <w:szCs w:val="20"/>
          <w:color w:val="auto"/>
        </w:rPr>
      </w:pPr>
    </w:p>
    <w:p>
      <w:pPr>
        <w:ind w:left="660" w:hanging="354"/>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080"/>
          </w:cols>
          <w:pgMar w:left="240" w:top="459" w:right="5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COMPENSATION COMMITTEE REPORT</w:t>
      </w:r>
    </w:p>
    <w:p>
      <w:pPr>
        <w:spacing w:after="0" w:line="261" w:lineRule="exact"/>
        <w:rPr>
          <w:sz w:val="20"/>
          <w:szCs w:val="20"/>
          <w:color w:val="auto"/>
        </w:rPr>
      </w:pPr>
    </w:p>
    <w:p>
      <w:pPr>
        <w:ind w:left="200" w:right="80"/>
        <w:spacing w:after="0" w:line="250"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203"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2017.</w:t>
      </w:r>
    </w:p>
    <w:p>
      <w:pPr>
        <w:spacing w:after="0" w:line="201" w:lineRule="exact"/>
        <w:rPr>
          <w:sz w:val="20"/>
          <w:szCs w:val="20"/>
          <w:color w:val="auto"/>
        </w:rPr>
      </w:pPr>
    </w:p>
    <w:p>
      <w:pPr>
        <w:ind w:left="200" w:right="520"/>
        <w:spacing w:after="0" w:line="260" w:lineRule="auto"/>
        <w:rPr>
          <w:sz w:val="20"/>
          <w:szCs w:val="20"/>
          <w:color w:val="auto"/>
        </w:rPr>
      </w:pPr>
      <w:r>
        <w:rPr>
          <w:rFonts w:ascii="Arial" w:cs="Arial" w:eastAsia="Arial" w:hAnsi="Arial"/>
          <w:sz w:val="16"/>
          <w:szCs w:val="16"/>
          <w:color w:val="auto"/>
        </w:rPr>
        <w:t>This Report is submitted by Dr. Jepsen, Ms. Ligocki and Messrs. Capo, Mallett and Runkle, being all of the current members of the Compensation Committee.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Thomas P. Capo, Chairman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Mary Lou Jepsen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Kathleen A. Ligocki</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Conrad L. Mallett, Jr.</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Donald L. Runkle</w:t>
      </w:r>
    </w:p>
    <w:p>
      <w:pPr>
        <w:spacing w:after="0" w:line="129"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57</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39"/>
          <w:szCs w:val="39"/>
          <w:b w:val="1"/>
          <w:bCs w:val="1"/>
          <w:color w:val="E2231A"/>
        </w:rPr>
        <w:t>AUDIT COMMITTEE REPORT</w:t>
      </w:r>
    </w:p>
    <w:p>
      <w:pPr>
        <w:sectPr>
          <w:pgSz w:w="11900" w:h="16838" w:orient="portrait"/>
          <w:cols w:equalWidth="0" w:num="1">
            <w:col w:w="11220"/>
          </w:cols>
          <w:pgMar w:left="240" w:top="459" w:right="439" w:bottom="1440" w:gutter="0" w:footer="0" w:header="0"/>
        </w:sectPr>
      </w:pPr>
    </w:p>
    <w:p>
      <w:pPr>
        <w:spacing w:after="0" w:line="354" w:lineRule="exact"/>
        <w:rPr>
          <w:sz w:val="20"/>
          <w:szCs w:val="20"/>
          <w:color w:val="auto"/>
        </w:rPr>
      </w:pPr>
    </w:p>
    <w:p>
      <w:pPr>
        <w:ind w:left="220" w:right="180"/>
        <w:spacing w:after="0" w:line="24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99" w:lineRule="exact"/>
        <w:rPr>
          <w:sz w:val="20"/>
          <w:szCs w:val="20"/>
          <w:color w:val="auto"/>
        </w:rPr>
      </w:pPr>
    </w:p>
    <w:p>
      <w:pPr>
        <w:ind w:left="220" w:right="60"/>
        <w:spacing w:after="0" w:line="247"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105"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The Audit Committee is currently comprised of Messrs. Foster, Bott, Capo and Smith, each a non-employee director, and operates under a written charter that was last amended by our Board in February 2018. A copy of the current charter is available on our website (www.lear.com)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294"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or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w:t>
      </w:r>
    </w:p>
    <w:p>
      <w:pPr>
        <w:spacing w:after="0" w:line="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10-K for the fiscal year ended December 31, 2017, as well as the report of management, for the year ended December 31, 2017, regarding the Company’s internal control over financial reporting required by Section 404 of the Sarbanes-Oxley Act.</w:t>
      </w:r>
    </w:p>
    <w:p>
      <w:pPr>
        <w:spacing w:after="0" w:line="9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Audit Committee has retained Ernst &amp; Young LLP as the Company’s independent registered public accounting firm for 2017 and 2018.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integrity, independence, objectivity, industry and company-specific experience, quality and effectiveness of personnel and communications and commitment to serving the Company.</w:t>
      </w:r>
    </w:p>
    <w:p>
      <w:pPr>
        <w:spacing w:after="0" w:line="9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10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Audit Committee reviewed with Ernst &amp; Young LLP, its judgments as to the quality, not just the acceptability, of the Company’s accounting policies and such other matters as are required to be discussed with the Audit Committee by the Standards of the Public Company Accounting Oversight Board (United States) (PCAOB), including PCAOB Auditing Standard</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the rules of the SEC, and other applicable regulations.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 The Audit Committee has</w:t>
      </w:r>
    </w:p>
    <w:p>
      <w:pPr>
        <w:spacing w:after="0" w:line="39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64" w:lineRule="exact"/>
        <w:rPr>
          <w:sz w:val="20"/>
          <w:szCs w:val="20"/>
          <w:color w:val="auto"/>
        </w:rPr>
      </w:pPr>
    </w:p>
    <w:p>
      <w:pPr>
        <w:ind w:left="660" w:hanging="354"/>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20"/>
          </w:cols>
          <w:pgMar w:left="24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considered whether the provision of non-audit services to the Company is compatible with maintaining the independence of Ernst &amp; Young LLP.</w:t>
      </w:r>
    </w:p>
    <w:p>
      <w:pPr>
        <w:spacing w:after="0" w:line="88" w:lineRule="exact"/>
        <w:rPr>
          <w:sz w:val="20"/>
          <w:szCs w:val="20"/>
          <w:color w:val="auto"/>
        </w:rPr>
      </w:pPr>
    </w:p>
    <w:p>
      <w:pPr>
        <w:ind w:left="220" w:right="120"/>
        <w:spacing w:after="0" w:line="250"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 Company’s audited consolidated financial statements be included in the Company’s Annual Report on Form 10-K for the fiscal year ended December 31, 2017, filed with the SEC on February 6,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3300"/>
        <w:spacing w:after="0"/>
        <w:rPr>
          <w:sz w:val="20"/>
          <w:szCs w:val="20"/>
          <w:color w:val="auto"/>
        </w:rPr>
      </w:pPr>
      <w:r>
        <w:rPr>
          <w:rFonts w:ascii="Arial" w:cs="Arial" w:eastAsia="Arial" w:hAnsi="Arial"/>
          <w:sz w:val="15"/>
          <w:szCs w:val="15"/>
          <w:b w:val="1"/>
          <w:bCs w:val="1"/>
          <w:u w:val="single" w:color="auto"/>
          <w:color w:val="E2231A"/>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-635635</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Report is submitted by Messrs. Foster, Bott, Capo and Smith, being all of the members of the Audit Committee.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Jonathan F. Foster,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Richard H. Bott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Thomas P. Capo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Gregory C. Smith</w:t>
      </w:r>
    </w:p>
    <w:p>
      <w:pPr>
        <w:spacing w:after="0" w:line="277" w:lineRule="exact"/>
        <w:rPr>
          <w:sz w:val="20"/>
          <w:szCs w:val="20"/>
          <w:color w:val="auto"/>
        </w:rPr>
      </w:pPr>
    </w:p>
    <w:p>
      <w:pPr>
        <w:ind w:left="3160"/>
        <w:spacing w:after="0"/>
        <w:tabs>
          <w:tab w:leader="none" w:pos="4880" w:val="left"/>
          <w:tab w:leader="none" w:pos="508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59</w:t>
      </w:r>
    </w:p>
    <w:p>
      <w:pPr>
        <w:sectPr>
          <w:pgSz w:w="11900" w:h="16838" w:orient="portrait"/>
          <w:cols w:equalWidth="0" w:num="2">
            <w:col w:w="5480" w:space="340"/>
            <w:col w:w="540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39"/>
          <w:szCs w:val="39"/>
          <w:b w:val="1"/>
          <w:bCs w:val="1"/>
          <w:color w:val="E2231A"/>
        </w:rPr>
        <w:t>FEES OF INDEPENDENT ACCOUNTANTS</w:t>
      </w:r>
    </w:p>
    <w:p>
      <w:pPr>
        <w:sectPr>
          <w:pgSz w:w="11900" w:h="16838" w:orient="portrait"/>
          <w:cols w:equalWidth="0" w:num="1">
            <w:col w:w="11240"/>
          </w:cols>
          <w:pgMar w:left="240" w:top="459" w:right="419" w:bottom="1440" w:gutter="0" w:footer="0" w:header="0"/>
        </w:sectPr>
      </w:pPr>
    </w:p>
    <w:p>
      <w:pPr>
        <w:spacing w:after="0" w:line="354"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In addition to retaining Ernst &amp; Young LLP to audit our consolidated financial statements for 2017, we retained Ernst &amp;Young LLP, as well as other accounting firms, to provide tax and other advisory services in 2017.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that the Company achieved in 2017 and 2016.</w:t>
      </w:r>
    </w:p>
    <w:p>
      <w:pPr>
        <w:spacing w:after="0" w:line="98"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9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576" w:lineRule="exact"/>
        <w:rPr>
          <w:sz w:val="20"/>
          <w:szCs w:val="20"/>
          <w:color w:val="auto"/>
        </w:rPr>
      </w:pPr>
    </w:p>
    <w:p>
      <w:pPr>
        <w:sectPr>
          <w:pgSz w:w="11900" w:h="16838" w:orient="portrait"/>
          <w:cols w:equalWidth="0" w:num="2">
            <w:col w:w="5360" w:space="460"/>
            <w:col w:w="5420"/>
          </w:cols>
          <w:pgMar w:left="240" w:top="459" w:right="419" w:bottom="1440" w:gutter="0" w:footer="0" w:header="0"/>
          <w:type w:val="continuous"/>
        </w:sectPr>
      </w:pP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2017 and 2016, we retained Ernst &amp; Young LLP to provide services in the following categories and amounts (in thousands):</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26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E2231A"/>
              </w:rPr>
              <w:t>2017</w:t>
            </w: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E2231A"/>
              </w:rPr>
              <w:t>2016</w:t>
            </w:r>
          </w:p>
        </w:tc>
      </w:tr>
      <w:tr>
        <w:trPr>
          <w:trHeight w:val="183"/>
        </w:trPr>
        <w:tc>
          <w:tcPr>
            <w:tcW w:w="5260" w:type="dxa"/>
            <w:vAlign w:val="bottom"/>
            <w:shd w:val="clear" w:color="auto" w:fill="FCE9E8"/>
          </w:tcPr>
          <w:p>
            <w:pPr>
              <w:ind w:left="60"/>
              <w:spacing w:after="0" w:line="183"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4640" w:type="dxa"/>
            <w:vAlign w:val="bottom"/>
            <w:shd w:val="clear" w:color="auto" w:fill="FCE9E8"/>
          </w:tcPr>
          <w:p>
            <w:pPr>
              <w:jc w:val="right"/>
              <w:ind w:right="201"/>
              <w:spacing w:after="0" w:line="183" w:lineRule="exact"/>
              <w:rPr>
                <w:sz w:val="20"/>
                <w:szCs w:val="20"/>
                <w:color w:val="auto"/>
              </w:rPr>
            </w:pPr>
            <w:r>
              <w:rPr>
                <w:rFonts w:ascii="Arial" w:cs="Arial" w:eastAsia="Arial" w:hAnsi="Arial"/>
                <w:sz w:val="16"/>
                <w:szCs w:val="16"/>
                <w:color w:val="auto"/>
              </w:rPr>
              <w:t>$10,327</w:t>
            </w:r>
          </w:p>
        </w:tc>
        <w:tc>
          <w:tcPr>
            <w:tcW w:w="1120" w:type="dxa"/>
            <w:vAlign w:val="bottom"/>
            <w:shd w:val="clear" w:color="auto" w:fill="FCE9E8"/>
          </w:tcPr>
          <w:p>
            <w:pPr>
              <w:jc w:val="right"/>
              <w:ind w:right="261"/>
              <w:spacing w:after="0" w:line="183" w:lineRule="exact"/>
              <w:rPr>
                <w:sz w:val="20"/>
                <w:szCs w:val="20"/>
                <w:color w:val="auto"/>
              </w:rPr>
            </w:pPr>
            <w:r>
              <w:rPr>
                <w:rFonts w:ascii="Arial" w:cs="Arial" w:eastAsia="Arial" w:hAnsi="Arial"/>
                <w:sz w:val="16"/>
                <w:szCs w:val="16"/>
                <w:color w:val="auto"/>
              </w:rPr>
              <w:t>$ 8,951</w:t>
            </w:r>
          </w:p>
        </w:tc>
      </w:tr>
      <w:tr>
        <w:trPr>
          <w:trHeight w:val="189"/>
        </w:trPr>
        <w:tc>
          <w:tcPr>
            <w:tcW w:w="5260" w:type="dxa"/>
            <w:vAlign w:val="bottom"/>
          </w:tcPr>
          <w:p>
            <w:pPr>
              <w:ind w:left="60"/>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4640" w:type="dxa"/>
            <w:vAlign w:val="bottom"/>
          </w:tcPr>
          <w:p>
            <w:pPr>
              <w:jc w:val="right"/>
              <w:ind w:right="201"/>
              <w:spacing w:after="0"/>
              <w:rPr>
                <w:sz w:val="20"/>
                <w:szCs w:val="20"/>
                <w:color w:val="auto"/>
              </w:rPr>
            </w:pPr>
            <w:r>
              <w:rPr>
                <w:rFonts w:ascii="Arial" w:cs="Arial" w:eastAsia="Arial" w:hAnsi="Arial"/>
                <w:sz w:val="16"/>
                <w:szCs w:val="16"/>
                <w:color w:val="auto"/>
              </w:rPr>
              <w:t>581</w:t>
            </w:r>
          </w:p>
        </w:tc>
        <w:tc>
          <w:tcPr>
            <w:tcW w:w="1120" w:type="dxa"/>
            <w:vAlign w:val="bottom"/>
          </w:tcPr>
          <w:p>
            <w:pPr>
              <w:jc w:val="right"/>
              <w:ind w:right="261"/>
              <w:spacing w:after="0"/>
              <w:rPr>
                <w:sz w:val="20"/>
                <w:szCs w:val="20"/>
                <w:color w:val="auto"/>
              </w:rPr>
            </w:pPr>
            <w:r>
              <w:rPr>
                <w:rFonts w:ascii="Arial" w:cs="Arial" w:eastAsia="Arial" w:hAnsi="Arial"/>
                <w:sz w:val="16"/>
                <w:szCs w:val="16"/>
                <w:color w:val="auto"/>
              </w:rPr>
              <w:t>277</w:t>
            </w:r>
          </w:p>
        </w:tc>
      </w:tr>
      <w:tr>
        <w:trPr>
          <w:trHeight w:val="189"/>
        </w:trPr>
        <w:tc>
          <w:tcPr>
            <w:tcW w:w="5260" w:type="dxa"/>
            <w:vAlign w:val="bottom"/>
            <w:shd w:val="clear" w:color="auto" w:fill="FCE9E8"/>
          </w:tcPr>
          <w:p>
            <w:pPr>
              <w:ind w:left="80"/>
              <w:spacing w:after="0" w:line="189"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4640" w:type="dxa"/>
            <w:vAlign w:val="bottom"/>
            <w:shd w:val="clear" w:color="auto" w:fill="FCE9E8"/>
          </w:tcPr>
          <w:p>
            <w:pPr>
              <w:jc w:val="right"/>
              <w:ind w:right="201"/>
              <w:spacing w:after="0"/>
              <w:rPr>
                <w:sz w:val="20"/>
                <w:szCs w:val="20"/>
                <w:color w:val="auto"/>
              </w:rPr>
            </w:pPr>
            <w:r>
              <w:rPr>
                <w:rFonts w:ascii="Arial" w:cs="Arial" w:eastAsia="Arial" w:hAnsi="Arial"/>
                <w:sz w:val="16"/>
                <w:szCs w:val="16"/>
                <w:color w:val="auto"/>
              </w:rPr>
              <w:t>2,698</w:t>
            </w:r>
          </w:p>
        </w:tc>
        <w:tc>
          <w:tcPr>
            <w:tcW w:w="112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1,507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80" w:hanging="316"/>
        <w:spacing w:after="0" w:line="199" w:lineRule="auto"/>
        <w:tabs>
          <w:tab w:leader="none" w:pos="52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71" w:lineRule="exact"/>
        <w:rPr>
          <w:rFonts w:ascii="Arial" w:cs="Arial" w:eastAsia="Arial" w:hAnsi="Arial"/>
          <w:sz w:val="24"/>
          <w:szCs w:val="24"/>
          <w:color w:val="auto"/>
          <w:vertAlign w:val="superscript"/>
        </w:rPr>
      </w:pPr>
    </w:p>
    <w:p>
      <w:pPr>
        <w:ind w:left="520" w:right="400" w:hanging="316"/>
        <w:spacing w:after="0" w:line="183" w:lineRule="auto"/>
        <w:tabs>
          <w:tab w:leader="none" w:pos="52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services related to the audits of employee benefit plans, agreed-upon procedures related to certain due diligence services and other risk assessment services.</w:t>
      </w:r>
    </w:p>
    <w:p>
      <w:pPr>
        <w:spacing w:after="0" w:line="1" w:lineRule="exact"/>
        <w:rPr>
          <w:rFonts w:ascii="Arial" w:cs="Arial" w:eastAsia="Arial" w:hAnsi="Arial"/>
          <w:sz w:val="24"/>
          <w:szCs w:val="24"/>
          <w:color w:val="auto"/>
          <w:vertAlign w:val="superscript"/>
        </w:rPr>
      </w:pPr>
    </w:p>
    <w:p>
      <w:pPr>
        <w:ind w:left="520" w:hanging="316"/>
        <w:spacing w:after="0" w:line="211" w:lineRule="auto"/>
        <w:tabs>
          <w:tab w:leader="none" w:pos="52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Tax fees include services related to tax compliance, tax advice and tax planning.</w:t>
      </w:r>
    </w:p>
    <w:p>
      <w:pPr>
        <w:spacing w:after="0" w:line="133" w:lineRule="exact"/>
        <w:rPr>
          <w:sz w:val="20"/>
          <w:szCs w:val="20"/>
          <w:color w:val="auto"/>
        </w:rPr>
      </w:pPr>
    </w:p>
    <w:p>
      <w:pPr>
        <w:ind w:left="660" w:hanging="354"/>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40"/>
          </w:cols>
          <w:pgMar w:left="240" w:top="459" w:right="41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right="1640"/>
        <w:spacing w:after="0" w:line="274" w:lineRule="auto"/>
        <w:rPr>
          <w:sz w:val="20"/>
          <w:szCs w:val="20"/>
          <w:color w:val="auto"/>
        </w:rPr>
      </w:pPr>
      <w:r>
        <w:rPr>
          <w:rFonts w:ascii="Arial" w:cs="Arial" w:eastAsia="Arial" w:hAnsi="Arial"/>
          <w:sz w:val="40"/>
          <w:szCs w:val="40"/>
          <w:b w:val="1"/>
          <w:bCs w:val="1"/>
          <w:color w:val="E2231A"/>
        </w:rPr>
        <w:t>CERTAIN RELATIONSHIPS AND RELATED PARTY TRANSACTIONS</w:t>
      </w:r>
    </w:p>
    <w:p>
      <w:pPr>
        <w:sectPr>
          <w:pgSz w:w="11900" w:h="16838" w:orient="portrait"/>
          <w:cols w:equalWidth="0" w:num="1">
            <w:col w:w="11220"/>
          </w:cols>
          <w:pgMar w:left="240" w:top="459" w:right="439" w:bottom="1440" w:gutter="0" w:footer="0" w:header="0"/>
        </w:sectPr>
      </w:pPr>
    </w:p>
    <w:p>
      <w:pPr>
        <w:spacing w:after="0" w:line="211" w:lineRule="exact"/>
        <w:rPr>
          <w:sz w:val="20"/>
          <w:szCs w:val="20"/>
          <w:color w:val="auto"/>
        </w:rPr>
      </w:pPr>
    </w:p>
    <w:p>
      <w:pPr>
        <w:ind w:left="220" w:right="80"/>
        <w:spacing w:after="0" w:line="246" w:lineRule="auto"/>
        <w:rPr>
          <w:sz w:val="20"/>
          <w:szCs w:val="20"/>
          <w:color w:val="auto"/>
        </w:rPr>
      </w:pPr>
      <w:r>
        <w:rPr>
          <w:rFonts w:ascii="Arial" w:cs="Arial" w:eastAsia="Arial" w:hAnsi="Arial"/>
          <w:sz w:val="16"/>
          <w:szCs w:val="16"/>
          <w:color w:val="auto"/>
        </w:rPr>
        <w:t>We have established a written policy that has been broadly disseminated within the Company regarding (i) transactions with related parties and</w:t>
      </w:r>
    </w:p>
    <w:p>
      <w:pPr>
        <w:spacing w:after="0" w:line="1" w:lineRule="exact"/>
        <w:rPr>
          <w:sz w:val="20"/>
          <w:szCs w:val="20"/>
          <w:color w:val="auto"/>
        </w:rPr>
      </w:pPr>
    </w:p>
    <w:p>
      <w:pPr>
        <w:ind w:left="220" w:hanging="9"/>
        <w:spacing w:after="0" w:line="247" w:lineRule="auto"/>
        <w:tabs>
          <w:tab w:leader="none" w:pos="43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employment of immediate family members of directors and executive officers. This policy assists us in identifying, reviewing, monitoring and, as necessary, approving transactions with related parties and also provides for the identification, monitoring and review of employment of immediate family members of directors and executive officers by our human resources department. The policy requires that any transaction, or series of transactions, involving related parties in excess of $50,000, whether undertaken in or outside the ordinary course of our business, be presented to the Nominating and Corporate Governance Committee. When a related party has a material direct or indirect interest in any such transaction, or series of transactions, in excess of $120,000 that otherwise meet the disclosure requirements of Regulation S-K, approval of the Nominating and Corporate Governance Committee must be obtained. The policy further provides that all such employment decisions should be made in accordance with the Company’s policies and procedures and that directors and executive officers must not seek to improperly influence any employment decisions regarding their immediate family members.</w:t>
      </w:r>
    </w:p>
    <w:p>
      <w:pPr>
        <w:spacing w:after="0" w:line="103" w:lineRule="exact"/>
        <w:rPr>
          <w:sz w:val="20"/>
          <w:szCs w:val="20"/>
          <w:color w:val="auto"/>
        </w:rPr>
      </w:pPr>
    </w:p>
    <w:p>
      <w:pPr>
        <w:ind w:left="220" w:right="80"/>
        <w:spacing w:after="0" w:line="247" w:lineRule="auto"/>
        <w:rPr>
          <w:sz w:val="20"/>
          <w:szCs w:val="20"/>
          <w:color w:val="auto"/>
        </w:rPr>
      </w:pPr>
      <w:r>
        <w:rPr>
          <w:rFonts w:ascii="Arial" w:cs="Arial" w:eastAsia="Arial" w:hAnsi="Arial"/>
          <w:sz w:val="16"/>
          <w:szCs w:val="16"/>
          <w:color w:val="auto"/>
        </w:rPr>
        <w:t>We have implemented various procedures to ensure compliance with the related party transaction policy. For example, the Company’s standard purchasing terms and conditions require vendors to advise us upon any such vendor becoming aware of relationships with related parties, including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immediate family member)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04" w:lineRule="exact"/>
        <w:rPr>
          <w:sz w:val="20"/>
          <w:szCs w:val="20"/>
          <w:color w:val="auto"/>
        </w:rPr>
      </w:pPr>
    </w:p>
    <w:p>
      <w:pPr>
        <w:ind w:left="220" w:right="160"/>
        <w:spacing w:after="0" w:line="250"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among others, our Chief Accounting Officer. Payments to vendors identified as related party vendors in North America are processed through a centralized payables system. At least twice per year, the list of related parties is updated by directors, members of senior management and certain other employees.</w:t>
      </w:r>
    </w:p>
    <w:p>
      <w:pPr>
        <w:spacing w:after="0" w:line="9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Pursuant to this policy, we have adopted procedures which assist us in identifying and reviewing relationships involving the employment of immediate family members of directors and executive officers.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 list of any immediate family members of the Company’s directors or executive officers who are employed by the Company are provided annually to the Nominating and Corporate Governance Committee.</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At least annually, the Chief Accounting Officer reports to the Vice President of Internal Audit on related party relationships, including those with customers, as well as the amount of business performed between the Company and each related party year-to-date and for the preceding fiscal year. At least annually, the Vice President of Internal Audit prepares an audit plan for reviewing significant transactions with related parties and prepares a report on such audit plan and the results for the Nominating and Corporate Governance Committee. The Chief Accounting Officer, General Counsel and Vice President of Internal Audit meet at least twice per year to confirm the adequate monitoring and reporting of related party transactions. The Nominating and Corporate Governance Committee also receives a summary of all significant relationships with related parties at least annually.</w:t>
      </w:r>
    </w:p>
    <w:p>
      <w:pPr>
        <w:spacing w:after="0" w:line="29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connection with any required Nominating and Corporate Governance Committee approval, a member of our senior management must represent to the Nominating and Corporate Governance Committee that the related party at issue has been held to the same standards as unaffiliated third parties. Nominating and Corporate Governance Committee members having (or having an immediate family member that has) a direct or indirect interest in the transaction must recuse themselves from consideration of the transaction.</w:t>
      </w:r>
    </w:p>
    <w:p>
      <w:pPr>
        <w:spacing w:after="0" w:line="285"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59"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61</w:t>
      </w:r>
    </w:p>
    <w:p>
      <w:pPr>
        <w:sectPr>
          <w:pgSz w:w="11900" w:h="16838" w:orient="portrait"/>
          <w:cols w:equalWidth="0" w:num="1">
            <w:col w:w="11220"/>
          </w:cols>
          <w:pgMar w:left="24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CERTAIN RELATIONSHIPS AND RELATED PARTY TRANSACTIONS</w:t>
      </w:r>
    </w:p>
    <w:p>
      <w:pPr>
        <w:spacing w:after="0" w:line="337" w:lineRule="exact"/>
        <w:rPr>
          <w:sz w:val="20"/>
          <w:szCs w:val="20"/>
          <w:color w:val="auto"/>
        </w:rPr>
      </w:pPr>
    </w:p>
    <w:p>
      <w:pPr>
        <w:ind w:left="200" w:right="160"/>
        <w:spacing w:after="0" w:line="253" w:lineRule="auto"/>
        <w:rPr>
          <w:sz w:val="20"/>
          <w:szCs w:val="20"/>
          <w:color w:val="auto"/>
        </w:rPr>
      </w:pPr>
      <w:r>
        <w:rPr>
          <w:rFonts w:ascii="Arial" w:cs="Arial" w:eastAsia="Arial" w:hAnsi="Arial"/>
          <w:sz w:val="16"/>
          <w:szCs w:val="16"/>
          <w:color w:val="auto"/>
        </w:rPr>
        <w:t>These procedures resulted in the approval by the Nominating and Corporate Governance Committee of the employment relationship set forth below under “— Certain Transactions.”</w:t>
      </w:r>
    </w:p>
    <w:p>
      <w:pPr>
        <w:spacing w:after="0" w:line="93"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stockholders. Such conflicts of interest may arise when an employee, or a member of the employee’s family, receives improper personal benefits as a result of such individual’s position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-1219200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75" w:lineRule="exact"/>
        <w:rPr>
          <w:sz w:val="20"/>
          <w:szCs w:val="20"/>
          <w:color w:val="auto"/>
        </w:rPr>
      </w:pPr>
    </w:p>
    <w:p>
      <w:pPr>
        <w:sectPr>
          <w:pgSz w:w="11900" w:h="16838" w:orient="portrait"/>
          <w:cols w:equalWidth="0" w:num="2">
            <w:col w:w="5360" w:space="460"/>
            <w:col w:w="5380"/>
          </w:cols>
          <w:pgMar w:left="240" w:top="459" w:right="459" w:bottom="1440" w:gutter="0" w:footer="0" w:header="0"/>
        </w:sectPr>
      </w:pPr>
    </w:p>
    <w:p>
      <w:pPr>
        <w:spacing w:after="0" w:line="151"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42"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Mark Mueller, a Principal Engineer for the Company, is a brother-in-law of Raymond E. Scott, a director of the Company and the Company’s President and Chief Executive Officer. In 2017, the Company paid Mr. Mueller approximately $165,000,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which included bonus payments and other standard benefit arrangements. The compensation paid to Mr. Mueller was approved in accordance with the Company’s standard compensation practices for similarly situated employees.</w:t>
      </w:r>
    </w:p>
    <w:p>
      <w:pPr>
        <w:spacing w:after="0" w:line="200" w:lineRule="exact"/>
        <w:rPr>
          <w:sz w:val="20"/>
          <w:szCs w:val="20"/>
          <w:color w:val="auto"/>
        </w:rPr>
      </w:pPr>
    </w:p>
    <w:p>
      <w:pPr>
        <w:sectPr>
          <w:pgSz w:w="11900" w:h="16838" w:orient="portrait"/>
          <w:cols w:equalWidth="0" w:num="2">
            <w:col w:w="5460" w:space="360"/>
            <w:col w:w="5380"/>
          </w:cols>
          <w:pgMar w:left="240" w:top="459" w:right="459" w:bottom="1440" w:gutter="0" w:footer="0" w:header="0"/>
          <w:type w:val="continuous"/>
        </w:sectPr>
      </w:pPr>
    </w:p>
    <w:p>
      <w:pPr>
        <w:spacing w:after="0" w:line="59" w:lineRule="exact"/>
        <w:rPr>
          <w:sz w:val="20"/>
          <w:szCs w:val="20"/>
          <w:color w:val="auto"/>
        </w:rPr>
      </w:pPr>
    </w:p>
    <w:p>
      <w:pPr>
        <w:ind w:left="660" w:hanging="354"/>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00"/>
          </w:cols>
          <w:pgMar w:left="240" w:top="459" w:right="4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right="1540"/>
        <w:spacing w:after="0" w:line="274" w:lineRule="auto"/>
        <w:rPr>
          <w:sz w:val="20"/>
          <w:szCs w:val="20"/>
          <w:color w:val="auto"/>
        </w:rPr>
      </w:pPr>
      <w:r>
        <w:rPr>
          <w:rFonts w:ascii="Arial" w:cs="Arial" w:eastAsia="Arial" w:hAnsi="Arial"/>
          <w:sz w:val="39"/>
          <w:szCs w:val="39"/>
          <w:b w:val="1"/>
          <w:bCs w:val="1"/>
          <w:color w:val="E2231A"/>
        </w:rPr>
        <w:t>RATIFICATION OF RETENTION OF INDEPENDENT REGISTERED PUBLIC ACCOUNTING FIRM</w:t>
      </w:r>
    </w:p>
    <w:p>
      <w:pPr>
        <w:sectPr>
          <w:pgSz w:w="11900" w:h="16838" w:orient="portrait"/>
          <w:cols w:equalWidth="0" w:num="1">
            <w:col w:w="11140"/>
          </w:cols>
          <w:pgMar w:left="240" w:top="459" w:right="519" w:bottom="1440" w:gutter="0" w:footer="0" w:header="0"/>
        </w:sectPr>
      </w:pPr>
    </w:p>
    <w:p>
      <w:pPr>
        <w:spacing w:after="0" w:line="2"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(PROPOSAL NO. 2)</w:t>
      </w:r>
    </w:p>
    <w:p>
      <w:pPr>
        <w:spacing w:after="0" w:line="342"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Our Audit Committee has retained Ernst &amp; Young LLP as our independent registered public accounting firm for the year ending December 31, 2018.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THE BOARD UNANIMOUSLY RECOMMENDS A VOTE “FOR” RATIFICATION OF THE RETENTION OF ERNST &amp; YOUNG LLP AS OUR INDEPENDENT REGISTERED PUBLIC ACCOUNTING FIRM FOR 2018.</w:t>
      </w:r>
    </w:p>
    <w:p>
      <w:pPr>
        <w:spacing w:after="0" w:line="70"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b w:val="1"/>
          <w:bCs w:val="1"/>
          <w:color w:val="auto"/>
        </w:rPr>
        <w:t>PROXIES SOLICITED BY THE BOARD WILL BE VOTED FOR THE PROPOSAL UNLESS STOCKHOLDERS SPECIFY A CONTRARY VOTE.</w:t>
      </w:r>
    </w:p>
    <w:p>
      <w:pPr>
        <w:spacing w:after="0" w:line="200" w:lineRule="exact"/>
        <w:rPr>
          <w:sz w:val="20"/>
          <w:szCs w:val="20"/>
          <w:color w:val="auto"/>
        </w:rPr>
      </w:pPr>
    </w:p>
    <w:p>
      <w:pPr>
        <w:sectPr>
          <w:pgSz w:w="11900" w:h="16838" w:orient="portrait"/>
          <w:cols w:equalWidth="0" w:num="2">
            <w:col w:w="5460" w:space="360"/>
            <w:col w:w="5320"/>
          </w:cols>
          <w:pgMar w:left="240" w:top="459" w:right="519" w:bottom="1440" w:gutter="0" w:footer="0" w:header="0"/>
          <w:type w:val="continuous"/>
        </w:sectPr>
      </w:pPr>
    </w:p>
    <w:p>
      <w:pPr>
        <w:spacing w:after="0" w:line="48"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63</w:t>
      </w:r>
    </w:p>
    <w:p>
      <w:pPr>
        <w:sectPr>
          <w:pgSz w:w="11900" w:h="16838" w:orient="portrait"/>
          <w:cols w:equalWidth="0" w:num="1">
            <w:col w:w="11140"/>
          </w:cols>
          <w:pgMar w:left="240" w:top="459" w:right="51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right="2420"/>
        <w:spacing w:after="0" w:line="256" w:lineRule="auto"/>
        <w:rPr>
          <w:sz w:val="20"/>
          <w:szCs w:val="20"/>
          <w:color w:val="auto"/>
        </w:rPr>
      </w:pPr>
      <w:r>
        <w:rPr>
          <w:rFonts w:ascii="Arial" w:cs="Arial" w:eastAsia="Arial" w:hAnsi="Arial"/>
          <w:sz w:val="40"/>
          <w:szCs w:val="40"/>
          <w:b w:val="1"/>
          <w:bCs w:val="1"/>
          <w:color w:val="E2231A"/>
        </w:rPr>
        <w:t>ADVISORY VOTE TO APPROVE EXECUTIVE COMPENSATION SET FORTH IN THIS PROXY STATEMENT</w:t>
      </w:r>
    </w:p>
    <w:p>
      <w:pPr>
        <w:sectPr>
          <w:pgSz w:w="11900" w:h="16838" w:orient="portrait"/>
          <w:cols w:equalWidth="0" w:num="1">
            <w:col w:w="11200"/>
          </w:cols>
          <w:pgMar w:left="240" w:top="459" w:right="459" w:bottom="1440" w:gutter="0" w:footer="0" w:header="0"/>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(PROPOSAL NO. 3)</w:t>
      </w:r>
    </w:p>
    <w:p>
      <w:pPr>
        <w:spacing w:after="0" w:line="342" w:lineRule="exact"/>
        <w:rPr>
          <w:sz w:val="20"/>
          <w:szCs w:val="20"/>
          <w:color w:val="auto"/>
        </w:rPr>
      </w:pPr>
    </w:p>
    <w:p>
      <w:pPr>
        <w:ind w:left="200" w:right="20"/>
        <w:spacing w:after="0" w:line="247"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most recently approved by stockholders at the annual meeting of stockholders in 2017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2017, our executive compensation program and practices disclosed in our 2017 proxy statement received a favorable vote by over 96% of shares voted.</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Stockholders are being asked to vote on the following advisory resolution:</w:t>
      </w:r>
    </w:p>
    <w:p>
      <w:pPr>
        <w:spacing w:after="0" w:line="113"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auto"/>
        </w:rPr>
        <w:t>“RESOLVED, that the Company’s stockholders approve, on an advisory basis, the compensation of the Company’s executive officers, as disclosed in the 2018 proxy statement pursuant to the compensation disclosure rules of the Securities and Exchange Commission, including the Compensation Discussion and Analysis, the 2017 Summary Compensation Table and the other related tables and disclosures.”</w:t>
      </w:r>
    </w:p>
    <w:p>
      <w:pPr>
        <w:spacing w:after="0" w:line="97" w:lineRule="exact"/>
        <w:rPr>
          <w:sz w:val="20"/>
          <w:szCs w:val="20"/>
          <w:color w:val="auto"/>
        </w:rPr>
      </w:pPr>
    </w:p>
    <w:p>
      <w:pPr>
        <w:ind w:left="200" w:right="120"/>
        <w:spacing w:after="0" w:line="24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0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9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7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THE BOARD UNANIMOUSLY RECOMMENDS A VOTE “FOR” THE ADVISORY APPROVAL OF EXECUTIVE COMPENSATION SET FORTH IN THIS PROXY STATEMENT.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ADVISORY APPROVAL OF EXECUTIVE COMPENSATION SET FORTH IN THIS PROXY STATEMENT UNLESS STOCKHOLDERS SPECIFY A CONTRARY VOTE.</w:t>
      </w:r>
    </w:p>
    <w:p>
      <w:pPr>
        <w:spacing w:after="0" w:line="200"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54" w:lineRule="exact"/>
        <w:rPr>
          <w:sz w:val="20"/>
          <w:szCs w:val="20"/>
          <w:color w:val="auto"/>
        </w:rPr>
      </w:pPr>
    </w:p>
    <w:p>
      <w:pPr>
        <w:ind w:left="660" w:hanging="354"/>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00"/>
          </w:cols>
          <w:pgMar w:left="240" w:top="459" w:right="4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right="1640"/>
        <w:spacing w:after="0" w:line="274" w:lineRule="auto"/>
        <w:rPr>
          <w:sz w:val="20"/>
          <w:szCs w:val="20"/>
          <w:color w:val="auto"/>
        </w:rPr>
      </w:pPr>
      <w:r>
        <w:rPr>
          <w:rFonts w:ascii="Arial" w:cs="Arial" w:eastAsia="Arial" w:hAnsi="Arial"/>
          <w:sz w:val="40"/>
          <w:szCs w:val="40"/>
          <w:b w:val="1"/>
          <w:bCs w:val="1"/>
          <w:color w:val="E2231A"/>
        </w:rPr>
        <w:t>STOCKHOLDER PROPOSALS FOR 2019 ANNUAL MEETING OF STOCKHOLDERS</w:t>
      </w:r>
    </w:p>
    <w:p>
      <w:pPr>
        <w:sectPr>
          <w:pgSz w:w="11900" w:h="16838" w:orient="portrait"/>
          <w:cols w:equalWidth="0" w:num="1">
            <w:col w:w="11220"/>
          </w:cols>
          <w:pgMar w:left="240" w:top="459" w:right="439" w:bottom="1440" w:gutter="0" w:footer="0" w:header="0"/>
        </w:sectPr>
      </w:pPr>
    </w:p>
    <w:p>
      <w:pPr>
        <w:spacing w:after="0" w:line="89"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Stockholders who intend to present proposals at the Company’s annual meeting of stockholders in 2019 pursuant to Rule 14a-8 under the Exchange Act must send notice of their proposal to us so that we receive it no later than November 30, 2018. Stockholders who intend to present proposals at the annual meeting of stockholders in 2018 other than pursuant to Rule 14a-8 must comply with the notice provisions in our Bylaws. The notice provisions in our Bylaws require that, for a proposal to be properly brought before the annual meeting of stockholders in 2019, proper notice of the proposal be received by us not less than 90 days nor more than 120 days prior to the first anniversary of the preceding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February 16, 2019. Stockholder proposals should be addressed to Lear Corporation, 21557 Telegraph Road, Southfield, Michigan 48033, Attention: Terrence B. Larkin, Executive Vice President, Business Development, General Counsel and Corporate Secretary.</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62"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2018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65</w:t>
      </w:r>
    </w:p>
    <w:p>
      <w:pPr>
        <w:sectPr>
          <w:pgSz w:w="11900" w:h="16838" w:orient="portrait"/>
          <w:cols w:equalWidth="0" w:num="1">
            <w:col w:w="11220"/>
          </w:cols>
          <w:pgMar w:left="24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OTHER MATTERS</w:t>
      </w:r>
    </w:p>
    <w:p>
      <w:pPr>
        <w:spacing w:after="0" w:line="342" w:lineRule="exact"/>
        <w:rPr>
          <w:sz w:val="20"/>
          <w:szCs w:val="20"/>
          <w:color w:val="auto"/>
        </w:rPr>
      </w:pPr>
    </w:p>
    <w:p>
      <w:pPr>
        <w:ind w:left="200" w:right="180"/>
        <w:spacing w:after="0" w:line="251" w:lineRule="auto"/>
        <w:rPr>
          <w:sz w:val="20"/>
          <w:szCs w:val="20"/>
          <w:color w:val="auto"/>
        </w:rPr>
      </w:pPr>
      <w:r>
        <w:rPr>
          <w:rFonts w:ascii="Arial" w:cs="Arial" w:eastAsia="Arial" w:hAnsi="Arial"/>
          <w:sz w:val="16"/>
          <w:szCs w:val="16"/>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70"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color w:val="auto"/>
        </w:rPr>
        <w:t>Upon written request by any stockholder entitled to vote at the Annual Meeting, we will promptly furnish, without charge, a copy of the Annual Report on Form 10-K for the fiscal year ended December 31, 2017, which we filed with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including the financial statements and schedule. If the person requesting the report was not a stockholder of record on March 22, 2018, the request must contain a good faith representation that he or she was a beneficial owner of our common stock at the close of business on that date. Requests should be addressed to Lear Corporation, 21557 Telegraph Road, Southfield, Michigan 48033, Attention: Terrence B. Larkin, Executive Vice President, Business Development,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-2277745</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360"/>
            <w:col w:w="5340"/>
          </w:cols>
          <w:pgMar w:left="240" w:top="459" w:right="499" w:bottom="1440" w:gutter="0" w:footer="0" w:header="0"/>
        </w:sectPr>
      </w:pPr>
    </w:p>
    <w:p>
      <w:pPr>
        <w:spacing w:after="0" w:line="15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YOUR VOTE IS IMPORTANT. WE URGE YOU TO VOTE TODAY BY TELEPHONE, VIA THE INTERNET OR BY MAIL.</w:t>
      </w:r>
    </w:p>
    <w:p>
      <w:pPr>
        <w:spacing w:after="0" w:line="26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139065</wp:posOffset>
            </wp:positionV>
            <wp:extent cx="1800860" cy="4889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008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Terrence B. Larkin</w:t>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Executive Vice President, Business Development,</w:t>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General Counsel and Corporate Secretary</w:t>
      </w:r>
    </w:p>
    <w:p>
      <w:pPr>
        <w:spacing w:after="0" w:line="129" w:lineRule="exact"/>
        <w:rPr>
          <w:sz w:val="20"/>
          <w:szCs w:val="20"/>
          <w:color w:val="auto"/>
        </w:rPr>
      </w:pPr>
    </w:p>
    <w:p>
      <w:pPr>
        <w:ind w:left="660" w:hanging="354"/>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60"/>
          </w:cols>
          <w:pgMar w:left="240" w:top="459" w:right="49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APPENDIX A</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E2231A"/>
        </w:rPr>
        <w:t>APPENDIX A</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39"/>
          <w:szCs w:val="39"/>
          <w:b w:val="1"/>
          <w:bCs w:val="1"/>
          <w:color w:val="E2231A"/>
        </w:rPr>
        <w:t>RECONCILIATION OF NON-GAAP FINANCIAL MEASURES</w:t>
      </w:r>
    </w:p>
    <w:p>
      <w:pPr>
        <w:sectPr>
          <w:pgSz w:w="11900" w:h="16838" w:orient="portrait"/>
          <w:cols w:equalWidth="0" w:num="1">
            <w:col w:w="11240"/>
          </w:cols>
          <w:pgMar w:left="240" w:top="459" w:right="419" w:bottom="1440" w:gutter="0" w:footer="0" w:header="0"/>
        </w:sectPr>
      </w:pPr>
    </w:p>
    <w:p>
      <w:pPr>
        <w:spacing w:after="0" w:line="354"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auto"/>
        </w:rPr>
        <w:t>The information presented in this proxy statement under the caption “Compensation Discussion and Analysis — Executive Summary” regarding free cash flow, core operating earnings and adjusted earnings per share does not conform to generally accepted accounting principles (GAAP) and should not be construed as an alternative to the reported financial results of the Company determined in accordance with GAAP.</w:t>
      </w:r>
    </w:p>
    <w:p>
      <w:pPr>
        <w:spacing w:after="0" w:line="9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Management believes that the non-GAAP information used in this proxy statement is useful to both management and investors in their 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obscure trends useful in evaluating the Company’s continuing operating activities. Management also believes that these measures are useful to both 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 these non-GAAP financial measures for planning and forecasting future periods.</w:t>
      </w:r>
    </w:p>
    <w:p>
      <w:pPr>
        <w:spacing w:after="0" w:line="100"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The non-GAAP information provided may not be consistent with methodologies used by other companies. All non-GAAP information regarding free cash flow, core operating earnings and adjusted earnings per share is reconciled with reported GAAP results in the tables below.</w:t>
      </w:r>
    </w:p>
    <w:p>
      <w:pPr>
        <w:spacing w:after="0" w:line="383" w:lineRule="exact"/>
        <w:rPr>
          <w:sz w:val="20"/>
          <w:szCs w:val="20"/>
          <w:color w:val="auto"/>
        </w:rPr>
      </w:pPr>
    </w:p>
    <w:p>
      <w:pPr>
        <w:sectPr>
          <w:pgSz w:w="11900" w:h="16838" w:orient="portrait"/>
          <w:cols w:equalWidth="0" w:num="2">
            <w:col w:w="5500" w:space="320"/>
            <w:col w:w="5420"/>
          </w:cols>
          <w:pgMar w:left="240" w:top="459" w:right="419" w:bottom="1440" w:gutter="0" w:footer="0" w:header="0"/>
          <w:type w:val="continuous"/>
        </w:sectPr>
      </w:pPr>
    </w:p>
    <w:p>
      <w:pPr>
        <w:spacing w:after="0" w:line="159"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4"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(unaudited; in millions)</w:t>
            </w:r>
          </w:p>
        </w:tc>
        <w:tc>
          <w:tcPr>
            <w:tcW w:w="24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E2231A"/>
              </w:rPr>
              <w:t>2017</w:t>
            </w: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2016</w:t>
            </w:r>
          </w:p>
        </w:tc>
        <w:tc>
          <w:tcPr>
            <w:tcW w:w="520" w:type="dxa"/>
            <w:vAlign w:val="bottom"/>
            <w:tcBorders>
              <w:bottom w:val="single" w:sz="8" w:color="auto"/>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b w:val="1"/>
                <w:bCs w:val="1"/>
                <w:color w:val="auto"/>
              </w:rPr>
              <w:t>Net cash provided by operating activities</w:t>
            </w:r>
          </w:p>
        </w:tc>
        <w:tc>
          <w:tcPr>
            <w:tcW w:w="2480" w:type="dxa"/>
            <w:vAlign w:val="bottom"/>
            <w:shd w:val="clear" w:color="auto" w:fill="FCE9E8"/>
          </w:tcPr>
          <w:p>
            <w:pPr>
              <w:jc w:val="right"/>
              <w:ind w:right="200"/>
              <w:spacing w:after="0" w:line="183" w:lineRule="exact"/>
              <w:rPr>
                <w:sz w:val="20"/>
                <w:szCs w:val="20"/>
                <w:color w:val="auto"/>
              </w:rPr>
            </w:pPr>
            <w:r>
              <w:rPr>
                <w:rFonts w:ascii="Arial" w:cs="Arial" w:eastAsia="Arial" w:hAnsi="Arial"/>
                <w:sz w:val="16"/>
                <w:szCs w:val="16"/>
                <w:b w:val="1"/>
                <w:bCs w:val="1"/>
                <w:color w:val="auto"/>
              </w:rPr>
              <w:t>$ 1,783.1</w:t>
            </w:r>
          </w:p>
        </w:tc>
        <w:tc>
          <w:tcPr>
            <w:tcW w:w="3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FCE9E8"/>
          </w:tcPr>
          <w:p>
            <w:pPr>
              <w:jc w:val="right"/>
              <w:ind w:right="254"/>
              <w:spacing w:after="0" w:line="183" w:lineRule="exact"/>
              <w:rPr>
                <w:sz w:val="20"/>
                <w:szCs w:val="20"/>
                <w:color w:val="auto"/>
              </w:rPr>
            </w:pPr>
            <w:r>
              <w:rPr>
                <w:rFonts w:ascii="Arial" w:cs="Arial" w:eastAsia="Arial" w:hAnsi="Arial"/>
                <w:sz w:val="16"/>
                <w:szCs w:val="16"/>
                <w:b w:val="1"/>
                <w:bCs w:val="1"/>
                <w:color w:val="auto"/>
              </w:rPr>
              <w:t>1,619.3</w:t>
            </w:r>
          </w:p>
        </w:tc>
      </w:tr>
      <w:tr>
        <w:trPr>
          <w:trHeight w:val="189"/>
        </w:trPr>
        <w:tc>
          <w:tcPr>
            <w:tcW w:w="20" w:type="dxa"/>
            <w:vAlign w:val="bottom"/>
          </w:tcPr>
          <w:p>
            <w:pPr>
              <w:spacing w:after="0"/>
              <w:rPr>
                <w:sz w:val="16"/>
                <w:szCs w:val="16"/>
                <w:color w:val="auto"/>
              </w:rPr>
            </w:pPr>
          </w:p>
        </w:tc>
        <w:tc>
          <w:tcPr>
            <w:tcW w:w="7260" w:type="dxa"/>
            <w:vAlign w:val="bottom"/>
          </w:tcPr>
          <w:p>
            <w:pPr>
              <w:ind w:left="80"/>
              <w:spacing w:after="0"/>
              <w:rPr>
                <w:sz w:val="20"/>
                <w:szCs w:val="20"/>
                <w:color w:val="auto"/>
              </w:rPr>
            </w:pPr>
            <w:r>
              <w:rPr>
                <w:rFonts w:ascii="Arial" w:cs="Arial" w:eastAsia="Arial" w:hAnsi="Arial"/>
                <w:sz w:val="16"/>
                <w:szCs w:val="16"/>
                <w:color w:val="auto"/>
              </w:rPr>
              <w:t>Capital expenditures</w:t>
            </w:r>
          </w:p>
        </w:tc>
        <w:tc>
          <w:tcPr>
            <w:tcW w:w="2480" w:type="dxa"/>
            <w:vAlign w:val="bottom"/>
          </w:tcPr>
          <w:p>
            <w:pPr>
              <w:jc w:val="right"/>
              <w:ind w:right="160"/>
              <w:spacing w:after="0"/>
              <w:rPr>
                <w:sz w:val="20"/>
                <w:szCs w:val="20"/>
                <w:color w:val="auto"/>
              </w:rPr>
            </w:pPr>
            <w:r>
              <w:rPr>
                <w:rFonts w:ascii="Arial" w:cs="Arial" w:eastAsia="Arial" w:hAnsi="Arial"/>
                <w:sz w:val="16"/>
                <w:szCs w:val="16"/>
                <w:color w:val="auto"/>
              </w:rPr>
              <w:t>(594.5)</w:t>
            </w:r>
          </w:p>
        </w:tc>
        <w:tc>
          <w:tcPr>
            <w:tcW w:w="380" w:type="dxa"/>
            <w:vAlign w:val="bottom"/>
          </w:tcPr>
          <w:p>
            <w:pPr>
              <w:spacing w:after="0"/>
              <w:rPr>
                <w:sz w:val="16"/>
                <w:szCs w:val="16"/>
                <w:color w:val="auto"/>
              </w:rPr>
            </w:pPr>
          </w:p>
        </w:tc>
        <w:tc>
          <w:tcPr>
            <w:tcW w:w="900" w:type="dxa"/>
            <w:vAlign w:val="bottom"/>
            <w:gridSpan w:val="2"/>
          </w:tcPr>
          <w:p>
            <w:pPr>
              <w:jc w:val="right"/>
              <w:ind w:right="194"/>
              <w:spacing w:after="0"/>
              <w:rPr>
                <w:sz w:val="20"/>
                <w:szCs w:val="20"/>
                <w:color w:val="auto"/>
              </w:rPr>
            </w:pPr>
            <w:r>
              <w:rPr>
                <w:rFonts w:ascii="Arial" w:cs="Arial" w:eastAsia="Arial" w:hAnsi="Arial"/>
                <w:sz w:val="16"/>
                <w:szCs w:val="16"/>
                <w:color w:val="auto"/>
              </w:rPr>
              <w:t>(528.3)</w:t>
            </w:r>
          </w:p>
        </w:tc>
      </w:tr>
      <w:tr>
        <w:trPr>
          <w:trHeight w:val="189"/>
        </w:trPr>
        <w:tc>
          <w:tcPr>
            <w:tcW w:w="20" w:type="dxa"/>
            <w:vAlign w:val="bottom"/>
          </w:tcPr>
          <w:p>
            <w:pPr>
              <w:spacing w:after="0"/>
              <w:rPr>
                <w:sz w:val="16"/>
                <w:szCs w:val="16"/>
                <w:color w:val="auto"/>
              </w:rPr>
            </w:pPr>
          </w:p>
        </w:tc>
        <w:tc>
          <w:tcPr>
            <w:tcW w:w="72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Free cash flow</w:t>
            </w:r>
          </w:p>
        </w:tc>
        <w:tc>
          <w:tcPr>
            <w:tcW w:w="2480" w:type="dxa"/>
            <w:vAlign w:val="bottom"/>
            <w:tcBorders>
              <w:bottom w:val="single" w:sz="8" w:color="auto"/>
            </w:tcBorders>
            <w:shd w:val="clear" w:color="auto" w:fill="FCE9E8"/>
          </w:tcPr>
          <w:p>
            <w:pPr>
              <w:jc w:val="right"/>
              <w:ind w:right="200"/>
              <w:spacing w:after="0"/>
              <w:rPr>
                <w:sz w:val="20"/>
                <w:szCs w:val="20"/>
                <w:color w:val="auto"/>
              </w:rPr>
            </w:pPr>
            <w:r>
              <w:rPr>
                <w:rFonts w:ascii="Arial" w:cs="Arial" w:eastAsia="Arial" w:hAnsi="Arial"/>
                <w:sz w:val="16"/>
                <w:szCs w:val="16"/>
                <w:b w:val="1"/>
                <w:bCs w:val="1"/>
                <w:color w:val="auto"/>
              </w:rPr>
              <w:t>$ 1,188.6</w:t>
            </w:r>
          </w:p>
        </w:tc>
        <w:tc>
          <w:tcPr>
            <w:tcW w:w="3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gridSpan w:val="2"/>
            <w:shd w:val="clear" w:color="auto" w:fill="FCE9E8"/>
          </w:tcPr>
          <w:p>
            <w:pPr>
              <w:jc w:val="right"/>
              <w:ind w:right="254"/>
              <w:spacing w:after="0"/>
              <w:rPr>
                <w:sz w:val="20"/>
                <w:szCs w:val="20"/>
                <w:color w:val="auto"/>
              </w:rPr>
            </w:pPr>
            <w:r>
              <w:rPr>
                <w:rFonts w:ascii="Arial" w:cs="Arial" w:eastAsia="Arial" w:hAnsi="Arial"/>
                <w:sz w:val="16"/>
                <w:szCs w:val="16"/>
                <w:b w:val="1"/>
                <w:bCs w:val="1"/>
                <w:color w:val="auto"/>
              </w:rPr>
              <w:t>1,091.0</w:t>
            </w:r>
          </w:p>
        </w:tc>
      </w:tr>
      <w:tr>
        <w:trPr>
          <w:trHeight w:val="496"/>
        </w:trPr>
        <w:tc>
          <w:tcPr>
            <w:tcW w:w="7280" w:type="dxa"/>
            <w:vAlign w:val="bottom"/>
            <w:gridSpan w:val="2"/>
          </w:tcPr>
          <w:p>
            <w:pPr>
              <w:spacing w:after="0"/>
              <w:rPr>
                <w:sz w:val="20"/>
                <w:szCs w:val="20"/>
                <w:color w:val="auto"/>
              </w:rPr>
            </w:pPr>
            <w:r>
              <w:rPr>
                <w:rFonts w:ascii="Arial" w:cs="Arial" w:eastAsia="Arial" w:hAnsi="Arial"/>
                <w:sz w:val="23"/>
                <w:szCs w:val="23"/>
                <w:b w:val="1"/>
                <w:bCs w:val="1"/>
                <w:color w:val="auto"/>
              </w:rPr>
              <w:t>Core Operating Earnings</w:t>
            </w: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5"/>
        </w:trPr>
        <w:tc>
          <w:tcPr>
            <w:tcW w:w="20" w:type="dxa"/>
            <w:vAlign w:val="bottom"/>
          </w:tcPr>
          <w:p>
            <w:pPr>
              <w:spacing w:after="0"/>
              <w:rPr>
                <w:sz w:val="5"/>
                <w:szCs w:val="5"/>
                <w:color w:val="auto"/>
              </w:rPr>
            </w:pPr>
          </w:p>
        </w:tc>
        <w:tc>
          <w:tcPr>
            <w:tcW w:w="7260" w:type="dxa"/>
            <w:vAlign w:val="bottom"/>
            <w:tcBorders>
              <w:bottom w:val="single" w:sz="8" w:color="E2231A"/>
            </w:tcBorders>
          </w:tcPr>
          <w:p>
            <w:pPr>
              <w:spacing w:after="0"/>
              <w:rPr>
                <w:sz w:val="5"/>
                <w:szCs w:val="5"/>
                <w:color w:val="auto"/>
              </w:rPr>
            </w:pPr>
          </w:p>
        </w:tc>
        <w:tc>
          <w:tcPr>
            <w:tcW w:w="2480" w:type="dxa"/>
            <w:vAlign w:val="bottom"/>
            <w:tcBorders>
              <w:bottom w:val="single" w:sz="8" w:color="E2231A"/>
            </w:tcBorders>
          </w:tcPr>
          <w:p>
            <w:pPr>
              <w:spacing w:after="0"/>
              <w:rPr>
                <w:sz w:val="5"/>
                <w:szCs w:val="5"/>
                <w:color w:val="auto"/>
              </w:rPr>
            </w:pPr>
          </w:p>
        </w:tc>
        <w:tc>
          <w:tcPr>
            <w:tcW w:w="380" w:type="dxa"/>
            <w:vAlign w:val="bottom"/>
            <w:tcBorders>
              <w:bottom w:val="single" w:sz="8" w:color="E2231A"/>
            </w:tcBorders>
          </w:tcPr>
          <w:p>
            <w:pPr>
              <w:spacing w:after="0"/>
              <w:rPr>
                <w:sz w:val="5"/>
                <w:szCs w:val="5"/>
                <w:color w:val="auto"/>
              </w:rPr>
            </w:pPr>
          </w:p>
        </w:tc>
        <w:tc>
          <w:tcPr>
            <w:tcW w:w="380" w:type="dxa"/>
            <w:vAlign w:val="bottom"/>
            <w:tcBorders>
              <w:bottom w:val="single" w:sz="8" w:color="E2231A"/>
            </w:tcBorders>
          </w:tcPr>
          <w:p>
            <w:pPr>
              <w:spacing w:after="0"/>
              <w:rPr>
                <w:sz w:val="5"/>
                <w:szCs w:val="5"/>
                <w:color w:val="auto"/>
              </w:rPr>
            </w:pPr>
          </w:p>
        </w:tc>
        <w:tc>
          <w:tcPr>
            <w:tcW w:w="520" w:type="dxa"/>
            <w:vAlign w:val="bottom"/>
            <w:tcBorders>
              <w:bottom w:val="single" w:sz="8" w:color="E2231A"/>
            </w:tcBorders>
          </w:tcPr>
          <w:p>
            <w:pPr>
              <w:spacing w:after="0"/>
              <w:rPr>
                <w:sz w:val="5"/>
                <w:szCs w:val="5"/>
                <w:color w:val="auto"/>
              </w:rPr>
            </w:pPr>
          </w:p>
        </w:tc>
      </w:tr>
      <w:tr>
        <w:trPr>
          <w:trHeight w:val="439"/>
        </w:trPr>
        <w:tc>
          <w:tcPr>
            <w:tcW w:w="20" w:type="dxa"/>
            <w:vAlign w:val="bottom"/>
          </w:tcPr>
          <w:p>
            <w:pPr>
              <w:spacing w:after="0"/>
              <w:rPr>
                <w:sz w:val="24"/>
                <w:szCs w:val="24"/>
                <w:color w:val="auto"/>
              </w:rPr>
            </w:pPr>
          </w:p>
        </w:tc>
        <w:tc>
          <w:tcPr>
            <w:tcW w:w="7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(unaudited; in millions)</w:t>
            </w:r>
          </w:p>
        </w:tc>
        <w:tc>
          <w:tcPr>
            <w:tcW w:w="24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E2231A"/>
              </w:rPr>
              <w:t>2017</w:t>
            </w: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2016</w:t>
            </w:r>
          </w:p>
        </w:tc>
        <w:tc>
          <w:tcPr>
            <w:tcW w:w="52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b w:val="1"/>
                <w:bCs w:val="1"/>
                <w:color w:val="auto"/>
              </w:rPr>
              <w:t>Net income attributable to Lear</w:t>
            </w:r>
          </w:p>
        </w:tc>
        <w:tc>
          <w:tcPr>
            <w:tcW w:w="2480" w:type="dxa"/>
            <w:vAlign w:val="bottom"/>
            <w:shd w:val="clear" w:color="auto" w:fill="FCE9E8"/>
          </w:tcPr>
          <w:p>
            <w:pPr>
              <w:jc w:val="right"/>
              <w:ind w:right="200"/>
              <w:spacing w:after="0" w:line="183" w:lineRule="exact"/>
              <w:rPr>
                <w:sz w:val="20"/>
                <w:szCs w:val="20"/>
                <w:color w:val="auto"/>
              </w:rPr>
            </w:pPr>
            <w:r>
              <w:rPr>
                <w:rFonts w:ascii="Arial" w:cs="Arial" w:eastAsia="Arial" w:hAnsi="Arial"/>
                <w:sz w:val="16"/>
                <w:szCs w:val="16"/>
                <w:b w:val="1"/>
                <w:bCs w:val="1"/>
                <w:color w:val="auto"/>
              </w:rPr>
              <w:t>$ 1,313.4</w:t>
            </w:r>
          </w:p>
        </w:tc>
        <w:tc>
          <w:tcPr>
            <w:tcW w:w="3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FCE9E8"/>
          </w:tcPr>
          <w:p>
            <w:pPr>
              <w:jc w:val="right"/>
              <w:ind w:right="254"/>
              <w:spacing w:after="0" w:line="183" w:lineRule="exact"/>
              <w:rPr>
                <w:sz w:val="20"/>
                <w:szCs w:val="20"/>
                <w:color w:val="auto"/>
              </w:rPr>
            </w:pPr>
            <w:r>
              <w:rPr>
                <w:rFonts w:ascii="Arial" w:cs="Arial" w:eastAsia="Arial" w:hAnsi="Arial"/>
                <w:sz w:val="16"/>
                <w:szCs w:val="16"/>
                <w:b w:val="1"/>
                <w:bCs w:val="1"/>
                <w:color w:val="auto"/>
              </w:rPr>
              <w:t>975.1</w:t>
            </w:r>
          </w:p>
        </w:tc>
      </w:tr>
      <w:tr>
        <w:trPr>
          <w:trHeight w:val="189"/>
        </w:trPr>
        <w:tc>
          <w:tcPr>
            <w:tcW w:w="20" w:type="dxa"/>
            <w:vAlign w:val="bottom"/>
          </w:tcPr>
          <w:p>
            <w:pPr>
              <w:spacing w:after="0"/>
              <w:rPr>
                <w:sz w:val="16"/>
                <w:szCs w:val="16"/>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480" w:type="dxa"/>
            <w:vAlign w:val="bottom"/>
          </w:tcPr>
          <w:p>
            <w:pPr>
              <w:jc w:val="right"/>
              <w:ind w:right="200"/>
              <w:spacing w:after="0"/>
              <w:rPr>
                <w:sz w:val="20"/>
                <w:szCs w:val="20"/>
                <w:color w:val="auto"/>
              </w:rPr>
            </w:pPr>
            <w:r>
              <w:rPr>
                <w:rFonts w:ascii="Arial" w:cs="Arial" w:eastAsia="Arial" w:hAnsi="Arial"/>
                <w:sz w:val="16"/>
                <w:szCs w:val="16"/>
                <w:color w:val="auto"/>
              </w:rPr>
              <w:t>85.7</w:t>
            </w:r>
          </w:p>
        </w:tc>
        <w:tc>
          <w:tcPr>
            <w:tcW w:w="380" w:type="dxa"/>
            <w:vAlign w:val="bottom"/>
          </w:tcPr>
          <w:p>
            <w:pPr>
              <w:spacing w:after="0"/>
              <w:rPr>
                <w:sz w:val="16"/>
                <w:szCs w:val="16"/>
                <w:color w:val="auto"/>
              </w:rPr>
            </w:pPr>
          </w:p>
        </w:tc>
        <w:tc>
          <w:tcPr>
            <w:tcW w:w="900" w:type="dxa"/>
            <w:vAlign w:val="bottom"/>
            <w:gridSpan w:val="2"/>
          </w:tcPr>
          <w:p>
            <w:pPr>
              <w:jc w:val="right"/>
              <w:ind w:right="254"/>
              <w:spacing w:after="0"/>
              <w:rPr>
                <w:sz w:val="20"/>
                <w:szCs w:val="20"/>
                <w:color w:val="auto"/>
              </w:rPr>
            </w:pPr>
            <w:r>
              <w:rPr>
                <w:rFonts w:ascii="Arial" w:cs="Arial" w:eastAsia="Arial" w:hAnsi="Arial"/>
                <w:sz w:val="16"/>
                <w:szCs w:val="16"/>
                <w:color w:val="auto"/>
              </w:rPr>
              <w:t>82.5</w:t>
            </w:r>
          </w:p>
        </w:tc>
      </w:tr>
      <w:tr>
        <w:trPr>
          <w:trHeight w:val="189"/>
        </w:trPr>
        <w:tc>
          <w:tcPr>
            <w:tcW w:w="20" w:type="dxa"/>
            <w:vAlign w:val="bottom"/>
          </w:tcPr>
          <w:p>
            <w:pPr>
              <w:spacing w:after="0"/>
              <w:rPr>
                <w:sz w:val="16"/>
                <w:szCs w:val="16"/>
                <w:color w:val="auto"/>
              </w:rPr>
            </w:pPr>
          </w:p>
        </w:tc>
        <w:tc>
          <w:tcPr>
            <w:tcW w:w="72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Other (income) expense, net</w:t>
            </w:r>
          </w:p>
        </w:tc>
        <w:tc>
          <w:tcPr>
            <w:tcW w:w="248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(4.1)</w:t>
            </w:r>
          </w:p>
        </w:tc>
        <w:tc>
          <w:tcPr>
            <w:tcW w:w="380" w:type="dxa"/>
            <w:vAlign w:val="bottom"/>
            <w:shd w:val="clear" w:color="auto" w:fill="FCE9E8"/>
          </w:tcPr>
          <w:p>
            <w:pPr>
              <w:spacing w:after="0"/>
              <w:rPr>
                <w:sz w:val="16"/>
                <w:szCs w:val="16"/>
                <w:color w:val="auto"/>
              </w:rPr>
            </w:pPr>
          </w:p>
        </w:tc>
        <w:tc>
          <w:tcPr>
            <w:tcW w:w="900" w:type="dxa"/>
            <w:vAlign w:val="bottom"/>
            <w:gridSpan w:val="2"/>
            <w:shd w:val="clear" w:color="auto" w:fill="FCE9E8"/>
          </w:tcPr>
          <w:p>
            <w:pPr>
              <w:jc w:val="right"/>
              <w:ind w:right="254"/>
              <w:spacing w:after="0"/>
              <w:rPr>
                <w:sz w:val="20"/>
                <w:szCs w:val="20"/>
                <w:color w:val="auto"/>
              </w:rPr>
            </w:pPr>
            <w:r>
              <w:rPr>
                <w:rFonts w:ascii="Arial" w:cs="Arial" w:eastAsia="Arial" w:hAnsi="Arial"/>
                <w:sz w:val="16"/>
                <w:szCs w:val="16"/>
                <w:color w:val="auto"/>
              </w:rPr>
              <w:t>6.4</w:t>
            </w:r>
          </w:p>
        </w:tc>
      </w:tr>
      <w:tr>
        <w:trPr>
          <w:trHeight w:val="189"/>
        </w:trPr>
        <w:tc>
          <w:tcPr>
            <w:tcW w:w="20" w:type="dxa"/>
            <w:vAlign w:val="bottom"/>
          </w:tcPr>
          <w:p>
            <w:pPr>
              <w:spacing w:after="0"/>
              <w:rPr>
                <w:sz w:val="16"/>
                <w:szCs w:val="16"/>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Income taxes</w:t>
            </w:r>
          </w:p>
        </w:tc>
        <w:tc>
          <w:tcPr>
            <w:tcW w:w="2480" w:type="dxa"/>
            <w:vAlign w:val="bottom"/>
          </w:tcPr>
          <w:p>
            <w:pPr>
              <w:jc w:val="right"/>
              <w:ind w:right="200"/>
              <w:spacing w:after="0"/>
              <w:rPr>
                <w:sz w:val="20"/>
                <w:szCs w:val="20"/>
                <w:color w:val="auto"/>
              </w:rPr>
            </w:pPr>
            <w:r>
              <w:rPr>
                <w:rFonts w:ascii="Arial" w:cs="Arial" w:eastAsia="Arial" w:hAnsi="Arial"/>
                <w:sz w:val="16"/>
                <w:szCs w:val="16"/>
                <w:color w:val="auto"/>
              </w:rPr>
              <w:t>197.5</w:t>
            </w:r>
          </w:p>
        </w:tc>
        <w:tc>
          <w:tcPr>
            <w:tcW w:w="380" w:type="dxa"/>
            <w:vAlign w:val="bottom"/>
          </w:tcPr>
          <w:p>
            <w:pPr>
              <w:spacing w:after="0"/>
              <w:rPr>
                <w:sz w:val="16"/>
                <w:szCs w:val="16"/>
                <w:color w:val="auto"/>
              </w:rPr>
            </w:pPr>
          </w:p>
        </w:tc>
        <w:tc>
          <w:tcPr>
            <w:tcW w:w="900" w:type="dxa"/>
            <w:vAlign w:val="bottom"/>
            <w:gridSpan w:val="2"/>
          </w:tcPr>
          <w:p>
            <w:pPr>
              <w:jc w:val="right"/>
              <w:ind w:right="254"/>
              <w:spacing w:after="0"/>
              <w:rPr>
                <w:sz w:val="20"/>
                <w:szCs w:val="20"/>
                <w:color w:val="auto"/>
              </w:rPr>
            </w:pPr>
            <w:r>
              <w:rPr>
                <w:rFonts w:ascii="Arial" w:cs="Arial" w:eastAsia="Arial" w:hAnsi="Arial"/>
                <w:sz w:val="16"/>
                <w:szCs w:val="16"/>
                <w:color w:val="auto"/>
              </w:rPr>
              <w:t>370.2</w:t>
            </w:r>
          </w:p>
        </w:tc>
      </w:tr>
      <w:tr>
        <w:trPr>
          <w:trHeight w:val="189"/>
        </w:trPr>
        <w:tc>
          <w:tcPr>
            <w:tcW w:w="20" w:type="dxa"/>
            <w:vAlign w:val="bottom"/>
          </w:tcPr>
          <w:p>
            <w:pPr>
              <w:spacing w:after="0"/>
              <w:rPr>
                <w:sz w:val="16"/>
                <w:szCs w:val="16"/>
                <w:color w:val="auto"/>
              </w:rPr>
            </w:pPr>
          </w:p>
        </w:tc>
        <w:tc>
          <w:tcPr>
            <w:tcW w:w="72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Equity in net income of affiliates</w:t>
            </w:r>
          </w:p>
        </w:tc>
        <w:tc>
          <w:tcPr>
            <w:tcW w:w="248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(51.7)</w:t>
            </w:r>
          </w:p>
        </w:tc>
        <w:tc>
          <w:tcPr>
            <w:tcW w:w="380" w:type="dxa"/>
            <w:vAlign w:val="bottom"/>
            <w:shd w:val="clear" w:color="auto" w:fill="FCE9E8"/>
          </w:tcPr>
          <w:p>
            <w:pPr>
              <w:spacing w:after="0"/>
              <w:rPr>
                <w:sz w:val="16"/>
                <w:szCs w:val="16"/>
                <w:color w:val="auto"/>
              </w:rPr>
            </w:pPr>
          </w:p>
        </w:tc>
        <w:tc>
          <w:tcPr>
            <w:tcW w:w="900" w:type="dxa"/>
            <w:vAlign w:val="bottom"/>
            <w:gridSpan w:val="2"/>
            <w:shd w:val="clear" w:color="auto" w:fill="FCE9E8"/>
          </w:tcPr>
          <w:p>
            <w:pPr>
              <w:jc w:val="right"/>
              <w:ind w:right="194"/>
              <w:spacing w:after="0"/>
              <w:rPr>
                <w:sz w:val="20"/>
                <w:szCs w:val="20"/>
                <w:color w:val="auto"/>
              </w:rPr>
            </w:pPr>
            <w:r>
              <w:rPr>
                <w:rFonts w:ascii="Arial" w:cs="Arial" w:eastAsia="Arial" w:hAnsi="Arial"/>
                <w:sz w:val="16"/>
                <w:szCs w:val="16"/>
                <w:color w:val="auto"/>
              </w:rPr>
              <w:t>(72.4)</w:t>
            </w:r>
          </w:p>
        </w:tc>
      </w:tr>
      <w:tr>
        <w:trPr>
          <w:trHeight w:val="189"/>
        </w:trPr>
        <w:tc>
          <w:tcPr>
            <w:tcW w:w="20" w:type="dxa"/>
            <w:vAlign w:val="bottom"/>
          </w:tcPr>
          <w:p>
            <w:pPr>
              <w:spacing w:after="0"/>
              <w:rPr>
                <w:sz w:val="16"/>
                <w:szCs w:val="16"/>
                <w:color w:val="auto"/>
              </w:rPr>
            </w:pPr>
          </w:p>
        </w:tc>
        <w:tc>
          <w:tcPr>
            <w:tcW w:w="72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Net income attributable to noncontrolling interests</w:t>
            </w:r>
          </w:p>
        </w:tc>
        <w:tc>
          <w:tcPr>
            <w:tcW w:w="24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67.5</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6"/>
                <w:szCs w:val="16"/>
                <w:color w:val="auto"/>
              </w:rPr>
              <w:t>65.4</w:t>
            </w:r>
          </w:p>
        </w:tc>
      </w:tr>
      <w:tr>
        <w:trPr>
          <w:trHeight w:val="183"/>
        </w:trPr>
        <w:tc>
          <w:tcPr>
            <w:tcW w:w="20" w:type="dxa"/>
            <w:vAlign w:val="bottom"/>
          </w:tcPr>
          <w:p>
            <w:pPr>
              <w:spacing w:after="0"/>
              <w:rPr>
                <w:sz w:val="15"/>
                <w:szCs w:val="15"/>
                <w:color w:val="auto"/>
              </w:rPr>
            </w:pPr>
          </w:p>
        </w:tc>
        <w:tc>
          <w:tcPr>
            <w:tcW w:w="726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b w:val="1"/>
                <w:bCs w:val="1"/>
                <w:color w:val="auto"/>
              </w:rPr>
              <w:t>Pretax income before equity income, interest and other (income) expense</w:t>
            </w:r>
          </w:p>
        </w:tc>
        <w:tc>
          <w:tcPr>
            <w:tcW w:w="2480" w:type="dxa"/>
            <w:vAlign w:val="bottom"/>
            <w:shd w:val="clear" w:color="auto" w:fill="FCE9E8"/>
          </w:tcPr>
          <w:p>
            <w:pPr>
              <w:jc w:val="right"/>
              <w:ind w:right="200"/>
              <w:spacing w:after="0" w:line="183" w:lineRule="exact"/>
              <w:rPr>
                <w:sz w:val="20"/>
                <w:szCs w:val="20"/>
                <w:color w:val="auto"/>
              </w:rPr>
            </w:pPr>
            <w:r>
              <w:rPr>
                <w:rFonts w:ascii="Arial" w:cs="Arial" w:eastAsia="Arial" w:hAnsi="Arial"/>
                <w:sz w:val="16"/>
                <w:szCs w:val="16"/>
                <w:color w:val="auto"/>
              </w:rPr>
              <w:t>1,608.3</w:t>
            </w:r>
          </w:p>
        </w:tc>
        <w:tc>
          <w:tcPr>
            <w:tcW w:w="380" w:type="dxa"/>
            <w:vAlign w:val="bottom"/>
            <w:shd w:val="clear" w:color="auto" w:fill="FCE9E8"/>
          </w:tcPr>
          <w:p>
            <w:pPr>
              <w:spacing w:after="0"/>
              <w:rPr>
                <w:sz w:val="15"/>
                <w:szCs w:val="15"/>
                <w:color w:val="auto"/>
              </w:rPr>
            </w:pPr>
          </w:p>
        </w:tc>
        <w:tc>
          <w:tcPr>
            <w:tcW w:w="900" w:type="dxa"/>
            <w:vAlign w:val="bottom"/>
            <w:gridSpan w:val="2"/>
            <w:shd w:val="clear" w:color="auto" w:fill="FCE9E8"/>
          </w:tcPr>
          <w:p>
            <w:pPr>
              <w:jc w:val="right"/>
              <w:ind w:right="254"/>
              <w:spacing w:after="0" w:line="183" w:lineRule="exact"/>
              <w:rPr>
                <w:sz w:val="20"/>
                <w:szCs w:val="20"/>
                <w:color w:val="auto"/>
              </w:rPr>
            </w:pPr>
            <w:r>
              <w:rPr>
                <w:rFonts w:ascii="Arial" w:cs="Arial" w:eastAsia="Arial" w:hAnsi="Arial"/>
                <w:sz w:val="16"/>
                <w:szCs w:val="16"/>
                <w:color w:val="auto"/>
              </w:rPr>
              <w:t>1,427.2</w:t>
            </w:r>
          </w:p>
        </w:tc>
      </w:tr>
      <w:tr>
        <w:trPr>
          <w:trHeight w:val="189"/>
        </w:trPr>
        <w:tc>
          <w:tcPr>
            <w:tcW w:w="20" w:type="dxa"/>
            <w:vAlign w:val="bottom"/>
          </w:tcPr>
          <w:p>
            <w:pPr>
              <w:spacing w:after="0"/>
              <w:rPr>
                <w:sz w:val="16"/>
                <w:szCs w:val="16"/>
                <w:color w:val="auto"/>
              </w:rPr>
            </w:pPr>
          </w:p>
        </w:tc>
        <w:tc>
          <w:tcPr>
            <w:tcW w:w="7260" w:type="dxa"/>
            <w:vAlign w:val="bottom"/>
          </w:tcPr>
          <w:p>
            <w:pPr>
              <w:ind w:left="240"/>
              <w:spacing w:after="0"/>
              <w:rPr>
                <w:sz w:val="20"/>
                <w:szCs w:val="20"/>
                <w:color w:val="auto"/>
              </w:rPr>
            </w:pPr>
            <w:r>
              <w:rPr>
                <w:rFonts w:ascii="Arial" w:cs="Arial" w:eastAsia="Arial" w:hAnsi="Arial"/>
                <w:sz w:val="16"/>
                <w:szCs w:val="16"/>
                <w:color w:val="auto"/>
              </w:rPr>
              <w:t>Restructuring costs and other special items -</w:t>
            </w:r>
          </w:p>
        </w:tc>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Costs related to restructuring actions</w:t>
            </w:r>
          </w:p>
        </w:tc>
        <w:tc>
          <w:tcPr>
            <w:tcW w:w="2480" w:type="dxa"/>
            <w:vAlign w:val="bottom"/>
            <w:shd w:val="clear" w:color="auto" w:fill="FCE9E8"/>
          </w:tcPr>
          <w:p>
            <w:pPr>
              <w:jc w:val="right"/>
              <w:ind w:right="200"/>
              <w:spacing w:after="0"/>
              <w:rPr>
                <w:sz w:val="20"/>
                <w:szCs w:val="20"/>
                <w:color w:val="auto"/>
              </w:rPr>
            </w:pPr>
            <w:r>
              <w:rPr>
                <w:rFonts w:ascii="Arial" w:cs="Arial" w:eastAsia="Arial" w:hAnsi="Arial"/>
                <w:sz w:val="16"/>
                <w:szCs w:val="16"/>
                <w:color w:val="auto"/>
              </w:rPr>
              <w:t>75.4</w:t>
            </w:r>
          </w:p>
        </w:tc>
        <w:tc>
          <w:tcPr>
            <w:tcW w:w="380" w:type="dxa"/>
            <w:vAlign w:val="bottom"/>
            <w:shd w:val="clear" w:color="auto" w:fill="FCE9E8"/>
          </w:tcPr>
          <w:p>
            <w:pPr>
              <w:spacing w:after="0"/>
              <w:rPr>
                <w:sz w:val="16"/>
                <w:szCs w:val="16"/>
                <w:color w:val="auto"/>
              </w:rPr>
            </w:pPr>
          </w:p>
        </w:tc>
        <w:tc>
          <w:tcPr>
            <w:tcW w:w="900" w:type="dxa"/>
            <w:vAlign w:val="bottom"/>
            <w:gridSpan w:val="2"/>
            <w:shd w:val="clear" w:color="auto" w:fill="FCE9E8"/>
          </w:tcPr>
          <w:p>
            <w:pPr>
              <w:jc w:val="right"/>
              <w:ind w:right="254"/>
              <w:spacing w:after="0"/>
              <w:rPr>
                <w:sz w:val="20"/>
                <w:szCs w:val="20"/>
                <w:color w:val="auto"/>
              </w:rPr>
            </w:pPr>
            <w:r>
              <w:rPr>
                <w:rFonts w:ascii="Arial" w:cs="Arial" w:eastAsia="Arial" w:hAnsi="Arial"/>
                <w:sz w:val="16"/>
                <w:szCs w:val="16"/>
                <w:color w:val="auto"/>
              </w:rPr>
              <w:t>69.9</w:t>
            </w:r>
          </w:p>
        </w:tc>
      </w:tr>
      <w:tr>
        <w:trPr>
          <w:trHeight w:val="189"/>
        </w:trPr>
        <w:tc>
          <w:tcPr>
            <w:tcW w:w="20" w:type="dxa"/>
            <w:vAlign w:val="bottom"/>
          </w:tcPr>
          <w:p>
            <w:pPr>
              <w:spacing w:after="0"/>
              <w:rPr>
                <w:sz w:val="16"/>
                <w:szCs w:val="16"/>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Pension settlement charge</w:t>
            </w:r>
          </w:p>
        </w:tc>
        <w:tc>
          <w:tcPr>
            <w:tcW w:w="2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gridSpan w:val="2"/>
          </w:tcPr>
          <w:p>
            <w:pPr>
              <w:jc w:val="right"/>
              <w:ind w:right="254"/>
              <w:spacing w:after="0"/>
              <w:rPr>
                <w:sz w:val="20"/>
                <w:szCs w:val="20"/>
                <w:color w:val="auto"/>
              </w:rPr>
            </w:pPr>
            <w:r>
              <w:rPr>
                <w:rFonts w:ascii="Arial" w:cs="Arial" w:eastAsia="Arial" w:hAnsi="Arial"/>
                <w:sz w:val="16"/>
                <w:szCs w:val="16"/>
                <w:color w:val="auto"/>
              </w:rPr>
              <w:t>34.2</w:t>
            </w:r>
          </w:p>
        </w:tc>
      </w:tr>
      <w:tr>
        <w:trPr>
          <w:trHeight w:val="189"/>
        </w:trPr>
        <w:tc>
          <w:tcPr>
            <w:tcW w:w="20" w:type="dxa"/>
            <w:vAlign w:val="bottom"/>
          </w:tcPr>
          <w:p>
            <w:pPr>
              <w:spacing w:after="0"/>
              <w:rPr>
                <w:sz w:val="16"/>
                <w:szCs w:val="16"/>
                <w:color w:val="auto"/>
              </w:rPr>
            </w:pPr>
          </w:p>
        </w:tc>
        <w:tc>
          <w:tcPr>
            <w:tcW w:w="72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Acquisition and other related costs</w:t>
            </w:r>
          </w:p>
        </w:tc>
        <w:tc>
          <w:tcPr>
            <w:tcW w:w="2480" w:type="dxa"/>
            <w:vAlign w:val="bottom"/>
            <w:shd w:val="clear" w:color="auto" w:fill="FCE9E8"/>
          </w:tcPr>
          <w:p>
            <w:pPr>
              <w:jc w:val="right"/>
              <w:ind w:right="200"/>
              <w:spacing w:after="0"/>
              <w:rPr>
                <w:sz w:val="20"/>
                <w:szCs w:val="20"/>
                <w:color w:val="auto"/>
              </w:rPr>
            </w:pPr>
            <w:r>
              <w:rPr>
                <w:rFonts w:ascii="Arial" w:cs="Arial" w:eastAsia="Arial" w:hAnsi="Arial"/>
                <w:sz w:val="16"/>
                <w:szCs w:val="16"/>
                <w:color w:val="auto"/>
              </w:rPr>
              <w:t>3.8</w:t>
            </w:r>
          </w:p>
        </w:tc>
        <w:tc>
          <w:tcPr>
            <w:tcW w:w="380" w:type="dxa"/>
            <w:vAlign w:val="bottom"/>
            <w:shd w:val="clear" w:color="auto" w:fill="FCE9E8"/>
          </w:tcPr>
          <w:p>
            <w:pPr>
              <w:spacing w:after="0"/>
              <w:rPr>
                <w:sz w:val="16"/>
                <w:szCs w:val="16"/>
                <w:color w:val="auto"/>
              </w:rPr>
            </w:pPr>
          </w:p>
        </w:tc>
        <w:tc>
          <w:tcPr>
            <w:tcW w:w="900" w:type="dxa"/>
            <w:vAlign w:val="bottom"/>
            <w:gridSpan w:val="2"/>
            <w:shd w:val="clear" w:color="auto" w:fill="FCE9E8"/>
          </w:tcPr>
          <w:p>
            <w:pPr>
              <w:jc w:val="right"/>
              <w:ind w:right="254"/>
              <w:spacing w:after="0"/>
              <w:rPr>
                <w:sz w:val="20"/>
                <w:szCs w:val="20"/>
                <w:color w:val="auto"/>
              </w:rPr>
            </w:pPr>
            <w:r>
              <w:rPr>
                <w:rFonts w:ascii="Arial" w:cs="Arial" w:eastAsia="Arial" w:hAnsi="Arial"/>
                <w:sz w:val="16"/>
                <w:szCs w:val="16"/>
                <w:color w:val="auto"/>
              </w:rPr>
              <w:t>1.3</w:t>
            </w:r>
          </w:p>
        </w:tc>
      </w:tr>
      <w:tr>
        <w:trPr>
          <w:trHeight w:val="189"/>
        </w:trPr>
        <w:tc>
          <w:tcPr>
            <w:tcW w:w="20" w:type="dxa"/>
            <w:vAlign w:val="bottom"/>
          </w:tcPr>
          <w:p>
            <w:pPr>
              <w:spacing w:after="0"/>
              <w:rPr>
                <w:sz w:val="16"/>
                <w:szCs w:val="16"/>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Acquisition-related inventory fair value adjustment</w:t>
            </w:r>
          </w:p>
        </w:tc>
        <w:tc>
          <w:tcPr>
            <w:tcW w:w="2480" w:type="dxa"/>
            <w:vAlign w:val="bottom"/>
          </w:tcPr>
          <w:p>
            <w:pPr>
              <w:jc w:val="right"/>
              <w:ind w:right="200"/>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jc w:val="right"/>
              <w:ind w:right="254"/>
              <w:spacing w:after="0"/>
              <w:rPr>
                <w:sz w:val="20"/>
                <w:szCs w:val="20"/>
                <w:color w:val="auto"/>
              </w:rPr>
            </w:pPr>
            <w:r>
              <w:rPr>
                <w:rFonts w:ascii="Arial" w:cs="Arial" w:eastAsia="Arial" w:hAnsi="Arial"/>
                <w:sz w:val="16"/>
                <w:szCs w:val="16"/>
                <w:color w:val="auto"/>
                <w:w w:val="99"/>
              </w:rPr>
              <w:t>—</w:t>
            </w:r>
          </w:p>
        </w:tc>
      </w:tr>
      <w:tr>
        <w:trPr>
          <w:trHeight w:val="189"/>
        </w:trPr>
        <w:tc>
          <w:tcPr>
            <w:tcW w:w="20" w:type="dxa"/>
            <w:vAlign w:val="bottom"/>
          </w:tcPr>
          <w:p>
            <w:pPr>
              <w:spacing w:after="0"/>
              <w:rPr>
                <w:sz w:val="16"/>
                <w:szCs w:val="16"/>
                <w:color w:val="auto"/>
              </w:rPr>
            </w:pPr>
          </w:p>
        </w:tc>
        <w:tc>
          <w:tcPr>
            <w:tcW w:w="72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Litigation</w:t>
            </w:r>
          </w:p>
        </w:tc>
        <w:tc>
          <w:tcPr>
            <w:tcW w:w="2480" w:type="dxa"/>
            <w:vAlign w:val="bottom"/>
            <w:shd w:val="clear" w:color="auto" w:fill="FCE9E8"/>
          </w:tcPr>
          <w:p>
            <w:pPr>
              <w:jc w:val="right"/>
              <w:ind w:right="200"/>
              <w:spacing w:after="0"/>
              <w:rPr>
                <w:sz w:val="20"/>
                <w:szCs w:val="20"/>
                <w:color w:val="auto"/>
              </w:rPr>
            </w:pPr>
            <w:r>
              <w:rPr>
                <w:rFonts w:ascii="Arial" w:cs="Arial" w:eastAsia="Arial" w:hAnsi="Arial"/>
                <w:sz w:val="16"/>
                <w:szCs w:val="16"/>
                <w:color w:val="auto"/>
              </w:rPr>
              <w:t>13.9</w:t>
            </w:r>
          </w:p>
        </w:tc>
        <w:tc>
          <w:tcPr>
            <w:tcW w:w="380" w:type="dxa"/>
            <w:vAlign w:val="bottom"/>
            <w:shd w:val="clear" w:color="auto" w:fill="FCE9E8"/>
          </w:tcPr>
          <w:p>
            <w:pPr>
              <w:spacing w:after="0"/>
              <w:rPr>
                <w:sz w:val="16"/>
                <w:szCs w:val="16"/>
                <w:color w:val="auto"/>
              </w:rPr>
            </w:pPr>
          </w:p>
        </w:tc>
        <w:tc>
          <w:tcPr>
            <w:tcW w:w="380" w:type="dxa"/>
            <w:vAlign w:val="bottom"/>
            <w:shd w:val="clear" w:color="auto" w:fill="FCE9E8"/>
          </w:tcPr>
          <w:p>
            <w:pPr>
              <w:spacing w:after="0"/>
              <w:rPr>
                <w:sz w:val="16"/>
                <w:szCs w:val="16"/>
                <w:color w:val="auto"/>
              </w:rPr>
            </w:pPr>
          </w:p>
        </w:tc>
        <w:tc>
          <w:tcPr>
            <w:tcW w:w="520" w:type="dxa"/>
            <w:vAlign w:val="bottom"/>
            <w:shd w:val="clear" w:color="auto" w:fill="FCE9E8"/>
          </w:tcPr>
          <w:p>
            <w:pPr>
              <w:jc w:val="right"/>
              <w:ind w:right="254"/>
              <w:spacing w:after="0"/>
              <w:rPr>
                <w:sz w:val="20"/>
                <w:szCs w:val="20"/>
                <w:color w:val="auto"/>
              </w:rPr>
            </w:pPr>
            <w:r>
              <w:rPr>
                <w:rFonts w:ascii="Arial" w:cs="Arial" w:eastAsia="Arial" w:hAnsi="Arial"/>
                <w:sz w:val="16"/>
                <w:szCs w:val="16"/>
                <w:color w:val="auto"/>
                <w:w w:val="99"/>
              </w:rPr>
              <w:t>—</w:t>
            </w:r>
          </w:p>
        </w:tc>
      </w:tr>
      <w:tr>
        <w:trPr>
          <w:trHeight w:val="189"/>
        </w:trPr>
        <w:tc>
          <w:tcPr>
            <w:tcW w:w="20" w:type="dxa"/>
            <w:vAlign w:val="bottom"/>
          </w:tcPr>
          <w:p>
            <w:pPr>
              <w:spacing w:after="0"/>
              <w:rPr>
                <w:sz w:val="16"/>
                <w:szCs w:val="16"/>
                <w:color w:val="auto"/>
              </w:rPr>
            </w:pPr>
          </w:p>
        </w:tc>
        <w:tc>
          <w:tcPr>
            <w:tcW w:w="72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Other</w:t>
            </w:r>
          </w:p>
        </w:tc>
        <w:tc>
          <w:tcPr>
            <w:tcW w:w="24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12.6</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6"/>
                <w:szCs w:val="16"/>
                <w:color w:val="auto"/>
              </w:rPr>
              <w:t>2.2</w:t>
            </w:r>
          </w:p>
        </w:tc>
      </w:tr>
      <w:tr>
        <w:trPr>
          <w:trHeight w:val="183"/>
        </w:trPr>
        <w:tc>
          <w:tcPr>
            <w:tcW w:w="20" w:type="dxa"/>
            <w:vAlign w:val="bottom"/>
          </w:tcPr>
          <w:p>
            <w:pPr>
              <w:spacing w:after="0"/>
              <w:rPr>
                <w:sz w:val="15"/>
                <w:szCs w:val="15"/>
                <w:color w:val="auto"/>
              </w:rPr>
            </w:pPr>
          </w:p>
        </w:tc>
        <w:tc>
          <w:tcPr>
            <w:tcW w:w="7260" w:type="dxa"/>
            <w:vAlign w:val="bottom"/>
            <w:tcBorders>
              <w:bottom w:val="single" w:sz="8" w:color="auto"/>
            </w:tcBorders>
            <w:shd w:val="clear" w:color="auto" w:fill="FCE9E8"/>
          </w:tcPr>
          <w:p>
            <w:pPr>
              <w:ind w:left="80"/>
              <w:spacing w:after="0" w:line="183" w:lineRule="exact"/>
              <w:rPr>
                <w:sz w:val="20"/>
                <w:szCs w:val="20"/>
                <w:color w:val="auto"/>
              </w:rPr>
            </w:pPr>
            <w:r>
              <w:rPr>
                <w:rFonts w:ascii="Arial" w:cs="Arial" w:eastAsia="Arial" w:hAnsi="Arial"/>
                <w:sz w:val="16"/>
                <w:szCs w:val="16"/>
                <w:b w:val="1"/>
                <w:bCs w:val="1"/>
                <w:color w:val="auto"/>
              </w:rPr>
              <w:t>Core operating earnings</w:t>
            </w:r>
          </w:p>
        </w:tc>
        <w:tc>
          <w:tcPr>
            <w:tcW w:w="2480" w:type="dxa"/>
            <w:vAlign w:val="bottom"/>
            <w:tcBorders>
              <w:bottom w:val="single" w:sz="8" w:color="auto"/>
            </w:tcBorders>
            <w:shd w:val="clear" w:color="auto" w:fill="FCE9E8"/>
          </w:tcPr>
          <w:p>
            <w:pPr>
              <w:jc w:val="right"/>
              <w:ind w:right="200"/>
              <w:spacing w:after="0" w:line="183" w:lineRule="exact"/>
              <w:rPr>
                <w:sz w:val="20"/>
                <w:szCs w:val="20"/>
                <w:color w:val="auto"/>
              </w:rPr>
            </w:pPr>
            <w:r>
              <w:rPr>
                <w:rFonts w:ascii="Arial" w:cs="Arial" w:eastAsia="Arial" w:hAnsi="Arial"/>
                <w:sz w:val="16"/>
                <w:szCs w:val="16"/>
                <w:b w:val="1"/>
                <w:bCs w:val="1"/>
                <w:color w:val="auto"/>
              </w:rPr>
              <w:t>$ 1,719.0</w:t>
            </w:r>
          </w:p>
        </w:tc>
        <w:tc>
          <w:tcPr>
            <w:tcW w:w="38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gridSpan w:val="2"/>
            <w:shd w:val="clear" w:color="auto" w:fill="FCE9E8"/>
          </w:tcPr>
          <w:p>
            <w:pPr>
              <w:jc w:val="right"/>
              <w:ind w:right="254"/>
              <w:spacing w:after="0" w:line="183" w:lineRule="exact"/>
              <w:rPr>
                <w:sz w:val="20"/>
                <w:szCs w:val="20"/>
                <w:color w:val="auto"/>
              </w:rPr>
            </w:pPr>
            <w:r>
              <w:rPr>
                <w:rFonts w:ascii="Arial" w:cs="Arial" w:eastAsia="Arial" w:hAnsi="Arial"/>
                <w:sz w:val="16"/>
                <w:szCs w:val="16"/>
                <w:b w:val="1"/>
                <w:bCs w:val="1"/>
                <w:color w:val="auto"/>
              </w:rPr>
              <w:t>1,534.8</w:t>
            </w:r>
          </w:p>
        </w:tc>
      </w:tr>
      <w:tr>
        <w:trPr>
          <w:trHeight w:val="39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240" w:type="dxa"/>
            <w:vAlign w:val="bottom"/>
            <w:gridSpan w:val="3"/>
          </w:tcPr>
          <w:p>
            <w:pPr>
              <w:jc w:val="right"/>
              <w:spacing w:after="0"/>
              <w:rPr>
                <w:sz w:val="20"/>
                <w:szCs w:val="20"/>
                <w:color w:val="auto"/>
              </w:rPr>
            </w:pPr>
            <w:r>
              <w:rPr>
                <w:rFonts w:ascii="Arial" w:cs="Arial" w:eastAsia="Arial" w:hAnsi="Arial"/>
                <w:sz w:val="15"/>
                <w:szCs w:val="15"/>
                <w:b w:val="1"/>
                <w:bCs w:val="1"/>
                <w:color w:val="E2231A"/>
              </w:rPr>
              <w:t>2018 Proxy Statement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A-</w:t>
            </w:r>
          </w:p>
        </w:tc>
      </w:tr>
      <w:tr>
        <w:trPr>
          <w:trHeight w:val="239"/>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ind w:right="74"/>
              <w:spacing w:after="0"/>
              <w:rPr>
                <w:sz w:val="20"/>
                <w:szCs w:val="20"/>
                <w:color w:val="auto"/>
              </w:rPr>
            </w:pPr>
            <w:r>
              <w:rPr>
                <w:rFonts w:ascii="Arial" w:cs="Arial" w:eastAsia="Arial" w:hAnsi="Arial"/>
                <w:sz w:val="18"/>
                <w:szCs w:val="18"/>
                <w:b w:val="1"/>
                <w:bCs w:val="1"/>
                <w:color w:val="auto"/>
              </w:rPr>
              <w:t>1</w:t>
            </w:r>
          </w:p>
        </w:tc>
      </w:tr>
    </w:tbl>
    <w:p>
      <w:pPr>
        <w:sectPr>
          <w:pgSz w:w="11900" w:h="16838" w:orient="portrait"/>
          <w:cols w:equalWidth="0" w:num="1">
            <w:col w:w="11240"/>
          </w:cols>
          <w:pgMar w:left="240" w:top="459" w:right="41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E2231A"/>
        </w:rPr>
        <w:t>APPENDIX A</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4"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6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(unaudited; in millions, except per share amounts)</w:t>
            </w:r>
          </w:p>
        </w:tc>
        <w:tc>
          <w:tcPr>
            <w:tcW w:w="2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E2231A"/>
              </w:rPr>
              <w:t>2017</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E2231A"/>
              </w:rPr>
              <w:t>2016</w:t>
            </w:r>
          </w:p>
        </w:tc>
      </w:tr>
      <w:tr>
        <w:trPr>
          <w:trHeight w:val="183"/>
        </w:trPr>
        <w:tc>
          <w:tcPr>
            <w:tcW w:w="674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b w:val="1"/>
                <w:bCs w:val="1"/>
                <w:color w:val="auto"/>
              </w:rPr>
              <w:t>Net income attributable to Lear</w:t>
            </w:r>
          </w:p>
        </w:tc>
        <w:tc>
          <w:tcPr>
            <w:tcW w:w="216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FCE9E8"/>
          </w:tcPr>
          <w:p>
            <w:pPr>
              <w:jc w:val="right"/>
              <w:ind w:right="199"/>
              <w:spacing w:after="0" w:line="183" w:lineRule="exact"/>
              <w:rPr>
                <w:sz w:val="20"/>
                <w:szCs w:val="20"/>
                <w:color w:val="auto"/>
              </w:rPr>
            </w:pPr>
            <w:r>
              <w:rPr>
                <w:rFonts w:ascii="Arial" w:cs="Arial" w:eastAsia="Arial" w:hAnsi="Arial"/>
                <w:sz w:val="16"/>
                <w:szCs w:val="16"/>
                <w:b w:val="1"/>
                <w:bCs w:val="1"/>
                <w:color w:val="auto"/>
              </w:rPr>
              <w:t>1,313.4</w:t>
            </w:r>
          </w:p>
        </w:tc>
        <w:tc>
          <w:tcPr>
            <w:tcW w:w="3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FCE9E8"/>
          </w:tcPr>
          <w:p>
            <w:pPr>
              <w:jc w:val="right"/>
              <w:ind w:right="259"/>
              <w:spacing w:after="0" w:line="183" w:lineRule="exact"/>
              <w:rPr>
                <w:sz w:val="20"/>
                <w:szCs w:val="20"/>
                <w:color w:val="auto"/>
              </w:rPr>
            </w:pPr>
            <w:r>
              <w:rPr>
                <w:rFonts w:ascii="Arial" w:cs="Arial" w:eastAsia="Arial" w:hAnsi="Arial"/>
                <w:sz w:val="16"/>
                <w:szCs w:val="16"/>
                <w:b w:val="1"/>
                <w:bCs w:val="1"/>
                <w:color w:val="auto"/>
              </w:rPr>
              <w:t>975.1</w:t>
            </w:r>
          </w:p>
        </w:tc>
      </w:tr>
      <w:tr>
        <w:trPr>
          <w:trHeight w:val="189"/>
        </w:trPr>
        <w:tc>
          <w:tcPr>
            <w:tcW w:w="6740" w:type="dxa"/>
            <w:vAlign w:val="bottom"/>
          </w:tcPr>
          <w:p>
            <w:pPr>
              <w:ind w:left="240"/>
              <w:spacing w:after="0"/>
              <w:rPr>
                <w:sz w:val="20"/>
                <w:szCs w:val="20"/>
                <w:color w:val="auto"/>
              </w:rPr>
            </w:pPr>
            <w:r>
              <w:rPr>
                <w:rFonts w:ascii="Arial" w:cs="Arial" w:eastAsia="Arial" w:hAnsi="Arial"/>
                <w:sz w:val="16"/>
                <w:szCs w:val="16"/>
                <w:color w:val="auto"/>
              </w:rPr>
              <w:t>Restructuring costs and other special items -</w:t>
            </w:r>
          </w:p>
        </w:tc>
        <w:tc>
          <w:tcPr>
            <w:tcW w:w="2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6740" w:type="dxa"/>
            <w:vAlign w:val="bottom"/>
            <w:shd w:val="clear" w:color="auto" w:fill="FCE9E8"/>
          </w:tcPr>
          <w:p>
            <w:pPr>
              <w:ind w:left="400"/>
              <w:spacing w:after="0"/>
              <w:rPr>
                <w:sz w:val="20"/>
                <w:szCs w:val="20"/>
                <w:color w:val="auto"/>
              </w:rPr>
            </w:pPr>
            <w:r>
              <w:rPr>
                <w:rFonts w:ascii="Arial" w:cs="Arial" w:eastAsia="Arial" w:hAnsi="Arial"/>
                <w:sz w:val="16"/>
                <w:szCs w:val="16"/>
                <w:color w:val="auto"/>
              </w:rPr>
              <w:t>Costs related to restructuring actions</w:t>
            </w:r>
          </w:p>
        </w:tc>
        <w:tc>
          <w:tcPr>
            <w:tcW w:w="216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199"/>
              <w:spacing w:after="0"/>
              <w:rPr>
                <w:sz w:val="20"/>
                <w:szCs w:val="20"/>
                <w:color w:val="auto"/>
              </w:rPr>
            </w:pPr>
            <w:r>
              <w:rPr>
                <w:rFonts w:ascii="Arial" w:cs="Arial" w:eastAsia="Arial" w:hAnsi="Arial"/>
                <w:sz w:val="16"/>
                <w:szCs w:val="16"/>
                <w:color w:val="auto"/>
              </w:rPr>
              <w:t>74.5</w:t>
            </w:r>
          </w:p>
        </w:tc>
        <w:tc>
          <w:tcPr>
            <w:tcW w:w="380" w:type="dxa"/>
            <w:vAlign w:val="bottom"/>
            <w:shd w:val="clear" w:color="auto" w:fill="FCE9E8"/>
          </w:tcPr>
          <w:p>
            <w:pPr>
              <w:spacing w:after="0"/>
              <w:rPr>
                <w:sz w:val="16"/>
                <w:szCs w:val="16"/>
                <w:color w:val="auto"/>
              </w:rPr>
            </w:pPr>
          </w:p>
        </w:tc>
        <w:tc>
          <w:tcPr>
            <w:tcW w:w="900" w:type="dxa"/>
            <w:vAlign w:val="bottom"/>
            <w:shd w:val="clear" w:color="auto" w:fill="FCE9E8"/>
          </w:tcPr>
          <w:p>
            <w:pPr>
              <w:jc w:val="right"/>
              <w:ind w:right="259"/>
              <w:spacing w:after="0"/>
              <w:rPr>
                <w:sz w:val="20"/>
                <w:szCs w:val="20"/>
                <w:color w:val="auto"/>
              </w:rPr>
            </w:pPr>
            <w:r>
              <w:rPr>
                <w:rFonts w:ascii="Arial" w:cs="Arial" w:eastAsia="Arial" w:hAnsi="Arial"/>
                <w:sz w:val="16"/>
                <w:szCs w:val="16"/>
                <w:color w:val="auto"/>
              </w:rPr>
              <w:t>69.6</w:t>
            </w:r>
          </w:p>
        </w:tc>
      </w:tr>
      <w:tr>
        <w:trPr>
          <w:trHeight w:val="189"/>
        </w:trPr>
        <w:tc>
          <w:tcPr>
            <w:tcW w:w="6740" w:type="dxa"/>
            <w:vAlign w:val="bottom"/>
          </w:tcPr>
          <w:p>
            <w:pPr>
              <w:ind w:left="400"/>
              <w:spacing w:after="0"/>
              <w:rPr>
                <w:sz w:val="20"/>
                <w:szCs w:val="20"/>
                <w:color w:val="auto"/>
              </w:rPr>
            </w:pPr>
            <w:r>
              <w:rPr>
                <w:rFonts w:ascii="Arial" w:cs="Arial" w:eastAsia="Arial" w:hAnsi="Arial"/>
                <w:sz w:val="16"/>
                <w:szCs w:val="16"/>
                <w:color w:val="auto"/>
              </w:rPr>
              <w:t>Pension settlement charge</w:t>
            </w:r>
          </w:p>
        </w:tc>
        <w:tc>
          <w:tcPr>
            <w:tcW w:w="216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34.2</w:t>
            </w:r>
          </w:p>
        </w:tc>
      </w:tr>
      <w:tr>
        <w:trPr>
          <w:trHeight w:val="189"/>
        </w:trPr>
        <w:tc>
          <w:tcPr>
            <w:tcW w:w="6740" w:type="dxa"/>
            <w:vAlign w:val="bottom"/>
            <w:shd w:val="clear" w:color="auto" w:fill="FCE9E8"/>
          </w:tcPr>
          <w:p>
            <w:pPr>
              <w:ind w:left="400"/>
              <w:spacing w:after="0"/>
              <w:rPr>
                <w:sz w:val="20"/>
                <w:szCs w:val="20"/>
                <w:color w:val="auto"/>
              </w:rPr>
            </w:pPr>
            <w:r>
              <w:rPr>
                <w:rFonts w:ascii="Arial" w:cs="Arial" w:eastAsia="Arial" w:hAnsi="Arial"/>
                <w:sz w:val="16"/>
                <w:szCs w:val="16"/>
                <w:color w:val="auto"/>
              </w:rPr>
              <w:t>Acquisition and other related costs</w:t>
            </w:r>
          </w:p>
        </w:tc>
        <w:tc>
          <w:tcPr>
            <w:tcW w:w="216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199"/>
              <w:spacing w:after="0"/>
              <w:rPr>
                <w:sz w:val="20"/>
                <w:szCs w:val="20"/>
                <w:color w:val="auto"/>
              </w:rPr>
            </w:pPr>
            <w:r>
              <w:rPr>
                <w:rFonts w:ascii="Arial" w:cs="Arial" w:eastAsia="Arial" w:hAnsi="Arial"/>
                <w:sz w:val="16"/>
                <w:szCs w:val="16"/>
                <w:color w:val="auto"/>
              </w:rPr>
              <w:t>3.8</w:t>
            </w:r>
          </w:p>
        </w:tc>
        <w:tc>
          <w:tcPr>
            <w:tcW w:w="380" w:type="dxa"/>
            <w:vAlign w:val="bottom"/>
            <w:shd w:val="clear" w:color="auto" w:fill="FCE9E8"/>
          </w:tcPr>
          <w:p>
            <w:pPr>
              <w:spacing w:after="0"/>
              <w:rPr>
                <w:sz w:val="16"/>
                <w:szCs w:val="16"/>
                <w:color w:val="auto"/>
              </w:rPr>
            </w:pPr>
          </w:p>
        </w:tc>
        <w:tc>
          <w:tcPr>
            <w:tcW w:w="900" w:type="dxa"/>
            <w:vAlign w:val="bottom"/>
            <w:shd w:val="clear" w:color="auto" w:fill="FCE9E8"/>
          </w:tcPr>
          <w:p>
            <w:pPr>
              <w:jc w:val="right"/>
              <w:ind w:right="259"/>
              <w:spacing w:after="0"/>
              <w:rPr>
                <w:sz w:val="20"/>
                <w:szCs w:val="20"/>
                <w:color w:val="auto"/>
              </w:rPr>
            </w:pPr>
            <w:r>
              <w:rPr>
                <w:rFonts w:ascii="Arial" w:cs="Arial" w:eastAsia="Arial" w:hAnsi="Arial"/>
                <w:sz w:val="16"/>
                <w:szCs w:val="16"/>
                <w:color w:val="auto"/>
              </w:rPr>
              <w:t>1.3</w:t>
            </w:r>
          </w:p>
        </w:tc>
      </w:tr>
      <w:tr>
        <w:trPr>
          <w:trHeight w:val="189"/>
        </w:trPr>
        <w:tc>
          <w:tcPr>
            <w:tcW w:w="6740" w:type="dxa"/>
            <w:vAlign w:val="bottom"/>
          </w:tcPr>
          <w:p>
            <w:pPr>
              <w:ind w:left="400"/>
              <w:spacing w:after="0"/>
              <w:rPr>
                <w:sz w:val="20"/>
                <w:szCs w:val="20"/>
                <w:color w:val="auto"/>
              </w:rPr>
            </w:pPr>
            <w:r>
              <w:rPr>
                <w:rFonts w:ascii="Arial" w:cs="Arial" w:eastAsia="Arial" w:hAnsi="Arial"/>
                <w:sz w:val="16"/>
                <w:szCs w:val="16"/>
                <w:color w:val="auto"/>
              </w:rPr>
              <w:t>Acquisition-related inventory fair value adjustment</w:t>
            </w:r>
          </w:p>
        </w:tc>
        <w:tc>
          <w:tcPr>
            <w:tcW w:w="216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6"/>
                <w:szCs w:val="16"/>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w:t>
            </w:r>
          </w:p>
        </w:tc>
      </w:tr>
      <w:tr>
        <w:trPr>
          <w:trHeight w:val="189"/>
        </w:trPr>
        <w:tc>
          <w:tcPr>
            <w:tcW w:w="6740" w:type="dxa"/>
            <w:vAlign w:val="bottom"/>
            <w:shd w:val="clear" w:color="auto" w:fill="FCE9E8"/>
          </w:tcPr>
          <w:p>
            <w:pPr>
              <w:ind w:left="400"/>
              <w:spacing w:after="0"/>
              <w:rPr>
                <w:sz w:val="20"/>
                <w:szCs w:val="20"/>
                <w:color w:val="auto"/>
              </w:rPr>
            </w:pPr>
            <w:r>
              <w:rPr>
                <w:rFonts w:ascii="Arial" w:cs="Arial" w:eastAsia="Arial" w:hAnsi="Arial"/>
                <w:sz w:val="16"/>
                <w:szCs w:val="16"/>
                <w:color w:val="auto"/>
              </w:rPr>
              <w:t>Litigation</w:t>
            </w:r>
          </w:p>
        </w:tc>
        <w:tc>
          <w:tcPr>
            <w:tcW w:w="216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199"/>
              <w:spacing w:after="0"/>
              <w:rPr>
                <w:sz w:val="20"/>
                <w:szCs w:val="20"/>
                <w:color w:val="auto"/>
              </w:rPr>
            </w:pPr>
            <w:r>
              <w:rPr>
                <w:rFonts w:ascii="Arial" w:cs="Arial" w:eastAsia="Arial" w:hAnsi="Arial"/>
                <w:sz w:val="16"/>
                <w:szCs w:val="16"/>
                <w:color w:val="auto"/>
              </w:rPr>
              <w:t>15.4</w:t>
            </w:r>
          </w:p>
        </w:tc>
        <w:tc>
          <w:tcPr>
            <w:tcW w:w="380" w:type="dxa"/>
            <w:vAlign w:val="bottom"/>
            <w:shd w:val="clear" w:color="auto" w:fill="FCE9E8"/>
          </w:tcPr>
          <w:p>
            <w:pPr>
              <w:spacing w:after="0"/>
              <w:rPr>
                <w:sz w:val="16"/>
                <w:szCs w:val="16"/>
                <w:color w:val="auto"/>
              </w:rPr>
            </w:pPr>
          </w:p>
        </w:tc>
        <w:tc>
          <w:tcPr>
            <w:tcW w:w="900" w:type="dxa"/>
            <w:vAlign w:val="bottom"/>
            <w:shd w:val="clear" w:color="auto" w:fill="FCE9E8"/>
          </w:tcPr>
          <w:p>
            <w:pPr>
              <w:jc w:val="right"/>
              <w:ind w:right="259"/>
              <w:spacing w:after="0"/>
              <w:rPr>
                <w:sz w:val="20"/>
                <w:szCs w:val="20"/>
                <w:color w:val="auto"/>
              </w:rPr>
            </w:pPr>
            <w:r>
              <w:rPr>
                <w:rFonts w:ascii="Arial" w:cs="Arial" w:eastAsia="Arial" w:hAnsi="Arial"/>
                <w:sz w:val="16"/>
                <w:szCs w:val="16"/>
                <w:color w:val="auto"/>
              </w:rPr>
              <w:t>—</w:t>
            </w:r>
          </w:p>
        </w:tc>
      </w:tr>
      <w:tr>
        <w:trPr>
          <w:trHeight w:val="189"/>
        </w:trPr>
        <w:tc>
          <w:tcPr>
            <w:tcW w:w="6740" w:type="dxa"/>
            <w:vAlign w:val="bottom"/>
          </w:tcPr>
          <w:p>
            <w:pPr>
              <w:ind w:left="400"/>
              <w:spacing w:after="0"/>
              <w:rPr>
                <w:sz w:val="20"/>
                <w:szCs w:val="20"/>
                <w:color w:val="auto"/>
              </w:rPr>
            </w:pPr>
            <w:r>
              <w:rPr>
                <w:rFonts w:ascii="Arial" w:cs="Arial" w:eastAsia="Arial" w:hAnsi="Arial"/>
                <w:sz w:val="16"/>
                <w:szCs w:val="16"/>
                <w:color w:val="auto"/>
              </w:rPr>
              <w:t>Loss on extinguishment of debt</w:t>
            </w:r>
          </w:p>
        </w:tc>
        <w:tc>
          <w:tcPr>
            <w:tcW w:w="216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21.2</w:t>
            </w:r>
          </w:p>
        </w:tc>
        <w:tc>
          <w:tcPr>
            <w:tcW w:w="380" w:type="dxa"/>
            <w:vAlign w:val="bottom"/>
          </w:tcPr>
          <w:p>
            <w:pPr>
              <w:spacing w:after="0"/>
              <w:rPr>
                <w:sz w:val="16"/>
                <w:szCs w:val="16"/>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w:t>
            </w:r>
          </w:p>
        </w:tc>
      </w:tr>
      <w:tr>
        <w:trPr>
          <w:trHeight w:val="189"/>
        </w:trPr>
        <w:tc>
          <w:tcPr>
            <w:tcW w:w="6740" w:type="dxa"/>
            <w:vAlign w:val="bottom"/>
            <w:shd w:val="clear" w:color="auto" w:fill="FCE9E8"/>
          </w:tcPr>
          <w:p>
            <w:pPr>
              <w:ind w:left="400"/>
              <w:spacing w:after="0"/>
              <w:rPr>
                <w:sz w:val="20"/>
                <w:szCs w:val="20"/>
                <w:color w:val="auto"/>
              </w:rPr>
            </w:pPr>
            <w:r>
              <w:rPr>
                <w:rFonts w:ascii="Arial" w:cs="Arial" w:eastAsia="Arial" w:hAnsi="Arial"/>
                <w:sz w:val="16"/>
                <w:szCs w:val="16"/>
                <w:color w:val="auto"/>
              </w:rPr>
              <w:t>Gain related to affiliate</w:t>
            </w:r>
          </w:p>
        </w:tc>
        <w:tc>
          <w:tcPr>
            <w:tcW w:w="216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159"/>
              <w:spacing w:after="0"/>
              <w:rPr>
                <w:sz w:val="20"/>
                <w:szCs w:val="20"/>
                <w:color w:val="auto"/>
              </w:rPr>
            </w:pPr>
            <w:r>
              <w:rPr>
                <w:rFonts w:ascii="Arial" w:cs="Arial" w:eastAsia="Arial" w:hAnsi="Arial"/>
                <w:sz w:val="16"/>
                <w:szCs w:val="16"/>
                <w:color w:val="auto"/>
              </w:rPr>
              <w:t>(54.2)</w:t>
            </w:r>
          </w:p>
        </w:tc>
        <w:tc>
          <w:tcPr>
            <w:tcW w:w="380" w:type="dxa"/>
            <w:vAlign w:val="bottom"/>
            <w:shd w:val="clear" w:color="auto" w:fill="FCE9E8"/>
          </w:tcPr>
          <w:p>
            <w:pPr>
              <w:spacing w:after="0"/>
              <w:rPr>
                <w:sz w:val="16"/>
                <w:szCs w:val="16"/>
                <w:color w:val="auto"/>
              </w:rPr>
            </w:pPr>
          </w:p>
        </w:tc>
        <w:tc>
          <w:tcPr>
            <w:tcW w:w="900" w:type="dxa"/>
            <w:vAlign w:val="bottom"/>
            <w:shd w:val="clear" w:color="auto" w:fill="FCE9E8"/>
          </w:tcPr>
          <w:p>
            <w:pPr>
              <w:jc w:val="right"/>
              <w:ind w:right="199"/>
              <w:spacing w:after="0"/>
              <w:rPr>
                <w:sz w:val="20"/>
                <w:szCs w:val="20"/>
                <w:color w:val="auto"/>
              </w:rPr>
            </w:pPr>
            <w:r>
              <w:rPr>
                <w:rFonts w:ascii="Arial" w:cs="Arial" w:eastAsia="Arial" w:hAnsi="Arial"/>
                <w:sz w:val="16"/>
                <w:szCs w:val="16"/>
                <w:color w:val="auto"/>
              </w:rPr>
              <w:t>(30.3)</w:t>
            </w:r>
          </w:p>
        </w:tc>
      </w:tr>
      <w:tr>
        <w:trPr>
          <w:trHeight w:val="189"/>
        </w:trPr>
        <w:tc>
          <w:tcPr>
            <w:tcW w:w="6740" w:type="dxa"/>
            <w:vAlign w:val="bottom"/>
          </w:tcPr>
          <w:p>
            <w:pPr>
              <w:ind w:left="400"/>
              <w:spacing w:after="0"/>
              <w:rPr>
                <w:sz w:val="20"/>
                <w:szCs w:val="20"/>
                <w:color w:val="auto"/>
              </w:rPr>
            </w:pPr>
            <w:r>
              <w:rPr>
                <w:rFonts w:ascii="Arial" w:cs="Arial" w:eastAsia="Arial" w:hAnsi="Arial"/>
                <w:sz w:val="16"/>
                <w:szCs w:val="16"/>
                <w:color w:val="auto"/>
              </w:rPr>
              <w:t>Other</w:t>
            </w:r>
          </w:p>
        </w:tc>
        <w:tc>
          <w:tcPr>
            <w:tcW w:w="216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13.5</w:t>
            </w:r>
          </w:p>
        </w:tc>
        <w:tc>
          <w:tcPr>
            <w:tcW w:w="380" w:type="dxa"/>
            <w:vAlign w:val="bottom"/>
          </w:tcPr>
          <w:p>
            <w:pPr>
              <w:spacing w:after="0"/>
              <w:rPr>
                <w:sz w:val="16"/>
                <w:szCs w:val="16"/>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w:t>
            </w:r>
          </w:p>
        </w:tc>
      </w:tr>
      <w:tr>
        <w:trPr>
          <w:trHeight w:val="189"/>
        </w:trPr>
        <w:tc>
          <w:tcPr>
            <w:tcW w:w="6740" w:type="dxa"/>
            <w:vAlign w:val="bottom"/>
            <w:shd w:val="clear" w:color="auto" w:fill="FCE9E8"/>
          </w:tcPr>
          <w:p>
            <w:pPr>
              <w:ind w:left="400"/>
              <w:spacing w:after="0"/>
              <w:rPr>
                <w:sz w:val="20"/>
                <w:szCs w:val="20"/>
                <w:color w:val="auto"/>
              </w:rPr>
            </w:pPr>
            <w:r>
              <w:rPr>
                <w:rFonts w:ascii="Arial" w:cs="Arial" w:eastAsia="Arial" w:hAnsi="Arial"/>
                <w:sz w:val="16"/>
                <w:szCs w:val="16"/>
                <w:color w:val="auto"/>
              </w:rPr>
              <w:t>U.S. transition tax on accumulated foreign earnings</w:t>
            </w:r>
          </w:p>
        </w:tc>
        <w:tc>
          <w:tcPr>
            <w:tcW w:w="216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199"/>
              <w:spacing w:after="0"/>
              <w:rPr>
                <w:sz w:val="20"/>
                <w:szCs w:val="20"/>
                <w:color w:val="auto"/>
              </w:rPr>
            </w:pPr>
            <w:r>
              <w:rPr>
                <w:rFonts w:ascii="Arial" w:cs="Arial" w:eastAsia="Arial" w:hAnsi="Arial"/>
                <w:sz w:val="16"/>
                <w:szCs w:val="16"/>
                <w:color w:val="auto"/>
              </w:rPr>
              <w:t>131.0</w:t>
            </w:r>
          </w:p>
        </w:tc>
        <w:tc>
          <w:tcPr>
            <w:tcW w:w="380" w:type="dxa"/>
            <w:vAlign w:val="bottom"/>
            <w:shd w:val="clear" w:color="auto" w:fill="FCE9E8"/>
          </w:tcPr>
          <w:p>
            <w:pPr>
              <w:spacing w:after="0"/>
              <w:rPr>
                <w:sz w:val="16"/>
                <w:szCs w:val="16"/>
                <w:color w:val="auto"/>
              </w:rPr>
            </w:pPr>
          </w:p>
        </w:tc>
        <w:tc>
          <w:tcPr>
            <w:tcW w:w="900" w:type="dxa"/>
            <w:vAlign w:val="bottom"/>
            <w:shd w:val="clear" w:color="auto" w:fill="FCE9E8"/>
          </w:tcPr>
          <w:p>
            <w:pPr>
              <w:jc w:val="right"/>
              <w:ind w:right="259"/>
              <w:spacing w:after="0"/>
              <w:rPr>
                <w:sz w:val="20"/>
                <w:szCs w:val="20"/>
                <w:color w:val="auto"/>
              </w:rPr>
            </w:pPr>
            <w:r>
              <w:rPr>
                <w:rFonts w:ascii="Arial" w:cs="Arial" w:eastAsia="Arial" w:hAnsi="Arial"/>
                <w:sz w:val="16"/>
                <w:szCs w:val="16"/>
                <w:color w:val="auto"/>
              </w:rPr>
              <w:t>—</w:t>
            </w:r>
          </w:p>
        </w:tc>
      </w:tr>
      <w:tr>
        <w:trPr>
          <w:trHeight w:val="189"/>
        </w:trPr>
        <w:tc>
          <w:tcPr>
            <w:tcW w:w="6740" w:type="dxa"/>
            <w:vAlign w:val="bottom"/>
          </w:tcPr>
          <w:p>
            <w:pPr>
              <w:ind w:left="400"/>
              <w:spacing w:after="0"/>
              <w:rPr>
                <w:sz w:val="20"/>
                <w:szCs w:val="20"/>
                <w:color w:val="auto"/>
              </w:rPr>
            </w:pPr>
            <w:r>
              <w:rPr>
                <w:rFonts w:ascii="Arial" w:cs="Arial" w:eastAsia="Arial" w:hAnsi="Arial"/>
                <w:sz w:val="16"/>
                <w:szCs w:val="16"/>
                <w:color w:val="auto"/>
              </w:rPr>
              <w:t>Deferred tax impact of U.S. corporate tax reform</w:t>
            </w:r>
          </w:p>
        </w:tc>
        <w:tc>
          <w:tcPr>
            <w:tcW w:w="216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42.5</w:t>
            </w:r>
          </w:p>
        </w:tc>
        <w:tc>
          <w:tcPr>
            <w:tcW w:w="380" w:type="dxa"/>
            <w:vAlign w:val="bottom"/>
          </w:tcPr>
          <w:p>
            <w:pPr>
              <w:spacing w:after="0"/>
              <w:rPr>
                <w:sz w:val="16"/>
                <w:szCs w:val="16"/>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w:t>
            </w:r>
          </w:p>
        </w:tc>
      </w:tr>
      <w:tr>
        <w:trPr>
          <w:trHeight w:val="189"/>
        </w:trPr>
        <w:tc>
          <w:tcPr>
            <w:tcW w:w="6740" w:type="dxa"/>
            <w:vAlign w:val="bottom"/>
            <w:shd w:val="clear" w:color="auto" w:fill="FCE9E8"/>
          </w:tcPr>
          <w:p>
            <w:pPr>
              <w:ind w:left="400"/>
              <w:spacing w:after="0"/>
              <w:rPr>
                <w:sz w:val="20"/>
                <w:szCs w:val="20"/>
                <w:color w:val="auto"/>
              </w:rPr>
            </w:pPr>
            <w:r>
              <w:rPr>
                <w:rFonts w:ascii="Arial" w:cs="Arial" w:eastAsia="Arial" w:hAnsi="Arial"/>
                <w:sz w:val="16"/>
                <w:szCs w:val="16"/>
                <w:color w:val="auto"/>
              </w:rPr>
              <w:t>Foreign tax credits on repatriated earnings</w:t>
            </w:r>
          </w:p>
        </w:tc>
        <w:tc>
          <w:tcPr>
            <w:tcW w:w="216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159"/>
              <w:spacing w:after="0"/>
              <w:rPr>
                <w:sz w:val="20"/>
                <w:szCs w:val="20"/>
                <w:color w:val="auto"/>
              </w:rPr>
            </w:pPr>
            <w:r>
              <w:rPr>
                <w:rFonts w:ascii="Arial" w:cs="Arial" w:eastAsia="Arial" w:hAnsi="Arial"/>
                <w:sz w:val="16"/>
                <w:szCs w:val="16"/>
                <w:color w:val="auto"/>
              </w:rPr>
              <w:t>(289.7)</w:t>
            </w:r>
          </w:p>
        </w:tc>
        <w:tc>
          <w:tcPr>
            <w:tcW w:w="380" w:type="dxa"/>
            <w:vAlign w:val="bottom"/>
            <w:shd w:val="clear" w:color="auto" w:fill="FCE9E8"/>
          </w:tcPr>
          <w:p>
            <w:pPr>
              <w:spacing w:after="0"/>
              <w:rPr>
                <w:sz w:val="16"/>
                <w:szCs w:val="16"/>
                <w:color w:val="auto"/>
              </w:rPr>
            </w:pPr>
          </w:p>
        </w:tc>
        <w:tc>
          <w:tcPr>
            <w:tcW w:w="900" w:type="dxa"/>
            <w:vAlign w:val="bottom"/>
            <w:shd w:val="clear" w:color="auto" w:fill="FCE9E8"/>
          </w:tcPr>
          <w:p>
            <w:pPr>
              <w:jc w:val="right"/>
              <w:ind w:right="259"/>
              <w:spacing w:after="0"/>
              <w:rPr>
                <w:sz w:val="20"/>
                <w:szCs w:val="20"/>
                <w:color w:val="auto"/>
              </w:rPr>
            </w:pPr>
            <w:r>
              <w:rPr>
                <w:rFonts w:ascii="Arial" w:cs="Arial" w:eastAsia="Arial" w:hAnsi="Arial"/>
                <w:sz w:val="16"/>
                <w:szCs w:val="16"/>
                <w:color w:val="auto"/>
              </w:rPr>
              <w:t>—</w:t>
            </w:r>
          </w:p>
        </w:tc>
      </w:tr>
      <w:tr>
        <w:trPr>
          <w:trHeight w:val="189"/>
        </w:trPr>
        <w:tc>
          <w:tcPr>
            <w:tcW w:w="6740" w:type="dxa"/>
            <w:vAlign w:val="bottom"/>
            <w:tcBorders>
              <w:bottom w:val="single" w:sz="8" w:color="auto"/>
            </w:tcBorders>
          </w:tcPr>
          <w:p>
            <w:pPr>
              <w:ind w:left="400"/>
              <w:spacing w:after="0" w:line="189" w:lineRule="exact"/>
              <w:rPr>
                <w:sz w:val="20"/>
                <w:szCs w:val="20"/>
                <w:color w:val="auto"/>
              </w:rPr>
            </w:pPr>
            <w:r>
              <w:rPr>
                <w:rFonts w:ascii="Arial" w:cs="Arial" w:eastAsia="Arial" w:hAnsi="Arial"/>
                <w:sz w:val="13"/>
                <w:szCs w:val="13"/>
                <w:color w:val="auto"/>
              </w:rPr>
              <w:t>Tax impact of special items and other net tax adjustments</w:t>
            </w:r>
            <w:r>
              <w:rPr>
                <w:rFonts w:ascii="Arial" w:cs="Arial" w:eastAsia="Arial" w:hAnsi="Arial"/>
                <w:sz w:val="21"/>
                <w:szCs w:val="21"/>
                <w:color w:val="auto"/>
                <w:vertAlign w:val="superscript"/>
              </w:rPr>
              <w:t>(1)</w:t>
            </w:r>
          </w:p>
        </w:tc>
        <w:tc>
          <w:tcPr>
            <w:tcW w:w="2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(98.6)</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(23.6)</w:t>
            </w:r>
          </w:p>
        </w:tc>
      </w:tr>
      <w:tr>
        <w:trPr>
          <w:trHeight w:val="183"/>
        </w:trPr>
        <w:tc>
          <w:tcPr>
            <w:tcW w:w="6740" w:type="dxa"/>
            <w:vAlign w:val="bottom"/>
            <w:tcBorders>
              <w:bottom w:val="single" w:sz="8" w:color="auto"/>
            </w:tcBorders>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Adjusted net income attributable to Lear</w:t>
            </w:r>
          </w:p>
        </w:tc>
        <w:tc>
          <w:tcPr>
            <w:tcW w:w="216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FCE9E8"/>
          </w:tcPr>
          <w:p>
            <w:pPr>
              <w:jc w:val="right"/>
              <w:ind w:right="199"/>
              <w:spacing w:after="0" w:line="183" w:lineRule="exact"/>
              <w:rPr>
                <w:sz w:val="20"/>
                <w:szCs w:val="20"/>
                <w:color w:val="auto"/>
              </w:rPr>
            </w:pPr>
            <w:r>
              <w:rPr>
                <w:rFonts w:ascii="Arial" w:cs="Arial" w:eastAsia="Arial" w:hAnsi="Arial"/>
                <w:sz w:val="16"/>
                <w:szCs w:val="16"/>
                <w:b w:val="1"/>
                <w:bCs w:val="1"/>
                <w:color w:val="auto"/>
              </w:rPr>
              <w:t>1,177.8</w:t>
            </w:r>
          </w:p>
        </w:tc>
        <w:tc>
          <w:tcPr>
            <w:tcW w:w="38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FCE9E8"/>
          </w:tcPr>
          <w:p>
            <w:pPr>
              <w:jc w:val="right"/>
              <w:ind w:right="259"/>
              <w:spacing w:after="0" w:line="183" w:lineRule="exact"/>
              <w:rPr>
                <w:sz w:val="20"/>
                <w:szCs w:val="20"/>
                <w:color w:val="auto"/>
              </w:rPr>
            </w:pPr>
            <w:r>
              <w:rPr>
                <w:rFonts w:ascii="Arial" w:cs="Arial" w:eastAsia="Arial" w:hAnsi="Arial"/>
                <w:sz w:val="16"/>
                <w:szCs w:val="16"/>
                <w:b w:val="1"/>
                <w:bCs w:val="1"/>
                <w:color w:val="auto"/>
              </w:rPr>
              <w:t>1,026.3</w:t>
            </w:r>
          </w:p>
        </w:tc>
      </w:tr>
      <w:tr>
        <w:trPr>
          <w:trHeight w:val="183"/>
        </w:trPr>
        <w:tc>
          <w:tcPr>
            <w:tcW w:w="6740" w:type="dxa"/>
            <w:vAlign w:val="bottom"/>
          </w:tcPr>
          <w:p>
            <w:pPr>
              <w:ind w:left="80"/>
              <w:spacing w:after="0" w:line="183" w:lineRule="exact"/>
              <w:rPr>
                <w:sz w:val="20"/>
                <w:szCs w:val="20"/>
                <w:color w:val="auto"/>
              </w:rPr>
            </w:pPr>
            <w:r>
              <w:rPr>
                <w:rFonts w:ascii="Arial" w:cs="Arial" w:eastAsia="Arial" w:hAnsi="Arial"/>
                <w:sz w:val="16"/>
                <w:szCs w:val="16"/>
                <w:color w:val="auto"/>
              </w:rPr>
              <w:t>Weighted average number of diluted shares outstanding</w:t>
            </w:r>
          </w:p>
        </w:tc>
        <w:tc>
          <w:tcPr>
            <w:tcW w:w="2160" w:type="dxa"/>
            <w:vAlign w:val="bottom"/>
          </w:tcPr>
          <w:p>
            <w:pPr>
              <w:spacing w:after="0"/>
              <w:rPr>
                <w:sz w:val="15"/>
                <w:szCs w:val="15"/>
                <w:color w:val="auto"/>
              </w:rPr>
            </w:pPr>
          </w:p>
        </w:tc>
        <w:tc>
          <w:tcPr>
            <w:tcW w:w="8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69.3</w:t>
            </w:r>
          </w:p>
        </w:tc>
        <w:tc>
          <w:tcPr>
            <w:tcW w:w="380" w:type="dxa"/>
            <w:vAlign w:val="bottom"/>
          </w:tcPr>
          <w:p>
            <w:pPr>
              <w:spacing w:after="0"/>
              <w:rPr>
                <w:sz w:val="15"/>
                <w:szCs w:val="15"/>
                <w:color w:val="auto"/>
              </w:rPr>
            </w:pPr>
          </w:p>
        </w:tc>
        <w:tc>
          <w:tcPr>
            <w:tcW w:w="90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73.1</w:t>
            </w:r>
          </w:p>
        </w:tc>
      </w:tr>
      <w:tr>
        <w:trPr>
          <w:trHeight w:val="189"/>
        </w:trPr>
        <w:tc>
          <w:tcPr>
            <w:tcW w:w="67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Diluted net income per share attributable to Lear</w:t>
            </w:r>
          </w:p>
        </w:tc>
        <w:tc>
          <w:tcPr>
            <w:tcW w:w="2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FCE9E8"/>
          </w:tcPr>
          <w:p>
            <w:pPr>
              <w:jc w:val="right"/>
              <w:ind w:right="199"/>
              <w:spacing w:after="0"/>
              <w:rPr>
                <w:sz w:val="20"/>
                <w:szCs w:val="20"/>
                <w:color w:val="auto"/>
              </w:rPr>
            </w:pPr>
            <w:r>
              <w:rPr>
                <w:rFonts w:ascii="Arial" w:cs="Arial" w:eastAsia="Arial" w:hAnsi="Arial"/>
                <w:sz w:val="16"/>
                <w:szCs w:val="16"/>
                <w:b w:val="1"/>
                <w:bCs w:val="1"/>
                <w:color w:val="auto"/>
              </w:rPr>
              <w:t>18.59</w:t>
            </w:r>
          </w:p>
        </w:tc>
        <w:tc>
          <w:tcPr>
            <w:tcW w:w="3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FCE9E8"/>
          </w:tcPr>
          <w:p>
            <w:pPr>
              <w:jc w:val="right"/>
              <w:ind w:right="259"/>
              <w:spacing w:after="0"/>
              <w:rPr>
                <w:sz w:val="20"/>
                <w:szCs w:val="20"/>
                <w:color w:val="auto"/>
              </w:rPr>
            </w:pPr>
            <w:r>
              <w:rPr>
                <w:rFonts w:ascii="Arial" w:cs="Arial" w:eastAsia="Arial" w:hAnsi="Arial"/>
                <w:sz w:val="16"/>
                <w:szCs w:val="16"/>
                <w:b w:val="1"/>
                <w:bCs w:val="1"/>
                <w:color w:val="auto"/>
              </w:rPr>
              <w:t>13.33</w:t>
            </w:r>
          </w:p>
        </w:tc>
      </w:tr>
      <w:tr>
        <w:trPr>
          <w:trHeight w:val="193"/>
        </w:trPr>
        <w:tc>
          <w:tcPr>
            <w:tcW w:w="6740" w:type="dxa"/>
            <w:vAlign w:val="bottom"/>
          </w:tcPr>
          <w:p>
            <w:pPr>
              <w:ind w:left="60"/>
              <w:spacing w:after="0"/>
              <w:rPr>
                <w:sz w:val="20"/>
                <w:szCs w:val="20"/>
                <w:color w:val="auto"/>
              </w:rPr>
            </w:pPr>
            <w:r>
              <w:rPr>
                <w:rFonts w:ascii="Arial" w:cs="Arial" w:eastAsia="Arial" w:hAnsi="Arial"/>
                <w:sz w:val="16"/>
                <w:szCs w:val="16"/>
                <w:b w:val="1"/>
                <w:bCs w:val="1"/>
                <w:color w:val="auto"/>
              </w:rPr>
              <w:t>Adjusted earnings per share</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17.00</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14.03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6997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right="100" w:hanging="316"/>
        <w:spacing w:after="0" w:line="208" w:lineRule="auto"/>
        <w:tabs>
          <w:tab w:leader="none" w:pos="52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Reflects the tax effect of restructuring costs and other special items and several discrete tax items, including tax benefits of $29.9 million related to the reversal of valuation allowances on the deferred tax assets of certain foreign subsidiaries, $17.3 million related to the change in the accounting for share-based compensation and $14.3 million related to an incentive tax credit in a foreign subsidiary in 2017. The identification of these tax items is judgmental in nature and their calculation is based on various assumptions and estimates.</w:t>
      </w:r>
    </w:p>
    <w:p>
      <w:pPr>
        <w:ind w:left="300"/>
        <w:spacing w:after="0"/>
        <w:tabs>
          <w:tab w:leader="none" w:pos="720" w:val="left"/>
        </w:tabs>
        <w:rPr>
          <w:sz w:val="20"/>
          <w:szCs w:val="20"/>
          <w:color w:val="auto"/>
        </w:rPr>
      </w:pPr>
      <w:r>
        <w:rPr>
          <w:rFonts w:ascii="Arial" w:cs="Arial" w:eastAsia="Arial" w:hAnsi="Arial"/>
          <w:sz w:val="36"/>
          <w:szCs w:val="36"/>
          <w:b w:val="1"/>
          <w:bCs w:val="1"/>
          <w:color w:val="000000"/>
          <w:vertAlign w:val="superscript"/>
        </w:rPr>
        <w:t>A-</w:t>
      </w:r>
      <w:r>
        <w:rPr>
          <w:rFonts w:ascii="Arial" w:cs="Arial" w:eastAsia="Arial" w:hAnsi="Arial"/>
          <w:sz w:val="15"/>
          <w:szCs w:val="15"/>
          <w:b w:val="1"/>
          <w:bCs w:val="1"/>
          <w:color w:val="E2231A"/>
        </w:rPr>
        <w:t xml:space="preserve"> </w:t>
      </w:r>
      <w:r>
        <w:rPr>
          <w:rFonts w:ascii="Arial" w:cs="Arial" w:eastAsia="Arial" w:hAnsi="Arial"/>
          <w:sz w:val="36"/>
          <w:szCs w:val="36"/>
          <w:b w:val="1"/>
          <w:bCs w:val="1"/>
          <w:color w:val="E2231A"/>
          <w:vertAlign w:val="superscript"/>
        </w:rPr>
        <w:t>|</w:t>
      </w:r>
      <w:r>
        <w:rPr>
          <w:rFonts w:ascii="Arial" w:cs="Arial" w:eastAsia="Arial" w:hAnsi="Arial"/>
          <w:sz w:val="15"/>
          <w:szCs w:val="15"/>
          <w:b w:val="1"/>
          <w:bCs w:val="1"/>
          <w:color w:val="E2231A"/>
        </w:rPr>
        <w:tab/>
        <w:t>LEAR CORPORATION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500"/>
          </w:cols>
          <w:pgMar w:left="240" w:top="459"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2366645" cy="643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66645" cy="643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0"/>
          <w:szCs w:val="10"/>
          <w:b w:val="1"/>
          <w:bCs w:val="1"/>
          <w:i w:val="1"/>
          <w:iCs w:val="1"/>
          <w:color w:val="auto"/>
        </w:rPr>
        <w:t>ATTN: INVESTOR RELATIONS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21557 TELEGRAPH ROAD</w:t>
      </w:r>
    </w:p>
    <w:p>
      <w:pPr>
        <w:ind w:left="380"/>
        <w:spacing w:after="0"/>
        <w:rPr>
          <w:sz w:val="20"/>
          <w:szCs w:val="20"/>
          <w:color w:val="auto"/>
        </w:rPr>
      </w:pPr>
      <w:r>
        <w:rPr>
          <w:rFonts w:ascii="Arial" w:cs="Arial" w:eastAsia="Arial" w:hAnsi="Arial"/>
          <w:sz w:val="11"/>
          <w:szCs w:val="11"/>
          <w:b w:val="1"/>
          <w:bCs w:val="1"/>
          <w:i w:val="1"/>
          <w:iCs w:val="1"/>
          <w:color w:val="auto"/>
        </w:rPr>
        <w:t>SOUTHFIELD, MI 48033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 - www.proxyvote.com</w:t>
      </w:r>
    </w:p>
    <w:p>
      <w:pPr>
        <w:spacing w:after="0" w:line="9" w:lineRule="exact"/>
        <w:rPr>
          <w:sz w:val="20"/>
          <w:szCs w:val="20"/>
          <w:color w:val="auto"/>
        </w:rPr>
      </w:pPr>
    </w:p>
    <w:p>
      <w:pPr>
        <w:ind w:right="920"/>
        <w:spacing w:after="0" w:line="236"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Daylight Time on May 16, 2018. Have your proxy card in hand when you access the web site and follow the instructions to obtain your records and to create an electronic voting instruction form.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9" w:lineRule="exact"/>
        <w:rPr>
          <w:sz w:val="20"/>
          <w:szCs w:val="20"/>
          <w:color w:val="auto"/>
        </w:rPr>
      </w:pPr>
    </w:p>
    <w:p>
      <w:pPr>
        <w:ind w:right="780"/>
        <w:spacing w:after="0" w:line="235"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3" w:lineRule="exact"/>
        <w:rPr>
          <w:sz w:val="20"/>
          <w:szCs w:val="20"/>
          <w:color w:val="auto"/>
        </w:rPr>
      </w:pPr>
    </w:p>
    <w:p>
      <w:pPr>
        <w:ind w:right="960"/>
        <w:spacing w:after="0" w:line="416" w:lineRule="auto"/>
        <w:rPr>
          <w:sz w:val="20"/>
          <w:szCs w:val="20"/>
          <w:color w:val="auto"/>
        </w:rPr>
      </w:pPr>
      <w:r>
        <w:rPr>
          <w:rFonts w:ascii="Arial" w:cs="Arial" w:eastAsia="Arial" w:hAnsi="Arial"/>
          <w:sz w:val="9"/>
          <w:szCs w:val="9"/>
          <w:color w:val="auto"/>
        </w:rPr>
        <w:t>Use any touch-tone telephone to transmit your voting instructions up until 11:59 P.M. Eastern Daylight Time on May 16, 2018. Have your proxy card in hand when you call and then follow the instructions.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3" w:lineRule="exact"/>
        <w:rPr>
          <w:sz w:val="20"/>
          <w:szCs w:val="20"/>
          <w:color w:val="auto"/>
        </w:rPr>
      </w:pPr>
    </w:p>
    <w:p>
      <w:pPr>
        <w:ind w:right="800"/>
        <w:spacing w:after="0" w:line="297"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00" w:space="720"/>
            <w:col w:w="5780"/>
          </w:cols>
          <w:pgMar w:left="240" w:top="459" w:right="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80"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KEEP THIS PORTION FOR YOUR RECORDS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 — — — — — — — — — — — — — — — — — — — — — — — — — — — — — — — — — — — — — — — — — — — — — — —— — — — — — — — —</w:t>
      </w:r>
    </w:p>
    <w:p>
      <w:pPr>
        <w:spacing w:after="0" w:line="38" w:lineRule="exact"/>
        <w:rPr>
          <w:sz w:val="20"/>
          <w:szCs w:val="20"/>
          <w:color w:val="auto"/>
        </w:rPr>
      </w:pPr>
    </w:p>
    <w:p>
      <w:pPr>
        <w:ind w:left="3200"/>
        <w:spacing w:after="0"/>
        <w:tabs>
          <w:tab w:leader="none" w:pos="882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8"/>
          <w:szCs w:val="18"/>
          <w:color w:val="auto"/>
          <w:vertAlign w:val="superscript"/>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68580</wp:posOffset>
            </wp:positionV>
            <wp:extent cx="6903720" cy="40303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03720" cy="4030345"/>
                    </a:xfrm>
                    <a:prstGeom prst="rect">
                      <a:avLst/>
                    </a:prstGeom>
                    <a:noFill/>
                  </pic:spPr>
                </pic:pic>
              </a:graphicData>
            </a:graphic>
          </wp:anchor>
        </w:drawing>
      </w:r>
    </w:p>
    <w:p>
      <w:pPr>
        <w:spacing w:after="0" w:line="350" w:lineRule="exact"/>
        <w:rPr>
          <w:sz w:val="20"/>
          <w:szCs w:val="20"/>
          <w:color w:val="auto"/>
        </w:rPr>
      </w:pPr>
    </w:p>
    <w:p>
      <w:pPr>
        <w:ind w:left="1040"/>
        <w:spacing w:after="0"/>
        <w:rPr>
          <w:sz w:val="20"/>
          <w:szCs w:val="20"/>
          <w:color w:val="auto"/>
        </w:rPr>
      </w:pPr>
      <w:r>
        <w:rPr>
          <w:rFonts w:ascii="Arial" w:cs="Arial" w:eastAsia="Arial" w:hAnsi="Arial"/>
          <w:sz w:val="12"/>
          <w:szCs w:val="12"/>
          <w:b w:val="1"/>
          <w:bCs w:val="1"/>
          <w:color w:val="auto"/>
        </w:rPr>
        <w:t>The Board of Directors recommends you vote FOR the following:</w:t>
      </w:r>
    </w:p>
    <w:p>
      <w:pPr>
        <w:spacing w:after="0" w:line="5" w:lineRule="exact"/>
        <w:rPr>
          <w:sz w:val="20"/>
          <w:szCs w:val="20"/>
          <w:color w:val="auto"/>
        </w:rPr>
      </w:pPr>
    </w:p>
    <w:tbl>
      <w:tblPr>
        <w:tblLayout w:type="fixed"/>
        <w:tblInd w:w="930" w:type="dxa"/>
        <w:tblCellMar>
          <w:top w:w="0" w:type="dxa"/>
          <w:left w:w="0" w:type="dxa"/>
          <w:bottom w:w="0" w:type="dxa"/>
          <w:right w:w="0" w:type="dxa"/>
        </w:tblCellMar>
      </w:tblPr>
      <w:tr>
        <w:trPr>
          <w:trHeight w:val="318"/>
        </w:trPr>
        <w:tc>
          <w:tcPr>
            <w:tcW w:w="360" w:type="dxa"/>
            <w:vAlign w:val="bottom"/>
          </w:tcPr>
          <w:p>
            <w:pPr>
              <w:ind w:left="120"/>
              <w:spacing w:after="0"/>
              <w:rPr>
                <w:sz w:val="20"/>
                <w:szCs w:val="20"/>
                <w:color w:val="auto"/>
              </w:rPr>
            </w:pPr>
            <w:r>
              <w:rPr>
                <w:rFonts w:ascii="Arial" w:cs="Arial" w:eastAsia="Arial" w:hAnsi="Arial"/>
                <w:sz w:val="13"/>
                <w:szCs w:val="13"/>
                <w:b w:val="1"/>
                <w:bCs w:val="1"/>
                <w:color w:val="auto"/>
              </w:rPr>
              <w:t>1</w:t>
            </w:r>
            <w:r>
              <w:rPr>
                <w:rFonts w:ascii="Arial" w:cs="Arial" w:eastAsia="Arial" w:hAnsi="Arial"/>
                <w:sz w:val="13"/>
                <w:szCs w:val="13"/>
                <w:color w:val="auto"/>
              </w:rPr>
              <w:t>.</w:t>
            </w:r>
          </w:p>
        </w:tc>
        <w:tc>
          <w:tcPr>
            <w:tcW w:w="3120" w:type="dxa"/>
            <w:vAlign w:val="bottom"/>
          </w:tcPr>
          <w:p>
            <w:pPr>
              <w:ind w:left="80"/>
              <w:spacing w:after="0"/>
              <w:rPr>
                <w:sz w:val="20"/>
                <w:szCs w:val="20"/>
                <w:color w:val="auto"/>
              </w:rPr>
            </w:pPr>
            <w:r>
              <w:rPr>
                <w:rFonts w:ascii="Arial" w:cs="Arial" w:eastAsia="Arial" w:hAnsi="Arial"/>
                <w:sz w:val="13"/>
                <w:szCs w:val="13"/>
                <w:color w:val="auto"/>
              </w:rPr>
              <w:t>Election of Directors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3120" w:type="dxa"/>
            <w:vAlign w:val="bottom"/>
          </w:tcPr>
          <w:p>
            <w:pPr>
              <w:ind w:left="80"/>
              <w:spacing w:after="0" w:line="146" w:lineRule="exact"/>
              <w:rPr>
                <w:sz w:val="20"/>
                <w:szCs w:val="20"/>
                <w:color w:val="auto"/>
              </w:rPr>
            </w:pPr>
            <w:r>
              <w:rPr>
                <w:rFonts w:ascii="Arial" w:cs="Arial" w:eastAsia="Arial" w:hAnsi="Arial"/>
                <w:sz w:val="13"/>
                <w:szCs w:val="13"/>
                <w:b w:val="1"/>
                <w:bCs w:val="1"/>
                <w:color w:val="auto"/>
              </w:rPr>
              <w:t>Nominees</w:t>
            </w:r>
          </w:p>
        </w:tc>
        <w:tc>
          <w:tcPr>
            <w:tcW w:w="360" w:type="dxa"/>
            <w:vAlign w:val="bottom"/>
          </w:tcPr>
          <w:p>
            <w:pPr>
              <w:ind w:left="100"/>
              <w:spacing w:after="0" w:line="146" w:lineRule="exact"/>
              <w:rPr>
                <w:sz w:val="20"/>
                <w:szCs w:val="20"/>
                <w:color w:val="auto"/>
              </w:rPr>
            </w:pPr>
            <w:r>
              <w:rPr>
                <w:rFonts w:ascii="Arial" w:cs="Arial" w:eastAsia="Arial" w:hAnsi="Arial"/>
                <w:sz w:val="13"/>
                <w:szCs w:val="13"/>
                <w:b w:val="1"/>
                <w:bCs w:val="1"/>
                <w:color w:val="auto"/>
              </w:rPr>
              <w:t>For</w:t>
            </w:r>
          </w:p>
        </w:tc>
        <w:tc>
          <w:tcPr>
            <w:tcW w:w="660" w:type="dxa"/>
            <w:vAlign w:val="bottom"/>
          </w:tcPr>
          <w:p>
            <w:pPr>
              <w:jc w:val="right"/>
              <w:ind w:right="90"/>
              <w:spacing w:after="0" w:line="146" w:lineRule="exact"/>
              <w:rPr>
                <w:sz w:val="20"/>
                <w:szCs w:val="20"/>
                <w:color w:val="auto"/>
              </w:rPr>
            </w:pPr>
            <w:r>
              <w:rPr>
                <w:rFonts w:ascii="Arial" w:cs="Arial" w:eastAsia="Arial" w:hAnsi="Arial"/>
                <w:sz w:val="13"/>
                <w:szCs w:val="13"/>
                <w:b w:val="1"/>
                <w:bCs w:val="1"/>
                <w:color w:val="auto"/>
              </w:rPr>
              <w:t>Against</w:t>
            </w:r>
          </w:p>
        </w:tc>
        <w:tc>
          <w:tcPr>
            <w:tcW w:w="660" w:type="dxa"/>
            <w:vAlign w:val="bottom"/>
          </w:tcPr>
          <w:p>
            <w:pPr>
              <w:jc w:val="center"/>
              <w:ind w:left="49"/>
              <w:spacing w:after="0" w:line="146" w:lineRule="exact"/>
              <w:rPr>
                <w:sz w:val="20"/>
                <w:szCs w:val="20"/>
                <w:color w:val="auto"/>
              </w:rPr>
            </w:pPr>
            <w:r>
              <w:rPr>
                <w:rFonts w:ascii="Arial" w:cs="Arial" w:eastAsia="Arial" w:hAnsi="Arial"/>
                <w:sz w:val="13"/>
                <w:szCs w:val="13"/>
                <w:b w:val="1"/>
                <w:bCs w:val="1"/>
                <w:color w:val="auto"/>
                <w:w w:val="88"/>
              </w:rPr>
              <w:t>Abstain</w:t>
            </w:r>
          </w:p>
        </w:tc>
        <w:tc>
          <w:tcPr>
            <w:tcW w:w="2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360" w:type="dxa"/>
            <w:vAlign w:val="bottom"/>
          </w:tcPr>
          <w:p>
            <w:pPr>
              <w:ind w:left="120"/>
              <w:spacing w:after="0"/>
              <w:rPr>
                <w:sz w:val="20"/>
                <w:szCs w:val="20"/>
                <w:color w:val="auto"/>
              </w:rPr>
            </w:pPr>
            <w:r>
              <w:rPr>
                <w:rFonts w:ascii="Arial" w:cs="Arial" w:eastAsia="Arial" w:hAnsi="Arial"/>
                <w:sz w:val="13"/>
                <w:szCs w:val="13"/>
                <w:color w:val="auto"/>
              </w:rPr>
              <w:t>1A</w:t>
            </w:r>
          </w:p>
        </w:tc>
        <w:tc>
          <w:tcPr>
            <w:tcW w:w="3120" w:type="dxa"/>
            <w:vAlign w:val="bottom"/>
          </w:tcPr>
          <w:p>
            <w:pPr>
              <w:ind w:left="80"/>
              <w:spacing w:after="0"/>
              <w:rPr>
                <w:sz w:val="20"/>
                <w:szCs w:val="20"/>
                <w:color w:val="auto"/>
              </w:rPr>
            </w:pPr>
            <w:r>
              <w:rPr>
                <w:rFonts w:ascii="Arial" w:cs="Arial" w:eastAsia="Arial" w:hAnsi="Arial"/>
                <w:sz w:val="13"/>
                <w:szCs w:val="13"/>
                <w:color w:val="auto"/>
              </w:rPr>
              <w:t>Richard H. Bott</w:t>
            </w:r>
          </w:p>
        </w:tc>
        <w:tc>
          <w:tcPr>
            <w:tcW w:w="360" w:type="dxa"/>
            <w:vAlign w:val="bottom"/>
          </w:tcPr>
          <w:p>
            <w:pPr>
              <w:jc w:val="right"/>
              <w:ind w:right="11"/>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right"/>
              <w:ind w:right="13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Against</w:t>
            </w:r>
          </w:p>
        </w:tc>
        <w:tc>
          <w:tcPr>
            <w:tcW w:w="560" w:type="dxa"/>
            <w:vAlign w:val="bottom"/>
          </w:tcPr>
          <w:p>
            <w:pPr>
              <w:jc w:val="center"/>
              <w:ind w:left="32"/>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446"/>
        </w:trPr>
        <w:tc>
          <w:tcPr>
            <w:tcW w:w="360" w:type="dxa"/>
            <w:vAlign w:val="bottom"/>
          </w:tcPr>
          <w:p>
            <w:pPr>
              <w:ind w:left="120"/>
              <w:spacing w:after="0"/>
              <w:rPr>
                <w:sz w:val="20"/>
                <w:szCs w:val="20"/>
                <w:color w:val="auto"/>
              </w:rPr>
            </w:pPr>
            <w:r>
              <w:rPr>
                <w:rFonts w:ascii="Arial" w:cs="Arial" w:eastAsia="Arial" w:hAnsi="Arial"/>
                <w:sz w:val="13"/>
                <w:szCs w:val="13"/>
                <w:color w:val="auto"/>
              </w:rPr>
              <w:t>1B</w:t>
            </w:r>
          </w:p>
        </w:tc>
        <w:tc>
          <w:tcPr>
            <w:tcW w:w="3120" w:type="dxa"/>
            <w:vAlign w:val="bottom"/>
          </w:tcPr>
          <w:p>
            <w:pPr>
              <w:ind w:left="80"/>
              <w:spacing w:after="0"/>
              <w:rPr>
                <w:sz w:val="20"/>
                <w:szCs w:val="20"/>
                <w:color w:val="auto"/>
              </w:rPr>
            </w:pPr>
            <w:r>
              <w:rPr>
                <w:rFonts w:ascii="Arial" w:cs="Arial" w:eastAsia="Arial" w:hAnsi="Arial"/>
                <w:sz w:val="13"/>
                <w:szCs w:val="13"/>
                <w:color w:val="auto"/>
              </w:rPr>
              <w:t>Thomas P. Capo</w:t>
            </w:r>
          </w:p>
        </w:tc>
        <w:tc>
          <w:tcPr>
            <w:tcW w:w="360" w:type="dxa"/>
            <w:vAlign w:val="bottom"/>
          </w:tcPr>
          <w:p>
            <w:pPr>
              <w:jc w:val="right"/>
              <w:ind w:right="11"/>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right"/>
              <w:ind w:right="13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3620" w:type="dxa"/>
            <w:vAlign w:val="bottom"/>
            <w:gridSpan w:val="2"/>
          </w:tcPr>
          <w:p>
            <w:pPr>
              <w:ind w:left="60"/>
              <w:spacing w:after="0"/>
              <w:rPr>
                <w:sz w:val="20"/>
                <w:szCs w:val="20"/>
                <w:color w:val="auto"/>
              </w:rPr>
            </w:pPr>
            <w:r>
              <w:rPr>
                <w:rFonts w:ascii="Arial" w:cs="Arial" w:eastAsia="Arial" w:hAnsi="Arial"/>
                <w:sz w:val="14"/>
                <w:szCs w:val="14"/>
                <w:color w:val="auto"/>
              </w:rPr>
              <w:t xml:space="preserve">1I  </w:t>
            </w:r>
            <w:r>
              <w:rPr>
                <w:rFonts w:ascii="Arial" w:cs="Arial" w:eastAsia="Arial" w:hAnsi="Arial"/>
                <w:sz w:val="11"/>
                <w:szCs w:val="11"/>
                <w:color w:val="auto"/>
              </w:rPr>
              <w:t>Henry D.G. Wallace</w:t>
            </w: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2"/>
        </w:trPr>
        <w:tc>
          <w:tcPr>
            <w:tcW w:w="360" w:type="dxa"/>
            <w:vAlign w:val="bottom"/>
          </w:tcPr>
          <w:p>
            <w:pPr>
              <w:ind w:left="120"/>
              <w:spacing w:after="0"/>
              <w:rPr>
                <w:sz w:val="20"/>
                <w:szCs w:val="20"/>
                <w:color w:val="auto"/>
              </w:rPr>
            </w:pPr>
            <w:r>
              <w:rPr>
                <w:rFonts w:ascii="Arial" w:cs="Arial" w:eastAsia="Arial" w:hAnsi="Arial"/>
                <w:sz w:val="13"/>
                <w:szCs w:val="13"/>
                <w:color w:val="auto"/>
              </w:rPr>
              <w:t>1C</w:t>
            </w:r>
          </w:p>
        </w:tc>
        <w:tc>
          <w:tcPr>
            <w:tcW w:w="3120" w:type="dxa"/>
            <w:vAlign w:val="bottom"/>
          </w:tcPr>
          <w:p>
            <w:pPr>
              <w:ind w:left="80"/>
              <w:spacing w:after="0"/>
              <w:rPr>
                <w:sz w:val="20"/>
                <w:szCs w:val="20"/>
                <w:color w:val="auto"/>
              </w:rPr>
            </w:pPr>
            <w:r>
              <w:rPr>
                <w:rFonts w:ascii="Arial" w:cs="Arial" w:eastAsia="Arial" w:hAnsi="Arial"/>
                <w:sz w:val="13"/>
                <w:szCs w:val="13"/>
                <w:color w:val="auto"/>
              </w:rPr>
              <w:t>Jonathan F. Foster</w:t>
            </w:r>
          </w:p>
        </w:tc>
        <w:tc>
          <w:tcPr>
            <w:tcW w:w="360" w:type="dxa"/>
            <w:vAlign w:val="bottom"/>
          </w:tcPr>
          <w:p>
            <w:pPr>
              <w:jc w:val="right"/>
              <w:ind w:right="11"/>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right"/>
              <w:ind w:right="13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3620" w:type="dxa"/>
            <w:vAlign w:val="bottom"/>
            <w:gridSpan w:val="2"/>
          </w:tcPr>
          <w:p>
            <w:pPr>
              <w:ind w:left="60"/>
              <w:spacing w:after="0"/>
              <w:rPr>
                <w:sz w:val="20"/>
                <w:szCs w:val="20"/>
                <w:color w:val="auto"/>
              </w:rPr>
            </w:pPr>
            <w:r>
              <w:rPr>
                <w:rFonts w:ascii="Arial" w:cs="Arial" w:eastAsia="Arial" w:hAnsi="Arial"/>
                <w:sz w:val="13"/>
                <w:szCs w:val="13"/>
                <w:b w:val="1"/>
                <w:bCs w:val="1"/>
                <w:color w:val="auto"/>
                <w:w w:val="90"/>
              </w:rPr>
              <w:t>The Board of Directors recommends you vote FOR proposals 2</w:t>
            </w:r>
          </w:p>
        </w:tc>
        <w:tc>
          <w:tcPr>
            <w:tcW w:w="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vMerge w:val="restart"/>
          </w:tcPr>
          <w:p>
            <w:pPr>
              <w:jc w:val="center"/>
              <w:ind w:left="32"/>
              <w:spacing w:after="0"/>
              <w:rPr>
                <w:sz w:val="20"/>
                <w:szCs w:val="20"/>
                <w:color w:val="auto"/>
              </w:rPr>
            </w:pPr>
            <w:r>
              <w:rPr>
                <w:rFonts w:ascii="Arial" w:cs="Arial" w:eastAsia="Arial" w:hAnsi="Arial"/>
                <w:sz w:val="13"/>
                <w:szCs w:val="13"/>
                <w:b w:val="1"/>
                <w:bCs w:val="1"/>
                <w:color w:val="auto"/>
                <w:w w:val="88"/>
              </w:rPr>
              <w:t>Against</w:t>
            </w:r>
          </w:p>
        </w:tc>
        <w:tc>
          <w:tcPr>
            <w:tcW w:w="560" w:type="dxa"/>
            <w:vAlign w:val="bottom"/>
            <w:vMerge w:val="restart"/>
          </w:tcPr>
          <w:p>
            <w:pPr>
              <w:jc w:val="center"/>
              <w:ind w:left="32"/>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2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3.</w:t>
            </w:r>
          </w:p>
        </w:tc>
        <w:tc>
          <w:tcPr>
            <w:tcW w:w="3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360" w:type="dxa"/>
            <w:vAlign w:val="bottom"/>
          </w:tcPr>
          <w:p>
            <w:pPr>
              <w:ind w:left="120"/>
              <w:spacing w:after="0"/>
              <w:rPr>
                <w:sz w:val="20"/>
                <w:szCs w:val="20"/>
                <w:color w:val="auto"/>
              </w:rPr>
            </w:pPr>
            <w:r>
              <w:rPr>
                <w:rFonts w:ascii="Arial" w:cs="Arial" w:eastAsia="Arial" w:hAnsi="Arial"/>
                <w:sz w:val="13"/>
                <w:szCs w:val="13"/>
                <w:color w:val="auto"/>
              </w:rPr>
              <w:t>1D</w:t>
            </w:r>
          </w:p>
        </w:tc>
        <w:tc>
          <w:tcPr>
            <w:tcW w:w="3120" w:type="dxa"/>
            <w:vAlign w:val="bottom"/>
          </w:tcPr>
          <w:p>
            <w:pPr>
              <w:ind w:left="120"/>
              <w:spacing w:after="0"/>
              <w:rPr>
                <w:sz w:val="20"/>
                <w:szCs w:val="20"/>
                <w:color w:val="auto"/>
              </w:rPr>
            </w:pPr>
            <w:r>
              <w:rPr>
                <w:rFonts w:ascii="Arial" w:cs="Arial" w:eastAsia="Arial" w:hAnsi="Arial"/>
                <w:sz w:val="13"/>
                <w:szCs w:val="13"/>
                <w:color w:val="auto"/>
              </w:rPr>
              <w:t>Mary Lou Jepsen</w:t>
            </w:r>
          </w:p>
        </w:tc>
        <w:tc>
          <w:tcPr>
            <w:tcW w:w="360" w:type="dxa"/>
            <w:vAlign w:val="bottom"/>
          </w:tcPr>
          <w:p>
            <w:pPr>
              <w:jc w:val="right"/>
              <w:ind w:right="11"/>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right"/>
              <w:ind w:right="13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362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1"/>
                <w:szCs w:val="11"/>
                <w:color w:val="auto"/>
              </w:rPr>
              <w:t>Ratification of the retention of Ernst &amp; Young</w:t>
            </w: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ind w:left="80"/>
              <w:spacing w:after="0"/>
              <w:rPr>
                <w:sz w:val="20"/>
                <w:szCs w:val="20"/>
                <w:color w:val="auto"/>
              </w:rPr>
            </w:pPr>
            <w:r>
              <w:rPr>
                <w:rFonts w:ascii="Arial" w:cs="Arial" w:eastAsia="Arial" w:hAnsi="Arial"/>
                <w:sz w:val="12"/>
                <w:szCs w:val="12"/>
                <w:color w:val="auto"/>
                <w:w w:val="98"/>
              </w:rPr>
              <w:t>LLP as independent registered public accounting firm for 2018.</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9"/>
        </w:trPr>
        <w:tc>
          <w:tcPr>
            <w:tcW w:w="360" w:type="dxa"/>
            <w:vAlign w:val="bottom"/>
          </w:tcPr>
          <w:p>
            <w:pPr>
              <w:ind w:left="120"/>
              <w:spacing w:after="0"/>
              <w:rPr>
                <w:sz w:val="20"/>
                <w:szCs w:val="20"/>
                <w:color w:val="auto"/>
              </w:rPr>
            </w:pPr>
            <w:r>
              <w:rPr>
                <w:rFonts w:ascii="Arial" w:cs="Arial" w:eastAsia="Arial" w:hAnsi="Arial"/>
                <w:sz w:val="13"/>
                <w:szCs w:val="13"/>
                <w:color w:val="auto"/>
              </w:rPr>
              <w:t>1E</w:t>
            </w:r>
          </w:p>
        </w:tc>
        <w:tc>
          <w:tcPr>
            <w:tcW w:w="3120" w:type="dxa"/>
            <w:vAlign w:val="bottom"/>
          </w:tcPr>
          <w:p>
            <w:pPr>
              <w:ind w:left="120"/>
              <w:spacing w:after="0"/>
              <w:rPr>
                <w:sz w:val="20"/>
                <w:szCs w:val="20"/>
                <w:color w:val="auto"/>
              </w:rPr>
            </w:pPr>
            <w:r>
              <w:rPr>
                <w:rFonts w:ascii="Arial" w:cs="Arial" w:eastAsia="Arial" w:hAnsi="Arial"/>
                <w:sz w:val="13"/>
                <w:szCs w:val="13"/>
                <w:color w:val="auto"/>
              </w:rPr>
              <w:t>Kathleen A. Ligocki</w:t>
            </w:r>
          </w:p>
        </w:tc>
        <w:tc>
          <w:tcPr>
            <w:tcW w:w="360" w:type="dxa"/>
            <w:vAlign w:val="bottom"/>
          </w:tcPr>
          <w:p>
            <w:pPr>
              <w:jc w:val="right"/>
              <w:ind w:right="11"/>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right"/>
              <w:ind w:right="13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362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 xml:space="preserve">3  </w:t>
            </w:r>
            <w:r>
              <w:rPr>
                <w:rFonts w:ascii="Arial" w:cs="Arial" w:eastAsia="Arial" w:hAnsi="Arial"/>
                <w:sz w:val="11"/>
                <w:szCs w:val="11"/>
                <w:color w:val="auto"/>
                <w:w w:val="98"/>
              </w:rPr>
              <w:t>Advisory vote to approve Lear Corporation’s executive compensation.</w:t>
            </w: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2"/>
        </w:trPr>
        <w:tc>
          <w:tcPr>
            <w:tcW w:w="3480" w:type="dxa"/>
            <w:vAlign w:val="bottom"/>
            <w:gridSpan w:val="2"/>
          </w:tcPr>
          <w:p>
            <w:pPr>
              <w:ind w:left="120"/>
              <w:spacing w:after="0"/>
              <w:rPr>
                <w:sz w:val="20"/>
                <w:szCs w:val="20"/>
                <w:color w:val="auto"/>
              </w:rPr>
            </w:pPr>
            <w:r>
              <w:rPr>
                <w:rFonts w:ascii="Arial" w:cs="Arial" w:eastAsia="Arial" w:hAnsi="Arial"/>
                <w:sz w:val="13"/>
                <w:szCs w:val="13"/>
                <w:color w:val="auto"/>
              </w:rPr>
              <w:t>1F   Conrad L. Mallett, Jr.</w:t>
            </w:r>
          </w:p>
        </w:tc>
        <w:tc>
          <w:tcPr>
            <w:tcW w:w="360" w:type="dxa"/>
            <w:vAlign w:val="bottom"/>
          </w:tcPr>
          <w:p>
            <w:pPr>
              <w:jc w:val="right"/>
              <w:ind w:right="11"/>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right"/>
              <w:ind w:right="13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362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 xml:space="preserve">NOTE: </w:t>
            </w:r>
            <w:r>
              <w:rPr>
                <w:rFonts w:ascii="Arial" w:cs="Arial" w:eastAsia="Arial" w:hAnsi="Arial"/>
                <w:sz w:val="13"/>
                <w:szCs w:val="13"/>
                <w:color w:val="auto"/>
                <w:w w:val="99"/>
              </w:rPr>
              <w:t>Such other business as may properly come before the</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20" w:type="dxa"/>
            <w:vAlign w:val="bottom"/>
            <w:gridSpan w:val="2"/>
          </w:tcPr>
          <w:p>
            <w:pPr>
              <w:ind w:left="60"/>
              <w:spacing w:after="0"/>
              <w:rPr>
                <w:sz w:val="20"/>
                <w:szCs w:val="20"/>
                <w:color w:val="auto"/>
              </w:rPr>
            </w:pPr>
            <w:r>
              <w:rPr>
                <w:rFonts w:ascii="Arial" w:cs="Arial" w:eastAsia="Arial" w:hAnsi="Arial"/>
                <w:sz w:val="13"/>
                <w:szCs w:val="13"/>
                <w:color w:val="auto"/>
              </w:rPr>
              <w:t>meeting or any adjournment thereof.</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60" w:type="dxa"/>
            <w:vAlign w:val="bottom"/>
          </w:tcPr>
          <w:p>
            <w:pPr>
              <w:ind w:left="120"/>
              <w:spacing w:after="0"/>
              <w:rPr>
                <w:sz w:val="20"/>
                <w:szCs w:val="20"/>
                <w:color w:val="auto"/>
              </w:rPr>
            </w:pPr>
            <w:r>
              <w:rPr>
                <w:rFonts w:ascii="Arial" w:cs="Arial" w:eastAsia="Arial" w:hAnsi="Arial"/>
                <w:sz w:val="13"/>
                <w:szCs w:val="13"/>
                <w:color w:val="auto"/>
              </w:rPr>
              <w:t>1G</w:t>
            </w:r>
          </w:p>
        </w:tc>
        <w:tc>
          <w:tcPr>
            <w:tcW w:w="3120" w:type="dxa"/>
            <w:vAlign w:val="bottom"/>
          </w:tcPr>
          <w:p>
            <w:pPr>
              <w:ind w:left="120"/>
              <w:spacing w:after="0"/>
              <w:rPr>
                <w:sz w:val="20"/>
                <w:szCs w:val="20"/>
                <w:color w:val="auto"/>
              </w:rPr>
            </w:pPr>
            <w:r>
              <w:rPr>
                <w:rFonts w:ascii="Arial" w:cs="Arial" w:eastAsia="Arial" w:hAnsi="Arial"/>
                <w:sz w:val="13"/>
                <w:szCs w:val="13"/>
                <w:color w:val="auto"/>
              </w:rPr>
              <w:t>Raymond E. Scott</w:t>
            </w:r>
          </w:p>
        </w:tc>
        <w:tc>
          <w:tcPr>
            <w:tcW w:w="360" w:type="dxa"/>
            <w:vAlign w:val="bottom"/>
          </w:tcPr>
          <w:p>
            <w:pPr>
              <w:jc w:val="right"/>
              <w:ind w:right="11"/>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right"/>
              <w:ind w:right="13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0" w:type="dxa"/>
            <w:vAlign w:val="bottom"/>
          </w:tcPr>
          <w:p>
            <w:pPr>
              <w:ind w:left="120"/>
              <w:spacing w:after="0"/>
              <w:rPr>
                <w:sz w:val="20"/>
                <w:szCs w:val="20"/>
                <w:color w:val="auto"/>
              </w:rPr>
            </w:pPr>
            <w:r>
              <w:rPr>
                <w:rFonts w:ascii="Arial" w:cs="Arial" w:eastAsia="Arial" w:hAnsi="Arial"/>
                <w:sz w:val="13"/>
                <w:szCs w:val="13"/>
                <w:color w:val="auto"/>
              </w:rPr>
              <w:t>1H</w:t>
            </w:r>
          </w:p>
        </w:tc>
        <w:tc>
          <w:tcPr>
            <w:tcW w:w="3120" w:type="dxa"/>
            <w:vAlign w:val="bottom"/>
          </w:tcPr>
          <w:p>
            <w:pPr>
              <w:ind w:left="80"/>
              <w:spacing w:after="0"/>
              <w:rPr>
                <w:sz w:val="20"/>
                <w:szCs w:val="20"/>
                <w:color w:val="auto"/>
              </w:rPr>
            </w:pPr>
            <w:r>
              <w:rPr>
                <w:rFonts w:ascii="Arial" w:cs="Arial" w:eastAsia="Arial" w:hAnsi="Arial"/>
                <w:sz w:val="13"/>
                <w:szCs w:val="13"/>
                <w:color w:val="auto"/>
              </w:rPr>
              <w:t>Gregory C. Smith</w:t>
            </w:r>
          </w:p>
        </w:tc>
        <w:tc>
          <w:tcPr>
            <w:tcW w:w="360" w:type="dxa"/>
            <w:vAlign w:val="bottom"/>
          </w:tcPr>
          <w:p>
            <w:pPr>
              <w:jc w:val="right"/>
              <w:ind w:right="11"/>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right"/>
              <w:ind w:right="13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480" w:type="dxa"/>
            <w:vAlign w:val="bottom"/>
            <w:gridSpan w:val="2"/>
          </w:tcPr>
          <w:p>
            <w:pPr>
              <w:ind w:left="120"/>
              <w:spacing w:after="0"/>
              <w:rPr>
                <w:sz w:val="20"/>
                <w:szCs w:val="20"/>
                <w:color w:val="auto"/>
              </w:rPr>
            </w:pPr>
            <w:r>
              <w:rPr>
                <w:rFonts w:ascii="Arial" w:cs="Arial" w:eastAsia="Arial" w:hAnsi="Arial"/>
                <w:sz w:val="13"/>
                <w:szCs w:val="13"/>
                <w:color w:val="auto"/>
                <w:w w:val="97"/>
              </w:rPr>
              <w:t>For address change/comments, mark here.(see reverse for</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jc w:val="center"/>
              <w:ind w:left="49"/>
              <w:spacing w:after="0" w:line="141" w:lineRule="exact"/>
              <w:rPr>
                <w:sz w:val="20"/>
                <w:szCs w:val="20"/>
                <w:color w:val="auto"/>
              </w:rPr>
            </w:pPr>
            <w:r>
              <w:rPr>
                <w:rFonts w:ascii="MS PGothic" w:cs="MS PGothic" w:eastAsia="MS PGothic" w:hAnsi="MS PGothic"/>
                <w:sz w:val="14"/>
                <w:szCs w:val="14"/>
                <w:color w:val="auto"/>
                <w:w w:val="99"/>
              </w:rPr>
              <w:t>☐</w:t>
            </w: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480" w:type="dxa"/>
            <w:vAlign w:val="bottom"/>
            <w:gridSpan w:val="2"/>
          </w:tcPr>
          <w:p>
            <w:pPr>
              <w:ind w:left="120"/>
              <w:spacing w:after="0"/>
              <w:rPr>
                <w:sz w:val="20"/>
                <w:szCs w:val="20"/>
                <w:color w:val="auto"/>
              </w:rPr>
            </w:pPr>
            <w:r>
              <w:rPr>
                <w:rFonts w:ascii="Arial" w:cs="Arial" w:eastAsia="Arial" w:hAnsi="Arial"/>
                <w:sz w:val="13"/>
                <w:szCs w:val="13"/>
                <w:color w:val="auto"/>
              </w:rPr>
              <w:t>instructions)</w:t>
            </w:r>
          </w:p>
        </w:tc>
        <w:tc>
          <w:tcPr>
            <w:tcW w:w="3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Yes</w:t>
            </w:r>
          </w:p>
        </w:tc>
        <w:tc>
          <w:tcPr>
            <w:tcW w:w="66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No</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6"/>
        </w:trPr>
        <w:tc>
          <w:tcPr>
            <w:tcW w:w="3480" w:type="dxa"/>
            <w:vAlign w:val="bottom"/>
            <w:gridSpan w:val="2"/>
          </w:tcPr>
          <w:p>
            <w:pPr>
              <w:ind w:left="120"/>
              <w:spacing w:after="0"/>
              <w:rPr>
                <w:sz w:val="20"/>
                <w:szCs w:val="20"/>
                <w:color w:val="auto"/>
              </w:rPr>
            </w:pPr>
            <w:r>
              <w:rPr>
                <w:rFonts w:ascii="Arial" w:cs="Arial" w:eastAsia="Arial" w:hAnsi="Arial"/>
                <w:sz w:val="13"/>
                <w:szCs w:val="13"/>
                <w:color w:val="auto"/>
              </w:rPr>
              <w:t>Please indicate if you plan to attend the meeting.</w:t>
            </w:r>
          </w:p>
        </w:tc>
        <w:tc>
          <w:tcPr>
            <w:tcW w:w="360" w:type="dxa"/>
            <w:vAlign w:val="bottom"/>
          </w:tcPr>
          <w:p>
            <w:pPr>
              <w:jc w:val="right"/>
              <w:ind w:right="11"/>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tcPr>
          <w:p>
            <w:pPr>
              <w:jc w:val="right"/>
              <w:ind w:right="130"/>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780" w:type="dxa"/>
            <w:vAlign w:val="bottom"/>
            <w:gridSpan w:val="7"/>
          </w:tcPr>
          <w:p>
            <w:pPr>
              <w:ind w:left="120"/>
              <w:spacing w:after="0"/>
              <w:rPr>
                <w:sz w:val="20"/>
                <w:szCs w:val="20"/>
                <w:color w:val="auto"/>
              </w:rPr>
            </w:pPr>
            <w:r>
              <w:rPr>
                <w:rFonts w:ascii="Arial" w:cs="Arial" w:eastAsia="Arial" w:hAnsi="Arial"/>
                <w:sz w:val="13"/>
                <w:szCs w:val="13"/>
                <w:color w:val="auto"/>
                <w:w w:val="90"/>
              </w:rPr>
              <w:t>Please sign exactly as your name(s) appear(s) hereon. When signing as attorney, executor, administrator, or other fiduciary, please give full title as such. Joint owners</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780" w:type="dxa"/>
            <w:vAlign w:val="bottom"/>
            <w:gridSpan w:val="7"/>
          </w:tcPr>
          <w:p>
            <w:pPr>
              <w:ind w:left="120"/>
              <w:spacing w:after="0"/>
              <w:rPr>
                <w:sz w:val="20"/>
                <w:szCs w:val="20"/>
                <w:color w:val="auto"/>
              </w:rPr>
            </w:pPr>
            <w:r>
              <w:rPr>
                <w:rFonts w:ascii="Arial" w:cs="Arial" w:eastAsia="Arial" w:hAnsi="Arial"/>
                <w:sz w:val="13"/>
                <w:szCs w:val="13"/>
                <w:color w:val="auto"/>
                <w:w w:val="98"/>
              </w:rPr>
              <w:t>should each sign personally. All holders must sign. If a corporation or partnership, please sign in full corporate or partnership name by authorized officer.</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36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360" w:type="dxa"/>
            <w:vAlign w:val="bottom"/>
            <w:tcBorders>
              <w:left w:val="single" w:sz="8" w:color="auto"/>
              <w:bottom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480" w:type="dxa"/>
            <w:vAlign w:val="bottom"/>
            <w:gridSpan w:val="2"/>
          </w:tcPr>
          <w:p>
            <w:pPr>
              <w:ind w:left="120"/>
              <w:spacing w:after="0"/>
              <w:rPr>
                <w:sz w:val="20"/>
                <w:szCs w:val="20"/>
                <w:color w:val="auto"/>
              </w:rPr>
            </w:pPr>
            <w:r>
              <w:rPr>
                <w:rFonts w:ascii="Arial" w:cs="Arial" w:eastAsia="Arial" w:hAnsi="Arial"/>
                <w:sz w:val="13"/>
                <w:szCs w:val="13"/>
                <w:color w:val="auto"/>
              </w:rPr>
              <w:t>Signature [PLEASE SIGN WITHIN BOX]</w:t>
            </w:r>
          </w:p>
        </w:tc>
        <w:tc>
          <w:tcPr>
            <w:tcW w:w="360" w:type="dxa"/>
            <w:vAlign w:val="bottom"/>
          </w:tcPr>
          <w:p>
            <w:pPr>
              <w:ind w:left="100"/>
              <w:spacing w:after="0"/>
              <w:rPr>
                <w:sz w:val="20"/>
                <w:szCs w:val="20"/>
                <w:color w:val="auto"/>
              </w:rPr>
            </w:pPr>
            <w:r>
              <w:rPr>
                <w:rFonts w:ascii="Arial" w:cs="Arial" w:eastAsia="Arial" w:hAnsi="Arial"/>
                <w:sz w:val="13"/>
                <w:szCs w:val="13"/>
                <w:color w:val="auto"/>
                <w:w w:val="79"/>
              </w:rPr>
              <w:t>Date</w:t>
            </w: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20" w:type="dxa"/>
            <w:vAlign w:val="bottom"/>
          </w:tcPr>
          <w:p>
            <w:pPr>
              <w:ind w:left="80"/>
              <w:spacing w:after="0"/>
              <w:rPr>
                <w:sz w:val="20"/>
                <w:szCs w:val="20"/>
                <w:color w:val="auto"/>
              </w:rPr>
            </w:pPr>
            <w:r>
              <w:rPr>
                <w:rFonts w:ascii="Arial" w:cs="Arial" w:eastAsia="Arial" w:hAnsi="Arial"/>
                <w:sz w:val="13"/>
                <w:szCs w:val="13"/>
                <w:color w:val="auto"/>
              </w:rPr>
              <w:t>Signature (Joint Owners)</w:t>
            </w:r>
          </w:p>
        </w:tc>
        <w:tc>
          <w:tcPr>
            <w:tcW w:w="340" w:type="dxa"/>
            <w:vAlign w:val="bottom"/>
          </w:tcPr>
          <w:p>
            <w:pPr>
              <w:jc w:val="center"/>
              <w:ind w:left="13"/>
              <w:spacing w:after="0"/>
              <w:rPr>
                <w:sz w:val="20"/>
                <w:szCs w:val="20"/>
                <w:color w:val="auto"/>
              </w:rPr>
            </w:pPr>
            <w:r>
              <w:rPr>
                <w:rFonts w:ascii="Arial" w:cs="Arial" w:eastAsia="Arial" w:hAnsi="Arial"/>
                <w:sz w:val="13"/>
                <w:szCs w:val="13"/>
                <w:color w:val="auto"/>
                <w:w w:val="79"/>
              </w:rPr>
              <w:t>Date</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40" w:top="459" w:right="1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xml:space="preserve">The Notice &amp; Lear Proxy Statement and Lear Annual Report are available at </w:t>
      </w:r>
      <w:r>
        <w:rPr>
          <w:rFonts w:ascii="Arial" w:cs="Arial" w:eastAsia="Arial" w:hAnsi="Arial"/>
          <w:sz w:val="16"/>
          <w:szCs w:val="16"/>
          <w:u w:val="single" w:color="auto"/>
          <w:color w:val="auto"/>
        </w:rPr>
        <w:t>www.proxyvote.com</w:t>
      </w:r>
    </w:p>
    <w:p>
      <w:pPr>
        <w:spacing w:after="0" w:line="24" w:lineRule="exact"/>
        <w:rPr>
          <w:sz w:val="20"/>
          <w:szCs w:val="20"/>
          <w:color w:val="auto"/>
        </w:rPr>
      </w:pPr>
    </w:p>
    <w:p>
      <w:pPr>
        <w:jc w:val="center"/>
        <w:ind w:left="460"/>
        <w:spacing w:after="0" w:line="277" w:lineRule="auto"/>
        <w:rPr>
          <w:sz w:val="20"/>
          <w:szCs w:val="20"/>
          <w:color w:val="auto"/>
        </w:rPr>
      </w:pPr>
      <w:r>
        <w:rPr>
          <w:rFonts w:ascii="Arial" w:cs="Arial" w:eastAsia="Arial" w:hAnsi="Arial"/>
          <w:sz w:val="18"/>
          <w:szCs w:val="18"/>
          <w:color w:val="auto"/>
        </w:rPr>
        <w:t>—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134620</wp:posOffset>
            </wp:positionV>
            <wp:extent cx="7134860" cy="3422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3422015"/>
                    </a:xfrm>
                    <a:prstGeom prst="rect">
                      <a:avLst/>
                    </a:prstGeom>
                    <a:noFill/>
                  </pic:spPr>
                </pic:pic>
              </a:graphicData>
            </a:graphic>
          </wp:anchor>
        </w:drawing>
      </w:r>
    </w:p>
    <w:p>
      <w:pPr>
        <w:spacing w:after="0" w:line="286" w:lineRule="exact"/>
        <w:rPr>
          <w:sz w:val="20"/>
          <w:szCs w:val="20"/>
          <w:color w:val="auto"/>
        </w:rPr>
      </w:pPr>
    </w:p>
    <w:p>
      <w:pPr>
        <w:jc w:val="center"/>
        <w:ind w:left="480"/>
        <w:spacing w:after="0"/>
        <w:rPr>
          <w:sz w:val="20"/>
          <w:szCs w:val="20"/>
          <w:color w:val="auto"/>
        </w:rPr>
      </w:pPr>
      <w:r>
        <w:rPr>
          <w:rFonts w:ascii="Arial" w:cs="Arial" w:eastAsia="Arial" w:hAnsi="Arial"/>
          <w:sz w:val="11"/>
          <w:szCs w:val="11"/>
          <w:b w:val="1"/>
          <w:bCs w:val="1"/>
          <w:color w:val="auto"/>
        </w:rPr>
        <w:t>LEAR CORPORATION</w:t>
      </w:r>
    </w:p>
    <w:p>
      <w:pPr>
        <w:spacing w:after="0" w:line="2" w:lineRule="exact"/>
        <w:rPr>
          <w:sz w:val="20"/>
          <w:szCs w:val="20"/>
          <w:color w:val="auto"/>
        </w:rPr>
      </w:pPr>
    </w:p>
    <w:p>
      <w:pPr>
        <w:jc w:val="center"/>
        <w:ind w:left="480"/>
        <w:spacing w:after="0"/>
        <w:rPr>
          <w:sz w:val="20"/>
          <w:szCs w:val="20"/>
          <w:color w:val="auto"/>
        </w:rPr>
      </w:pPr>
      <w:r>
        <w:rPr>
          <w:rFonts w:ascii="Arial" w:cs="Arial" w:eastAsia="Arial" w:hAnsi="Arial"/>
          <w:sz w:val="11"/>
          <w:szCs w:val="11"/>
          <w:b w:val="1"/>
          <w:bCs w:val="1"/>
          <w:color w:val="auto"/>
        </w:rPr>
        <w:t>This proxy is solicited on behalf of the Board of Directors of Lear Corporation for the</w:t>
      </w:r>
    </w:p>
    <w:p>
      <w:pPr>
        <w:jc w:val="center"/>
        <w:ind w:left="480"/>
        <w:spacing w:after="0" w:line="230" w:lineRule="auto"/>
        <w:rPr>
          <w:sz w:val="20"/>
          <w:szCs w:val="20"/>
          <w:color w:val="auto"/>
        </w:rPr>
      </w:pPr>
      <w:r>
        <w:rPr>
          <w:rFonts w:ascii="Arial" w:cs="Arial" w:eastAsia="Arial" w:hAnsi="Arial"/>
          <w:sz w:val="11"/>
          <w:szCs w:val="11"/>
          <w:b w:val="1"/>
          <w:bCs w:val="1"/>
          <w:color w:val="auto"/>
        </w:rPr>
        <w:t>Annual Meeting of Stockholders on</w:t>
      </w:r>
    </w:p>
    <w:p>
      <w:pPr>
        <w:jc w:val="center"/>
        <w:ind w:left="480"/>
        <w:spacing w:after="0"/>
        <w:rPr>
          <w:sz w:val="20"/>
          <w:szCs w:val="20"/>
          <w:color w:val="auto"/>
        </w:rPr>
      </w:pPr>
      <w:r>
        <w:rPr>
          <w:rFonts w:ascii="Arial" w:cs="Arial" w:eastAsia="Arial" w:hAnsi="Arial"/>
          <w:sz w:val="11"/>
          <w:szCs w:val="11"/>
          <w:b w:val="1"/>
          <w:bCs w:val="1"/>
          <w:color w:val="auto"/>
        </w:rPr>
        <w:t>May 17, 2018, at 9:00 a.m. (Eastern Daylight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Arial" w:cs="Arial" w:eastAsia="Arial" w:hAnsi="Arial"/>
          <w:sz w:val="11"/>
          <w:szCs w:val="11"/>
          <w:color w:val="auto"/>
        </w:rPr>
        <w:t>This proxy is solicited on behalf of the Board of Directors of Lear Corporation for the Annual Meeting of Stockholders on May 17, 2018 or any adjournment or postponement thereof (the “Meeting”).</w:t>
      </w:r>
    </w:p>
    <w:p>
      <w:pPr>
        <w:spacing w:after="0" w:line="238" w:lineRule="exact"/>
        <w:rPr>
          <w:sz w:val="20"/>
          <w:szCs w:val="20"/>
          <w:color w:val="auto"/>
        </w:rPr>
      </w:pPr>
    </w:p>
    <w:p>
      <w:pPr>
        <w:jc w:val="both"/>
        <w:ind w:left="860" w:right="180"/>
        <w:spacing w:after="0" w:line="239" w:lineRule="auto"/>
        <w:rPr>
          <w:sz w:val="20"/>
          <w:szCs w:val="20"/>
          <w:color w:val="auto"/>
        </w:rPr>
      </w:pPr>
      <w:r>
        <w:rPr>
          <w:rFonts w:ascii="Arial" w:cs="Arial" w:eastAsia="Arial" w:hAnsi="Arial"/>
          <w:sz w:val="11"/>
          <w:szCs w:val="11"/>
          <w:color w:val="auto"/>
        </w:rPr>
        <w:t>The undersigned appoints Raymond E. Scott and Terrence B. Larkin, and each of them, with full power of substitution in each of them, the proxies of the undersigned, and authorizes them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9"/>
          <w:szCs w:val="9"/>
          <w:b w:val="1"/>
          <w:bCs w:val="1"/>
          <w:color w:val="auto"/>
        </w:rPr>
        <w:t>This proxy, when properly executed, will be voted in the manner directed herein by the undersigned stockholder. If no direction is given, this proxy will be voted FOR all nominees for director and FOR proposals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Address change/comments: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8580" cy="900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080"/>
        <w:spacing w:after="0"/>
        <w:rPr>
          <w:sz w:val="20"/>
          <w:szCs w:val="20"/>
          <w:color w:val="auto"/>
        </w:rPr>
      </w:pPr>
      <w:r>
        <w:rPr>
          <w:rFonts w:ascii="Arial" w:cs="Arial" w:eastAsia="Arial" w:hAnsi="Arial"/>
          <w:sz w:val="13"/>
          <w:szCs w:val="13"/>
          <w:color w:val="auto"/>
        </w:rPr>
        <w:t>(If you noted any Address Changes and/or Comments above, please mark corresponding box on the reverse side.)</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00"/>
      </w:cols>
      <w:pgMar w:left="240" w:top="4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lvl w:ilvl="1">
      <w:lvlJc w:val="left"/>
      <w:lvlText w:val="(%2)"/>
      <w:numFmt w:val="decimal"/>
      <w:start w:val="1"/>
    </w:lvl>
  </w:abstractNum>
  <w:abstractNum w:abstractNumId="5">
    <w:nsid w:val="39386575"/>
    <w:multiLevelType w:val="hybridMultilevel"/>
    <w:lvl w:ilvl="0">
      <w:lvlJc w:val="left"/>
      <w:lvlText w:val="(%1)"/>
      <w:numFmt w:val="decimal"/>
      <w:start w:val="3"/>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1."/>
      <w:numFmt w:val="decimal"/>
      <w:start w:val="4"/>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1."/>
      <w:numFmt w:val="decimal"/>
      <w:start w:val="2"/>
    </w:lvl>
  </w:abstractNum>
  <w:abstractNum w:abstractNumId="10">
    <w:nsid w:val="354FE9F9"/>
    <w:multiLevelType w:val="hybridMultilevel"/>
    <w:lvl w:ilvl="0">
      <w:lvlJc w:val="left"/>
      <w:lvlText w:val="2"/>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4"/>
      <w:numFmt w:val="bullet"/>
      <w:start w:val="1"/>
    </w:lvl>
  </w:abstractNum>
  <w:abstractNum w:abstractNumId="14">
    <w:nsid w:val="10233C99"/>
    <w:multiLevelType w:val="hybridMultilevel"/>
    <w:lvl w:ilvl="0">
      <w:lvlJc w:val="left"/>
      <w:lvlText w:val="6"/>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8"/>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1"/>
      <w:numFmt w:val="decimal"/>
      <w:start w:val="10"/>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1"/>
      <w:numFmt w:val="decimal"/>
      <w:start w:val="12"/>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1"/>
      <w:numFmt w:val="decimal"/>
      <w:start w:val="14"/>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1"/>
      <w:numFmt w:val="decimal"/>
      <w:start w:val="16"/>
    </w:lvl>
  </w:abstractNum>
  <w:abstractNum w:abstractNumId="34">
    <w:nsid w:val="799D0247"/>
    <w:multiLevelType w:val="hybridMultilevel"/>
    <w:lvl w:ilvl="0">
      <w:lvlJc w:val="left"/>
      <w:lvlText w:val="(%1)"/>
      <w:numFmt w:val="lowerRoman"/>
      <w:start w:val="2"/>
    </w:lvl>
  </w:abstractNum>
  <w:abstractNum w:abstractNumId="35">
    <w:nsid w:val="6B94764"/>
    <w:multiLevelType w:val="hybridMultilevel"/>
    <w:lvl w:ilvl="0">
      <w:lvlJc w:val="left"/>
      <w:lvlText w:val="%1"/>
      <w:numFmt w:val="decimal"/>
      <w:start w:val="18"/>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1"/>
      <w:numFmt w:val="decimal"/>
      <w:start w:val="20"/>
    </w:lvl>
  </w:abstractNum>
  <w:abstractNum w:abstractNumId="38">
    <w:nsid w:val="1EBA5D23"/>
    <w:multiLevelType w:val="hybridMultilevel"/>
    <w:lvl w:ilvl="0">
      <w:lvlJc w:val="left"/>
      <w:lvlText w:val="(%1)"/>
      <w:numFmt w:val="lowerRoman"/>
      <w:start w:val="1"/>
    </w:lvl>
  </w:abstractNum>
  <w:abstractNum w:abstractNumId="39">
    <w:nsid w:val="661E3F1E"/>
    <w:multiLevelType w:val="hybridMultilevel"/>
    <w:lvl w:ilvl="0">
      <w:lvlJc w:val="left"/>
      <w:lvlText w:val="(%1)"/>
      <w:numFmt w:val="lowerRoman"/>
      <w:start w:val="5"/>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emdash "/>
      <w:numFmt w:val="bullet"/>
      <w:start w:val="1"/>
    </w:lvl>
  </w:abstractNum>
  <w:abstractNum w:abstractNumId="42">
    <w:nsid w:val="7BD3EE7B"/>
    <w:multiLevelType w:val="hybridMultilevel"/>
    <w:lvl w:ilvl="0">
      <w:lvlJc w:val="left"/>
      <w:lvlText w:val="%1"/>
      <w:numFmt w:val="decimal"/>
      <w:start w:val="22"/>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24"/>
    </w:lvl>
  </w:abstractNum>
  <w:abstractNum w:abstractNumId="47">
    <w:nsid w:val="42963E5A"/>
    <w:multiLevelType w:val="hybridMultilevel"/>
    <w:lvl w:ilvl="0">
      <w:lvlJc w:val="left"/>
      <w:lvlText w:val="(%1)"/>
      <w:numFmt w:val="decimal"/>
      <w:start w:val="6"/>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decimal"/>
      <w:start w:val="26"/>
    </w:lvl>
  </w:abstractNum>
  <w:abstractNum w:abstractNumId="51">
    <w:nsid w:val="3B0FD379"/>
    <w:multiLevelType w:val="hybridMultilevel"/>
    <w:lvl w:ilvl="0">
      <w:lvlJc w:val="left"/>
      <w:lvlText w:val="•"/>
      <w:numFmt w:val="bullet"/>
      <w:start w:val="1"/>
    </w:lvl>
    <w:lvl w:ilvl="1">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1"/>
      <w:numFmt w:val="decimal"/>
      <w:start w:val="28"/>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decimal"/>
      <w:start w:val="3"/>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1)"/>
      <w:numFmt w:val="lowerRoman"/>
      <w:start w:val="3"/>
    </w:lvl>
  </w:abstractNum>
  <w:abstractNum w:abstractNumId="61">
    <w:nsid w:val="7FB7E0AA"/>
    <w:multiLevelType w:val="hybridMultilevel"/>
    <w:lvl w:ilvl="0">
      <w:lvlJc w:val="left"/>
      <w:lvlText w:val="%1"/>
      <w:numFmt w:val="decimal"/>
      <w:start w:val="30"/>
    </w:lvl>
  </w:abstractNum>
  <w:abstractNum w:abstractNumId="62">
    <w:nsid w:val="6EB5BD4"/>
    <w:multiLevelType w:val="hybridMultilevel"/>
    <w:lvl w:ilvl="0">
      <w:lvlJc w:val="left"/>
      <w:lvlText w:val="%1"/>
      <w:numFmt w:val="decimal"/>
      <w:start w:val="32"/>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34"/>
    </w:lvl>
  </w:abstractNum>
  <w:abstractNum w:abstractNumId="65">
    <w:nsid w:val="885E1B"/>
    <w:multiLevelType w:val="hybridMultilevel"/>
    <w:lvl w:ilvl="0">
      <w:lvlJc w:val="left"/>
      <w:lvlText w:val="%1"/>
      <w:numFmt w:val="decimal"/>
      <w:start w:val="36"/>
    </w:lvl>
  </w:abstractNum>
  <w:abstractNum w:abstractNumId="66">
    <w:nsid w:val="76272110"/>
    <w:multiLevelType w:val="hybridMultilevel"/>
    <w:lvl w:ilvl="0">
      <w:lvlJc w:val="left"/>
      <w:lvlText w:val="%1"/>
      <w:numFmt w:val="decimal"/>
      <w:start w:val="38"/>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2"/>
    </w:lvl>
  </w:abstractNum>
  <w:abstractNum w:abstractNumId="69">
    <w:nsid w:val="14E17E33"/>
    <w:multiLevelType w:val="hybridMultilevel"/>
    <w:lvl w:ilvl="0">
      <w:lvlJc w:val="left"/>
      <w:lvlText w:val="%1"/>
      <w:numFmt w:val="decimal"/>
      <w:start w:val="40"/>
    </w:lvl>
  </w:abstractNum>
  <w:abstractNum w:abstractNumId="70">
    <w:nsid w:val="3222E7CD"/>
    <w:multiLevelType w:val="hybridMultilevel"/>
    <w:lvl w:ilvl="0">
      <w:lvlJc w:val="left"/>
      <w:lvlText w:val="(%1)"/>
      <w:numFmt w:val="decimal"/>
      <w:start w:val="4"/>
    </w:lvl>
    <w:lvl w:ilvl="1">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1"/>
      <w:numFmt w:val="decimal"/>
      <w:start w:val="42"/>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1"/>
      <w:numFmt w:val="decimal"/>
      <w:start w:val="44"/>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2"/>
    </w:lvl>
  </w:abstractNum>
  <w:abstractNum w:abstractNumId="77">
    <w:nsid w:val="57FC4FBB"/>
    <w:multiLevelType w:val="hybridMultilevel"/>
    <w:lvl w:ilvl="0">
      <w:lvlJc w:val="left"/>
      <w:lvlText w:val="(%1)"/>
      <w:numFmt w:val="decimal"/>
      <w:start w:val="3"/>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46"/>
    </w:lvl>
  </w:abstractNum>
  <w:abstractNum w:abstractNumId="80">
    <w:nsid w:val="60EF0119"/>
    <w:multiLevelType w:val="hybridMultilevel"/>
    <w:lvl w:ilvl="0">
      <w:lvlJc w:val="left"/>
      <w:lvlText w:val="(%1)"/>
      <w:numFmt w:val="decimal"/>
      <w:start w:val="2"/>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1"/>
      <w:numFmt w:val="decimal"/>
      <w:start w:val="48"/>
    </w:lvl>
  </w:abstractNum>
  <w:abstractNum w:abstractNumId="84">
    <w:nsid w:val="7055A5F5"/>
    <w:multiLevelType w:val="hybridMultilevel"/>
    <w:lvl w:ilvl="0">
      <w:lvlJc w:val="left"/>
      <w:lvlText w:val="(%1)"/>
      <w:numFmt w:val="decimal"/>
      <w:start w:val="1"/>
    </w:lvl>
  </w:abstractNum>
  <w:abstractNum w:abstractNumId="85">
    <w:nsid w:val="5FB8370B"/>
    <w:multiLevelType w:val="hybridMultilevel"/>
    <w:lvl w:ilvl="0">
      <w:lvlJc w:val="left"/>
      <w:lvlText w:val="(%1)"/>
      <w:numFmt w:val="decimal"/>
      <w:start w:val="2"/>
    </w:lvl>
  </w:abstractNum>
  <w:abstractNum w:abstractNumId="86">
    <w:nsid w:val="50801EE1"/>
    <w:multiLevelType w:val="hybridMultilevel"/>
    <w:lvl w:ilvl="0">
      <w:lvlJc w:val="left"/>
      <w:lvlText w:val="%1"/>
      <w:numFmt w:val="decimal"/>
      <w:start w:val="50"/>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decimal"/>
      <w:start w:val="3"/>
    </w:lvl>
  </w:abstractNum>
  <w:abstractNum w:abstractNumId="89">
    <w:nsid w:val="6AA78F7F"/>
    <w:multiLevelType w:val="hybridMultilevel"/>
    <w:lvl w:ilvl="0">
      <w:lvlJc w:val="left"/>
      <w:lvlText w:val="%1"/>
      <w:numFmt w:val="decimal"/>
      <w:start w:val="52"/>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1"/>
      <w:numFmt w:val="decimal"/>
      <w:start w:val="54"/>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1"/>
      <w:numFmt w:val="decimal"/>
      <w:start w:val="56"/>
    </w:lvl>
  </w:abstractNum>
  <w:abstractNum w:abstractNumId="99">
    <w:nsid w:val="14FCE74E"/>
    <w:multiLevelType w:val="hybridMultilevel"/>
    <w:lvl w:ilvl="0">
      <w:lvlJc w:val="left"/>
      <w:lvlText w:val="%1"/>
      <w:numFmt w:val="decimal"/>
      <w:start w:val="58"/>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decimal"/>
      <w:start w:val="60"/>
    </w:lvl>
  </w:abstractNum>
  <w:abstractNum w:abstractNumId="102">
    <w:nsid w:val="9DAF632"/>
    <w:multiLevelType w:val="hybridMultilevel"/>
    <w:lvl w:ilvl="0">
      <w:lvlJc w:val="left"/>
      <w:lvlText w:val="(%1)"/>
      <w:numFmt w:val="lowerRoman"/>
      <w:start w:val="2"/>
    </w:lvl>
  </w:abstractNum>
  <w:abstractNum w:abstractNumId="103">
    <w:nsid w:val="53299938"/>
    <w:multiLevelType w:val="hybridMultilevel"/>
    <w:lvl w:ilvl="0">
      <w:lvlJc w:val="left"/>
      <w:lvlText w:val="%1"/>
      <w:numFmt w:val="decimal"/>
      <w:start w:val="62"/>
    </w:lvl>
  </w:abstractNum>
  <w:abstractNum w:abstractNumId="104">
    <w:nsid w:val="1FBFE8E0"/>
    <w:multiLevelType w:val="hybridMultilevel"/>
    <w:lvl w:ilvl="0">
      <w:lvlJc w:val="left"/>
      <w:lvlText w:val="%1"/>
      <w:numFmt w:val="decimal"/>
      <w:start w:val="64"/>
    </w:lvl>
  </w:abstractNum>
  <w:abstractNum w:abstractNumId="105">
    <w:nsid w:val="5092CA79"/>
    <w:multiLevelType w:val="hybridMultilevel"/>
    <w:lvl w:ilvl="0">
      <w:lvlJc w:val="left"/>
      <w:lvlText w:val="%1"/>
      <w:numFmt w:val="decimal"/>
      <w:start w:val="66"/>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2019-12-05T19:56:56Z</dcterms:created>
  <dcterms:modified xsi:type="dcterms:W3CDTF">2019-12-05T19:56:56Z</dcterms:modified>
</cp:coreProperties>
</file>